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295770617"/>
      <w:bookmarkStart w:id="1" w:name="_Toc253149096"/>
      <w:bookmarkStart w:id="2" w:name="_Toc235613673"/>
      <w:bookmarkStart w:id="3" w:name="_Hlk151676996"/>
      <w:r>
        <w:drawing>
          <wp:inline distT="0" distB="0" distL="0" distR="0">
            <wp:extent cx="1546225" cy="1024890"/>
            <wp:effectExtent l="0" t="0" r="0" b="3810"/>
            <wp:docPr id="3" name="图片 3"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ECS新LOGO（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46225" cy="1024890"/>
                    </a:xfrm>
                    <a:prstGeom prst="rect">
                      <a:avLst/>
                    </a:prstGeom>
                    <a:noFill/>
                    <a:ln>
                      <a:noFill/>
                    </a:ln>
                  </pic:spPr>
                </pic:pic>
              </a:graphicData>
            </a:graphic>
          </wp:inline>
        </w:drawing>
      </w:r>
    </w:p>
    <w:p>
      <w:pPr>
        <w:jc w:val="right"/>
        <w:rPr>
          <w:sz w:val="30"/>
          <w:szCs w:val="30"/>
        </w:rPr>
      </w:pPr>
      <w:r>
        <w:rPr>
          <w:b/>
          <w:sz w:val="30"/>
          <w:szCs w:val="30"/>
        </w:rPr>
        <w:t>T/CECS xxx—202X</w:t>
      </w:r>
    </w:p>
    <w:p>
      <w:pPr>
        <w:rPr>
          <w:u w:val="single"/>
        </w:rPr>
      </w:pPr>
      <w: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97790</wp:posOffset>
                </wp:positionV>
                <wp:extent cx="5426075" cy="0"/>
                <wp:effectExtent l="0" t="0" r="0" b="0"/>
                <wp:wrapNone/>
                <wp:docPr id="1577385813" name="直接箭头连接符 7"/>
                <wp:cNvGraphicFramePr/>
                <a:graphic xmlns:a="http://schemas.openxmlformats.org/drawingml/2006/main">
                  <a:graphicData uri="http://schemas.microsoft.com/office/word/2010/wordprocessingShape">
                    <wps:wsp>
                      <wps:cNvCnPr>
                        <a:cxnSpLocks noChangeShapeType="1"/>
                      </wps:cNvCnPr>
                      <wps:spPr bwMode="auto">
                        <a:xfrm>
                          <a:off x="0" y="0"/>
                          <a:ext cx="5426075" cy="0"/>
                        </a:xfrm>
                        <a:prstGeom prst="straightConnector1">
                          <a:avLst/>
                        </a:prstGeom>
                        <a:noFill/>
                        <a:ln w="9525">
                          <a:solidFill>
                            <a:srgbClr val="000000"/>
                          </a:solidFill>
                          <a:round/>
                        </a:ln>
                      </wps:spPr>
                      <wps:bodyPr/>
                    </wps:wsp>
                  </a:graphicData>
                </a:graphic>
              </wp:anchor>
            </w:drawing>
          </mc:Choice>
          <mc:Fallback>
            <w:pict>
              <v:shape id="直接箭头连接符 7" o:spid="_x0000_s1026" o:spt="32" type="#_x0000_t32" style="position:absolute;left:0pt;margin-left:15pt;margin-top:7.7pt;height:0pt;width:427.25pt;z-index:251659264;mso-width-relative:page;mso-height-relative:page;" filled="f" stroked="t" coordsize="21600,21600" o:gfxdata="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L/d/WAAAACAEAAA8AAAAAAAAAAQAgAAAAIgAAAGRycy9kb3ducmV2&#10;LnhtbFBLAQIUABQAAAAIAIdO4kBk3Bf5/gEAAMcDAAAOAAAAAAAAAAEAIAAAACUBAABkcnMvZTJv&#10;RG9jLnhtbFBLBQYAAAAABgAGAFkBAACVBQAAAAA=&#10;">
                <v:fill on="f" focussize="0,0"/>
                <v:stroke color="#000000" joinstyle="round"/>
                <v:imagedata o:title=""/>
                <o:lock v:ext="edit" aspectratio="f"/>
              </v:shape>
            </w:pict>
          </mc:Fallback>
        </mc:AlternateContent>
      </w:r>
    </w:p>
    <w:p>
      <w:pPr>
        <w:spacing w:before="312" w:beforeLines="100" w:after="312" w:afterLines="100"/>
        <w:jc w:val="center"/>
        <w:rPr>
          <w:b/>
          <w:bCs/>
          <w:sz w:val="32"/>
          <w:szCs w:val="32"/>
        </w:rPr>
      </w:pPr>
    </w:p>
    <w:p>
      <w:pPr>
        <w:spacing w:before="312" w:beforeLines="100" w:after="312" w:afterLines="100"/>
        <w:jc w:val="center"/>
        <w:rPr>
          <w:b/>
          <w:bCs/>
          <w:sz w:val="32"/>
          <w:szCs w:val="32"/>
        </w:rPr>
      </w:pPr>
      <w:r>
        <w:rPr>
          <w:b/>
          <w:bCs/>
          <w:sz w:val="32"/>
          <w:szCs w:val="32"/>
        </w:rPr>
        <w:t>中国工程建设标准化协会标准</w:t>
      </w:r>
    </w:p>
    <w:p>
      <w:pPr>
        <w:spacing w:before="312" w:beforeLines="100" w:after="312" w:afterLines="100" w:line="360" w:lineRule="auto"/>
        <w:jc w:val="center"/>
        <w:rPr>
          <w:rFonts w:eastAsia="黑体"/>
          <w:b/>
          <w:bCs/>
          <w:sz w:val="48"/>
          <w:szCs w:val="48"/>
        </w:rPr>
      </w:pPr>
      <w:r>
        <w:rPr>
          <w:rFonts w:eastAsia="黑体"/>
          <w:b/>
          <w:bCs/>
          <w:sz w:val="48"/>
          <w:szCs w:val="48"/>
        </w:rPr>
        <w:t>装配式多层混凝土模壳砌体结构</w:t>
      </w:r>
    </w:p>
    <w:p>
      <w:pPr>
        <w:spacing w:before="312" w:beforeLines="100" w:after="312" w:afterLines="100" w:line="360" w:lineRule="auto"/>
        <w:jc w:val="center"/>
        <w:rPr>
          <w:rFonts w:eastAsia="黑体"/>
          <w:b/>
          <w:bCs/>
          <w:sz w:val="48"/>
          <w:szCs w:val="48"/>
        </w:rPr>
      </w:pPr>
      <w:r>
        <w:rPr>
          <w:rFonts w:eastAsia="黑体"/>
          <w:b/>
          <w:bCs/>
          <w:sz w:val="48"/>
          <w:szCs w:val="48"/>
        </w:rPr>
        <w:t>技术规程</w:t>
      </w:r>
    </w:p>
    <w:p>
      <w:pPr>
        <w:spacing w:before="156" w:beforeLines="50" w:after="156" w:afterLines="50" w:line="360" w:lineRule="auto"/>
        <w:ind w:left="850" w:leftChars="405" w:right="934" w:rightChars="445"/>
        <w:jc w:val="center"/>
        <w:rPr>
          <w:b/>
          <w:bCs/>
          <w:sz w:val="28"/>
          <w:szCs w:val="32"/>
        </w:rPr>
      </w:pPr>
      <w:r>
        <w:rPr>
          <w:b/>
          <w:bCs/>
          <w:sz w:val="28"/>
          <w:szCs w:val="32"/>
        </w:rPr>
        <w:t xml:space="preserve">Technical specification for precast multi-story </w:t>
      </w:r>
      <w:r>
        <w:rPr>
          <w:rFonts w:hint="eastAsia"/>
          <w:b/>
          <w:bCs/>
          <w:sz w:val="28"/>
          <w:szCs w:val="32"/>
        </w:rPr>
        <w:t xml:space="preserve">masonry </w:t>
      </w:r>
      <w:r>
        <w:rPr>
          <w:b/>
          <w:bCs/>
          <w:sz w:val="28"/>
          <w:szCs w:val="32"/>
        </w:rPr>
        <w:t xml:space="preserve">structures with concrete </w:t>
      </w:r>
      <w:r>
        <w:rPr>
          <w:rFonts w:hint="eastAsia"/>
          <w:b/>
          <w:bCs/>
          <w:sz w:val="28"/>
          <w:szCs w:val="32"/>
        </w:rPr>
        <w:t xml:space="preserve">mold shell </w:t>
      </w:r>
      <w:r>
        <w:rPr>
          <w:b/>
          <w:bCs/>
          <w:sz w:val="28"/>
          <w:szCs w:val="32"/>
        </w:rPr>
        <w:t>blocks</w:t>
      </w:r>
    </w:p>
    <w:p>
      <w:pPr>
        <w:spacing w:before="156" w:beforeLines="50" w:after="156" w:afterLines="50" w:line="360" w:lineRule="auto"/>
        <w:jc w:val="center"/>
        <w:rPr>
          <w:b/>
          <w:bCs/>
          <w:sz w:val="36"/>
          <w:szCs w:val="36"/>
        </w:rPr>
      </w:pPr>
    </w:p>
    <w:p>
      <w:pPr>
        <w:snapToGrid w:val="0"/>
        <w:spacing w:line="360" w:lineRule="auto"/>
        <w:jc w:val="center"/>
        <w:rPr>
          <w:b/>
          <w:bCs/>
          <w:sz w:val="28"/>
          <w:szCs w:val="36"/>
        </w:rPr>
      </w:pPr>
      <w:r>
        <w:rPr>
          <w:b/>
          <w:bCs/>
          <w:sz w:val="36"/>
          <w:szCs w:val="36"/>
        </w:rPr>
        <w:t>（</w:t>
      </w:r>
      <w:r>
        <w:rPr>
          <w:rFonts w:hint="eastAsia"/>
          <w:b/>
          <w:bCs/>
          <w:sz w:val="36"/>
          <w:szCs w:val="36"/>
        </w:rPr>
        <w:t>征求意见</w:t>
      </w:r>
      <w:r>
        <w:rPr>
          <w:b/>
          <w:bCs/>
          <w:sz w:val="36"/>
          <w:szCs w:val="36"/>
        </w:rPr>
        <w:t>稿）</w:t>
      </w:r>
    </w:p>
    <w:p>
      <w:pPr>
        <w:snapToGrid w:val="0"/>
        <w:spacing w:line="360" w:lineRule="auto"/>
        <w:jc w:val="center"/>
        <w:rPr>
          <w:b/>
          <w:bCs/>
          <w:sz w:val="28"/>
          <w:szCs w:val="36"/>
        </w:rPr>
      </w:pPr>
    </w:p>
    <w:p>
      <w:pPr>
        <w:snapToGrid w:val="0"/>
        <w:spacing w:line="360" w:lineRule="auto"/>
        <w:jc w:val="center"/>
        <w:rPr>
          <w:b/>
          <w:bCs/>
          <w:sz w:val="28"/>
          <w:szCs w:val="36"/>
        </w:rPr>
      </w:pPr>
    </w:p>
    <w:p>
      <w:pPr>
        <w:snapToGrid w:val="0"/>
        <w:spacing w:line="360" w:lineRule="auto"/>
        <w:jc w:val="center"/>
        <w:rPr>
          <w:b/>
          <w:bCs/>
          <w:sz w:val="28"/>
          <w:szCs w:val="36"/>
        </w:rPr>
      </w:pPr>
    </w:p>
    <w:p>
      <w:pPr>
        <w:snapToGrid w:val="0"/>
        <w:spacing w:line="360" w:lineRule="auto"/>
        <w:jc w:val="center"/>
        <w:rPr>
          <w:b/>
          <w:bCs/>
          <w:sz w:val="28"/>
          <w:szCs w:val="36"/>
        </w:rPr>
      </w:pPr>
    </w:p>
    <w:p>
      <w:pPr>
        <w:snapToGrid w:val="0"/>
        <w:spacing w:line="360" w:lineRule="auto"/>
        <w:jc w:val="center"/>
        <w:rPr>
          <w:b/>
          <w:bCs/>
          <w:sz w:val="28"/>
          <w:szCs w:val="36"/>
        </w:rPr>
      </w:pPr>
    </w:p>
    <w:p>
      <w:pPr>
        <w:snapToGrid w:val="0"/>
        <w:spacing w:line="360" w:lineRule="auto"/>
        <w:jc w:val="center"/>
        <w:rPr>
          <w:b/>
          <w:bCs/>
          <w:sz w:val="28"/>
          <w:szCs w:val="36"/>
        </w:rPr>
      </w:pPr>
    </w:p>
    <w:p>
      <w:pPr>
        <w:jc w:val="center"/>
        <w:rPr>
          <w:b/>
          <w:bCs/>
          <w:sz w:val="28"/>
          <w:szCs w:val="30"/>
        </w:rPr>
      </w:pPr>
      <w:r>
        <w:rPr>
          <w:b/>
          <w:bCs/>
          <w:sz w:val="28"/>
          <w:szCs w:val="30"/>
        </w:rPr>
        <w:t>xxx出版社</w:t>
      </w:r>
      <w:r>
        <w:rPr>
          <w:b/>
          <w:bCs/>
          <w:sz w:val="36"/>
          <w:szCs w:val="36"/>
        </w:rPr>
        <w:br w:type="page"/>
      </w:r>
    </w:p>
    <w:p>
      <w:pPr>
        <w:spacing w:before="312" w:beforeLines="100" w:after="312" w:afterLines="100"/>
        <w:jc w:val="center"/>
        <w:rPr>
          <w:b/>
          <w:bCs/>
          <w:sz w:val="36"/>
          <w:szCs w:val="36"/>
        </w:rPr>
      </w:pPr>
    </w:p>
    <w:p>
      <w:pPr>
        <w:spacing w:before="312" w:beforeLines="100" w:after="312" w:afterLines="100"/>
        <w:jc w:val="center"/>
        <w:rPr>
          <w:rFonts w:eastAsia="黑体"/>
          <w:bCs/>
          <w:sz w:val="32"/>
          <w:szCs w:val="32"/>
        </w:rPr>
      </w:pPr>
      <w:r>
        <w:rPr>
          <w:rFonts w:eastAsia="黑体"/>
          <w:bCs/>
          <w:sz w:val="32"/>
          <w:szCs w:val="32"/>
        </w:rPr>
        <w:t>中国工程建设标准化协会标准</w:t>
      </w:r>
    </w:p>
    <w:p>
      <w:pPr>
        <w:spacing w:before="312" w:beforeLines="100" w:after="312" w:afterLines="100" w:line="360" w:lineRule="auto"/>
        <w:jc w:val="center"/>
        <w:rPr>
          <w:b/>
          <w:bCs/>
          <w:sz w:val="48"/>
          <w:szCs w:val="48"/>
        </w:rPr>
      </w:pPr>
      <w:bookmarkStart w:id="4" w:name="_Hlk113460183"/>
      <w:r>
        <w:rPr>
          <w:b/>
          <w:bCs/>
          <w:sz w:val="48"/>
          <w:szCs w:val="48"/>
        </w:rPr>
        <w:t>装配式多层混凝土模壳砌体结构</w:t>
      </w:r>
    </w:p>
    <w:p>
      <w:pPr>
        <w:spacing w:before="312" w:beforeLines="100" w:after="312" w:afterLines="100" w:line="360" w:lineRule="auto"/>
        <w:jc w:val="center"/>
        <w:rPr>
          <w:b/>
          <w:bCs/>
          <w:sz w:val="48"/>
          <w:szCs w:val="48"/>
        </w:rPr>
      </w:pPr>
      <w:r>
        <w:rPr>
          <w:b/>
          <w:bCs/>
          <w:sz w:val="48"/>
          <w:szCs w:val="48"/>
        </w:rPr>
        <w:t>技术规程</w:t>
      </w:r>
      <w:bookmarkEnd w:id="4"/>
    </w:p>
    <w:p>
      <w:pPr>
        <w:spacing w:before="156" w:beforeLines="50" w:after="156" w:afterLines="50" w:line="360" w:lineRule="auto"/>
        <w:ind w:left="850" w:leftChars="405" w:right="934" w:rightChars="445"/>
        <w:jc w:val="center"/>
        <w:rPr>
          <w:b/>
          <w:bCs/>
          <w:sz w:val="28"/>
          <w:szCs w:val="32"/>
        </w:rPr>
      </w:pPr>
      <w:r>
        <w:rPr>
          <w:b/>
          <w:bCs/>
          <w:sz w:val="28"/>
          <w:szCs w:val="32"/>
        </w:rPr>
        <w:t xml:space="preserve">Technical specification for precast multi-story </w:t>
      </w:r>
      <w:r>
        <w:rPr>
          <w:rFonts w:hint="eastAsia"/>
          <w:b/>
          <w:bCs/>
          <w:sz w:val="28"/>
          <w:szCs w:val="32"/>
        </w:rPr>
        <w:t xml:space="preserve">masonry </w:t>
      </w:r>
      <w:r>
        <w:rPr>
          <w:b/>
          <w:bCs/>
          <w:sz w:val="28"/>
          <w:szCs w:val="32"/>
        </w:rPr>
        <w:t xml:space="preserve">structures with concrete </w:t>
      </w:r>
      <w:r>
        <w:rPr>
          <w:rFonts w:hint="eastAsia"/>
          <w:b/>
          <w:bCs/>
          <w:sz w:val="28"/>
          <w:szCs w:val="32"/>
        </w:rPr>
        <w:t xml:space="preserve">mold shell </w:t>
      </w:r>
      <w:r>
        <w:rPr>
          <w:b/>
          <w:bCs/>
          <w:sz w:val="28"/>
          <w:szCs w:val="32"/>
        </w:rPr>
        <w:t>blocks</w:t>
      </w:r>
    </w:p>
    <w:p>
      <w:pPr>
        <w:spacing w:before="156" w:beforeLines="50" w:after="156" w:afterLines="50"/>
        <w:jc w:val="center"/>
        <w:rPr>
          <w:b/>
          <w:bCs/>
          <w:sz w:val="20"/>
          <w:szCs w:val="32"/>
        </w:rPr>
      </w:pPr>
    </w:p>
    <w:p>
      <w:pPr>
        <w:spacing w:before="156" w:beforeLines="50" w:after="156" w:afterLines="50" w:line="360" w:lineRule="auto"/>
        <w:jc w:val="center"/>
        <w:rPr>
          <w:b/>
          <w:bCs/>
          <w:sz w:val="28"/>
          <w:szCs w:val="36"/>
        </w:rPr>
      </w:pPr>
      <w:r>
        <w:rPr>
          <w:b/>
          <w:bCs/>
          <w:sz w:val="28"/>
          <w:szCs w:val="36"/>
        </w:rPr>
        <w:t>T/CECS xxx-202x</w:t>
      </w:r>
    </w:p>
    <w:p>
      <w:pPr>
        <w:jc w:val="center"/>
        <w:rPr>
          <w:b/>
          <w:bCs/>
          <w:sz w:val="30"/>
          <w:szCs w:val="30"/>
        </w:rPr>
      </w:pPr>
      <w:r>
        <w:rPr>
          <w:b/>
          <w:bCs/>
          <w:sz w:val="36"/>
          <w:szCs w:val="36"/>
        </w:rPr>
        <w:t>（</w:t>
      </w:r>
      <w:r>
        <w:rPr>
          <w:rFonts w:hint="eastAsia"/>
          <w:b/>
          <w:bCs/>
          <w:sz w:val="36"/>
          <w:szCs w:val="36"/>
        </w:rPr>
        <w:t>征求意见</w:t>
      </w:r>
      <w:r>
        <w:rPr>
          <w:b/>
          <w:bCs/>
          <w:sz w:val="36"/>
          <w:szCs w:val="36"/>
        </w:rPr>
        <w:t>稿）</w:t>
      </w:r>
    </w:p>
    <w:p>
      <w:pPr>
        <w:jc w:val="center"/>
        <w:rPr>
          <w:b/>
          <w:bCs/>
          <w:sz w:val="30"/>
          <w:szCs w:val="30"/>
        </w:rPr>
      </w:pPr>
    </w:p>
    <w:p>
      <w:pPr>
        <w:jc w:val="center"/>
        <w:rPr>
          <w:b/>
          <w:bCs/>
          <w:sz w:val="30"/>
          <w:szCs w:val="30"/>
        </w:rPr>
      </w:pPr>
    </w:p>
    <w:p/>
    <w:p/>
    <w:p>
      <w:pPr>
        <w:ind w:left="1680" w:leftChars="800"/>
        <w:jc w:val="left"/>
        <w:rPr>
          <w:b/>
          <w:bCs/>
          <w:sz w:val="28"/>
          <w:szCs w:val="30"/>
        </w:rPr>
      </w:pPr>
      <w:bookmarkStart w:id="5" w:name="_Toc375993540"/>
      <w:bookmarkStart w:id="6" w:name="_Toc375993696"/>
      <w:bookmarkStart w:id="7" w:name="_Toc371095592"/>
      <w:bookmarkStart w:id="8" w:name="_Toc370997579"/>
      <w:bookmarkStart w:id="9" w:name="_Toc371095474"/>
      <w:bookmarkStart w:id="10" w:name="_Toc370997664"/>
      <w:r>
        <w:rPr>
          <w:b/>
          <w:bCs/>
          <w:sz w:val="28"/>
          <w:szCs w:val="30"/>
        </w:rPr>
        <w:t>主编单位：</w:t>
      </w:r>
      <w:bookmarkEnd w:id="5"/>
      <w:bookmarkEnd w:id="6"/>
      <w:bookmarkEnd w:id="7"/>
      <w:bookmarkEnd w:id="8"/>
      <w:bookmarkEnd w:id="9"/>
      <w:bookmarkEnd w:id="10"/>
    </w:p>
    <w:p>
      <w:pPr>
        <w:ind w:left="1680" w:leftChars="800"/>
        <w:jc w:val="left"/>
        <w:rPr>
          <w:b/>
          <w:bCs/>
          <w:sz w:val="28"/>
          <w:szCs w:val="30"/>
        </w:rPr>
      </w:pPr>
      <w:bookmarkStart w:id="11" w:name="_Toc370997665"/>
      <w:bookmarkStart w:id="12" w:name="_Toc371095593"/>
      <w:bookmarkStart w:id="13" w:name="_Toc375993541"/>
      <w:bookmarkStart w:id="14" w:name="_Toc375993697"/>
      <w:bookmarkStart w:id="15" w:name="_Toc370997580"/>
      <w:bookmarkStart w:id="16" w:name="_Toc371095475"/>
      <w:r>
        <w:rPr>
          <w:b/>
          <w:bCs/>
          <w:sz w:val="28"/>
          <w:szCs w:val="30"/>
        </w:rPr>
        <w:t>批准单位：中国工程建设标准化协会</w:t>
      </w:r>
      <w:bookmarkEnd w:id="11"/>
      <w:bookmarkEnd w:id="12"/>
      <w:bookmarkEnd w:id="13"/>
      <w:bookmarkEnd w:id="14"/>
      <w:bookmarkEnd w:id="15"/>
      <w:bookmarkEnd w:id="16"/>
    </w:p>
    <w:p>
      <w:pPr>
        <w:ind w:left="1680" w:leftChars="800"/>
        <w:jc w:val="left"/>
        <w:rPr>
          <w:sz w:val="28"/>
          <w:szCs w:val="30"/>
        </w:rPr>
      </w:pPr>
      <w:bookmarkStart w:id="17" w:name="_Toc375993698"/>
      <w:bookmarkStart w:id="18" w:name="_Toc370997581"/>
      <w:bookmarkStart w:id="19" w:name="_Toc375993542"/>
      <w:bookmarkStart w:id="20" w:name="_Toc371095476"/>
      <w:bookmarkStart w:id="21" w:name="_Toc370997666"/>
      <w:bookmarkStart w:id="22" w:name="_Toc371095594"/>
      <w:r>
        <w:rPr>
          <w:b/>
          <w:bCs/>
          <w:sz w:val="28"/>
          <w:szCs w:val="30"/>
        </w:rPr>
        <w:t>施行日期：202x年x月x日</w:t>
      </w:r>
      <w:bookmarkEnd w:id="17"/>
      <w:bookmarkEnd w:id="18"/>
      <w:bookmarkEnd w:id="19"/>
      <w:bookmarkEnd w:id="20"/>
      <w:bookmarkEnd w:id="21"/>
      <w:bookmarkEnd w:id="22"/>
    </w:p>
    <w:p>
      <w:pPr>
        <w:jc w:val="center"/>
        <w:rPr>
          <w:b/>
          <w:bCs/>
          <w:sz w:val="30"/>
          <w:szCs w:val="30"/>
        </w:rPr>
      </w:pPr>
      <w:bookmarkStart w:id="23" w:name="_Toc375993699"/>
      <w:bookmarkStart w:id="24" w:name="_Toc370997582"/>
      <w:bookmarkStart w:id="25" w:name="_Toc375993543"/>
      <w:bookmarkStart w:id="26" w:name="_Toc371095595"/>
      <w:bookmarkStart w:id="27" w:name="_Toc370997667"/>
      <w:bookmarkStart w:id="28" w:name="_Toc371095477"/>
    </w:p>
    <w:p>
      <w:pPr>
        <w:jc w:val="center"/>
        <w:rPr>
          <w:b/>
          <w:bCs/>
          <w:sz w:val="30"/>
          <w:szCs w:val="30"/>
        </w:rPr>
      </w:pPr>
    </w:p>
    <w:p>
      <w:pPr>
        <w:jc w:val="center"/>
        <w:rPr>
          <w:b/>
          <w:bCs/>
          <w:sz w:val="28"/>
          <w:szCs w:val="30"/>
        </w:rPr>
      </w:pPr>
      <w:r>
        <w:rPr>
          <w:b/>
          <w:bCs/>
          <w:sz w:val="28"/>
          <w:szCs w:val="30"/>
        </w:rPr>
        <w:t>xx出版社</w:t>
      </w:r>
      <w:bookmarkEnd w:id="23"/>
      <w:bookmarkEnd w:id="24"/>
      <w:bookmarkEnd w:id="25"/>
      <w:bookmarkEnd w:id="26"/>
      <w:bookmarkEnd w:id="27"/>
      <w:bookmarkEnd w:id="28"/>
    </w:p>
    <w:p>
      <w:pPr>
        <w:jc w:val="center"/>
        <w:rPr>
          <w:b/>
          <w:bCs/>
          <w:sz w:val="28"/>
          <w:szCs w:val="30"/>
        </w:rPr>
      </w:pPr>
      <w:bookmarkStart w:id="29" w:name="_Toc375993544"/>
      <w:bookmarkStart w:id="30" w:name="_Toc375993700"/>
      <w:bookmarkStart w:id="31" w:name="_Toc371095596"/>
      <w:bookmarkStart w:id="32" w:name="_Toc371095478"/>
      <w:bookmarkStart w:id="33" w:name="_Toc370997668"/>
      <w:bookmarkStart w:id="34" w:name="_Toc370997583"/>
      <w:r>
        <w:rPr>
          <w:b/>
          <w:bCs/>
          <w:sz w:val="28"/>
          <w:szCs w:val="30"/>
        </w:rPr>
        <w:t>202x　北　　京</w:t>
      </w:r>
      <w:bookmarkEnd w:id="29"/>
      <w:bookmarkEnd w:id="30"/>
      <w:bookmarkEnd w:id="31"/>
      <w:bookmarkEnd w:id="32"/>
      <w:bookmarkEnd w:id="33"/>
      <w:bookmarkEnd w:id="34"/>
    </w:p>
    <w:p>
      <w:pPr>
        <w:adjustRightInd w:val="0"/>
        <w:snapToGrid w:val="0"/>
        <w:spacing w:line="360" w:lineRule="auto"/>
        <w:jc w:val="center"/>
        <w:rPr>
          <w:b/>
          <w:bCs/>
          <w:sz w:val="30"/>
          <w:szCs w:val="30"/>
        </w:rPr>
      </w:pPr>
    </w:p>
    <w:p>
      <w:pPr>
        <w:adjustRightInd w:val="0"/>
        <w:snapToGrid w:val="0"/>
        <w:spacing w:line="360" w:lineRule="auto"/>
        <w:jc w:val="center"/>
        <w:rPr>
          <w:sz w:val="32"/>
          <w:szCs w:val="28"/>
        </w:rPr>
      </w:pPr>
    </w:p>
    <w:p>
      <w:pPr>
        <w:adjustRightInd w:val="0"/>
        <w:snapToGrid w:val="0"/>
        <w:spacing w:line="360" w:lineRule="auto"/>
        <w:jc w:val="center"/>
        <w:rPr>
          <w:rFonts w:eastAsia="黑体"/>
          <w:sz w:val="32"/>
          <w:szCs w:val="28"/>
        </w:rPr>
      </w:pPr>
      <w:r>
        <w:rPr>
          <w:sz w:val="32"/>
          <w:szCs w:val="28"/>
        </w:rPr>
        <w:t>前　　言</w:t>
      </w:r>
    </w:p>
    <w:p>
      <w:pPr>
        <w:adjustRightInd w:val="0"/>
        <w:snapToGrid w:val="0"/>
        <w:spacing w:line="360" w:lineRule="auto"/>
        <w:ind w:firstLine="480" w:firstLineChars="200"/>
        <w:rPr>
          <w:rFonts w:eastAsiaTheme="minorEastAsia"/>
          <w:sz w:val="24"/>
        </w:rPr>
      </w:pPr>
    </w:p>
    <w:p>
      <w:pPr>
        <w:adjustRightInd w:val="0"/>
        <w:snapToGrid w:val="0"/>
        <w:spacing w:line="360" w:lineRule="auto"/>
        <w:ind w:firstLine="480" w:firstLineChars="200"/>
        <w:rPr>
          <w:rFonts w:eastAsiaTheme="minorEastAsia"/>
          <w:sz w:val="24"/>
        </w:rPr>
      </w:pPr>
      <w:r>
        <w:rPr>
          <w:rFonts w:eastAsiaTheme="minorEastAsia"/>
          <w:sz w:val="24"/>
        </w:rPr>
        <w:t>根据中国工程建设标准化协会《关于印发〈2022年第二批协会标准制订、修订计划〉的通知》（建标协字〔2022〕40号）的要求，编制组经深入调查研究，认真总结实践经验，参考国内外先进标准，并在广泛征求意见的基础上，制定本规程。</w:t>
      </w:r>
    </w:p>
    <w:p>
      <w:pPr>
        <w:adjustRightInd w:val="0"/>
        <w:snapToGrid w:val="0"/>
        <w:spacing w:line="360" w:lineRule="auto"/>
        <w:ind w:firstLine="480" w:firstLineChars="200"/>
        <w:rPr>
          <w:rFonts w:eastAsiaTheme="minorEastAsia"/>
          <w:sz w:val="24"/>
        </w:rPr>
      </w:pPr>
      <w:r>
        <w:rPr>
          <w:rFonts w:eastAsiaTheme="minorEastAsia"/>
          <w:sz w:val="24"/>
        </w:rPr>
        <w:t>本规程</w:t>
      </w:r>
      <w:r>
        <w:rPr>
          <w:rFonts w:hint="eastAsia" w:eastAsiaTheme="minorEastAsia"/>
          <w:sz w:val="24"/>
        </w:rPr>
        <w:t>共分</w:t>
      </w:r>
      <w:r>
        <w:rPr>
          <w:rFonts w:eastAsiaTheme="minorEastAsia"/>
          <w:sz w:val="24"/>
        </w:rPr>
        <w:t>7</w:t>
      </w:r>
      <w:r>
        <w:rPr>
          <w:rFonts w:hint="eastAsia" w:eastAsiaTheme="minorEastAsia"/>
          <w:sz w:val="24"/>
        </w:rPr>
        <w:t>章和1个附录，</w:t>
      </w:r>
      <w:r>
        <w:rPr>
          <w:rFonts w:eastAsiaTheme="minorEastAsia"/>
          <w:sz w:val="24"/>
        </w:rPr>
        <w:t>主要技术内容包括：总则、术语和符号、材料、建筑设计、结构设计、</w:t>
      </w:r>
      <w:r>
        <w:rPr>
          <w:rFonts w:hint="eastAsia" w:eastAsiaTheme="minorEastAsia"/>
          <w:sz w:val="24"/>
        </w:rPr>
        <w:t>模壳砌块制作与运输、</w:t>
      </w:r>
      <w:r>
        <w:rPr>
          <w:rFonts w:eastAsiaTheme="minorEastAsia"/>
          <w:sz w:val="24"/>
        </w:rPr>
        <w:t>施工与验收</w:t>
      </w:r>
      <w:r>
        <w:rPr>
          <w:rFonts w:hint="eastAsia" w:eastAsiaTheme="minorEastAsia"/>
          <w:sz w:val="24"/>
        </w:rPr>
        <w:t>等</w:t>
      </w:r>
      <w:r>
        <w:rPr>
          <w:rFonts w:eastAsiaTheme="minorEastAsia"/>
          <w:sz w:val="24"/>
        </w:rPr>
        <w:t>。</w:t>
      </w:r>
    </w:p>
    <w:p>
      <w:pPr>
        <w:adjustRightInd w:val="0"/>
        <w:snapToGrid w:val="0"/>
        <w:spacing w:line="360" w:lineRule="auto"/>
        <w:ind w:firstLine="480" w:firstLineChars="200"/>
        <w:rPr>
          <w:rFonts w:eastAsiaTheme="minorEastAsia"/>
          <w:sz w:val="24"/>
        </w:rPr>
      </w:pPr>
      <w:r>
        <w:rPr>
          <w:rFonts w:eastAsiaTheme="minorEastAsia"/>
          <w:sz w:val="24"/>
        </w:rPr>
        <w:t>本规程某些内容可能涉及混凝土模壳砌体结构、模壳砌块</w:t>
      </w:r>
      <w:r>
        <w:rPr>
          <w:rFonts w:hint="eastAsia" w:eastAsiaTheme="minorEastAsia"/>
          <w:sz w:val="24"/>
        </w:rPr>
        <w:t>墙体</w:t>
      </w:r>
      <w:r>
        <w:rPr>
          <w:rFonts w:eastAsiaTheme="minorEastAsia"/>
          <w:sz w:val="24"/>
        </w:rPr>
        <w:t>、模壳砌块基础相关专利</w:t>
      </w:r>
      <w:r>
        <w:rPr>
          <w:rFonts w:ascii="宋体" w:hAnsi="宋体"/>
          <w:sz w:val="24"/>
        </w:rPr>
        <w:t>“基于条形基础的模壳</w:t>
      </w:r>
      <w:r>
        <w:rPr>
          <w:rFonts w:hint="eastAsia" w:ascii="宋体" w:hAnsi="宋体"/>
          <w:sz w:val="24"/>
        </w:rPr>
        <w:t>砖</w:t>
      </w:r>
      <w:r>
        <w:rPr>
          <w:rFonts w:ascii="宋体" w:hAnsi="宋体"/>
          <w:sz w:val="24"/>
        </w:rPr>
        <w:t>基础”</w:t>
      </w:r>
      <w:r>
        <w:rPr>
          <w:rFonts w:eastAsiaTheme="minorEastAsia"/>
          <w:sz w:val="24"/>
        </w:rPr>
        <w:t>（专利号：</w:t>
      </w:r>
      <w:bookmarkStart w:id="35" w:name="OLE_LINK1"/>
      <w:r>
        <w:rPr>
          <w:rFonts w:eastAsiaTheme="minorEastAsia"/>
          <w:sz w:val="24"/>
        </w:rPr>
        <w:t>ZL202021523187.0</w:t>
      </w:r>
      <w:bookmarkEnd w:id="35"/>
      <w:r>
        <w:rPr>
          <w:rFonts w:eastAsiaTheme="minorEastAsia"/>
          <w:sz w:val="24"/>
        </w:rPr>
        <w:t>）、</w:t>
      </w:r>
      <w:r>
        <w:rPr>
          <w:rFonts w:ascii="宋体" w:hAnsi="宋体"/>
          <w:sz w:val="24"/>
        </w:rPr>
        <w:t>“</w:t>
      </w:r>
      <w:bookmarkStart w:id="36" w:name="OLE_LINK2"/>
      <w:r>
        <w:rPr>
          <w:rFonts w:ascii="宋体" w:hAnsi="宋体"/>
          <w:sz w:val="24"/>
        </w:rPr>
        <w:t>一种用于连接模壳柱和墙板的连接节点</w:t>
      </w:r>
      <w:bookmarkEnd w:id="36"/>
      <w:r>
        <w:rPr>
          <w:rFonts w:ascii="宋体" w:hAnsi="宋体"/>
          <w:sz w:val="24"/>
        </w:rPr>
        <w:t>”</w:t>
      </w:r>
      <w:r>
        <w:rPr>
          <w:rFonts w:eastAsiaTheme="minorEastAsia"/>
          <w:sz w:val="24"/>
        </w:rPr>
        <w:t>（专利号：ZL202120503784.5）、</w:t>
      </w:r>
      <w:r>
        <w:rPr>
          <w:rFonts w:ascii="宋体" w:hAnsi="宋体"/>
          <w:sz w:val="24"/>
        </w:rPr>
        <w:t>“一种拼装式模壳墙板”</w:t>
      </w:r>
      <w:r>
        <w:rPr>
          <w:rFonts w:eastAsiaTheme="minorEastAsia"/>
          <w:sz w:val="24"/>
        </w:rPr>
        <w:t>（专利</w:t>
      </w:r>
      <w:r>
        <w:rPr>
          <w:rFonts w:hint="eastAsia" w:eastAsiaTheme="minorEastAsia"/>
          <w:sz w:val="24"/>
        </w:rPr>
        <w:t>申请</w:t>
      </w:r>
      <w:r>
        <w:rPr>
          <w:rFonts w:eastAsiaTheme="minorEastAsia"/>
          <w:sz w:val="24"/>
        </w:rPr>
        <w:t>号</w:t>
      </w:r>
      <w:r>
        <w:rPr>
          <w:rFonts w:hint="eastAsia" w:eastAsiaTheme="minorEastAsia"/>
          <w:sz w:val="24"/>
        </w:rPr>
        <w:t>：</w:t>
      </w:r>
      <w:r>
        <w:rPr>
          <w:rFonts w:eastAsiaTheme="minorEastAsia"/>
          <w:sz w:val="24"/>
        </w:rPr>
        <w:t>CN202110258688.3）的使用。涉及专利的具体技术问题，使用者可直接与专利持有人（江苏万融工程科技有限公司）协商处理。除上述专利外，本规程的某些内容仍可能涉及专利，本规程的发布机构不承担识别这些专利的责任。</w:t>
      </w:r>
    </w:p>
    <w:p>
      <w:pPr>
        <w:adjustRightInd w:val="0"/>
        <w:snapToGrid w:val="0"/>
        <w:spacing w:line="360" w:lineRule="auto"/>
        <w:ind w:left="105" w:leftChars="50" w:firstLine="360" w:firstLineChars="150"/>
        <w:rPr>
          <w:rFonts w:eastAsiaTheme="minorEastAsia"/>
          <w:sz w:val="24"/>
        </w:rPr>
      </w:pPr>
      <w:r>
        <w:rPr>
          <w:rFonts w:eastAsiaTheme="minorEastAsia"/>
          <w:sz w:val="24"/>
        </w:rPr>
        <w:t>本规程由中国工程建设标准化协会</w:t>
      </w:r>
      <w:r>
        <w:rPr>
          <w:rFonts w:hint="eastAsia" w:eastAsiaTheme="minorEastAsia"/>
          <w:sz w:val="24"/>
        </w:rPr>
        <w:t>建筑材料分会</w:t>
      </w:r>
      <w:r>
        <w:rPr>
          <w:rFonts w:eastAsiaTheme="minorEastAsia"/>
          <w:sz w:val="24"/>
        </w:rPr>
        <w:t>归口管理，由</w:t>
      </w:r>
      <w:r>
        <w:rPr>
          <w:rFonts w:eastAsiaTheme="minorEastAsia"/>
          <w:sz w:val="24"/>
          <w:szCs w:val="24"/>
        </w:rPr>
        <w:t>江苏万融工程科技有限公司</w:t>
      </w:r>
      <w:r>
        <w:rPr>
          <w:rFonts w:eastAsiaTheme="minorEastAsia"/>
          <w:sz w:val="24"/>
        </w:rPr>
        <w:t>负责具体技术内容的解释。</w:t>
      </w:r>
      <w:r>
        <w:rPr>
          <w:rFonts w:hint="eastAsia" w:eastAsiaTheme="minorEastAsia"/>
          <w:sz w:val="24"/>
        </w:rPr>
        <w:t>实施</w:t>
      </w:r>
      <w:r>
        <w:rPr>
          <w:rFonts w:eastAsiaTheme="minorEastAsia"/>
          <w:sz w:val="24"/>
        </w:rPr>
        <w:t>过程中如有意见或建议，请反馈</w:t>
      </w:r>
      <w:r>
        <w:rPr>
          <w:rFonts w:hint="eastAsia" w:eastAsiaTheme="minorEastAsia"/>
          <w:sz w:val="24"/>
        </w:rPr>
        <w:t>至</w:t>
      </w:r>
      <w:r>
        <w:rPr>
          <w:rFonts w:eastAsiaTheme="minorEastAsia"/>
          <w:sz w:val="24"/>
          <w:szCs w:val="24"/>
        </w:rPr>
        <w:t>江苏万融工程科技有限公司</w:t>
      </w:r>
      <w:r>
        <w:rPr>
          <w:rFonts w:eastAsiaTheme="minorEastAsia"/>
          <w:sz w:val="24"/>
        </w:rPr>
        <w:t>（地址：江苏省徐州市鼓楼区广山路1号香山物流综合办公楼，邮编：210009，邮箱：jiangsuwanrong@126.com）。</w:t>
      </w:r>
    </w:p>
    <w:p>
      <w:pPr>
        <w:adjustRightInd w:val="0"/>
        <w:snapToGrid w:val="0"/>
        <w:spacing w:line="360" w:lineRule="auto"/>
        <w:ind w:firstLine="560" w:firstLineChars="200"/>
        <w:rPr>
          <w:rFonts w:eastAsiaTheme="minorEastAsia"/>
          <w:sz w:val="24"/>
          <w:szCs w:val="24"/>
        </w:rPr>
      </w:pPr>
      <w:r>
        <w:rPr>
          <w:rFonts w:eastAsia="黑体"/>
          <w:snapToGrid w:val="0"/>
          <w:spacing w:val="20"/>
          <w:kern w:val="0"/>
          <w:sz w:val="24"/>
        </w:rPr>
        <w:t>主编单位</w:t>
      </w:r>
      <w:r>
        <w:rPr>
          <w:rFonts w:eastAsia="黑体"/>
          <w:sz w:val="24"/>
        </w:rPr>
        <w:t>：</w:t>
      </w:r>
      <w:r>
        <w:rPr>
          <w:rFonts w:eastAsiaTheme="minorEastAsia"/>
          <w:sz w:val="24"/>
          <w:szCs w:val="24"/>
        </w:rPr>
        <w:t>江苏万融工程科技有限公司</w:t>
      </w:r>
    </w:p>
    <w:p>
      <w:pPr>
        <w:adjustRightInd w:val="0"/>
        <w:snapToGrid w:val="0"/>
        <w:spacing w:line="360" w:lineRule="auto"/>
        <w:ind w:firstLine="1800" w:firstLineChars="750"/>
        <w:rPr>
          <w:rFonts w:eastAsiaTheme="minorEastAsia"/>
          <w:sz w:val="24"/>
          <w:szCs w:val="24"/>
        </w:rPr>
      </w:pPr>
      <w:r>
        <w:rPr>
          <w:rFonts w:eastAsiaTheme="minorEastAsia"/>
          <w:sz w:val="24"/>
          <w:szCs w:val="24"/>
        </w:rPr>
        <w:t>中国建筑材料工业规划研究院</w:t>
      </w:r>
    </w:p>
    <w:p>
      <w:pPr>
        <w:adjustRightInd w:val="0"/>
        <w:snapToGrid w:val="0"/>
        <w:spacing w:line="360" w:lineRule="auto"/>
        <w:ind w:firstLine="560" w:firstLineChars="200"/>
        <w:rPr>
          <w:rFonts w:eastAsiaTheme="minorEastAsia"/>
          <w:sz w:val="24"/>
          <w:szCs w:val="24"/>
        </w:rPr>
      </w:pPr>
      <w:r>
        <w:rPr>
          <w:rFonts w:eastAsia="黑体"/>
          <w:snapToGrid w:val="0"/>
          <w:spacing w:val="20"/>
          <w:kern w:val="0"/>
          <w:sz w:val="24"/>
        </w:rPr>
        <w:t>参编单位</w:t>
      </w:r>
      <w:r>
        <w:rPr>
          <w:rFonts w:eastAsia="黑体"/>
          <w:sz w:val="24"/>
        </w:rPr>
        <w:t>：</w:t>
      </w:r>
    </w:p>
    <w:p>
      <w:pPr>
        <w:adjustRightInd w:val="0"/>
        <w:snapToGrid w:val="0"/>
        <w:spacing w:line="360" w:lineRule="auto"/>
        <w:ind w:firstLine="1785" w:firstLineChars="850"/>
      </w:pPr>
    </w:p>
    <w:p>
      <w:pPr>
        <w:snapToGrid w:val="0"/>
        <w:spacing w:line="360" w:lineRule="auto"/>
        <w:ind w:left="1935" w:leftChars="246" w:right="-57" w:rightChars="-27" w:hanging="1418" w:hangingChars="591"/>
        <w:rPr>
          <w:rFonts w:eastAsia="黑体"/>
          <w:sz w:val="24"/>
        </w:rPr>
      </w:pPr>
      <w:r>
        <w:rPr>
          <w:rFonts w:eastAsia="黑体"/>
          <w:sz w:val="24"/>
        </w:rPr>
        <w:t>主要起草人：</w:t>
      </w:r>
    </w:p>
    <w:p>
      <w:pPr>
        <w:pStyle w:val="2"/>
      </w:pPr>
    </w:p>
    <w:p>
      <w:pPr>
        <w:snapToGrid w:val="0"/>
        <w:spacing w:line="360" w:lineRule="auto"/>
        <w:ind w:left="1935" w:leftChars="246" w:right="-57" w:rightChars="-27" w:hanging="1418" w:hangingChars="591"/>
        <w:rPr>
          <w:rFonts w:eastAsiaTheme="minorEastAsia"/>
          <w:sz w:val="24"/>
          <w:szCs w:val="24"/>
        </w:rPr>
      </w:pPr>
      <w:r>
        <w:rPr>
          <w:rFonts w:eastAsia="黑体"/>
          <w:sz w:val="24"/>
        </w:rPr>
        <w:t>主要审查人：</w:t>
      </w:r>
    </w:p>
    <w:p>
      <w:pPr>
        <w:adjustRightInd w:val="0"/>
        <w:snapToGrid w:val="0"/>
        <w:spacing w:line="360" w:lineRule="auto"/>
        <w:jc w:val="center"/>
        <w:rPr>
          <w:rFonts w:eastAsiaTheme="minorEastAsia"/>
          <w:sz w:val="30"/>
          <w:szCs w:val="30"/>
        </w:rPr>
      </w:pPr>
    </w:p>
    <w:p>
      <w:pPr>
        <w:adjustRightInd w:val="0"/>
        <w:snapToGrid w:val="0"/>
        <w:spacing w:line="360" w:lineRule="auto"/>
        <w:jc w:val="left"/>
        <w:rPr>
          <w:rFonts w:eastAsiaTheme="minorEastAsia"/>
          <w:sz w:val="30"/>
          <w:szCs w:val="30"/>
        </w:rPr>
        <w:sectPr>
          <w:footerReference r:id="rId3" w:type="default"/>
          <w:pgSz w:w="11907" w:h="16839"/>
          <w:pgMar w:top="1440" w:right="1800" w:bottom="1440" w:left="1800" w:header="851" w:footer="992" w:gutter="0"/>
          <w:pgNumType w:start="1"/>
          <w:cols w:space="425" w:num="1"/>
          <w:titlePg/>
          <w:docGrid w:type="lines" w:linePitch="312" w:charSpace="0"/>
        </w:sectPr>
      </w:pPr>
    </w:p>
    <w:p>
      <w:pPr>
        <w:adjustRightInd w:val="0"/>
        <w:snapToGrid w:val="0"/>
        <w:spacing w:before="312" w:beforeLines="100" w:after="312" w:afterLines="100" w:line="360" w:lineRule="auto"/>
        <w:jc w:val="center"/>
        <w:rPr>
          <w:b/>
          <w:sz w:val="32"/>
          <w:szCs w:val="30"/>
        </w:rPr>
      </w:pPr>
      <w:r>
        <w:rPr>
          <w:b/>
          <w:sz w:val="32"/>
          <w:szCs w:val="30"/>
        </w:rPr>
        <w:t>目　　次</w:t>
      </w:r>
    </w:p>
    <w:p>
      <w:pPr>
        <w:pStyle w:val="21"/>
        <w:rPr>
          <w:rFonts w:asciiTheme="minorHAnsi" w:hAnsiTheme="minorHAnsi" w:cstheme="minorBidi"/>
          <w:b w:val="0"/>
          <w:bCs w:val="0"/>
          <w:caps w:val="0"/>
          <w14:ligatures w14:val="standardContextual"/>
        </w:rPr>
      </w:pPr>
      <w:r>
        <w:fldChar w:fldCharType="begin"/>
      </w:r>
      <w:r>
        <w:instrText xml:space="preserve"> HYPERLINK \l "_Toc149766374" </w:instrText>
      </w:r>
      <w:r>
        <w:fldChar w:fldCharType="separate"/>
      </w:r>
      <w:r>
        <w:rPr>
          <w:rStyle w:val="37"/>
          <w:color w:val="auto"/>
          <w:u w:val="none"/>
        </w:rPr>
        <w:t>1　总则</w:t>
      </w:r>
      <w:r>
        <w:tab/>
      </w:r>
      <w:r>
        <w:fldChar w:fldCharType="begin"/>
      </w:r>
      <w:r>
        <w:instrText xml:space="preserve"> PAGEREF _Toc149766374 \h </w:instrText>
      </w:r>
      <w:r>
        <w:fldChar w:fldCharType="separate"/>
      </w:r>
      <w:r>
        <w:t>1</w:t>
      </w:r>
      <w:r>
        <w:fldChar w:fldCharType="end"/>
      </w:r>
      <w: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"_Toc149766375" </w:instrText>
      </w:r>
      <w:r>
        <w:fldChar w:fldCharType="separate"/>
      </w:r>
      <w:r>
        <w:rPr>
          <w:rStyle w:val="37"/>
          <w:color w:val="auto"/>
          <w:u w:val="none"/>
        </w:rPr>
        <w:t>2　术语和符号</w:t>
      </w:r>
      <w:r>
        <w:tab/>
      </w:r>
      <w:r>
        <w:fldChar w:fldCharType="begin"/>
      </w:r>
      <w:r>
        <w:instrText xml:space="preserve"> PAGEREF _Toc149766375 \h </w:instrText>
      </w:r>
      <w:r>
        <w:fldChar w:fldCharType="separate"/>
      </w:r>
      <w:r>
        <w:t>2</w:t>
      </w:r>
      <w:r>
        <w:fldChar w:fldCharType="end"/>
      </w:r>
      <w: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"_Toc149766376" </w:instrText>
      </w:r>
      <w:r>
        <w:fldChar w:fldCharType="separate"/>
      </w:r>
      <w:r>
        <w:rPr>
          <w:rStyle w:val="37"/>
          <w:rFonts w:eastAsia="黑体"/>
          <w:color w:val="auto"/>
          <w:sz w:val="24"/>
          <w:szCs w:val="24"/>
          <w:u w:val="none"/>
        </w:rPr>
        <w:t>2.1　</w:t>
      </w:r>
      <w:r>
        <w:rPr>
          <w:rStyle w:val="37"/>
          <w:bCs/>
          <w:color w:val="auto"/>
          <w:sz w:val="24"/>
          <w:szCs w:val="24"/>
          <w:u w:val="none"/>
        </w:rPr>
        <w:t>术语</w:t>
      </w:r>
      <w:r>
        <w:rPr>
          <w:sz w:val="24"/>
          <w:szCs w:val="24"/>
        </w:rPr>
        <w:tab/>
      </w:r>
      <w:r>
        <w:rPr>
          <w:sz w:val="24"/>
          <w:szCs w:val="24"/>
        </w:rPr>
        <w:fldChar w:fldCharType="begin"/>
      </w:r>
      <w:r>
        <w:rPr>
          <w:sz w:val="24"/>
          <w:szCs w:val="24"/>
        </w:rPr>
        <w:instrText xml:space="preserve"> PAGEREF _Toc149766376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"_Toc149766377" </w:instrText>
      </w:r>
      <w:r>
        <w:fldChar w:fldCharType="separate"/>
      </w:r>
      <w:r>
        <w:rPr>
          <w:rStyle w:val="37"/>
          <w:rFonts w:eastAsia="黑体"/>
          <w:color w:val="auto"/>
          <w:sz w:val="24"/>
          <w:szCs w:val="24"/>
          <w:u w:val="none"/>
        </w:rPr>
        <w:t>2.2　</w:t>
      </w:r>
      <w:r>
        <w:rPr>
          <w:rStyle w:val="37"/>
          <w:bCs/>
          <w:color w:val="auto"/>
          <w:sz w:val="24"/>
          <w:szCs w:val="24"/>
          <w:u w:val="none"/>
        </w:rPr>
        <w:t>符号</w:t>
      </w:r>
      <w:r>
        <w:rPr>
          <w:sz w:val="24"/>
          <w:szCs w:val="24"/>
        </w:rPr>
        <w:tab/>
      </w:r>
      <w:r>
        <w:rPr>
          <w:sz w:val="24"/>
          <w:szCs w:val="24"/>
        </w:rPr>
        <w:fldChar w:fldCharType="begin"/>
      </w:r>
      <w:r>
        <w:rPr>
          <w:sz w:val="24"/>
          <w:szCs w:val="24"/>
        </w:rPr>
        <w:instrText xml:space="preserve"> PAGEREF _Toc149766377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"_Toc149766378" </w:instrText>
      </w:r>
      <w:r>
        <w:fldChar w:fldCharType="separate"/>
      </w:r>
      <w:r>
        <w:rPr>
          <w:rStyle w:val="37"/>
          <w:color w:val="auto"/>
          <w:u w:val="none"/>
        </w:rPr>
        <w:t>3　材料</w:t>
      </w:r>
      <w:r>
        <w:tab/>
      </w:r>
      <w:r>
        <w:rPr>
          <w:rFonts w:hint="eastAsia"/>
        </w:rPr>
        <w:t>4</w:t>
      </w:r>
      <w:r>
        <w:rPr>
          <w:rFonts w:hint="eastAsia"/>
        </w:rPr>
        <w:fldChar w:fldCharType="end"/>
      </w:r>
    </w:p>
    <w:p>
      <w:pPr>
        <w:pStyle w:val="25"/>
        <w:rPr>
          <w:sz w:val="24"/>
          <w:szCs w:val="24"/>
        </w:rPr>
      </w:pPr>
      <w:r>
        <w:fldChar w:fldCharType="begin"/>
      </w:r>
      <w:r>
        <w:instrText xml:space="preserve"> HYPERLINK \l "_Toc149766379" </w:instrText>
      </w:r>
      <w:r>
        <w:fldChar w:fldCharType="separate"/>
      </w:r>
      <w:r>
        <w:rPr>
          <w:rStyle w:val="37"/>
          <w:rFonts w:eastAsia="黑体"/>
          <w:color w:val="auto"/>
          <w:sz w:val="24"/>
          <w:szCs w:val="24"/>
          <w:u w:val="none"/>
        </w:rPr>
        <w:t>3.1　</w:t>
      </w:r>
      <w:r>
        <w:rPr>
          <w:rStyle w:val="37"/>
          <w:bCs/>
          <w:color w:val="auto"/>
          <w:sz w:val="24"/>
          <w:szCs w:val="24"/>
          <w:u w:val="none"/>
        </w:rPr>
        <w:t>材料强度等级</w:t>
      </w:r>
      <w:r>
        <w:rPr>
          <w:sz w:val="24"/>
          <w:szCs w:val="24"/>
        </w:rPr>
        <w:tab/>
      </w:r>
      <w:r>
        <w:rPr>
          <w:rFonts w:hint="eastAsia"/>
          <w:sz w:val="24"/>
          <w:szCs w:val="24"/>
        </w:rPr>
        <w:t>4</w:t>
      </w:r>
      <w:r>
        <w:rPr>
          <w:rFonts w:hint="eastAsia"/>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"_Toc149766380" </w:instrText>
      </w:r>
      <w:r>
        <w:fldChar w:fldCharType="separate"/>
      </w:r>
      <w:r>
        <w:rPr>
          <w:rStyle w:val="37"/>
          <w:rFonts w:eastAsia="黑体"/>
          <w:color w:val="auto"/>
          <w:sz w:val="24"/>
          <w:szCs w:val="24"/>
          <w:u w:val="none"/>
        </w:rPr>
        <w:t>3.2　</w:t>
      </w:r>
      <w:r>
        <w:rPr>
          <w:rStyle w:val="37"/>
          <w:rFonts w:hint="eastAsia"/>
          <w:bCs/>
          <w:color w:val="auto"/>
          <w:sz w:val="24"/>
          <w:szCs w:val="24"/>
          <w:u w:val="none"/>
        </w:rPr>
        <w:t>模壳砌块砌体</w:t>
      </w:r>
      <w:r>
        <w:rPr>
          <w:rStyle w:val="37"/>
          <w:bCs/>
          <w:color w:val="auto"/>
          <w:sz w:val="24"/>
          <w:szCs w:val="24"/>
          <w:u w:val="none"/>
        </w:rPr>
        <w:t>计算指标</w:t>
      </w:r>
      <w:r>
        <w:rPr>
          <w:sz w:val="24"/>
          <w:szCs w:val="24"/>
        </w:rPr>
        <w:tab/>
      </w:r>
      <w:r>
        <w:rPr>
          <w:rFonts w:hint="eastAsia"/>
          <w:sz w:val="24"/>
          <w:szCs w:val="24"/>
        </w:rPr>
        <w:t>4</w:t>
      </w:r>
      <w:r>
        <w:rPr>
          <w:rFonts w:hint="eastAsia"/>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"_Toc149766381" </w:instrText>
      </w:r>
      <w:r>
        <w:fldChar w:fldCharType="separate"/>
      </w:r>
      <w:r>
        <w:rPr>
          <w:rStyle w:val="37"/>
          <w:color w:val="auto"/>
          <w:u w:val="none"/>
        </w:rPr>
        <w:t>4　建筑设计</w:t>
      </w:r>
      <w:r>
        <w:tab/>
      </w:r>
      <w:r>
        <w:rPr>
          <w:rFonts w:hint="eastAsia"/>
        </w:rPr>
        <w:t>6</w:t>
      </w:r>
      <w:r>
        <w:rPr>
          <w:rFonts w:hint="eastAsia"/>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"_Toc149766382" </w:instrText>
      </w:r>
      <w:r>
        <w:fldChar w:fldCharType="separate"/>
      </w:r>
      <w:r>
        <w:rPr>
          <w:rStyle w:val="37"/>
          <w:color w:val="auto"/>
          <w:u w:val="none"/>
        </w:rPr>
        <w:t>5　结构设计</w:t>
      </w:r>
      <w:r>
        <w:tab/>
      </w:r>
      <w:r>
        <w:rPr>
          <w:rFonts w:hint="eastAsia"/>
        </w:rPr>
        <w:t>8</w:t>
      </w:r>
      <w:r>
        <w:rPr>
          <w:rFonts w:hint="eastAsia"/>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"_Toc149766383" </w:instrText>
      </w:r>
      <w:r>
        <w:fldChar w:fldCharType="separate"/>
      </w:r>
      <w:r>
        <w:rPr>
          <w:rStyle w:val="37"/>
          <w:rFonts w:eastAsia="黑体"/>
          <w:color w:val="auto"/>
          <w:sz w:val="24"/>
          <w:szCs w:val="24"/>
          <w:u w:val="none"/>
        </w:rPr>
        <w:t>5.1　</w:t>
      </w:r>
      <w:r>
        <w:rPr>
          <w:rStyle w:val="37"/>
          <w:bCs/>
          <w:color w:val="auto"/>
          <w:sz w:val="24"/>
          <w:szCs w:val="24"/>
          <w:u w:val="none"/>
        </w:rPr>
        <w:t>一般规定</w:t>
      </w:r>
      <w:r>
        <w:rPr>
          <w:sz w:val="24"/>
          <w:szCs w:val="24"/>
        </w:rPr>
        <w:tab/>
      </w:r>
      <w:r>
        <w:rPr>
          <w:rFonts w:hint="eastAsia"/>
          <w:sz w:val="24"/>
          <w:szCs w:val="24"/>
        </w:rPr>
        <w:t>8</w:t>
      </w:r>
      <w:r>
        <w:rPr>
          <w:rFonts w:hint="eastAsia"/>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"_Toc149766384" </w:instrText>
      </w:r>
      <w:r>
        <w:fldChar w:fldCharType="separate"/>
      </w:r>
      <w:r>
        <w:rPr>
          <w:rStyle w:val="37"/>
          <w:rFonts w:eastAsia="黑体"/>
          <w:color w:val="auto"/>
          <w:sz w:val="24"/>
          <w:szCs w:val="24"/>
          <w:u w:val="none"/>
        </w:rPr>
        <w:t>5.2　</w:t>
      </w:r>
      <w:r>
        <w:rPr>
          <w:rStyle w:val="37"/>
          <w:bCs/>
          <w:color w:val="auto"/>
          <w:sz w:val="24"/>
          <w:szCs w:val="24"/>
          <w:u w:val="none"/>
        </w:rPr>
        <w:t>模壳砌块设计</w:t>
      </w:r>
      <w:r>
        <w:rPr>
          <w:sz w:val="24"/>
          <w:szCs w:val="24"/>
        </w:rPr>
        <w:tab/>
      </w:r>
      <w:r>
        <w:rPr>
          <w:sz w:val="24"/>
          <w:szCs w:val="24"/>
        </w:rPr>
        <w:fldChar w:fldCharType="begin"/>
      </w:r>
      <w:r>
        <w:rPr>
          <w:sz w:val="24"/>
          <w:szCs w:val="24"/>
        </w:rPr>
        <w:instrText xml:space="preserve"> PAGEREF _Toc149766384 \h </w:instrText>
      </w:r>
      <w:r>
        <w:rPr>
          <w:sz w:val="24"/>
          <w:szCs w:val="24"/>
        </w:rPr>
        <w:fldChar w:fldCharType="separate"/>
      </w:r>
      <w:r>
        <w:rPr>
          <w:sz w:val="24"/>
          <w:szCs w:val="24"/>
        </w:rPr>
        <w:t>1</w:t>
      </w:r>
      <w:r>
        <w:rPr>
          <w:rFonts w:hint="eastAsia"/>
          <w:sz w:val="24"/>
          <w:szCs w:val="24"/>
        </w:rPr>
        <w:t>1</w:t>
      </w:r>
      <w:r>
        <w:rPr>
          <w:sz w:val="24"/>
          <w:szCs w:val="24"/>
        </w:rPr>
        <w:fldChar w:fldCharType="end"/>
      </w:r>
      <w:r>
        <w:rPr>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"_Toc149766385" </w:instrText>
      </w:r>
      <w:r>
        <w:fldChar w:fldCharType="separate"/>
      </w:r>
      <w:r>
        <w:rPr>
          <w:rStyle w:val="37"/>
          <w:rFonts w:eastAsia="黑体"/>
          <w:color w:val="auto"/>
          <w:sz w:val="24"/>
          <w:szCs w:val="24"/>
          <w:u w:val="none"/>
        </w:rPr>
        <w:t>5.3　</w:t>
      </w:r>
      <w:r>
        <w:rPr>
          <w:rStyle w:val="37"/>
          <w:rFonts w:eastAsiaTheme="majorEastAsia"/>
          <w:bCs/>
          <w:color w:val="auto"/>
          <w:sz w:val="24"/>
          <w:szCs w:val="24"/>
          <w:u w:val="none"/>
        </w:rPr>
        <w:t>承载力计算</w:t>
      </w:r>
      <w:r>
        <w:rPr>
          <w:sz w:val="24"/>
          <w:szCs w:val="24"/>
        </w:rPr>
        <w:tab/>
      </w:r>
      <w:r>
        <w:rPr>
          <w:sz w:val="24"/>
          <w:szCs w:val="24"/>
        </w:rPr>
        <w:fldChar w:fldCharType="begin"/>
      </w:r>
      <w:r>
        <w:rPr>
          <w:sz w:val="24"/>
          <w:szCs w:val="24"/>
        </w:rPr>
        <w:instrText xml:space="preserve"> PAGEREF _Toc149766385 \h </w:instrText>
      </w:r>
      <w:r>
        <w:rPr>
          <w:sz w:val="24"/>
          <w:szCs w:val="24"/>
        </w:rPr>
        <w:fldChar w:fldCharType="separate"/>
      </w:r>
      <w:r>
        <w:rPr>
          <w:sz w:val="24"/>
          <w:szCs w:val="24"/>
        </w:rPr>
        <w:t>1</w:t>
      </w:r>
      <w:r>
        <w:rPr>
          <w:rFonts w:hint="eastAsia"/>
          <w:sz w:val="24"/>
          <w:szCs w:val="24"/>
        </w:rPr>
        <w:t>1</w:t>
      </w:r>
      <w:r>
        <w:rPr>
          <w:sz w:val="24"/>
          <w:szCs w:val="24"/>
        </w:rPr>
        <w:fldChar w:fldCharType="end"/>
      </w:r>
      <w:r>
        <w:rPr>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"_Toc149766386" </w:instrText>
      </w:r>
      <w:r>
        <w:fldChar w:fldCharType="separate"/>
      </w:r>
      <w:r>
        <w:rPr>
          <w:rStyle w:val="37"/>
          <w:rFonts w:eastAsia="黑体"/>
          <w:color w:val="auto"/>
          <w:sz w:val="24"/>
          <w:szCs w:val="24"/>
          <w:u w:val="none"/>
        </w:rPr>
        <w:t>5.4　</w:t>
      </w:r>
      <w:r>
        <w:rPr>
          <w:rStyle w:val="37"/>
          <w:bCs/>
          <w:color w:val="auto"/>
          <w:sz w:val="24"/>
          <w:szCs w:val="24"/>
          <w:u w:val="none"/>
        </w:rPr>
        <w:t>构造设计</w:t>
      </w:r>
      <w:r>
        <w:rPr>
          <w:sz w:val="24"/>
          <w:szCs w:val="24"/>
        </w:rPr>
        <w:tab/>
      </w:r>
      <w:r>
        <w:rPr>
          <w:sz w:val="24"/>
          <w:szCs w:val="24"/>
        </w:rPr>
        <w:fldChar w:fldCharType="begin"/>
      </w:r>
      <w:r>
        <w:rPr>
          <w:sz w:val="24"/>
          <w:szCs w:val="24"/>
        </w:rPr>
        <w:instrText xml:space="preserve"> PAGEREF _Toc149766386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"_Toc149766387" </w:instrText>
      </w:r>
      <w:r>
        <w:fldChar w:fldCharType="separate"/>
      </w:r>
      <w:r>
        <w:rPr>
          <w:rStyle w:val="37"/>
          <w:rFonts w:eastAsia="黑体"/>
          <w:color w:val="auto"/>
          <w:sz w:val="24"/>
          <w:szCs w:val="24"/>
          <w:u w:val="none"/>
        </w:rPr>
        <w:t>5.5　</w:t>
      </w:r>
      <w:r>
        <w:rPr>
          <w:rStyle w:val="37"/>
          <w:rFonts w:eastAsiaTheme="majorEastAsia"/>
          <w:bCs/>
          <w:color w:val="auto"/>
          <w:sz w:val="24"/>
          <w:szCs w:val="24"/>
          <w:u w:val="none"/>
        </w:rPr>
        <w:t>楼盖及楼梯</w:t>
      </w:r>
      <w:r>
        <w:rPr>
          <w:sz w:val="24"/>
          <w:szCs w:val="24"/>
        </w:rPr>
        <w:tab/>
      </w:r>
      <w:r>
        <w:rPr>
          <w:sz w:val="24"/>
          <w:szCs w:val="24"/>
        </w:rPr>
        <w:fldChar w:fldCharType="begin"/>
      </w:r>
      <w:r>
        <w:rPr>
          <w:sz w:val="24"/>
          <w:szCs w:val="24"/>
        </w:rPr>
        <w:instrText xml:space="preserve"> PAGEREF _Toc149766387 \h </w:instrText>
      </w:r>
      <w:r>
        <w:rPr>
          <w:sz w:val="24"/>
          <w:szCs w:val="24"/>
        </w:rPr>
        <w:fldChar w:fldCharType="separate"/>
      </w:r>
      <w:r>
        <w:rPr>
          <w:sz w:val="24"/>
          <w:szCs w:val="24"/>
        </w:rPr>
        <w:t>2</w:t>
      </w:r>
      <w:r>
        <w:rPr>
          <w:rFonts w:hint="eastAsia"/>
          <w:sz w:val="24"/>
          <w:szCs w:val="24"/>
        </w:rPr>
        <w:t>1</w:t>
      </w:r>
      <w:r>
        <w:rPr>
          <w:sz w:val="24"/>
          <w:szCs w:val="24"/>
        </w:rPr>
        <w:fldChar w:fldCharType="end"/>
      </w:r>
      <w:r>
        <w:rPr>
          <w:sz w:val="24"/>
          <w:szCs w:val="24"/>
        </w:rPr>
        <w:fldChar w:fldCharType="end"/>
      </w:r>
    </w:p>
    <w:p>
      <w:pPr>
        <w:pStyle w:val="21"/>
      </w:pPr>
      <w:r>
        <w:fldChar w:fldCharType="begin"/>
      </w:r>
      <w:r>
        <w:instrText xml:space="preserve"> HYPERLINK \l "_Toc149766388" </w:instrText>
      </w:r>
      <w:r>
        <w:fldChar w:fldCharType="separate"/>
      </w:r>
      <w:r>
        <w:rPr>
          <w:rStyle w:val="37"/>
          <w:color w:val="auto"/>
          <w:u w:val="none"/>
        </w:rPr>
        <w:t>6　</w:t>
      </w:r>
      <w:r>
        <w:rPr>
          <w:rStyle w:val="37"/>
          <w:rFonts w:hint="eastAsia"/>
          <w:color w:val="auto"/>
          <w:u w:val="none"/>
        </w:rPr>
        <w:t>模壳砌块制作与运输</w:t>
      </w:r>
      <w:r>
        <w:tab/>
      </w:r>
      <w:r>
        <w:fldChar w:fldCharType="begin"/>
      </w:r>
      <w:r>
        <w:instrText xml:space="preserve"> PAGEREF _Toc149766388 \h </w:instrText>
      </w:r>
      <w:r>
        <w:fldChar w:fldCharType="separate"/>
      </w:r>
      <w:r>
        <w:t>2</w:t>
      </w:r>
      <w:r>
        <w:rPr>
          <w:rFonts w:hint="eastAsia"/>
        </w:rPr>
        <w:t>5</w:t>
      </w:r>
      <w:r>
        <w:fldChar w:fldCharType="end"/>
      </w:r>
      <w:r>
        <w:fldChar w:fldCharType="end"/>
      </w:r>
    </w:p>
    <w:p>
      <w:pPr>
        <w:pStyle w:val="21"/>
      </w:pPr>
      <w:r>
        <w:fldChar w:fldCharType="begin"/>
      </w:r>
      <w:r>
        <w:instrText xml:space="preserve"> HYPERLINK \l "_Toc149766388" </w:instrText>
      </w:r>
      <w:r>
        <w:fldChar w:fldCharType="separate"/>
      </w:r>
      <w:r>
        <w:rPr>
          <w:rStyle w:val="37"/>
          <w:color w:val="auto"/>
          <w:u w:val="none"/>
        </w:rPr>
        <w:t>7　施工与验收</w:t>
      </w:r>
      <w:r>
        <w:tab/>
      </w:r>
      <w:r>
        <w:fldChar w:fldCharType="begin"/>
      </w:r>
      <w:r>
        <w:instrText xml:space="preserve"> PAGEREF _Toc149766388 \h </w:instrText>
      </w:r>
      <w:r>
        <w:fldChar w:fldCharType="separate"/>
      </w:r>
      <w:r>
        <w:t>2</w:t>
      </w:r>
      <w:r>
        <w:rPr>
          <w:rFonts w:hint="eastAsia"/>
        </w:rPr>
        <w:t>8</w:t>
      </w:r>
      <w:r>
        <w:fldChar w:fldCharType="end"/>
      </w:r>
      <w: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"_Toc149766389" </w:instrText>
      </w:r>
      <w:r>
        <w:fldChar w:fldCharType="separate"/>
      </w:r>
      <w:r>
        <w:rPr>
          <w:rStyle w:val="37"/>
          <w:rFonts w:eastAsia="黑体"/>
          <w:color w:val="auto"/>
          <w:sz w:val="24"/>
          <w:szCs w:val="24"/>
          <w:u w:val="none"/>
        </w:rPr>
        <w:t>7.1　</w:t>
      </w:r>
      <w:r>
        <w:rPr>
          <w:rStyle w:val="37"/>
          <w:bCs/>
          <w:color w:val="auto"/>
          <w:sz w:val="24"/>
          <w:szCs w:val="24"/>
          <w:u w:val="none"/>
        </w:rPr>
        <w:t>一般规定</w:t>
      </w:r>
      <w:r>
        <w:rPr>
          <w:sz w:val="24"/>
          <w:szCs w:val="24"/>
        </w:rPr>
        <w:tab/>
      </w:r>
      <w:r>
        <w:rPr>
          <w:sz w:val="24"/>
          <w:szCs w:val="24"/>
        </w:rPr>
        <w:fldChar w:fldCharType="begin"/>
      </w:r>
      <w:r>
        <w:rPr>
          <w:sz w:val="24"/>
          <w:szCs w:val="24"/>
        </w:rPr>
        <w:instrText xml:space="preserve"> PAGEREF _Toc149766389 \h </w:instrText>
      </w:r>
      <w:r>
        <w:rPr>
          <w:sz w:val="24"/>
          <w:szCs w:val="24"/>
        </w:rPr>
        <w:fldChar w:fldCharType="separate"/>
      </w:r>
      <w:r>
        <w:rPr>
          <w:sz w:val="24"/>
          <w:szCs w:val="24"/>
        </w:rPr>
        <w:t>2</w:t>
      </w:r>
      <w:r>
        <w:rPr>
          <w:rFonts w:hint="eastAsia"/>
          <w:sz w:val="24"/>
          <w:szCs w:val="24"/>
        </w:rPr>
        <w:t>8</w:t>
      </w:r>
      <w:r>
        <w:rPr>
          <w:sz w:val="24"/>
          <w:szCs w:val="24"/>
        </w:rPr>
        <w:fldChar w:fldCharType="end"/>
      </w:r>
      <w:r>
        <w:rPr>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"_Toc149766390" </w:instrText>
      </w:r>
      <w:r>
        <w:fldChar w:fldCharType="separate"/>
      </w:r>
      <w:r>
        <w:rPr>
          <w:rStyle w:val="37"/>
          <w:rFonts w:eastAsia="黑体"/>
          <w:color w:val="auto"/>
          <w:sz w:val="24"/>
          <w:szCs w:val="24"/>
          <w:u w:val="none"/>
        </w:rPr>
        <w:t>7.2　</w:t>
      </w:r>
      <w:r>
        <w:rPr>
          <w:rStyle w:val="37"/>
          <w:bCs/>
          <w:color w:val="auto"/>
          <w:sz w:val="24"/>
          <w:szCs w:val="24"/>
          <w:u w:val="none"/>
        </w:rPr>
        <w:t>施工质量检验</w:t>
      </w:r>
      <w:r>
        <w:rPr>
          <w:sz w:val="24"/>
          <w:szCs w:val="24"/>
        </w:rPr>
        <w:tab/>
      </w:r>
      <w:r>
        <w:rPr>
          <w:rFonts w:hint="eastAsia"/>
          <w:sz w:val="24"/>
          <w:szCs w:val="24"/>
        </w:rPr>
        <w:t>29</w:t>
      </w:r>
      <w:r>
        <w:rPr>
          <w:rFonts w:hint="eastAsia"/>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"_Toc149766391" </w:instrText>
      </w:r>
      <w:r>
        <w:fldChar w:fldCharType="separate"/>
      </w:r>
      <w:r>
        <w:rPr>
          <w:rStyle w:val="37"/>
          <w:rFonts w:eastAsia="黑体"/>
          <w:color w:val="auto"/>
          <w:sz w:val="24"/>
          <w:szCs w:val="24"/>
          <w:u w:val="none"/>
        </w:rPr>
        <w:t>7.3　</w:t>
      </w:r>
      <w:r>
        <w:rPr>
          <w:rStyle w:val="37"/>
          <w:bCs/>
          <w:color w:val="auto"/>
          <w:sz w:val="24"/>
          <w:szCs w:val="24"/>
          <w:u w:val="none"/>
        </w:rPr>
        <w:t>施工验收要点</w:t>
      </w:r>
      <w:r>
        <w:rPr>
          <w:sz w:val="24"/>
          <w:szCs w:val="24"/>
        </w:rPr>
        <w:tab/>
      </w:r>
      <w:r>
        <w:rPr>
          <w:sz w:val="24"/>
          <w:szCs w:val="24"/>
        </w:rPr>
        <w:t>3</w:t>
      </w:r>
      <w:r>
        <w:rPr>
          <w:rFonts w:hint="eastAsia"/>
          <w:sz w:val="24"/>
          <w:szCs w:val="24"/>
        </w:rPr>
        <w:t>0</w:t>
      </w:r>
      <w:r>
        <w:rPr>
          <w:rFonts w:hint="eastAsia"/>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"_Toc149766392" </w:instrText>
      </w:r>
      <w:r>
        <w:fldChar w:fldCharType="separate"/>
      </w:r>
      <w:r>
        <w:rPr>
          <w:rStyle w:val="37"/>
          <w:color w:val="auto"/>
          <w:u w:val="none"/>
        </w:rPr>
        <w:t>附录A　常用模壳砌块规格</w:t>
      </w:r>
      <w:r>
        <w:tab/>
      </w:r>
      <w:r>
        <w:fldChar w:fldCharType="begin"/>
      </w:r>
      <w:r>
        <w:instrText xml:space="preserve"> PAGEREF _Toc149766392 \h </w:instrText>
      </w:r>
      <w:r>
        <w:fldChar w:fldCharType="separate"/>
      </w:r>
      <w:r>
        <w:t>3</w:t>
      </w:r>
      <w:r>
        <w:rPr>
          <w:rFonts w:hint="eastAsia"/>
        </w:rPr>
        <w:t>2</w:t>
      </w:r>
      <w:r>
        <w:fldChar w:fldCharType="end"/>
      </w:r>
      <w: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"_Toc149766393" </w:instrText>
      </w:r>
      <w:r>
        <w:fldChar w:fldCharType="separate"/>
      </w:r>
      <w:r>
        <w:rPr>
          <w:rStyle w:val="37"/>
          <w:color w:val="auto"/>
          <w:u w:val="none"/>
        </w:rPr>
        <w:t>用词说明</w:t>
      </w:r>
      <w:r>
        <w:tab/>
      </w:r>
      <w:r>
        <w:fldChar w:fldCharType="begin"/>
      </w:r>
      <w:r>
        <w:instrText xml:space="preserve"> PAGEREF _Toc149766393 \h </w:instrText>
      </w:r>
      <w:r>
        <w:fldChar w:fldCharType="separate"/>
      </w:r>
      <w:r>
        <w:t>3</w:t>
      </w:r>
      <w:r>
        <w:rPr>
          <w:rFonts w:hint="eastAsia"/>
        </w:rPr>
        <w:t>4</w:t>
      </w:r>
      <w:r>
        <w:fldChar w:fldCharType="end"/>
      </w:r>
      <w: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"_Toc149766394" </w:instrText>
      </w:r>
      <w:r>
        <w:fldChar w:fldCharType="separate"/>
      </w:r>
      <w:r>
        <w:rPr>
          <w:rStyle w:val="37"/>
          <w:color w:val="auto"/>
          <w:u w:val="none"/>
        </w:rPr>
        <w:t>引用标准名录</w:t>
      </w:r>
      <w:r>
        <w:tab/>
      </w:r>
      <w:r>
        <w:fldChar w:fldCharType="begin"/>
      </w:r>
      <w:r>
        <w:instrText xml:space="preserve"> PAGEREF _Toc149766394 \h </w:instrText>
      </w:r>
      <w:r>
        <w:fldChar w:fldCharType="separate"/>
      </w:r>
      <w:r>
        <w:t>3</w:t>
      </w:r>
      <w:r>
        <w:rPr>
          <w:rFonts w:hint="eastAsia"/>
        </w:rPr>
        <w:t>5</w:t>
      </w:r>
      <w:r>
        <w:fldChar w:fldCharType="end"/>
      </w:r>
      <w:r>
        <w:fldChar w:fldCharType="end"/>
      </w:r>
    </w:p>
    <w:p>
      <w:pPr>
        <w:pStyle w:val="21"/>
        <w:rPr>
          <w:rFonts w:asciiTheme="minorHAnsi" w:hAnsiTheme="minorHAnsi" w:cstheme="minorBidi"/>
          <w:b w:val="0"/>
          <w:bCs w:val="0"/>
          <w:caps w:val="0"/>
          <w14:ligatures w14:val="standardContextual"/>
        </w:rPr>
      </w:pPr>
      <w:r>
        <w:rPr>
          <w:rFonts w:hint="eastAsia"/>
        </w:rPr>
        <w:t>附：</w:t>
      </w:r>
      <w:r>
        <w:fldChar w:fldCharType="begin"/>
      </w:r>
      <w:r>
        <w:instrText xml:space="preserve"> HYPERLINK \l "_Toc149766395" </w:instrText>
      </w:r>
      <w:r>
        <w:fldChar w:fldCharType="separate"/>
      </w:r>
      <w:r>
        <w:rPr>
          <w:rStyle w:val="37"/>
          <w:color w:val="auto"/>
          <w:u w:val="none"/>
        </w:rPr>
        <w:t>条文说明</w:t>
      </w:r>
      <w:r>
        <w:tab/>
      </w:r>
      <w:r>
        <w:fldChar w:fldCharType="begin"/>
      </w:r>
      <w:r>
        <w:instrText xml:space="preserve"> PAGEREF _Toc149766395 \h </w:instrText>
      </w:r>
      <w:r>
        <w:fldChar w:fldCharType="separate"/>
      </w:r>
      <w:r>
        <w:t>3</w:t>
      </w:r>
      <w:r>
        <w:rPr>
          <w:rFonts w:hint="eastAsia"/>
        </w:rPr>
        <w:t>7</w:t>
      </w:r>
      <w:r>
        <w:fldChar w:fldCharType="end"/>
      </w:r>
      <w:r>
        <w:fldChar w:fldCharType="end"/>
      </w:r>
    </w:p>
    <w:p>
      <w:pPr>
        <w:widowControl/>
        <w:jc w:val="left"/>
        <w:rPr>
          <w:rFonts w:eastAsiaTheme="minorEastAsia"/>
          <w:b/>
          <w:bCs/>
          <w:caps/>
          <w:sz w:val="24"/>
          <w:szCs w:val="24"/>
        </w:rPr>
      </w:pPr>
      <w:r>
        <w:rPr>
          <w:sz w:val="24"/>
          <w:szCs w:val="24"/>
        </w:rPr>
        <w:br w:type="page"/>
      </w:r>
    </w:p>
    <w:p>
      <w:pPr>
        <w:spacing w:before="312" w:beforeLines="100" w:after="312" w:afterLines="100" w:line="360" w:lineRule="auto"/>
        <w:jc w:val="center"/>
        <w:rPr>
          <w:b/>
          <w:bCs/>
          <w:sz w:val="32"/>
          <w:szCs w:val="30"/>
        </w:rPr>
      </w:pPr>
      <w:r>
        <w:rPr>
          <w:b/>
          <w:bCs/>
          <w:sz w:val="32"/>
          <w:szCs w:val="30"/>
        </w:rPr>
        <w:t>Contents</w:t>
      </w:r>
    </w:p>
    <w:p>
      <w:pPr>
        <w:pStyle w:val="21"/>
        <w:rPr>
          <w:rFonts w:asciiTheme="minorHAnsi" w:hAnsiTheme="minorHAnsi" w:cstheme="minorBidi"/>
          <w:b w:val="0"/>
          <w:bCs w:val="0"/>
          <w:caps w:val="0"/>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r>
        <w:fldChar w:fldCharType="begin"/>
      </w:r>
      <w:r>
        <w:instrText xml:space="preserve"> HYPERLINK \l "_Toc149766374" </w:instrText>
      </w:r>
      <w:r>
        <w:fldChar w:fldCharType="separate"/>
      </w:r>
      <w:r>
        <w:rPr>
          <w:rStyle w:val="37"/>
          <w:caps w:val="0"/>
          <w:color w:val="auto"/>
        </w:rPr>
        <w:t xml:space="preserve">1　General </w:t>
      </w:r>
      <w:r>
        <w:rPr>
          <w:rStyle w:val="37"/>
          <w:rFonts w:hint="eastAsia"/>
          <w:caps w:val="0"/>
          <w:color w:val="auto"/>
        </w:rPr>
        <w:t>principal</w:t>
      </w:r>
      <w:r>
        <w:rPr>
          <w:caps w:val="0"/>
        </w:rPr>
        <w:tab/>
      </w:r>
      <w:r>
        <w:rPr>
          <w:caps w:val="0"/>
        </w:rPr>
        <w:fldChar w:fldCharType="begin"/>
      </w:r>
      <w:r>
        <w:rPr>
          <w:caps w:val="0"/>
        </w:rPr>
        <w:instrText xml:space="preserve"> PAGEREF _Toc149766374 \h </w:instrText>
      </w:r>
      <w:r>
        <w:rPr>
          <w:caps w:val="0"/>
        </w:rPr>
        <w:fldChar w:fldCharType="separate"/>
      </w:r>
      <w:r>
        <w:rPr>
          <w:caps w:val="0"/>
        </w:rPr>
        <w:t>1</w:t>
      </w:r>
      <w:r>
        <w:rPr>
          <w:caps w:val="0"/>
        </w:rPr>
        <w:fldChar w:fldCharType="end"/>
      </w:r>
      <w:r>
        <w:rPr>
          <w:caps w:val="0"/>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"_Toc149766375" </w:instrText>
      </w:r>
      <w:r>
        <w:fldChar w:fldCharType="separate"/>
      </w:r>
      <w:r>
        <w:rPr>
          <w:rStyle w:val="37"/>
          <w:caps w:val="0"/>
          <w:color w:val="auto"/>
        </w:rPr>
        <w:t>2　</w:t>
      </w:r>
      <w:r>
        <w:rPr>
          <w:rStyle w:val="37"/>
          <w:rFonts w:hint="eastAsia"/>
          <w:caps w:val="0"/>
          <w:color w:val="auto"/>
        </w:rPr>
        <w:t xml:space="preserve">Terminology and symbols </w:t>
      </w:r>
      <w:r>
        <w:rPr>
          <w:caps w:val="0"/>
        </w:rPr>
        <w:tab/>
      </w:r>
      <w:r>
        <w:rPr>
          <w:caps w:val="0"/>
        </w:rPr>
        <w:fldChar w:fldCharType="begin"/>
      </w:r>
      <w:r>
        <w:rPr>
          <w:caps w:val="0"/>
        </w:rPr>
        <w:instrText xml:space="preserve"> PAGEREF _Toc149766375 \h </w:instrText>
      </w:r>
      <w:r>
        <w:rPr>
          <w:caps w:val="0"/>
        </w:rPr>
        <w:fldChar w:fldCharType="separate"/>
      </w:r>
      <w:r>
        <w:rPr>
          <w:caps w:val="0"/>
        </w:rPr>
        <w:t>2</w:t>
      </w:r>
      <w:r>
        <w:rPr>
          <w:caps w:val="0"/>
        </w:rPr>
        <w:fldChar w:fldCharType="end"/>
      </w:r>
      <w:r>
        <w:rPr>
          <w:caps w:val="0"/>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"_Toc149766376" </w:instrText>
      </w:r>
      <w:r>
        <w:fldChar w:fldCharType="separate"/>
      </w:r>
      <w:r>
        <w:rPr>
          <w:rStyle w:val="37"/>
          <w:rFonts w:eastAsia="黑体"/>
          <w:smallCaps w:val="0"/>
          <w:color w:val="auto"/>
          <w:sz w:val="24"/>
          <w:szCs w:val="24"/>
        </w:rPr>
        <w:t>2.1　</w:t>
      </w:r>
      <w:r>
        <w:rPr>
          <w:rStyle w:val="37"/>
          <w:rFonts w:hint="eastAsia"/>
          <w:bCs/>
          <w:smallCaps w:val="0"/>
          <w:color w:val="auto"/>
          <w:sz w:val="24"/>
          <w:szCs w:val="24"/>
        </w:rPr>
        <w:t>Terminology</w:t>
      </w:r>
      <w:r>
        <w:rPr>
          <w:smallCaps w:val="0"/>
          <w:sz w:val="24"/>
          <w:szCs w:val="24"/>
        </w:rPr>
        <w:tab/>
      </w:r>
      <w:r>
        <w:rPr>
          <w:smallCaps w:val="0"/>
          <w:sz w:val="24"/>
          <w:szCs w:val="24"/>
        </w:rPr>
        <w:fldChar w:fldCharType="begin"/>
      </w:r>
      <w:r>
        <w:rPr>
          <w:smallCaps w:val="0"/>
          <w:sz w:val="24"/>
          <w:szCs w:val="24"/>
        </w:rPr>
        <w:instrText xml:space="preserve"> PAGEREF _Toc149766376 \h </w:instrText>
      </w:r>
      <w:r>
        <w:rPr>
          <w:smallCaps w:val="0"/>
          <w:sz w:val="24"/>
          <w:szCs w:val="24"/>
        </w:rPr>
        <w:fldChar w:fldCharType="separate"/>
      </w:r>
      <w:r>
        <w:rPr>
          <w:smallCaps w:val="0"/>
          <w:sz w:val="24"/>
          <w:szCs w:val="24"/>
        </w:rPr>
        <w:t>2</w:t>
      </w:r>
      <w:r>
        <w:rPr>
          <w:smallCaps w:val="0"/>
          <w:sz w:val="24"/>
          <w:szCs w:val="24"/>
        </w:rPr>
        <w:fldChar w:fldCharType="end"/>
      </w:r>
      <w:r>
        <w:rPr>
          <w:smallCaps w:val="0"/>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"_Toc149766377" </w:instrText>
      </w:r>
      <w:r>
        <w:fldChar w:fldCharType="separate"/>
      </w:r>
      <w:r>
        <w:rPr>
          <w:rStyle w:val="37"/>
          <w:rFonts w:eastAsia="黑体"/>
          <w:smallCaps w:val="0"/>
          <w:color w:val="auto"/>
          <w:sz w:val="24"/>
          <w:szCs w:val="24"/>
        </w:rPr>
        <w:t>2.2　</w:t>
      </w:r>
      <w:r>
        <w:rPr>
          <w:rStyle w:val="37"/>
          <w:rFonts w:hint="eastAsia"/>
          <w:bCs/>
          <w:smallCaps w:val="0"/>
          <w:color w:val="auto"/>
          <w:sz w:val="24"/>
          <w:szCs w:val="24"/>
        </w:rPr>
        <w:t>Symbol</w:t>
      </w:r>
      <w:r>
        <w:rPr>
          <w:smallCaps w:val="0"/>
          <w:sz w:val="24"/>
          <w:szCs w:val="24"/>
        </w:rPr>
        <w:tab/>
      </w:r>
      <w:r>
        <w:rPr>
          <w:smallCaps w:val="0"/>
          <w:sz w:val="24"/>
          <w:szCs w:val="24"/>
        </w:rPr>
        <w:fldChar w:fldCharType="begin"/>
      </w:r>
      <w:r>
        <w:rPr>
          <w:smallCaps w:val="0"/>
          <w:sz w:val="24"/>
          <w:szCs w:val="24"/>
        </w:rPr>
        <w:instrText xml:space="preserve"> PAGEREF _Toc149766377 \h </w:instrText>
      </w:r>
      <w:r>
        <w:rPr>
          <w:smallCaps w:val="0"/>
          <w:sz w:val="24"/>
          <w:szCs w:val="24"/>
        </w:rPr>
        <w:fldChar w:fldCharType="separate"/>
      </w:r>
      <w:r>
        <w:rPr>
          <w:smallCaps w:val="0"/>
          <w:sz w:val="24"/>
          <w:szCs w:val="24"/>
        </w:rPr>
        <w:t>2</w:t>
      </w:r>
      <w:r>
        <w:rPr>
          <w:smallCaps w:val="0"/>
          <w:sz w:val="24"/>
          <w:szCs w:val="24"/>
        </w:rPr>
        <w:fldChar w:fldCharType="end"/>
      </w:r>
      <w:r>
        <w:rPr>
          <w:smallCaps w:val="0"/>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"_Toc149766378" </w:instrText>
      </w:r>
      <w:r>
        <w:fldChar w:fldCharType="separate"/>
      </w:r>
      <w:r>
        <w:rPr>
          <w:rStyle w:val="37"/>
          <w:caps w:val="0"/>
          <w:color w:val="auto"/>
        </w:rPr>
        <w:t>3　</w:t>
      </w:r>
      <w:r>
        <w:rPr>
          <w:rStyle w:val="37"/>
          <w:rFonts w:hint="eastAsia"/>
          <w:caps w:val="0"/>
          <w:color w:val="auto"/>
        </w:rPr>
        <w:t>Materials</w:t>
      </w:r>
      <w:r>
        <w:rPr>
          <w:caps w:val="0"/>
        </w:rPr>
        <w:tab/>
      </w:r>
      <w:r>
        <w:rPr>
          <w:caps w:val="0"/>
        </w:rPr>
        <w:fldChar w:fldCharType="begin"/>
      </w:r>
      <w:r>
        <w:rPr>
          <w:caps w:val="0"/>
        </w:rPr>
        <w:instrText xml:space="preserve"> PAGEREF _Toc149766378 \h </w:instrText>
      </w:r>
      <w:r>
        <w:rPr>
          <w:caps w:val="0"/>
        </w:rPr>
        <w:fldChar w:fldCharType="separate"/>
      </w:r>
      <w:r>
        <w:rPr>
          <w:caps w:val="0"/>
        </w:rPr>
        <w:t>4</w:t>
      </w:r>
      <w:r>
        <w:rPr>
          <w:caps w:val="0"/>
        </w:rPr>
        <w:fldChar w:fldCharType="end"/>
      </w:r>
      <w:r>
        <w:rPr>
          <w:caps w:val="0"/>
        </w:rPr>
        <w:fldChar w:fldCharType="end"/>
      </w:r>
    </w:p>
    <w:p>
      <w:pPr>
        <w:pStyle w:val="25"/>
        <w:rPr>
          <w:smallCaps w:val="0"/>
          <w:sz w:val="24"/>
          <w:szCs w:val="24"/>
        </w:rPr>
      </w:pPr>
      <w:r>
        <w:fldChar w:fldCharType="begin"/>
      </w:r>
      <w:r>
        <w:instrText xml:space="preserve"> HYPERLINK \l "_Toc149766379" </w:instrText>
      </w:r>
      <w:r>
        <w:fldChar w:fldCharType="separate"/>
      </w:r>
      <w:r>
        <w:rPr>
          <w:rStyle w:val="37"/>
          <w:rFonts w:eastAsia="黑体"/>
          <w:smallCaps w:val="0"/>
          <w:color w:val="auto"/>
          <w:sz w:val="24"/>
          <w:szCs w:val="24"/>
        </w:rPr>
        <w:t>3.1　</w:t>
      </w:r>
      <w:r>
        <w:rPr>
          <w:rStyle w:val="37"/>
          <w:rFonts w:hint="eastAsia" w:eastAsia="黑体"/>
          <w:smallCaps w:val="0"/>
          <w:color w:val="auto"/>
          <w:sz w:val="24"/>
          <w:szCs w:val="24"/>
        </w:rPr>
        <w:t>Material strenght grade</w:t>
      </w:r>
      <w:r>
        <w:rPr>
          <w:smallCaps w:val="0"/>
          <w:sz w:val="24"/>
          <w:szCs w:val="24"/>
        </w:rPr>
        <w:tab/>
      </w:r>
      <w:r>
        <w:rPr>
          <w:smallCaps w:val="0"/>
          <w:sz w:val="24"/>
          <w:szCs w:val="24"/>
        </w:rPr>
        <w:fldChar w:fldCharType="begin"/>
      </w:r>
      <w:r>
        <w:rPr>
          <w:smallCaps w:val="0"/>
          <w:sz w:val="24"/>
          <w:szCs w:val="24"/>
        </w:rPr>
        <w:instrText xml:space="preserve"> PAGEREF _Toc149766379 \h </w:instrText>
      </w:r>
      <w:r>
        <w:rPr>
          <w:smallCaps w:val="0"/>
          <w:sz w:val="24"/>
          <w:szCs w:val="24"/>
        </w:rPr>
        <w:fldChar w:fldCharType="separate"/>
      </w:r>
      <w:r>
        <w:rPr>
          <w:smallCaps w:val="0"/>
          <w:sz w:val="24"/>
          <w:szCs w:val="24"/>
        </w:rPr>
        <w:t>4</w:t>
      </w:r>
      <w:r>
        <w:rPr>
          <w:smallCaps w:val="0"/>
          <w:sz w:val="24"/>
          <w:szCs w:val="24"/>
        </w:rPr>
        <w:fldChar w:fldCharType="end"/>
      </w:r>
      <w:r>
        <w:rPr>
          <w:smallCaps w:val="0"/>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"_Toc149766380" </w:instrText>
      </w:r>
      <w:r>
        <w:fldChar w:fldCharType="separate"/>
      </w:r>
      <w:r>
        <w:rPr>
          <w:rStyle w:val="37"/>
          <w:rFonts w:eastAsia="黑体"/>
          <w:smallCaps w:val="0"/>
          <w:color w:val="auto"/>
          <w:sz w:val="24"/>
          <w:szCs w:val="24"/>
        </w:rPr>
        <w:t>3.2　</w:t>
      </w:r>
      <w:r>
        <w:rPr>
          <w:rStyle w:val="37"/>
          <w:rFonts w:hint="eastAsia" w:eastAsia="黑体"/>
          <w:smallCaps w:val="0"/>
          <w:color w:val="auto"/>
          <w:sz w:val="24"/>
          <w:szCs w:val="24"/>
        </w:rPr>
        <w:t>Calculation indicators of masonry</w:t>
      </w:r>
      <w:r>
        <w:rPr>
          <w:rStyle w:val="37"/>
          <w:rFonts w:eastAsia="黑体"/>
          <w:smallCaps w:val="0"/>
          <w:color w:val="auto"/>
          <w:sz w:val="24"/>
          <w:szCs w:val="24"/>
        </w:rPr>
        <w:t xml:space="preserve"> </w:t>
      </w:r>
      <w:r>
        <w:rPr>
          <w:rStyle w:val="37"/>
          <w:rFonts w:hint="eastAsia" w:eastAsia="黑体"/>
          <w:smallCaps w:val="0"/>
          <w:color w:val="auto"/>
          <w:sz w:val="24"/>
          <w:szCs w:val="24"/>
        </w:rPr>
        <w:t>with mold shell blocks</w:t>
      </w:r>
      <w:r>
        <w:rPr>
          <w:smallCaps w:val="0"/>
          <w:sz w:val="24"/>
          <w:szCs w:val="24"/>
        </w:rPr>
        <w:tab/>
      </w:r>
      <w:r>
        <w:rPr>
          <w:smallCaps w:val="0"/>
          <w:sz w:val="24"/>
          <w:szCs w:val="24"/>
        </w:rPr>
        <w:fldChar w:fldCharType="begin"/>
      </w:r>
      <w:r>
        <w:rPr>
          <w:smallCaps w:val="0"/>
          <w:sz w:val="24"/>
          <w:szCs w:val="24"/>
        </w:rPr>
        <w:instrText xml:space="preserve"> PAGEREF _Toc149766380 \h </w:instrText>
      </w:r>
      <w:r>
        <w:rPr>
          <w:smallCaps w:val="0"/>
          <w:sz w:val="24"/>
          <w:szCs w:val="24"/>
        </w:rPr>
        <w:fldChar w:fldCharType="separate"/>
      </w:r>
      <w:r>
        <w:rPr>
          <w:smallCaps w:val="0"/>
          <w:sz w:val="24"/>
          <w:szCs w:val="24"/>
        </w:rPr>
        <w:t>4</w:t>
      </w:r>
      <w:r>
        <w:rPr>
          <w:smallCaps w:val="0"/>
          <w:sz w:val="24"/>
          <w:szCs w:val="24"/>
        </w:rPr>
        <w:fldChar w:fldCharType="end"/>
      </w:r>
      <w:r>
        <w:rPr>
          <w:smallCaps w:val="0"/>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"_Toc149766381" </w:instrText>
      </w:r>
      <w:r>
        <w:fldChar w:fldCharType="separate"/>
      </w:r>
      <w:r>
        <w:rPr>
          <w:rStyle w:val="37"/>
          <w:caps w:val="0"/>
          <w:color w:val="auto"/>
        </w:rPr>
        <w:t>4　</w:t>
      </w:r>
      <w:r>
        <w:rPr>
          <w:rStyle w:val="37"/>
          <w:rFonts w:hint="eastAsia"/>
          <w:caps w:val="0"/>
          <w:color w:val="auto"/>
        </w:rPr>
        <w:t>Construction</w:t>
      </w:r>
      <w:r>
        <w:rPr>
          <w:rStyle w:val="37"/>
          <w:caps w:val="0"/>
          <w:color w:val="auto"/>
        </w:rPr>
        <w:t>al</w:t>
      </w:r>
      <w:r>
        <w:rPr>
          <w:rStyle w:val="37"/>
          <w:rFonts w:hint="eastAsia"/>
          <w:caps w:val="0"/>
          <w:color w:val="auto"/>
        </w:rPr>
        <w:t xml:space="preserve"> design</w:t>
      </w:r>
      <w:r>
        <w:rPr>
          <w:caps w:val="0"/>
        </w:rPr>
        <w:tab/>
      </w:r>
      <w:r>
        <w:rPr>
          <w:caps w:val="0"/>
        </w:rPr>
        <w:fldChar w:fldCharType="begin"/>
      </w:r>
      <w:r>
        <w:rPr>
          <w:caps w:val="0"/>
        </w:rPr>
        <w:instrText xml:space="preserve"> PAGEREF _Toc149766381 \h </w:instrText>
      </w:r>
      <w:r>
        <w:rPr>
          <w:caps w:val="0"/>
        </w:rPr>
        <w:fldChar w:fldCharType="separate"/>
      </w:r>
      <w:r>
        <w:rPr>
          <w:caps w:val="0"/>
        </w:rPr>
        <w:t>6</w:t>
      </w:r>
      <w:r>
        <w:rPr>
          <w:caps w:val="0"/>
        </w:rPr>
        <w:fldChar w:fldCharType="end"/>
      </w:r>
      <w:r>
        <w:rPr>
          <w:caps w:val="0"/>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"_Toc149766382" </w:instrText>
      </w:r>
      <w:r>
        <w:fldChar w:fldCharType="separate"/>
      </w:r>
      <w:r>
        <w:rPr>
          <w:rStyle w:val="37"/>
          <w:caps w:val="0"/>
          <w:color w:val="auto"/>
        </w:rPr>
        <w:t>5　</w:t>
      </w:r>
      <w:r>
        <w:rPr>
          <w:rStyle w:val="37"/>
          <w:rFonts w:hint="eastAsia"/>
          <w:caps w:val="0"/>
          <w:color w:val="auto"/>
        </w:rPr>
        <w:t>Structural design</w:t>
      </w:r>
      <w:r>
        <w:rPr>
          <w:caps w:val="0"/>
        </w:rPr>
        <w:tab/>
      </w:r>
      <w:r>
        <w:rPr>
          <w:caps w:val="0"/>
        </w:rPr>
        <w:fldChar w:fldCharType="begin"/>
      </w:r>
      <w:r>
        <w:rPr>
          <w:caps w:val="0"/>
        </w:rPr>
        <w:instrText xml:space="preserve"> PAGEREF _Toc149766382 \h </w:instrText>
      </w:r>
      <w:r>
        <w:rPr>
          <w:caps w:val="0"/>
        </w:rPr>
        <w:fldChar w:fldCharType="separate"/>
      </w:r>
      <w:r>
        <w:rPr>
          <w:caps w:val="0"/>
        </w:rPr>
        <w:t>8</w:t>
      </w:r>
      <w:r>
        <w:rPr>
          <w:caps w:val="0"/>
        </w:rPr>
        <w:fldChar w:fldCharType="end"/>
      </w:r>
      <w:r>
        <w:rPr>
          <w:caps w:val="0"/>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"_Toc149766383" </w:instrText>
      </w:r>
      <w:r>
        <w:fldChar w:fldCharType="separate"/>
      </w:r>
      <w:r>
        <w:rPr>
          <w:rStyle w:val="37"/>
          <w:rFonts w:eastAsia="黑体"/>
          <w:smallCaps w:val="0"/>
          <w:color w:val="auto"/>
          <w:sz w:val="24"/>
          <w:szCs w:val="24"/>
        </w:rPr>
        <w:t>5.1　</w:t>
      </w:r>
      <w:r>
        <w:rPr>
          <w:rStyle w:val="37"/>
          <w:rFonts w:hint="eastAsia"/>
          <w:bCs/>
          <w:smallCaps w:val="0"/>
          <w:color w:val="auto"/>
          <w:sz w:val="24"/>
          <w:szCs w:val="24"/>
        </w:rPr>
        <w:t>General requirements</w:t>
      </w:r>
      <w:r>
        <w:rPr>
          <w:smallCaps w:val="0"/>
          <w:sz w:val="24"/>
          <w:szCs w:val="24"/>
        </w:rPr>
        <w:tab/>
      </w:r>
      <w:r>
        <w:rPr>
          <w:smallCaps w:val="0"/>
          <w:sz w:val="24"/>
          <w:szCs w:val="24"/>
        </w:rPr>
        <w:fldChar w:fldCharType="begin"/>
      </w:r>
      <w:r>
        <w:rPr>
          <w:smallCaps w:val="0"/>
          <w:sz w:val="24"/>
          <w:szCs w:val="24"/>
        </w:rPr>
        <w:instrText xml:space="preserve"> PAGEREF _Toc149766383 \h </w:instrText>
      </w:r>
      <w:r>
        <w:rPr>
          <w:smallCaps w:val="0"/>
          <w:sz w:val="24"/>
          <w:szCs w:val="24"/>
        </w:rPr>
        <w:fldChar w:fldCharType="separate"/>
      </w:r>
      <w:r>
        <w:rPr>
          <w:smallCaps w:val="0"/>
          <w:sz w:val="24"/>
          <w:szCs w:val="24"/>
        </w:rPr>
        <w:t>8</w:t>
      </w:r>
      <w:r>
        <w:rPr>
          <w:smallCaps w:val="0"/>
          <w:sz w:val="24"/>
          <w:szCs w:val="24"/>
        </w:rPr>
        <w:fldChar w:fldCharType="end"/>
      </w:r>
      <w:r>
        <w:rPr>
          <w:smallCaps w:val="0"/>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"_Toc149766384" </w:instrText>
      </w:r>
      <w:r>
        <w:fldChar w:fldCharType="separate"/>
      </w:r>
      <w:r>
        <w:rPr>
          <w:rStyle w:val="37"/>
          <w:rFonts w:eastAsia="黑体"/>
          <w:smallCaps w:val="0"/>
          <w:color w:val="auto"/>
          <w:sz w:val="24"/>
          <w:szCs w:val="24"/>
        </w:rPr>
        <w:t>5.2　</w:t>
      </w:r>
      <w:r>
        <w:rPr>
          <w:rStyle w:val="37"/>
          <w:rFonts w:hint="eastAsia"/>
          <w:bCs/>
          <w:smallCaps w:val="0"/>
          <w:color w:val="auto"/>
          <w:sz w:val="24"/>
          <w:szCs w:val="24"/>
        </w:rPr>
        <w:t>Mold shell block design</w:t>
      </w:r>
      <w:r>
        <w:rPr>
          <w:smallCaps w:val="0"/>
          <w:sz w:val="24"/>
          <w:szCs w:val="24"/>
        </w:rPr>
        <w:tab/>
      </w:r>
      <w:r>
        <w:rPr>
          <w:smallCaps w:val="0"/>
          <w:sz w:val="24"/>
          <w:szCs w:val="24"/>
        </w:rPr>
        <w:fldChar w:fldCharType="begin"/>
      </w:r>
      <w:r>
        <w:rPr>
          <w:smallCaps w:val="0"/>
          <w:sz w:val="24"/>
          <w:szCs w:val="24"/>
        </w:rPr>
        <w:instrText xml:space="preserve"> PAGEREF _Toc149766384 \h </w:instrText>
      </w:r>
      <w:r>
        <w:rPr>
          <w:smallCaps w:val="0"/>
          <w:sz w:val="24"/>
          <w:szCs w:val="24"/>
        </w:rPr>
        <w:fldChar w:fldCharType="separate"/>
      </w:r>
      <w:r>
        <w:rPr>
          <w:smallCaps w:val="0"/>
          <w:sz w:val="24"/>
          <w:szCs w:val="24"/>
        </w:rPr>
        <w:t>11</w:t>
      </w:r>
      <w:r>
        <w:rPr>
          <w:smallCaps w:val="0"/>
          <w:sz w:val="24"/>
          <w:szCs w:val="24"/>
        </w:rPr>
        <w:fldChar w:fldCharType="end"/>
      </w:r>
      <w:r>
        <w:rPr>
          <w:smallCaps w:val="0"/>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"_Toc149766385" </w:instrText>
      </w:r>
      <w:r>
        <w:fldChar w:fldCharType="separate"/>
      </w:r>
      <w:r>
        <w:rPr>
          <w:rStyle w:val="37"/>
          <w:rFonts w:eastAsia="黑体"/>
          <w:smallCaps w:val="0"/>
          <w:color w:val="auto"/>
          <w:sz w:val="24"/>
          <w:szCs w:val="24"/>
        </w:rPr>
        <w:t>5.3　</w:t>
      </w:r>
      <w:r>
        <w:rPr>
          <w:rStyle w:val="37"/>
          <w:rFonts w:hint="eastAsia" w:eastAsiaTheme="majorEastAsia"/>
          <w:bCs/>
          <w:smallCaps w:val="0"/>
          <w:color w:val="auto"/>
          <w:sz w:val="24"/>
          <w:szCs w:val="24"/>
        </w:rPr>
        <w:t>Calculation of bearing capacity</w:t>
      </w:r>
      <w:r>
        <w:rPr>
          <w:smallCaps w:val="0"/>
          <w:sz w:val="24"/>
          <w:szCs w:val="24"/>
        </w:rPr>
        <w:tab/>
      </w:r>
      <w:r>
        <w:rPr>
          <w:smallCaps w:val="0"/>
          <w:sz w:val="24"/>
          <w:szCs w:val="24"/>
        </w:rPr>
        <w:fldChar w:fldCharType="begin"/>
      </w:r>
      <w:r>
        <w:rPr>
          <w:smallCaps w:val="0"/>
          <w:sz w:val="24"/>
          <w:szCs w:val="24"/>
        </w:rPr>
        <w:instrText xml:space="preserve"> PAGEREF _Toc149766385 \h </w:instrText>
      </w:r>
      <w:r>
        <w:rPr>
          <w:smallCaps w:val="0"/>
          <w:sz w:val="24"/>
          <w:szCs w:val="24"/>
        </w:rPr>
        <w:fldChar w:fldCharType="separate"/>
      </w:r>
      <w:r>
        <w:rPr>
          <w:smallCaps w:val="0"/>
          <w:sz w:val="24"/>
          <w:szCs w:val="24"/>
        </w:rPr>
        <w:t>11</w:t>
      </w:r>
      <w:r>
        <w:rPr>
          <w:smallCaps w:val="0"/>
          <w:sz w:val="24"/>
          <w:szCs w:val="24"/>
        </w:rPr>
        <w:fldChar w:fldCharType="end"/>
      </w:r>
      <w:r>
        <w:rPr>
          <w:smallCaps w:val="0"/>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"_Toc149766386" </w:instrText>
      </w:r>
      <w:r>
        <w:fldChar w:fldCharType="separate"/>
      </w:r>
      <w:r>
        <w:rPr>
          <w:rStyle w:val="37"/>
          <w:rFonts w:eastAsia="黑体"/>
          <w:smallCaps w:val="0"/>
          <w:color w:val="auto"/>
          <w:sz w:val="24"/>
          <w:szCs w:val="24"/>
        </w:rPr>
        <w:t>5.4　</w:t>
      </w:r>
      <w:r>
        <w:rPr>
          <w:rStyle w:val="37"/>
          <w:rFonts w:hint="eastAsia"/>
          <w:bCs/>
          <w:smallCaps w:val="0"/>
          <w:color w:val="auto"/>
          <w:sz w:val="24"/>
          <w:szCs w:val="24"/>
        </w:rPr>
        <w:t>Structural design</w:t>
      </w:r>
      <w:r>
        <w:rPr>
          <w:smallCaps w:val="0"/>
          <w:sz w:val="24"/>
          <w:szCs w:val="24"/>
        </w:rPr>
        <w:tab/>
      </w:r>
      <w:r>
        <w:rPr>
          <w:smallCaps w:val="0"/>
          <w:sz w:val="24"/>
          <w:szCs w:val="24"/>
        </w:rPr>
        <w:fldChar w:fldCharType="begin"/>
      </w:r>
      <w:r>
        <w:rPr>
          <w:smallCaps w:val="0"/>
          <w:sz w:val="24"/>
          <w:szCs w:val="24"/>
        </w:rPr>
        <w:instrText xml:space="preserve"> PAGEREF _Toc149766386 \h </w:instrText>
      </w:r>
      <w:r>
        <w:rPr>
          <w:smallCaps w:val="0"/>
          <w:sz w:val="24"/>
          <w:szCs w:val="24"/>
        </w:rPr>
        <w:fldChar w:fldCharType="separate"/>
      </w:r>
      <w:r>
        <w:rPr>
          <w:smallCaps w:val="0"/>
          <w:sz w:val="24"/>
          <w:szCs w:val="24"/>
        </w:rPr>
        <w:t>1</w:t>
      </w:r>
      <w:r>
        <w:rPr>
          <w:smallCaps w:val="0"/>
          <w:sz w:val="24"/>
          <w:szCs w:val="24"/>
        </w:rPr>
        <w:fldChar w:fldCharType="end"/>
      </w:r>
      <w:r>
        <w:rPr>
          <w:smallCaps w:val="0"/>
          <w:sz w:val="24"/>
          <w:szCs w:val="24"/>
        </w:rPr>
        <w:fldChar w:fldCharType="end"/>
      </w:r>
      <w:r>
        <w:rPr>
          <w:smallCaps w:val="0"/>
          <w:sz w:val="24"/>
          <w:szCs w:val="24"/>
        </w:rPr>
        <w:t>5</w:t>
      </w:r>
    </w:p>
    <w:p>
      <w:pPr>
        <w:pStyle w:val="25"/>
        <w:rPr>
          <w:smallCaps w:val="0"/>
          <w:sz w:val="24"/>
          <w:szCs w:val="24"/>
        </w:rPr>
      </w:pPr>
      <w:r>
        <w:fldChar w:fldCharType="begin"/>
      </w:r>
      <w:r>
        <w:instrText xml:space="preserve"> HYPERLINK \l "_Toc149766387" </w:instrText>
      </w:r>
      <w:r>
        <w:fldChar w:fldCharType="separate"/>
      </w:r>
      <w:r>
        <w:rPr>
          <w:rStyle w:val="37"/>
          <w:rFonts w:eastAsia="黑体"/>
          <w:smallCaps w:val="0"/>
          <w:color w:val="auto"/>
          <w:sz w:val="24"/>
          <w:szCs w:val="24"/>
        </w:rPr>
        <w:t>5.5　</w:t>
      </w:r>
      <w:r>
        <w:rPr>
          <w:rStyle w:val="37"/>
          <w:rFonts w:hint="eastAsia" w:eastAsia="黑体"/>
          <w:smallCaps w:val="0"/>
          <w:color w:val="auto"/>
          <w:sz w:val="24"/>
          <w:szCs w:val="24"/>
        </w:rPr>
        <w:t>Floor and stair</w:t>
      </w:r>
      <w:r>
        <w:rPr>
          <w:smallCaps w:val="0"/>
          <w:sz w:val="24"/>
          <w:szCs w:val="24"/>
        </w:rPr>
        <w:tab/>
      </w:r>
      <w:r>
        <w:rPr>
          <w:smallCaps w:val="0"/>
          <w:sz w:val="24"/>
          <w:szCs w:val="24"/>
        </w:rPr>
        <w:fldChar w:fldCharType="begin"/>
      </w:r>
      <w:r>
        <w:rPr>
          <w:smallCaps w:val="0"/>
          <w:sz w:val="24"/>
          <w:szCs w:val="24"/>
        </w:rPr>
        <w:instrText xml:space="preserve"> PAGEREF _Toc149766387 \h </w:instrText>
      </w:r>
      <w:r>
        <w:rPr>
          <w:smallCaps w:val="0"/>
          <w:sz w:val="24"/>
          <w:szCs w:val="24"/>
        </w:rPr>
        <w:fldChar w:fldCharType="separate"/>
      </w:r>
      <w:r>
        <w:rPr>
          <w:smallCaps w:val="0"/>
          <w:sz w:val="24"/>
          <w:szCs w:val="24"/>
        </w:rPr>
        <w:t>21</w:t>
      </w:r>
      <w:r>
        <w:rPr>
          <w:smallCaps w:val="0"/>
          <w:sz w:val="24"/>
          <w:szCs w:val="24"/>
        </w:rPr>
        <w:fldChar w:fldCharType="end"/>
      </w:r>
      <w:r>
        <w:rPr>
          <w:smallCaps w:val="0"/>
          <w:sz w:val="24"/>
          <w:szCs w:val="24"/>
        </w:rPr>
        <w:fldChar w:fldCharType="end"/>
      </w:r>
    </w:p>
    <w:p>
      <w:pPr>
        <w:pStyle w:val="21"/>
        <w:rPr>
          <w:rStyle w:val="37"/>
          <w:smallCaps/>
          <w:color w:val="auto"/>
          <w:u w:val="none"/>
        </w:rPr>
      </w:pPr>
      <w:r>
        <w:rPr>
          <w:rStyle w:val="37"/>
          <w:caps w:val="0"/>
          <w:color w:val="auto"/>
          <w:u w:val="none"/>
        </w:rPr>
        <w:t>6</w:t>
      </w:r>
      <w:r>
        <w:rPr>
          <w:rStyle w:val="37"/>
          <w:rFonts w:hint="eastAsia"/>
          <w:caps w:val="0"/>
          <w:color w:val="auto"/>
          <w:u w:val="none"/>
        </w:rPr>
        <w:t>　</w:t>
      </w:r>
      <w:r>
        <w:rPr>
          <w:rStyle w:val="37"/>
          <w:caps w:val="0"/>
          <w:color w:val="auto"/>
          <w:u w:val="none"/>
        </w:rPr>
        <w:t>Construction and transportation of concrete mold shell blocks          2</w:t>
      </w:r>
      <w:r>
        <w:rPr>
          <w:rStyle w:val="37"/>
          <w:rFonts w:hint="eastAsia"/>
          <w:caps w:val="0"/>
          <w:color w:val="auto"/>
          <w:u w:val="none"/>
        </w:rPr>
        <w:t>5</w:t>
      </w:r>
    </w:p>
    <w:p>
      <w:pPr>
        <w:pStyle w:val="21"/>
        <w:rPr>
          <w:rFonts w:asciiTheme="minorHAnsi" w:hAnsiTheme="minorHAnsi" w:cstheme="minorBidi"/>
          <w:b w:val="0"/>
          <w:bCs w:val="0"/>
          <w:caps w:val="0"/>
          <w14:ligatures w14:val="standardContextual"/>
        </w:rPr>
      </w:pPr>
      <w:r>
        <w:fldChar w:fldCharType="begin"/>
      </w:r>
      <w:r>
        <w:instrText xml:space="preserve"> HYPERLINK \l "_Toc149766388" </w:instrText>
      </w:r>
      <w:r>
        <w:fldChar w:fldCharType="separate"/>
      </w:r>
      <w:r>
        <w:rPr>
          <w:rStyle w:val="37"/>
          <w:caps w:val="0"/>
          <w:color w:val="auto"/>
        </w:rPr>
        <w:t>7　</w:t>
      </w:r>
      <w:r>
        <w:rPr>
          <w:rStyle w:val="37"/>
          <w:rFonts w:hint="eastAsia"/>
          <w:caps w:val="0"/>
          <w:color w:val="auto"/>
        </w:rPr>
        <w:t>Construction and acceptance</w:t>
      </w:r>
      <w:r>
        <w:rPr>
          <w:caps w:val="0"/>
        </w:rPr>
        <w:tab/>
      </w:r>
      <w:r>
        <w:rPr>
          <w:caps w:val="0"/>
        </w:rPr>
        <w:fldChar w:fldCharType="begin"/>
      </w:r>
      <w:r>
        <w:rPr>
          <w:caps w:val="0"/>
        </w:rPr>
        <w:instrText xml:space="preserve"> PAGEREF _Toc149766388 \h </w:instrText>
      </w:r>
      <w:r>
        <w:rPr>
          <w:caps w:val="0"/>
        </w:rPr>
        <w:fldChar w:fldCharType="separate"/>
      </w:r>
      <w:r>
        <w:rPr>
          <w:caps w:val="0"/>
        </w:rPr>
        <w:t>2</w:t>
      </w:r>
      <w:r>
        <w:rPr>
          <w:rFonts w:hint="eastAsia"/>
          <w:caps w:val="0"/>
        </w:rPr>
        <w:t>8</w:t>
      </w:r>
      <w:r>
        <w:rPr>
          <w:caps w:val="0"/>
        </w:rPr>
        <w:fldChar w:fldCharType="end"/>
      </w:r>
      <w:r>
        <w:rPr>
          <w:caps w:val="0"/>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"_Toc149766389" </w:instrText>
      </w:r>
      <w:r>
        <w:fldChar w:fldCharType="separate"/>
      </w:r>
      <w:r>
        <w:rPr>
          <w:rStyle w:val="37"/>
          <w:rFonts w:eastAsia="黑体"/>
          <w:smallCaps w:val="0"/>
          <w:color w:val="auto"/>
          <w:sz w:val="24"/>
          <w:szCs w:val="24"/>
        </w:rPr>
        <w:t>7.1　</w:t>
      </w:r>
      <w:r>
        <w:rPr>
          <w:rStyle w:val="37"/>
          <w:rFonts w:hint="eastAsia"/>
          <w:bCs/>
          <w:smallCaps w:val="0"/>
          <w:color w:val="auto"/>
          <w:sz w:val="24"/>
          <w:szCs w:val="24"/>
        </w:rPr>
        <w:t>General r</w:t>
      </w:r>
      <w:r>
        <w:rPr>
          <w:rStyle w:val="37"/>
          <w:bCs/>
          <w:smallCaps w:val="0"/>
          <w:color w:val="auto"/>
          <w:sz w:val="24"/>
          <w:szCs w:val="24"/>
        </w:rPr>
        <w:t>equirements</w:t>
      </w:r>
      <w:r>
        <w:rPr>
          <w:smallCaps w:val="0"/>
          <w:sz w:val="24"/>
          <w:szCs w:val="24"/>
        </w:rPr>
        <w:tab/>
      </w:r>
      <w:r>
        <w:rPr>
          <w:smallCaps w:val="0"/>
          <w:sz w:val="24"/>
          <w:szCs w:val="24"/>
        </w:rPr>
        <w:fldChar w:fldCharType="begin"/>
      </w:r>
      <w:r>
        <w:rPr>
          <w:smallCaps w:val="0"/>
          <w:sz w:val="24"/>
          <w:szCs w:val="24"/>
        </w:rPr>
        <w:instrText xml:space="preserve"> PAGEREF _Toc149766389 \h </w:instrText>
      </w:r>
      <w:r>
        <w:rPr>
          <w:smallCaps w:val="0"/>
          <w:sz w:val="24"/>
          <w:szCs w:val="24"/>
        </w:rPr>
        <w:fldChar w:fldCharType="separate"/>
      </w:r>
      <w:r>
        <w:rPr>
          <w:smallCaps w:val="0"/>
          <w:sz w:val="24"/>
          <w:szCs w:val="24"/>
        </w:rPr>
        <w:t>28</w:t>
      </w:r>
      <w:r>
        <w:rPr>
          <w:smallCaps w:val="0"/>
          <w:sz w:val="24"/>
          <w:szCs w:val="24"/>
        </w:rPr>
        <w:fldChar w:fldCharType="end"/>
      </w:r>
      <w:r>
        <w:rPr>
          <w:smallCaps w:val="0"/>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"_Toc149766390" </w:instrText>
      </w:r>
      <w:r>
        <w:fldChar w:fldCharType="separate"/>
      </w:r>
      <w:r>
        <w:rPr>
          <w:rStyle w:val="37"/>
          <w:rFonts w:eastAsia="黑体"/>
          <w:smallCaps w:val="0"/>
          <w:color w:val="auto"/>
          <w:sz w:val="24"/>
          <w:szCs w:val="24"/>
        </w:rPr>
        <w:t>7.2　</w:t>
      </w:r>
      <w:r>
        <w:rPr>
          <w:rStyle w:val="37"/>
          <w:rFonts w:hint="eastAsia" w:eastAsia="黑体"/>
          <w:smallCaps w:val="0"/>
          <w:color w:val="auto"/>
          <w:sz w:val="24"/>
          <w:szCs w:val="24"/>
        </w:rPr>
        <w:t>Construction quality inspection</w:t>
      </w:r>
      <w:r>
        <w:rPr>
          <w:smallCaps w:val="0"/>
          <w:sz w:val="24"/>
          <w:szCs w:val="24"/>
        </w:rPr>
        <w:tab/>
      </w:r>
      <w:r>
        <w:rPr>
          <w:smallCaps w:val="0"/>
          <w:sz w:val="24"/>
          <w:szCs w:val="24"/>
        </w:rPr>
        <w:fldChar w:fldCharType="begin"/>
      </w:r>
      <w:r>
        <w:rPr>
          <w:smallCaps w:val="0"/>
          <w:sz w:val="24"/>
          <w:szCs w:val="24"/>
        </w:rPr>
        <w:instrText xml:space="preserve"> PAGEREF _Toc149766390 \h </w:instrText>
      </w:r>
      <w:r>
        <w:rPr>
          <w:smallCaps w:val="0"/>
          <w:sz w:val="24"/>
          <w:szCs w:val="24"/>
        </w:rPr>
        <w:fldChar w:fldCharType="separate"/>
      </w:r>
      <w:r>
        <w:rPr>
          <w:smallCaps w:val="0"/>
          <w:sz w:val="24"/>
          <w:szCs w:val="24"/>
        </w:rPr>
        <w:t>29</w:t>
      </w:r>
      <w:r>
        <w:rPr>
          <w:smallCaps w:val="0"/>
          <w:sz w:val="24"/>
          <w:szCs w:val="24"/>
        </w:rPr>
        <w:fldChar w:fldCharType="end"/>
      </w:r>
      <w:r>
        <w:rPr>
          <w:smallCaps w:val="0"/>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"_Toc149766391" </w:instrText>
      </w:r>
      <w:r>
        <w:fldChar w:fldCharType="separate"/>
      </w:r>
      <w:r>
        <w:rPr>
          <w:rStyle w:val="37"/>
          <w:rFonts w:eastAsia="黑体"/>
          <w:smallCaps w:val="0"/>
          <w:color w:val="auto"/>
          <w:sz w:val="24"/>
          <w:szCs w:val="24"/>
        </w:rPr>
        <w:t>7.3　</w:t>
      </w:r>
      <w:r>
        <w:rPr>
          <w:rStyle w:val="37"/>
          <w:rFonts w:hint="eastAsia" w:eastAsia="黑体"/>
          <w:smallCaps w:val="0"/>
          <w:color w:val="auto"/>
          <w:sz w:val="24"/>
          <w:szCs w:val="24"/>
        </w:rPr>
        <w:t>Keyp points of construction acceptance</w:t>
      </w:r>
      <w:r>
        <w:rPr>
          <w:smallCaps w:val="0"/>
          <w:sz w:val="24"/>
          <w:szCs w:val="24"/>
        </w:rPr>
        <w:tab/>
      </w:r>
      <w:r>
        <w:rPr>
          <w:smallCaps w:val="0"/>
          <w:sz w:val="24"/>
          <w:szCs w:val="24"/>
        </w:rPr>
        <w:t>3</w:t>
      </w:r>
      <w:r>
        <w:rPr>
          <w:rFonts w:hint="eastAsia"/>
          <w:smallCaps w:val="0"/>
          <w:sz w:val="24"/>
          <w:szCs w:val="24"/>
        </w:rPr>
        <w:t>0</w:t>
      </w:r>
      <w:r>
        <w:rPr>
          <w:rFonts w:hint="eastAsia"/>
          <w:smallCaps w:val="0"/>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"_Toc149766392" </w:instrText>
      </w:r>
      <w:r>
        <w:fldChar w:fldCharType="separate"/>
      </w:r>
      <w:r>
        <w:rPr>
          <w:rStyle w:val="37"/>
          <w:rFonts w:hint="eastAsia"/>
          <w:caps w:val="0"/>
          <w:color w:val="auto"/>
        </w:rPr>
        <w:t xml:space="preserve">Appendix </w:t>
      </w:r>
      <w:r>
        <w:rPr>
          <w:rStyle w:val="37"/>
          <w:caps w:val="0"/>
          <w:color w:val="auto"/>
        </w:rPr>
        <w:t>A　</w:t>
      </w:r>
      <w:r>
        <w:rPr>
          <w:rStyle w:val="37"/>
          <w:rFonts w:hint="eastAsia"/>
          <w:caps w:val="0"/>
          <w:color w:val="auto"/>
        </w:rPr>
        <w:t>Specification of commonly used mold shell blocks</w:t>
      </w:r>
      <w:r>
        <w:rPr>
          <w:caps w:val="0"/>
        </w:rPr>
        <w:tab/>
      </w:r>
      <w:r>
        <w:rPr>
          <w:caps w:val="0"/>
        </w:rPr>
        <w:fldChar w:fldCharType="begin"/>
      </w:r>
      <w:r>
        <w:rPr>
          <w:caps w:val="0"/>
        </w:rPr>
        <w:instrText xml:space="preserve"> PAGEREF _Toc149766392 \h </w:instrText>
      </w:r>
      <w:r>
        <w:rPr>
          <w:caps w:val="0"/>
        </w:rPr>
        <w:fldChar w:fldCharType="separate"/>
      </w:r>
      <w:r>
        <w:rPr>
          <w:caps w:val="0"/>
        </w:rPr>
        <w:t>32</w:t>
      </w:r>
      <w:r>
        <w:rPr>
          <w:caps w:val="0"/>
        </w:rPr>
        <w:fldChar w:fldCharType="end"/>
      </w:r>
      <w:r>
        <w:rPr>
          <w:caps w:val="0"/>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"_Toc149766393" </w:instrText>
      </w:r>
      <w:r>
        <w:fldChar w:fldCharType="separate"/>
      </w:r>
      <w:r>
        <w:rPr>
          <w:rStyle w:val="37"/>
          <w:caps w:val="0"/>
          <w:color w:val="auto"/>
        </w:rPr>
        <w:t>Explanation of wording</w:t>
      </w:r>
      <w:r>
        <w:rPr>
          <w:caps w:val="0"/>
        </w:rPr>
        <w:tab/>
      </w:r>
      <w:r>
        <w:rPr>
          <w:caps w:val="0"/>
        </w:rPr>
        <w:fldChar w:fldCharType="begin"/>
      </w:r>
      <w:r>
        <w:rPr>
          <w:caps w:val="0"/>
        </w:rPr>
        <w:instrText xml:space="preserve"> PAGEREF _Toc149766393 \h </w:instrText>
      </w:r>
      <w:r>
        <w:rPr>
          <w:caps w:val="0"/>
        </w:rPr>
        <w:fldChar w:fldCharType="separate"/>
      </w:r>
      <w:r>
        <w:rPr>
          <w:caps w:val="0"/>
        </w:rPr>
        <w:t>34</w:t>
      </w:r>
      <w:r>
        <w:rPr>
          <w:caps w:val="0"/>
        </w:rPr>
        <w:fldChar w:fldCharType="end"/>
      </w:r>
      <w:r>
        <w:rPr>
          <w:caps w:val="0"/>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"_Toc149766394" </w:instrText>
      </w:r>
      <w:r>
        <w:fldChar w:fldCharType="separate"/>
      </w:r>
      <w:r>
        <w:rPr>
          <w:rStyle w:val="37"/>
          <w:caps w:val="0"/>
          <w:color w:val="auto"/>
        </w:rPr>
        <w:t>List of quoted standards</w:t>
      </w:r>
      <w:r>
        <w:rPr>
          <w:caps w:val="0"/>
        </w:rPr>
        <w:tab/>
      </w:r>
      <w:r>
        <w:rPr>
          <w:caps w:val="0"/>
        </w:rPr>
        <w:fldChar w:fldCharType="begin"/>
      </w:r>
      <w:r>
        <w:rPr>
          <w:caps w:val="0"/>
        </w:rPr>
        <w:instrText xml:space="preserve"> PAGEREF _Toc149766394 \h </w:instrText>
      </w:r>
      <w:r>
        <w:rPr>
          <w:caps w:val="0"/>
        </w:rPr>
        <w:fldChar w:fldCharType="separate"/>
      </w:r>
      <w:r>
        <w:rPr>
          <w:caps w:val="0"/>
        </w:rPr>
        <w:t>35</w:t>
      </w:r>
      <w:r>
        <w:rPr>
          <w:caps w:val="0"/>
        </w:rPr>
        <w:fldChar w:fldCharType="end"/>
      </w:r>
      <w:r>
        <w:rPr>
          <w:caps w:val="0"/>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"_Toc149766395" </w:instrText>
      </w:r>
      <w:r>
        <w:fldChar w:fldCharType="separate"/>
      </w:r>
      <w:r>
        <w:rPr>
          <w:rStyle w:val="37"/>
          <w:caps w:val="0"/>
          <w:color w:val="auto"/>
        </w:rPr>
        <w:t>Addition：Explanation of provisions</w:t>
      </w:r>
      <w:r>
        <w:rPr>
          <w:caps w:val="0"/>
        </w:rPr>
        <w:tab/>
      </w:r>
      <w:r>
        <w:rPr>
          <w:caps w:val="0"/>
        </w:rPr>
        <w:fldChar w:fldCharType="begin"/>
      </w:r>
      <w:r>
        <w:rPr>
          <w:caps w:val="0"/>
        </w:rPr>
        <w:instrText xml:space="preserve"> PAGEREF _Toc149766395 \h </w:instrText>
      </w:r>
      <w:r>
        <w:rPr>
          <w:caps w:val="0"/>
        </w:rPr>
        <w:fldChar w:fldCharType="separate"/>
      </w:r>
      <w:r>
        <w:rPr>
          <w:caps w:val="0"/>
        </w:rPr>
        <w:t>37</w:t>
      </w:r>
      <w:r>
        <w:rPr>
          <w:caps w:val="0"/>
        </w:rPr>
        <w:fldChar w:fldCharType="end"/>
      </w:r>
      <w:r>
        <w:rPr>
          <w:caps w:val="0"/>
        </w:rPr>
        <w:fldChar w:fldCharType="end"/>
      </w:r>
    </w:p>
    <w:p>
      <w:pPr>
        <w:pStyle w:val="25"/>
        <w:spacing w:line="336" w:lineRule="auto"/>
        <w:rPr>
          <w:b/>
          <w:bCs/>
        </w:rPr>
      </w:pPr>
      <w:r>
        <w:rPr>
          <w:smallCaps w:val="0"/>
          <w:sz w:val="24"/>
          <w:szCs w:val="24"/>
        </w:rPr>
        <w:fldChar w:fldCharType="end"/>
      </w:r>
    </w:p>
    <w:p/>
    <w:p>
      <w:pPr>
        <w:adjustRightInd w:val="0"/>
        <w:snapToGrid w:val="0"/>
        <w:spacing w:line="336" w:lineRule="auto"/>
        <w:jc w:val="center"/>
        <w:rPr>
          <w:rFonts w:eastAsiaTheme="minorEastAsia"/>
          <w:b/>
          <w:sz w:val="30"/>
          <w:szCs w:val="30"/>
        </w:rPr>
        <w:sectPr>
          <w:pgSz w:w="11907" w:h="16839"/>
          <w:pgMar w:top="1440" w:right="1800" w:bottom="1440" w:left="1800" w:header="851" w:footer="992" w:gutter="0"/>
          <w:pgNumType w:fmt="upperRoman" w:start="1"/>
          <w:cols w:space="425" w:num="1"/>
          <w:docGrid w:type="lines" w:linePitch="312" w:charSpace="0"/>
        </w:sectPr>
      </w:pPr>
    </w:p>
    <w:p>
      <w:pPr>
        <w:pStyle w:val="45"/>
        <w:spacing w:before="312" w:after="312"/>
        <w:rPr>
          <w:rFonts w:eastAsiaTheme="minorEastAsia"/>
          <w:sz w:val="32"/>
        </w:rPr>
      </w:pPr>
      <w:bookmarkStart w:id="37" w:name="_Toc5868"/>
      <w:bookmarkStart w:id="38" w:name="_Toc41895190"/>
      <w:bookmarkStart w:id="39" w:name="_Toc148994651"/>
      <w:bookmarkStart w:id="40" w:name="_Toc149766374"/>
      <w:bookmarkStart w:id="41" w:name="_Toc149766316"/>
      <w:bookmarkStart w:id="42" w:name="_Hlk151666503"/>
      <w:r>
        <w:rPr>
          <w:rFonts w:eastAsiaTheme="minorEastAsia"/>
          <w:sz w:val="32"/>
        </w:rPr>
        <w:t>1　总　　则</w:t>
      </w:r>
      <w:bookmarkEnd w:id="0"/>
      <w:bookmarkEnd w:id="37"/>
      <w:bookmarkEnd w:id="38"/>
      <w:bookmarkEnd w:id="39"/>
      <w:bookmarkEnd w:id="40"/>
      <w:bookmarkEnd w:id="41"/>
    </w:p>
    <w:p>
      <w:pPr>
        <w:tabs>
          <w:tab w:val="left" w:pos="777"/>
        </w:tabs>
        <w:adjustRightInd w:val="0"/>
        <w:snapToGrid w:val="0"/>
        <w:spacing w:line="360" w:lineRule="auto"/>
        <w:outlineLvl w:val="2"/>
        <w:rPr>
          <w:rFonts w:eastAsiaTheme="minorEastAsia"/>
          <w:sz w:val="24"/>
        </w:rPr>
      </w:pPr>
      <w:r>
        <w:rPr>
          <w:rFonts w:eastAsiaTheme="minorEastAsia"/>
          <w:b/>
          <w:sz w:val="24"/>
          <w:szCs w:val="24"/>
        </w:rPr>
        <w:t>1.0.1　</w:t>
      </w:r>
      <w:r>
        <w:rPr>
          <w:rFonts w:eastAsiaTheme="minorEastAsia"/>
          <w:sz w:val="24"/>
        </w:rPr>
        <w:t>为规范装配式多层混凝土模壳砌体结构应用的技术要求，做到因地制宜、就地取材、安全适用、技术先进、经济合理，保证工程质量，制定本规程。</w:t>
      </w:r>
    </w:p>
    <w:p>
      <w:pPr>
        <w:tabs>
          <w:tab w:val="left" w:pos="777"/>
        </w:tabs>
        <w:adjustRightInd w:val="0"/>
        <w:snapToGrid w:val="0"/>
        <w:spacing w:line="360" w:lineRule="auto"/>
        <w:outlineLvl w:val="2"/>
        <w:rPr>
          <w:rFonts w:eastAsiaTheme="minorEastAsia"/>
          <w:sz w:val="24"/>
        </w:rPr>
      </w:pPr>
      <w:r>
        <w:rPr>
          <w:rFonts w:eastAsiaTheme="minorEastAsia"/>
          <w:b/>
          <w:sz w:val="24"/>
          <w:szCs w:val="24"/>
        </w:rPr>
        <w:t>1.0.2　</w:t>
      </w:r>
      <w:r>
        <w:rPr>
          <w:rFonts w:eastAsiaTheme="minorEastAsia"/>
          <w:sz w:val="24"/>
        </w:rPr>
        <w:t>本规程适用于抗震设防烈度为</w:t>
      </w:r>
      <w:r>
        <w:rPr>
          <w:sz w:val="24"/>
        </w:rPr>
        <w:t>8度及8度以下</w:t>
      </w:r>
      <w:r>
        <w:rPr>
          <w:rFonts w:eastAsiaTheme="minorEastAsia"/>
          <w:sz w:val="24"/>
        </w:rPr>
        <w:t>地区</w:t>
      </w:r>
      <w:r>
        <w:rPr>
          <w:rFonts w:hint="eastAsia" w:eastAsiaTheme="minorEastAsia"/>
          <w:sz w:val="24"/>
        </w:rPr>
        <w:t>建筑工程中应用</w:t>
      </w:r>
      <w:r>
        <w:rPr>
          <w:rFonts w:eastAsiaTheme="minorEastAsia"/>
          <w:sz w:val="24"/>
        </w:rPr>
        <w:t>装配式多层混凝土模壳砌体结构的设计、制作、施工及验收。</w:t>
      </w:r>
    </w:p>
    <w:p>
      <w:pPr>
        <w:tabs>
          <w:tab w:val="left" w:pos="777"/>
        </w:tabs>
        <w:adjustRightInd w:val="0"/>
        <w:snapToGrid w:val="0"/>
        <w:spacing w:line="360" w:lineRule="auto"/>
        <w:outlineLvl w:val="2"/>
        <w:rPr>
          <w:sz w:val="24"/>
        </w:rPr>
      </w:pPr>
      <w:r>
        <w:rPr>
          <w:rFonts w:eastAsiaTheme="minorEastAsia"/>
          <w:b/>
          <w:sz w:val="24"/>
          <w:szCs w:val="24"/>
        </w:rPr>
        <w:t>1.0.3　</w:t>
      </w:r>
      <w:r>
        <w:rPr>
          <w:rFonts w:eastAsiaTheme="minorEastAsia"/>
          <w:sz w:val="24"/>
        </w:rPr>
        <w:t>装配式多层混凝土模壳砌体结构的设计、制作、施工及验收，除应符合本规程规定外，</w:t>
      </w:r>
      <w:r>
        <w:rPr>
          <w:sz w:val="24"/>
        </w:rPr>
        <w:t>尚应符合国家现行有关标准和现行中国工程建设标准化协会有关标准的规定。</w:t>
      </w:r>
    </w:p>
    <w:p>
      <w:pPr>
        <w:tabs>
          <w:tab w:val="left" w:pos="777"/>
        </w:tabs>
        <w:adjustRightInd w:val="0"/>
        <w:snapToGrid w:val="0"/>
        <w:spacing w:line="360" w:lineRule="auto"/>
        <w:outlineLvl w:val="2"/>
        <w:rPr>
          <w:rFonts w:eastAsiaTheme="minorEastAsia"/>
          <w:sz w:val="24"/>
        </w:rPr>
      </w:pPr>
      <w:r>
        <w:rPr>
          <w:rFonts w:eastAsiaTheme="minorEastAsia"/>
          <w:b/>
          <w:bCs/>
          <w:sz w:val="24"/>
        </w:rPr>
        <w:t>1.0.4</w:t>
      </w:r>
      <w:r>
        <w:rPr>
          <w:rFonts w:eastAsiaTheme="minorEastAsia"/>
          <w:b/>
          <w:sz w:val="24"/>
        </w:rPr>
        <w:t>　</w:t>
      </w:r>
      <w:r>
        <w:rPr>
          <w:rFonts w:eastAsiaTheme="minorEastAsia"/>
          <w:sz w:val="24"/>
        </w:rPr>
        <w:t>应从设计、制作、施工、验收等方面提出装配式模壳砌体结构标准化技术解决方案，同时应保障建筑</w:t>
      </w:r>
      <w:r>
        <w:rPr>
          <w:rFonts w:hint="eastAsia" w:eastAsiaTheme="minorEastAsia"/>
          <w:sz w:val="24"/>
        </w:rPr>
        <w:t>工程</w:t>
      </w:r>
      <w:r>
        <w:rPr>
          <w:rFonts w:eastAsiaTheme="minorEastAsia"/>
          <w:sz w:val="24"/>
        </w:rPr>
        <w:t>施工质量。</w:t>
      </w:r>
    </w:p>
    <w:p>
      <w:pPr>
        <w:pStyle w:val="135"/>
        <w:snapToGrid/>
        <w:spacing w:line="360" w:lineRule="auto"/>
        <w:rPr>
          <w:rFonts w:eastAsiaTheme="minorEastAsia"/>
          <w:sz w:val="24"/>
          <w:szCs w:val="20"/>
        </w:rPr>
      </w:pPr>
    </w:p>
    <w:p>
      <w:pPr>
        <w:adjustRightInd w:val="0"/>
        <w:snapToGrid w:val="0"/>
        <w:spacing w:line="360" w:lineRule="auto"/>
        <w:rPr>
          <w:rFonts w:eastAsiaTheme="minorEastAsia"/>
          <w:sz w:val="24"/>
        </w:rPr>
        <w:sectPr>
          <w:footerReference r:id="rId4" w:type="default"/>
          <w:pgSz w:w="11907" w:h="16839"/>
          <w:pgMar w:top="1440" w:right="1800" w:bottom="1440" w:left="1800" w:header="851" w:footer="992" w:gutter="0"/>
          <w:pgNumType w:start="1"/>
          <w:cols w:space="425" w:num="1"/>
          <w:docGrid w:type="lines" w:linePitch="312" w:charSpace="0"/>
        </w:sectPr>
      </w:pPr>
    </w:p>
    <w:p>
      <w:pPr>
        <w:pStyle w:val="45"/>
        <w:spacing w:before="312" w:after="312"/>
        <w:rPr>
          <w:rFonts w:eastAsiaTheme="minorEastAsia"/>
          <w:sz w:val="32"/>
        </w:rPr>
      </w:pPr>
      <w:bookmarkStart w:id="43" w:name="_Toc41895191"/>
      <w:bookmarkStart w:id="44" w:name="_Toc149766317"/>
      <w:bookmarkStart w:id="45" w:name="_Toc18241"/>
      <w:bookmarkStart w:id="46" w:name="_Toc149766375"/>
      <w:bookmarkStart w:id="47" w:name="_Toc148994652"/>
      <w:r>
        <w:rPr>
          <w:rFonts w:eastAsiaTheme="minorEastAsia"/>
          <w:sz w:val="32"/>
        </w:rPr>
        <w:t>2　术语和符号</w:t>
      </w:r>
      <w:bookmarkEnd w:id="43"/>
      <w:bookmarkEnd w:id="44"/>
      <w:bookmarkEnd w:id="45"/>
      <w:bookmarkEnd w:id="46"/>
      <w:bookmarkEnd w:id="47"/>
    </w:p>
    <w:p>
      <w:pPr>
        <w:pStyle w:val="46"/>
      </w:pPr>
      <w:bookmarkStart w:id="48" w:name="_Toc149766318"/>
      <w:bookmarkStart w:id="49" w:name="_Toc148994653"/>
      <w:bookmarkStart w:id="50" w:name="_Toc149766376"/>
      <w:bookmarkStart w:id="51" w:name="_Toc41895192"/>
      <w:bookmarkStart w:id="52" w:name="_Toc6855"/>
      <w:bookmarkStart w:id="53" w:name="_Toc497744673"/>
      <w:r>
        <w:t>2.1　</w:t>
      </w:r>
      <w:r>
        <w:rPr>
          <w:bCs/>
        </w:rPr>
        <w:t>术语</w:t>
      </w:r>
      <w:bookmarkEnd w:id="48"/>
      <w:bookmarkEnd w:id="49"/>
      <w:bookmarkEnd w:id="50"/>
      <w:bookmarkEnd w:id="51"/>
      <w:bookmarkEnd w:id="52"/>
      <w:bookmarkEnd w:id="53"/>
    </w:p>
    <w:p>
      <w:pPr>
        <w:tabs>
          <w:tab w:val="left" w:pos="735"/>
        </w:tabs>
        <w:adjustRightInd w:val="0"/>
        <w:spacing w:line="360" w:lineRule="auto"/>
        <w:outlineLvl w:val="2"/>
        <w:rPr>
          <w:rFonts w:eastAsiaTheme="minorEastAsia"/>
          <w:sz w:val="24"/>
          <w:szCs w:val="24"/>
        </w:rPr>
      </w:pPr>
      <w:r>
        <w:rPr>
          <w:rFonts w:eastAsiaTheme="minorEastAsia"/>
          <w:b/>
          <w:sz w:val="24"/>
          <w:szCs w:val="24"/>
        </w:rPr>
        <w:t>2.1.1</w:t>
      </w:r>
      <w:r>
        <w:rPr>
          <w:rFonts w:eastAsiaTheme="minorEastAsia"/>
          <w:sz w:val="24"/>
          <w:szCs w:val="24"/>
        </w:rPr>
        <w:t xml:space="preserve">　预制混凝土模壳砌块　　precast concrete </w:t>
      </w:r>
      <w:r>
        <w:rPr>
          <w:rFonts w:hint="eastAsia" w:eastAsiaTheme="minorEastAsia"/>
          <w:sz w:val="24"/>
          <w:szCs w:val="24"/>
        </w:rPr>
        <w:t>mold</w:t>
      </w:r>
      <w:r>
        <w:rPr>
          <w:rFonts w:eastAsiaTheme="minorEastAsia"/>
          <w:sz w:val="24"/>
          <w:szCs w:val="24"/>
        </w:rPr>
        <w:t xml:space="preserve"> shell block</w:t>
      </w:r>
    </w:p>
    <w:p>
      <w:pPr>
        <w:adjustRightInd w:val="0"/>
        <w:spacing w:line="360" w:lineRule="auto"/>
        <w:ind w:firstLine="480" w:firstLineChars="200"/>
        <w:rPr>
          <w:sz w:val="24"/>
        </w:rPr>
      </w:pPr>
      <w:r>
        <w:rPr>
          <w:rFonts w:eastAsiaTheme="minorEastAsia"/>
          <w:sz w:val="24"/>
          <w:szCs w:val="24"/>
        </w:rPr>
        <w:t>主规格尺寸为398 mm</w:t>
      </w:r>
      <w:r>
        <w:rPr>
          <w:rFonts w:hint="eastAsia" w:eastAsiaTheme="minorEastAsia"/>
          <w:sz w:val="24"/>
          <w:szCs w:val="24"/>
        </w:rPr>
        <w:t>×</w:t>
      </w:r>
      <w:r>
        <w:rPr>
          <w:rFonts w:eastAsiaTheme="minorEastAsia"/>
          <w:sz w:val="24"/>
          <w:szCs w:val="24"/>
        </w:rPr>
        <w:t>200 mm</w:t>
      </w:r>
      <w:r>
        <w:rPr>
          <w:rFonts w:hint="eastAsia" w:eastAsiaTheme="minorEastAsia"/>
          <w:sz w:val="24"/>
          <w:szCs w:val="24"/>
        </w:rPr>
        <w:t>×</w:t>
      </w:r>
      <w:r>
        <w:rPr>
          <w:rFonts w:eastAsiaTheme="minorEastAsia"/>
          <w:sz w:val="24"/>
          <w:szCs w:val="24"/>
        </w:rPr>
        <w:t>158 mm的普通混凝土小型砌块，</w:t>
      </w:r>
      <w:r>
        <w:rPr>
          <w:sz w:val="24"/>
        </w:rPr>
        <w:t>简称模壳砌块。</w:t>
      </w:r>
    </w:p>
    <w:p>
      <w:pPr>
        <w:tabs>
          <w:tab w:val="left" w:pos="777"/>
        </w:tabs>
        <w:adjustRightInd w:val="0"/>
        <w:spacing w:line="360" w:lineRule="auto"/>
        <w:outlineLvl w:val="2"/>
        <w:rPr>
          <w:rFonts w:eastAsiaTheme="minorEastAsia"/>
          <w:sz w:val="24"/>
          <w:szCs w:val="24"/>
        </w:rPr>
      </w:pPr>
      <w:bookmarkStart w:id="54" w:name="_Toc41895193"/>
      <w:bookmarkStart w:id="55" w:name="_Toc497744674"/>
      <w:bookmarkStart w:id="56" w:name="_Toc501378988"/>
      <w:r>
        <w:rPr>
          <w:rFonts w:eastAsiaTheme="minorEastAsia"/>
          <w:b/>
          <w:sz w:val="24"/>
          <w:szCs w:val="24"/>
        </w:rPr>
        <w:t>2.1.2</w:t>
      </w:r>
      <w:r>
        <w:rPr>
          <w:rFonts w:eastAsiaTheme="minorEastAsia"/>
          <w:sz w:val="24"/>
          <w:szCs w:val="24"/>
        </w:rPr>
        <w:t xml:space="preserve">　预制模壳砌块墙体　　precast </w:t>
      </w:r>
      <w:r>
        <w:rPr>
          <w:rFonts w:hint="eastAsia" w:eastAsiaTheme="minorEastAsia"/>
          <w:sz w:val="24"/>
          <w:szCs w:val="24"/>
        </w:rPr>
        <w:t>masonry wall</w:t>
      </w:r>
      <w:r>
        <w:rPr>
          <w:rFonts w:eastAsiaTheme="minorEastAsia"/>
          <w:sz w:val="24"/>
          <w:szCs w:val="24"/>
        </w:rPr>
        <w:t xml:space="preserve"> </w:t>
      </w:r>
      <w:r>
        <w:rPr>
          <w:rFonts w:hint="eastAsia" w:eastAsiaTheme="minorEastAsia"/>
          <w:sz w:val="24"/>
          <w:szCs w:val="24"/>
        </w:rPr>
        <w:t xml:space="preserve">with </w:t>
      </w:r>
      <w:r>
        <w:rPr>
          <w:rFonts w:eastAsiaTheme="minorEastAsia"/>
          <w:sz w:val="24"/>
          <w:szCs w:val="24"/>
        </w:rPr>
        <w:t xml:space="preserve">mold shell </w:t>
      </w:r>
      <w:r>
        <w:rPr>
          <w:rFonts w:hint="eastAsia" w:eastAsiaTheme="minorEastAsia"/>
          <w:sz w:val="24"/>
          <w:szCs w:val="24"/>
        </w:rPr>
        <w:t>blocks</w:t>
      </w:r>
    </w:p>
    <w:p>
      <w:pPr>
        <w:adjustRightInd w:val="0"/>
        <w:spacing w:line="360" w:lineRule="auto"/>
        <w:ind w:firstLine="480" w:firstLineChars="200"/>
        <w:rPr>
          <w:rFonts w:eastAsiaTheme="minorEastAsia"/>
          <w:sz w:val="24"/>
          <w:szCs w:val="24"/>
        </w:rPr>
      </w:pPr>
      <w:r>
        <w:rPr>
          <w:rFonts w:eastAsiaTheme="minorEastAsia"/>
          <w:sz w:val="24"/>
          <w:szCs w:val="24"/>
        </w:rPr>
        <w:t>由内嵌</w:t>
      </w:r>
      <w:r>
        <w:rPr>
          <w:rFonts w:hint="eastAsia" w:eastAsiaTheme="minorEastAsia"/>
          <w:sz w:val="24"/>
          <w:szCs w:val="24"/>
        </w:rPr>
        <w:t>箍筋</w:t>
      </w:r>
      <w:r>
        <w:rPr>
          <w:rFonts w:eastAsiaTheme="minorEastAsia"/>
          <w:sz w:val="24"/>
          <w:szCs w:val="24"/>
        </w:rPr>
        <w:t>的预制混凝土模壳砌块</w:t>
      </w:r>
      <w:r>
        <w:rPr>
          <w:rFonts w:hint="eastAsia" w:eastAsiaTheme="minorEastAsia"/>
          <w:sz w:val="24"/>
          <w:szCs w:val="24"/>
        </w:rPr>
        <w:t>采用薄层砌筑工艺</w:t>
      </w:r>
      <w:r>
        <w:rPr>
          <w:rFonts w:eastAsiaTheme="minorEastAsia"/>
          <w:sz w:val="24"/>
          <w:szCs w:val="24"/>
        </w:rPr>
        <w:t>砌筑而成</w:t>
      </w:r>
      <w:r>
        <w:rPr>
          <w:rFonts w:hint="eastAsia" w:eastAsiaTheme="minorEastAsia"/>
          <w:sz w:val="24"/>
          <w:szCs w:val="24"/>
        </w:rPr>
        <w:t>，</w:t>
      </w:r>
      <w:r>
        <w:rPr>
          <w:rFonts w:eastAsiaTheme="minorEastAsia"/>
          <w:sz w:val="24"/>
          <w:szCs w:val="24"/>
        </w:rPr>
        <w:t>并设有构造柱和芯柱的承重</w:t>
      </w:r>
      <w:r>
        <w:rPr>
          <w:rFonts w:hint="eastAsia" w:eastAsiaTheme="minorEastAsia"/>
          <w:sz w:val="24"/>
          <w:szCs w:val="24"/>
        </w:rPr>
        <w:t>墙体</w:t>
      </w:r>
      <w:r>
        <w:rPr>
          <w:rFonts w:eastAsiaTheme="minorEastAsia"/>
          <w:sz w:val="24"/>
          <w:szCs w:val="24"/>
        </w:rPr>
        <w:t>，简称模壳砌块墙体。</w:t>
      </w:r>
    </w:p>
    <w:p>
      <w:pPr>
        <w:tabs>
          <w:tab w:val="left" w:pos="777"/>
        </w:tabs>
        <w:adjustRightInd w:val="0"/>
        <w:spacing w:line="360" w:lineRule="auto"/>
        <w:outlineLvl w:val="2"/>
        <w:rPr>
          <w:rFonts w:eastAsiaTheme="minorEastAsia"/>
          <w:sz w:val="24"/>
          <w:szCs w:val="24"/>
        </w:rPr>
      </w:pPr>
      <w:r>
        <w:rPr>
          <w:rFonts w:eastAsiaTheme="minorEastAsia"/>
          <w:b/>
          <w:sz w:val="24"/>
          <w:szCs w:val="24"/>
        </w:rPr>
        <w:t>2.1.3</w:t>
      </w:r>
      <w:r>
        <w:rPr>
          <w:rFonts w:eastAsiaTheme="minorEastAsia"/>
          <w:sz w:val="24"/>
          <w:szCs w:val="24"/>
        </w:rPr>
        <w:t>　</w:t>
      </w:r>
      <w:r>
        <w:rPr>
          <w:sz w:val="24"/>
        </w:rPr>
        <w:t>装配式多层混凝土</w:t>
      </w:r>
      <w:r>
        <w:rPr>
          <w:rFonts w:eastAsiaTheme="minorEastAsia"/>
          <w:sz w:val="24"/>
          <w:szCs w:val="24"/>
        </w:rPr>
        <w:t xml:space="preserve">模壳砌体结构　　precast </w:t>
      </w:r>
      <w:r>
        <w:rPr>
          <w:rFonts w:hint="eastAsia" w:eastAsiaTheme="minorEastAsia"/>
          <w:sz w:val="24"/>
          <w:szCs w:val="24"/>
        </w:rPr>
        <w:t>multi-story</w:t>
      </w:r>
      <w:r>
        <w:rPr>
          <w:rFonts w:eastAsiaTheme="minorEastAsia"/>
          <w:sz w:val="24"/>
          <w:szCs w:val="24"/>
        </w:rPr>
        <w:t xml:space="preserve"> </w:t>
      </w:r>
      <w:r>
        <w:rPr>
          <w:rFonts w:hint="eastAsia" w:eastAsiaTheme="minorEastAsia"/>
          <w:sz w:val="24"/>
          <w:szCs w:val="24"/>
        </w:rPr>
        <w:t>masonry</w:t>
      </w:r>
      <w:r>
        <w:rPr>
          <w:rFonts w:eastAsiaTheme="minorEastAsia"/>
          <w:sz w:val="24"/>
          <w:szCs w:val="24"/>
        </w:rPr>
        <w:t xml:space="preserve"> </w:t>
      </w:r>
      <w:r>
        <w:rPr>
          <w:rFonts w:hint="eastAsia" w:eastAsiaTheme="minorEastAsia"/>
          <w:sz w:val="24"/>
          <w:szCs w:val="24"/>
        </w:rPr>
        <w:t>structures with concrete</w:t>
      </w:r>
      <w:r>
        <w:rPr>
          <w:rFonts w:eastAsiaTheme="minorEastAsia"/>
          <w:sz w:val="24"/>
          <w:szCs w:val="24"/>
        </w:rPr>
        <w:t xml:space="preserve"> mold shell blocks</w:t>
      </w:r>
    </w:p>
    <w:p>
      <w:pPr>
        <w:adjustRightInd w:val="0"/>
        <w:spacing w:line="360" w:lineRule="auto"/>
        <w:ind w:firstLine="480" w:firstLineChars="200"/>
        <w:rPr>
          <w:sz w:val="24"/>
        </w:rPr>
      </w:pPr>
      <w:r>
        <w:rPr>
          <w:sz w:val="24"/>
        </w:rPr>
        <w:t>由预制混凝土模壳砌块、</w:t>
      </w:r>
      <w:r>
        <w:rPr>
          <w:rFonts w:hint="eastAsia"/>
          <w:sz w:val="24"/>
        </w:rPr>
        <w:t>芯柱、</w:t>
      </w:r>
      <w:r>
        <w:rPr>
          <w:sz w:val="24"/>
        </w:rPr>
        <w:t>构造柱、现浇圈梁、现浇或叠合楼盖</w:t>
      </w:r>
      <w:r>
        <w:rPr>
          <w:rFonts w:hint="eastAsia"/>
          <w:sz w:val="24"/>
        </w:rPr>
        <w:t>以及模壳砌块基础</w:t>
      </w:r>
      <w:r>
        <w:rPr>
          <w:sz w:val="24"/>
        </w:rPr>
        <w:t>共同组成的</w:t>
      </w:r>
      <w:r>
        <w:rPr>
          <w:rFonts w:hint="eastAsia"/>
          <w:sz w:val="24"/>
        </w:rPr>
        <w:t>多层</w:t>
      </w:r>
      <w:r>
        <w:rPr>
          <w:sz w:val="24"/>
        </w:rPr>
        <w:t>装配式</w:t>
      </w:r>
      <w:r>
        <w:rPr>
          <w:rFonts w:hint="eastAsia"/>
          <w:sz w:val="24"/>
        </w:rPr>
        <w:t>砌体</w:t>
      </w:r>
      <w:r>
        <w:rPr>
          <w:sz w:val="24"/>
        </w:rPr>
        <w:t>结构，简称模壳砌体结构。</w:t>
      </w:r>
    </w:p>
    <w:p>
      <w:pPr>
        <w:tabs>
          <w:tab w:val="left" w:pos="735"/>
        </w:tabs>
        <w:adjustRightInd w:val="0"/>
        <w:spacing w:line="360" w:lineRule="auto"/>
        <w:outlineLvl w:val="2"/>
        <w:rPr>
          <w:rFonts w:eastAsiaTheme="minorEastAsia"/>
          <w:sz w:val="24"/>
          <w:szCs w:val="24"/>
        </w:rPr>
      </w:pPr>
      <w:r>
        <w:rPr>
          <w:rFonts w:eastAsiaTheme="minorEastAsia"/>
          <w:b/>
          <w:sz w:val="24"/>
          <w:szCs w:val="24"/>
        </w:rPr>
        <w:t>2.1.4</w:t>
      </w:r>
      <w:r>
        <w:rPr>
          <w:rFonts w:eastAsiaTheme="minorEastAsia"/>
          <w:sz w:val="24"/>
          <w:szCs w:val="24"/>
        </w:rPr>
        <w:t>　芯柱　　core column</w:t>
      </w:r>
    </w:p>
    <w:p>
      <w:pPr>
        <w:adjustRightInd w:val="0"/>
        <w:spacing w:line="360" w:lineRule="auto"/>
        <w:ind w:firstLine="480" w:firstLineChars="200"/>
        <w:rPr>
          <w:sz w:val="24"/>
        </w:rPr>
      </w:pPr>
      <w:r>
        <w:rPr>
          <w:rFonts w:hint="eastAsia"/>
          <w:sz w:val="24"/>
        </w:rPr>
        <w:t>预制模壳砌块墙体的孔洞内插有竖向钢筋并浇筑混凝土的柱</w:t>
      </w:r>
      <w:r>
        <w:rPr>
          <w:sz w:val="24"/>
        </w:rPr>
        <w:t>。</w:t>
      </w:r>
    </w:p>
    <w:p>
      <w:pPr>
        <w:tabs>
          <w:tab w:val="left" w:pos="735"/>
        </w:tabs>
        <w:adjustRightInd w:val="0"/>
        <w:spacing w:line="360" w:lineRule="auto"/>
        <w:outlineLvl w:val="2"/>
        <w:rPr>
          <w:sz w:val="24"/>
        </w:rPr>
      </w:pPr>
      <w:r>
        <w:rPr>
          <w:b/>
          <w:sz w:val="24"/>
        </w:rPr>
        <w:t>2.1.5　</w:t>
      </w:r>
      <w:r>
        <w:rPr>
          <w:rFonts w:hint="eastAsia"/>
          <w:sz w:val="24"/>
        </w:rPr>
        <w:t>芯柱式</w:t>
      </w:r>
      <w:r>
        <w:rPr>
          <w:sz w:val="24"/>
        </w:rPr>
        <w:t>构造柱　　core column type constructional column</w:t>
      </w:r>
    </w:p>
    <w:p>
      <w:pPr>
        <w:adjustRightInd w:val="0"/>
        <w:spacing w:line="360" w:lineRule="auto"/>
        <w:ind w:firstLine="480" w:firstLineChars="200"/>
        <w:rPr>
          <w:sz w:val="24"/>
        </w:rPr>
      </w:pPr>
      <w:r>
        <w:rPr>
          <w:rFonts w:hint="eastAsia" w:eastAsiaTheme="minorEastAsia"/>
          <w:bCs/>
          <w:sz w:val="24"/>
          <w:szCs w:val="24"/>
        </w:rPr>
        <w:t>含预制混凝土模壳砌块及内设按构造配筋的钢筋笼，后浇混凝土的柱。</w:t>
      </w:r>
    </w:p>
    <w:p>
      <w:pPr>
        <w:tabs>
          <w:tab w:val="left" w:pos="735"/>
        </w:tabs>
        <w:adjustRightInd w:val="0"/>
        <w:spacing w:line="360" w:lineRule="auto"/>
        <w:outlineLvl w:val="2"/>
        <w:rPr>
          <w:rFonts w:eastAsiaTheme="minorEastAsia"/>
          <w:sz w:val="24"/>
          <w:szCs w:val="24"/>
        </w:rPr>
      </w:pPr>
      <w:r>
        <w:rPr>
          <w:rFonts w:eastAsiaTheme="minorEastAsia"/>
          <w:b/>
          <w:sz w:val="24"/>
          <w:szCs w:val="24"/>
        </w:rPr>
        <w:t>2.1.6　</w:t>
      </w:r>
      <w:r>
        <w:rPr>
          <w:rFonts w:eastAsiaTheme="minorEastAsia"/>
          <w:sz w:val="24"/>
          <w:szCs w:val="24"/>
        </w:rPr>
        <w:t>边缘叠合板　　concrete slab with composite edge</w:t>
      </w:r>
    </w:p>
    <w:p>
      <w:pPr>
        <w:adjustRightInd w:val="0"/>
        <w:spacing w:line="360" w:lineRule="auto"/>
        <w:ind w:firstLine="480" w:firstLineChars="200"/>
        <w:rPr>
          <w:rFonts w:eastAsiaTheme="minorEastAsia"/>
          <w:sz w:val="24"/>
          <w:szCs w:val="24"/>
        </w:rPr>
      </w:pPr>
      <w:r>
        <w:rPr>
          <w:rFonts w:hint="eastAsia" w:eastAsiaTheme="minorEastAsia"/>
          <w:sz w:val="24"/>
          <w:szCs w:val="24"/>
        </w:rPr>
        <w:t>仅在边缘部位将预制板和现浇钢筋混凝土层叠合的楼板。</w:t>
      </w:r>
    </w:p>
    <w:p>
      <w:pPr>
        <w:tabs>
          <w:tab w:val="left" w:pos="735"/>
        </w:tabs>
        <w:adjustRightInd w:val="0"/>
        <w:spacing w:line="360" w:lineRule="auto"/>
        <w:outlineLvl w:val="2"/>
        <w:rPr>
          <w:rFonts w:eastAsiaTheme="minorEastAsia"/>
          <w:b/>
          <w:sz w:val="24"/>
          <w:szCs w:val="24"/>
        </w:rPr>
      </w:pPr>
      <w:r>
        <w:rPr>
          <w:rFonts w:eastAsiaTheme="minorEastAsia"/>
          <w:b/>
          <w:sz w:val="24"/>
          <w:szCs w:val="24"/>
        </w:rPr>
        <w:t>2.1.7　</w:t>
      </w:r>
      <w:r>
        <w:rPr>
          <w:rFonts w:hint="eastAsia" w:eastAsiaTheme="minorEastAsia"/>
          <w:sz w:val="24"/>
          <w:szCs w:val="24"/>
        </w:rPr>
        <w:t>粘结砂浆</w:t>
      </w:r>
      <w:r>
        <w:rPr>
          <w:rFonts w:eastAsiaTheme="minorEastAsia"/>
          <w:sz w:val="24"/>
          <w:szCs w:val="24"/>
        </w:rPr>
        <w:t>　　i</w:t>
      </w:r>
      <w:r>
        <w:rPr>
          <w:rFonts w:hint="eastAsia" w:eastAsiaTheme="minorEastAsia"/>
          <w:sz w:val="24"/>
          <w:szCs w:val="24"/>
        </w:rPr>
        <w:t>nsulation</w:t>
      </w:r>
      <w:r>
        <w:rPr>
          <w:rFonts w:eastAsiaTheme="minorEastAsia"/>
          <w:sz w:val="24"/>
          <w:szCs w:val="24"/>
        </w:rPr>
        <w:t xml:space="preserve"> </w:t>
      </w:r>
      <w:r>
        <w:rPr>
          <w:rFonts w:hint="eastAsia" w:eastAsiaTheme="minorEastAsia"/>
          <w:sz w:val="24"/>
          <w:szCs w:val="24"/>
        </w:rPr>
        <w:t>mortar</w:t>
      </w:r>
    </w:p>
    <w:p>
      <w:pPr>
        <w:pStyle w:val="3"/>
        <w:spacing w:before="34" w:line="360" w:lineRule="auto"/>
        <w:ind w:firstLine="476" w:firstLineChars="200"/>
        <w:rPr>
          <w:rFonts w:eastAsia="黑体"/>
          <w:sz w:val="28"/>
        </w:rPr>
      </w:pPr>
      <w:bookmarkStart w:id="57" w:name="_Toc18070"/>
      <w:r>
        <w:rPr>
          <w:rFonts w:hint="eastAsia"/>
          <w:spacing w:val="-1"/>
          <w:sz w:val="24"/>
          <w:szCs w:val="22"/>
        </w:rPr>
        <w:t>一种以聚合物增强的水泥基预配制干混易施工粘结砂浆，采用机械拌和制成，适用于混凝土模壳砌块薄层砌筑。</w:t>
      </w:r>
    </w:p>
    <w:p>
      <w:pPr>
        <w:pStyle w:val="46"/>
      </w:pPr>
      <w:bookmarkStart w:id="58" w:name="_Toc149766319"/>
      <w:bookmarkStart w:id="59" w:name="_Toc149766377"/>
      <w:bookmarkStart w:id="60" w:name="_Toc148994654"/>
      <w:r>
        <w:t>2.2</w:t>
      </w:r>
      <w:r>
        <w:rPr>
          <w:rFonts w:hint="eastAsia"/>
        </w:rPr>
        <w:t>　符号</w:t>
      </w:r>
      <w:bookmarkEnd w:id="54"/>
      <w:bookmarkEnd w:id="55"/>
      <w:bookmarkEnd w:id="56"/>
      <w:bookmarkEnd w:id="57"/>
      <w:bookmarkEnd w:id="58"/>
      <w:bookmarkEnd w:id="59"/>
      <w:bookmarkEnd w:id="60"/>
    </w:p>
    <w:p>
      <w:pPr>
        <w:tabs>
          <w:tab w:val="left" w:pos="851"/>
        </w:tabs>
        <w:adjustRightInd w:val="0"/>
        <w:snapToGrid w:val="0"/>
        <w:spacing w:line="360" w:lineRule="auto"/>
        <w:outlineLvl w:val="2"/>
        <w:rPr>
          <w:rFonts w:eastAsiaTheme="minorEastAsia"/>
          <w:sz w:val="24"/>
          <w:szCs w:val="24"/>
        </w:rPr>
      </w:pPr>
      <w:r>
        <w:rPr>
          <w:rFonts w:eastAsiaTheme="minorEastAsia"/>
          <w:b/>
          <w:sz w:val="24"/>
          <w:szCs w:val="24"/>
        </w:rPr>
        <w:t>2.2.1</w:t>
      </w:r>
      <w:r>
        <w:rPr>
          <w:rFonts w:hint="eastAsia" w:eastAsiaTheme="minorEastAsia"/>
          <w:b/>
          <w:sz w:val="24"/>
          <w:szCs w:val="24"/>
        </w:rPr>
        <w:t>　</w:t>
      </w:r>
      <w:r>
        <w:rPr>
          <w:rFonts w:hint="eastAsia" w:eastAsiaTheme="minorEastAsia"/>
          <w:sz w:val="24"/>
          <w:szCs w:val="24"/>
        </w:rPr>
        <w:t>材料性能</w:t>
      </w:r>
    </w:p>
    <w:p>
      <w:pPr>
        <w:pStyle w:val="2"/>
        <w:jc w:val="left"/>
      </w:pPr>
      <w:bookmarkStart w:id="61" w:name="_Hlk162780462"/>
      <w:r>
        <w:tab/>
      </w:r>
      <w:r>
        <w:rPr>
          <w:i/>
          <w:iCs/>
        </w:rPr>
        <w:t>E</w:t>
      </w:r>
      <w:r>
        <w:rPr>
          <w:rFonts w:hint="eastAsia"/>
          <w:i/>
          <w:iCs/>
        </w:rPr>
        <w:t>——</w:t>
      </w:r>
      <w:r>
        <w:rPr>
          <w:rFonts w:hint="eastAsia"/>
        </w:rPr>
        <w:t>砌体的弹性模量；</w:t>
      </w:r>
    </w:p>
    <w:p>
      <w:pPr>
        <w:pStyle w:val="2"/>
        <w:jc w:val="left"/>
      </w:pPr>
      <w:r>
        <w:tab/>
      </w:r>
      <w:r>
        <w:rPr>
          <w:i/>
        </w:rPr>
        <w:t>E</w:t>
      </w:r>
      <w:r>
        <w:rPr>
          <w:rFonts w:hint="eastAsia"/>
          <w:iCs/>
          <w:vertAlign w:val="subscript"/>
        </w:rPr>
        <w:t>c</w:t>
      </w:r>
      <w:r>
        <w:rPr>
          <w:rFonts w:hint="eastAsia"/>
          <w:i/>
          <w:iCs/>
        </w:rPr>
        <w:t>——</w:t>
      </w:r>
      <w:r>
        <w:rPr>
          <w:rFonts w:hint="eastAsia"/>
        </w:rPr>
        <w:t>混凝土</w:t>
      </w:r>
      <w:r>
        <w:t>的弹性模量</w:t>
      </w:r>
      <w:r>
        <w:rPr>
          <w:rFonts w:hint="eastAsia"/>
        </w:rPr>
        <w:t>；</w:t>
      </w:r>
    </w:p>
    <w:p>
      <w:pPr>
        <w:pStyle w:val="2"/>
        <w:jc w:val="left"/>
      </w:pPr>
      <w:r>
        <w:rPr>
          <w:i/>
          <w:iCs/>
        </w:rPr>
        <w:tab/>
      </w:r>
      <w:r>
        <w:rPr>
          <w:i/>
        </w:rPr>
        <w:t>f</w:t>
      </w:r>
      <w:r>
        <w:rPr>
          <w:rFonts w:hint="eastAsia"/>
          <w:i/>
          <w:iCs/>
        </w:rPr>
        <w:t>——</w:t>
      </w:r>
      <w:r>
        <w:rPr>
          <w:rFonts w:hint="eastAsia"/>
        </w:rPr>
        <w:t>模壳砌块砌体抗压强度设计值；</w:t>
      </w:r>
    </w:p>
    <w:p>
      <w:pPr>
        <w:pStyle w:val="2"/>
        <w:jc w:val="left"/>
      </w:pPr>
      <w:r>
        <w:rPr>
          <w:kern w:val="0"/>
        </w:rPr>
        <w:tab/>
      </w:r>
      <w:r>
        <w:rPr>
          <w:i/>
          <w:iCs/>
        </w:rPr>
        <w:t>f</w:t>
      </w:r>
      <w:r>
        <w:rPr>
          <w:position w:val="-4"/>
          <w:vertAlign w:val="subscript"/>
        </w:rPr>
        <w:t>v</w:t>
      </w:r>
      <w:r>
        <w:rPr>
          <w:rFonts w:hint="eastAsia"/>
          <w:i/>
          <w:iCs/>
        </w:rPr>
        <w:t>——</w:t>
      </w:r>
      <w:r>
        <w:rPr>
          <w:rFonts w:hint="eastAsia"/>
        </w:rPr>
        <w:t>模壳砌块</w:t>
      </w:r>
      <w:r>
        <w:t>砌体抗剪强度设计值</w:t>
      </w:r>
      <w:r>
        <w:rPr>
          <w:rFonts w:hint="eastAsia"/>
        </w:rPr>
        <w:t>；</w:t>
      </w:r>
    </w:p>
    <w:p>
      <w:pPr>
        <w:pStyle w:val="2"/>
        <w:jc w:val="left"/>
      </w:pPr>
      <w:r>
        <w:rPr>
          <w:i/>
          <w:iCs/>
        </w:rPr>
        <w:tab/>
      </w:r>
      <w:r>
        <w:rPr>
          <w:i/>
          <w:iCs/>
          <w:w w:val="95"/>
        </w:rPr>
        <w:t>f</w:t>
      </w:r>
      <w:r>
        <w:rPr>
          <w:w w:val="95"/>
          <w:position w:val="-4"/>
          <w:vertAlign w:val="subscript"/>
        </w:rPr>
        <w:t>vE</w:t>
      </w:r>
      <w:r>
        <w:rPr>
          <w:rFonts w:hint="eastAsia"/>
          <w:i/>
          <w:iCs/>
        </w:rPr>
        <w:t>——</w:t>
      </w:r>
      <w:r>
        <w:rPr>
          <w:rFonts w:hint="eastAsia"/>
        </w:rPr>
        <w:t>模壳砌块</w:t>
      </w:r>
      <w:r>
        <w:t>砌体沿阶梯形截面破坏的抗震抗剪强度设计值</w:t>
      </w:r>
      <w:r>
        <w:rPr>
          <w:rFonts w:hint="eastAsia"/>
        </w:rPr>
        <w:t>；</w:t>
      </w:r>
    </w:p>
    <w:p>
      <w:pPr>
        <w:pStyle w:val="2"/>
        <w:jc w:val="left"/>
      </w:pPr>
      <w:r>
        <w:rPr>
          <w:i/>
          <w:iCs/>
        </w:rPr>
        <w:tab/>
      </w:r>
      <w:r>
        <w:rPr>
          <w:i/>
          <w:iCs/>
        </w:rPr>
        <w:t>f</w:t>
      </w:r>
      <w:r>
        <w:rPr>
          <w:vertAlign w:val="subscript"/>
        </w:rPr>
        <w:t>g</w:t>
      </w:r>
      <w:r>
        <w:rPr>
          <w:rFonts w:hint="eastAsia"/>
          <w:i/>
          <w:iCs/>
        </w:rPr>
        <w:t>——</w:t>
      </w:r>
      <w:r>
        <w:t>灌孔</w:t>
      </w:r>
      <w:r>
        <w:rPr>
          <w:rFonts w:hint="eastAsia"/>
        </w:rPr>
        <w:t>模壳砌块</w:t>
      </w:r>
      <w:r>
        <w:t>砌体的抗压强度设计值</w:t>
      </w:r>
      <w:r>
        <w:rPr>
          <w:rFonts w:hint="eastAsia"/>
        </w:rPr>
        <w:t>；</w:t>
      </w:r>
    </w:p>
    <w:p>
      <w:pPr>
        <w:pStyle w:val="2"/>
        <w:jc w:val="left"/>
      </w:pPr>
      <w:r>
        <w:rPr>
          <w:i/>
          <w:iCs/>
        </w:rPr>
        <w:tab/>
      </w:r>
      <w:r>
        <w:rPr>
          <w:i/>
          <w:iCs/>
        </w:rPr>
        <w:t>f</w:t>
      </w:r>
      <w:r>
        <w:rPr>
          <w:position w:val="-4"/>
          <w:vertAlign w:val="subscript"/>
        </w:rPr>
        <w:t>vg</w:t>
      </w:r>
      <w:r>
        <w:rPr>
          <w:rFonts w:hint="eastAsia"/>
          <w:i/>
          <w:iCs/>
        </w:rPr>
        <w:t>——</w:t>
      </w:r>
      <w:r>
        <w:t>灌孔</w:t>
      </w:r>
      <w:r>
        <w:rPr>
          <w:rFonts w:hint="eastAsia"/>
        </w:rPr>
        <w:t>模壳</w:t>
      </w:r>
      <w:r>
        <w:t>砌块砌体</w:t>
      </w:r>
      <w:r>
        <w:rPr>
          <w:rFonts w:hint="eastAsia"/>
        </w:rPr>
        <w:t>的</w:t>
      </w:r>
      <w:r>
        <w:t>抗剪强度设计值</w:t>
      </w:r>
      <w:r>
        <w:rPr>
          <w:rFonts w:hint="eastAsia"/>
        </w:rPr>
        <w:t>；</w:t>
      </w:r>
    </w:p>
    <w:p>
      <w:pPr>
        <w:pStyle w:val="2"/>
        <w:jc w:val="left"/>
      </w:pPr>
      <w:r>
        <w:rPr>
          <w:i/>
          <w:iCs/>
        </w:rPr>
        <w:tab/>
      </w:r>
      <w:r>
        <w:rPr>
          <w:i/>
          <w:iCs/>
        </w:rPr>
        <w:t>f</w:t>
      </w:r>
      <w:r>
        <w:rPr>
          <w:position w:val="-4"/>
          <w:vertAlign w:val="subscript"/>
        </w:rPr>
        <w:t>t</w:t>
      </w:r>
      <w:r>
        <w:rPr>
          <w:rFonts w:hint="eastAsia"/>
          <w:i/>
          <w:iCs/>
        </w:rPr>
        <w:t>——</w:t>
      </w:r>
      <w:r>
        <w:t>灌孔混凝土的轴心抗拉强度设计值</w:t>
      </w:r>
      <w:r>
        <w:rPr>
          <w:rFonts w:hint="eastAsia"/>
        </w:rPr>
        <w:t>；</w:t>
      </w:r>
    </w:p>
    <w:p>
      <w:pPr>
        <w:pStyle w:val="2"/>
        <w:jc w:val="left"/>
      </w:pPr>
      <w:r>
        <w:rPr>
          <w:i/>
          <w:iCs/>
        </w:rPr>
        <w:tab/>
      </w:r>
      <w:r>
        <w:rPr>
          <w:i/>
          <w:iCs/>
        </w:rPr>
        <w:t>f</w:t>
      </w:r>
      <w:r>
        <w:rPr>
          <w:position w:val="-4"/>
          <w:vertAlign w:val="subscript"/>
        </w:rPr>
        <w:t>yh</w:t>
      </w:r>
      <w:r>
        <w:rPr>
          <w:rFonts w:hint="eastAsia"/>
          <w:i/>
          <w:iCs/>
        </w:rPr>
        <w:t>——</w:t>
      </w:r>
      <w:r>
        <w:t>水平钢筋的抗拉强度设计值</w:t>
      </w:r>
      <w:r>
        <w:rPr>
          <w:rFonts w:hint="eastAsia"/>
        </w:rPr>
        <w:t>；</w:t>
      </w:r>
    </w:p>
    <w:p>
      <w:pPr>
        <w:pStyle w:val="2"/>
        <w:jc w:val="left"/>
      </w:pPr>
      <w:r>
        <w:tab/>
      </w:r>
      <w:r>
        <w:rPr>
          <w:i/>
          <w:iCs/>
        </w:rPr>
        <w:t>f</w:t>
      </w:r>
      <w:r>
        <w:rPr>
          <w:position w:val="-4"/>
          <w:vertAlign w:val="subscript"/>
        </w:rPr>
        <w:t>y</w:t>
      </w:r>
      <w:r>
        <w:rPr>
          <w:rFonts w:hint="eastAsia"/>
          <w:i/>
          <w:iCs/>
        </w:rPr>
        <w:t>——</w:t>
      </w:r>
      <w:r>
        <w:t>芯柱</w:t>
      </w:r>
      <w:r>
        <w:rPr>
          <w:rFonts w:hint="eastAsia"/>
        </w:rPr>
        <w:t>或芯柱式构造柱</w:t>
      </w:r>
      <w:r>
        <w:t>钢筋的抗拉强度设计值</w:t>
      </w:r>
      <w:r>
        <w:rPr>
          <w:rFonts w:hint="eastAsia"/>
        </w:rPr>
        <w:t>。</w:t>
      </w:r>
    </w:p>
    <w:bookmarkEnd w:id="61"/>
    <w:p>
      <w:pPr>
        <w:tabs>
          <w:tab w:val="left" w:pos="851"/>
        </w:tabs>
        <w:adjustRightInd w:val="0"/>
        <w:snapToGrid w:val="0"/>
        <w:spacing w:line="360" w:lineRule="auto"/>
        <w:outlineLvl w:val="2"/>
        <w:rPr>
          <w:rFonts w:eastAsiaTheme="minorEastAsia"/>
          <w:b/>
          <w:sz w:val="24"/>
          <w:szCs w:val="24"/>
        </w:rPr>
      </w:pPr>
      <w:r>
        <w:rPr>
          <w:rFonts w:eastAsiaTheme="minorEastAsia"/>
          <w:b/>
          <w:sz w:val="24"/>
          <w:szCs w:val="24"/>
        </w:rPr>
        <w:t>2.2.2</w:t>
      </w:r>
      <w:r>
        <w:rPr>
          <w:rFonts w:hint="eastAsia" w:eastAsiaTheme="minorEastAsia"/>
          <w:b/>
          <w:sz w:val="24"/>
          <w:szCs w:val="24"/>
        </w:rPr>
        <w:t>　</w:t>
      </w:r>
      <w:r>
        <w:rPr>
          <w:rFonts w:hint="eastAsia" w:eastAsiaTheme="minorEastAsia"/>
          <w:sz w:val="24"/>
          <w:szCs w:val="24"/>
        </w:rPr>
        <w:t>几何参数</w:t>
      </w:r>
    </w:p>
    <w:p>
      <w:pPr>
        <w:pStyle w:val="2"/>
        <w:jc w:val="left"/>
      </w:pPr>
      <w:bookmarkStart w:id="62" w:name="_Hlk162780480"/>
      <w:r>
        <w:tab/>
      </w:r>
      <w:r>
        <w:rPr>
          <w:i/>
          <w:iCs/>
        </w:rPr>
        <w:t>A</w:t>
      </w:r>
      <w:r>
        <w:rPr>
          <w:rFonts w:hint="eastAsia"/>
          <w:i/>
          <w:iCs/>
        </w:rPr>
        <w:t>——</w:t>
      </w:r>
      <w:r>
        <w:t>截面面积</w:t>
      </w:r>
      <w:r>
        <w:rPr>
          <w:rFonts w:hint="eastAsia"/>
        </w:rPr>
        <w:t>；</w:t>
      </w:r>
    </w:p>
    <w:p>
      <w:pPr>
        <w:pStyle w:val="2"/>
        <w:jc w:val="left"/>
      </w:pPr>
      <w:r>
        <w:rPr>
          <w:kern w:val="0"/>
        </w:rPr>
        <w:tab/>
      </w:r>
      <w:r>
        <w:rPr>
          <w:i/>
          <w:iCs/>
        </w:rPr>
        <w:t>A</w:t>
      </w:r>
      <w:r>
        <w:rPr>
          <w:position w:val="-4"/>
          <w:vertAlign w:val="subscript"/>
        </w:rPr>
        <w:t>sh</w:t>
      </w:r>
      <w:r>
        <w:rPr>
          <w:rFonts w:hint="eastAsia"/>
          <w:i/>
          <w:iCs/>
        </w:rPr>
        <w:t>——</w:t>
      </w:r>
      <w:r>
        <w:t>水平分布钢筋面积</w:t>
      </w:r>
      <w:r>
        <w:rPr>
          <w:rFonts w:hint="eastAsia"/>
        </w:rPr>
        <w:t>；</w:t>
      </w:r>
    </w:p>
    <w:p>
      <w:pPr>
        <w:pStyle w:val="2"/>
        <w:jc w:val="left"/>
      </w:pPr>
      <w:r>
        <w:tab/>
      </w:r>
      <w:r>
        <w:rPr>
          <w:i/>
          <w:iCs/>
        </w:rPr>
        <w:t>A</w:t>
      </w:r>
      <w:r>
        <w:rPr>
          <w:position w:val="-4"/>
          <w:vertAlign w:val="subscript"/>
        </w:rPr>
        <w:t>c</w:t>
      </w:r>
      <w:r>
        <w:rPr>
          <w:rFonts w:hint="eastAsia"/>
          <w:i/>
          <w:iCs/>
        </w:rPr>
        <w:t>——</w:t>
      </w:r>
      <w:r>
        <w:t>灌孔混凝土</w:t>
      </w:r>
      <w:r>
        <w:rPr>
          <w:rFonts w:hint="eastAsia"/>
        </w:rPr>
        <w:t>总</w:t>
      </w:r>
      <w:r>
        <w:t>截面面积</w:t>
      </w:r>
      <w:r>
        <w:rPr>
          <w:rFonts w:hint="eastAsia"/>
        </w:rPr>
        <w:t>；</w:t>
      </w:r>
    </w:p>
    <w:p>
      <w:pPr>
        <w:pStyle w:val="2"/>
        <w:jc w:val="left"/>
      </w:pPr>
      <w:r>
        <w:tab/>
      </w:r>
      <w:r>
        <w:rPr>
          <w:i/>
          <w:iCs/>
        </w:rPr>
        <w:t>A</w:t>
      </w:r>
      <w:r>
        <w:rPr>
          <w:vertAlign w:val="subscript"/>
        </w:rPr>
        <w:t>s</w:t>
      </w:r>
      <w:r>
        <w:rPr>
          <w:rFonts w:hint="eastAsia"/>
          <w:i/>
          <w:iCs/>
        </w:rPr>
        <w:t>——</w:t>
      </w:r>
      <w:r>
        <w:t>芯柱</w:t>
      </w:r>
      <w:r>
        <w:rPr>
          <w:rFonts w:hint="eastAsia"/>
        </w:rPr>
        <w:t>或芯柱式构造柱</w:t>
      </w:r>
      <w:r>
        <w:t>钢筋截面总面积</w:t>
      </w:r>
      <w:r>
        <w:rPr>
          <w:rFonts w:hint="eastAsia"/>
        </w:rPr>
        <w:t>；</w:t>
      </w:r>
    </w:p>
    <w:p>
      <w:pPr>
        <w:pStyle w:val="2"/>
        <w:jc w:val="left"/>
      </w:pPr>
      <w:r>
        <w:tab/>
      </w:r>
      <w:r>
        <w:rPr>
          <w:i/>
          <w:iCs/>
        </w:rPr>
        <w:t>b</w:t>
      </w:r>
      <w:r>
        <w:rPr>
          <w:rFonts w:hint="eastAsia"/>
          <w:i/>
          <w:iCs/>
        </w:rPr>
        <w:t>——</w:t>
      </w:r>
      <w:r>
        <w:t>截面宽度</w:t>
      </w:r>
      <w:r>
        <w:rPr>
          <w:rFonts w:hint="eastAsia"/>
        </w:rPr>
        <w:t>；</w:t>
      </w:r>
    </w:p>
    <w:p>
      <w:pPr>
        <w:pStyle w:val="2"/>
        <w:jc w:val="left"/>
      </w:pPr>
      <w:r>
        <w:tab/>
      </w:r>
      <w:r>
        <w:rPr>
          <w:i/>
        </w:rPr>
        <w:t>d</w:t>
      </w:r>
      <w:r>
        <w:rPr>
          <w:rFonts w:hint="eastAsia"/>
          <w:i/>
          <w:iCs/>
        </w:rPr>
        <w:t>——</w:t>
      </w:r>
      <w:r>
        <w:t>钢筋直径</w:t>
      </w:r>
      <w:r>
        <w:rPr>
          <w:rFonts w:hint="eastAsia"/>
        </w:rPr>
        <w:t>；</w:t>
      </w:r>
    </w:p>
    <w:p>
      <w:pPr>
        <w:pStyle w:val="2"/>
        <w:jc w:val="left"/>
      </w:pPr>
      <w:r>
        <w:tab/>
      </w:r>
      <w:r>
        <w:rPr>
          <w:i/>
          <w:iCs/>
        </w:rPr>
        <w:t>e</w:t>
      </w:r>
      <w:r>
        <w:rPr>
          <w:rFonts w:hint="eastAsia"/>
          <w:i/>
          <w:iCs/>
        </w:rPr>
        <w:t>——</w:t>
      </w:r>
      <w:r>
        <w:t>轴向力的偏心距</w:t>
      </w:r>
      <w:r>
        <w:rPr>
          <w:rFonts w:hint="eastAsia"/>
        </w:rPr>
        <w:t>；</w:t>
      </w:r>
    </w:p>
    <w:p>
      <w:pPr>
        <w:pStyle w:val="2"/>
        <w:jc w:val="left"/>
      </w:pPr>
      <w:r>
        <w:rPr>
          <w:kern w:val="0"/>
        </w:rPr>
        <w:tab/>
      </w:r>
      <w:r>
        <w:rPr>
          <w:i/>
          <w:iCs/>
        </w:rPr>
        <w:t>H</w:t>
      </w:r>
      <w:r>
        <w:rPr>
          <w:vertAlign w:val="subscript"/>
        </w:rPr>
        <w:t>0</w:t>
      </w:r>
      <w:r>
        <w:rPr>
          <w:rFonts w:hint="eastAsia"/>
          <w:i/>
          <w:iCs/>
        </w:rPr>
        <w:t>——</w:t>
      </w:r>
      <w:r>
        <w:rPr>
          <w:rFonts w:hint="eastAsia"/>
        </w:rPr>
        <w:t>构件的</w:t>
      </w:r>
      <w:r>
        <w:t>计算高度</w:t>
      </w:r>
      <w:r>
        <w:rPr>
          <w:rFonts w:hint="eastAsia"/>
        </w:rPr>
        <w:t>；</w:t>
      </w:r>
    </w:p>
    <w:p>
      <w:pPr>
        <w:pStyle w:val="2"/>
        <w:jc w:val="left"/>
      </w:pPr>
      <w:r>
        <w:tab/>
      </w:r>
      <w:r>
        <w:rPr>
          <w:i/>
          <w:iCs/>
        </w:rPr>
        <w:t>h</w:t>
      </w:r>
      <w:r>
        <w:rPr>
          <w:rFonts w:hint="eastAsia"/>
          <w:i/>
          <w:iCs/>
        </w:rPr>
        <w:t>——</w:t>
      </w:r>
      <w:r>
        <w:t>矩形截面轴向力偏心方向的边长</w:t>
      </w:r>
      <w:r>
        <w:rPr>
          <w:rFonts w:hint="eastAsia"/>
        </w:rPr>
        <w:t>；</w:t>
      </w:r>
    </w:p>
    <w:p>
      <w:pPr>
        <w:pStyle w:val="2"/>
        <w:jc w:val="left"/>
      </w:pPr>
      <w:r>
        <w:rPr>
          <w:i/>
          <w:iCs/>
        </w:rPr>
        <w:tab/>
      </w:r>
      <w:r>
        <w:rPr>
          <w:i/>
          <w:iCs/>
        </w:rPr>
        <w:t>h</w:t>
      </w:r>
      <w:r>
        <w:rPr>
          <w:vertAlign w:val="subscript"/>
        </w:rPr>
        <w:t>T</w:t>
      </w:r>
      <w:r>
        <w:rPr>
          <w:rFonts w:hint="eastAsia"/>
          <w:i/>
          <w:iCs/>
        </w:rPr>
        <w:t>——</w:t>
      </w:r>
      <w:r>
        <w:t>T形截面的折算厚度</w:t>
      </w:r>
      <w:r>
        <w:rPr>
          <w:rFonts w:hint="eastAsia"/>
        </w:rPr>
        <w:t>；</w:t>
      </w:r>
    </w:p>
    <w:p>
      <w:pPr>
        <w:pStyle w:val="2"/>
        <w:jc w:val="left"/>
      </w:pPr>
      <w:r>
        <w:tab/>
      </w:r>
      <w:r>
        <w:rPr>
          <w:i/>
          <w:iCs/>
        </w:rPr>
        <w:t>h</w:t>
      </w:r>
      <w:r>
        <w:rPr>
          <w:vertAlign w:val="subscript"/>
        </w:rPr>
        <w:t>0</w:t>
      </w:r>
      <w:r>
        <w:rPr>
          <w:rFonts w:hint="eastAsia"/>
          <w:i/>
          <w:iCs/>
        </w:rPr>
        <w:t>——</w:t>
      </w:r>
      <w:r>
        <w:t>截面有效高度</w:t>
      </w:r>
      <w:r>
        <w:rPr>
          <w:rFonts w:hint="eastAsia"/>
        </w:rPr>
        <w:t>；</w:t>
      </w:r>
    </w:p>
    <w:p>
      <w:pPr>
        <w:pStyle w:val="2"/>
        <w:jc w:val="left"/>
      </w:pPr>
      <w:r>
        <w:tab/>
      </w:r>
      <w:r>
        <w:rPr>
          <w:i/>
          <w:iCs/>
        </w:rPr>
        <w:t>l</w:t>
      </w:r>
      <w:r>
        <w:rPr>
          <w:vertAlign w:val="subscript"/>
        </w:rPr>
        <w:t>a</w:t>
      </w:r>
      <w:r>
        <w:rPr>
          <w:rFonts w:hint="eastAsia"/>
          <w:i/>
          <w:iCs/>
        </w:rPr>
        <w:t>——</w:t>
      </w:r>
      <w:r>
        <w:rPr>
          <w:rFonts w:hint="eastAsia"/>
        </w:rPr>
        <w:t>钢筋锚固长度；</w:t>
      </w:r>
    </w:p>
    <w:p>
      <w:pPr>
        <w:pStyle w:val="2"/>
        <w:jc w:val="left"/>
        <w:rPr>
          <w:i/>
          <w:iCs/>
        </w:rPr>
      </w:pPr>
      <w:r>
        <w:rPr>
          <w:kern w:val="0"/>
        </w:rPr>
        <w:tab/>
      </w:r>
      <w:r>
        <w:rPr>
          <w:rFonts w:hint="eastAsia"/>
          <w:i/>
          <w:iCs/>
        </w:rPr>
        <w:t>s——</w:t>
      </w:r>
      <w:r>
        <w:rPr>
          <w:rFonts w:hint="eastAsia"/>
        </w:rPr>
        <w:t>间距。</w:t>
      </w:r>
    </w:p>
    <w:bookmarkEnd w:id="62"/>
    <w:p>
      <w:pPr>
        <w:tabs>
          <w:tab w:val="left" w:pos="851"/>
        </w:tabs>
        <w:adjustRightInd w:val="0"/>
        <w:snapToGrid w:val="0"/>
        <w:spacing w:line="360" w:lineRule="auto"/>
        <w:outlineLvl w:val="2"/>
        <w:rPr>
          <w:rFonts w:eastAsiaTheme="minorEastAsia"/>
          <w:b/>
          <w:sz w:val="24"/>
          <w:szCs w:val="24"/>
        </w:rPr>
      </w:pPr>
      <w:r>
        <w:rPr>
          <w:rFonts w:eastAsiaTheme="minorEastAsia"/>
          <w:b/>
          <w:sz w:val="24"/>
          <w:szCs w:val="24"/>
        </w:rPr>
        <w:t>2.2.3　</w:t>
      </w:r>
      <w:r>
        <w:rPr>
          <w:rFonts w:hint="eastAsia" w:eastAsiaTheme="minorEastAsia"/>
          <w:sz w:val="24"/>
          <w:szCs w:val="24"/>
        </w:rPr>
        <w:t>计算</w:t>
      </w:r>
      <w:r>
        <w:rPr>
          <w:rFonts w:eastAsiaTheme="minorEastAsia"/>
          <w:sz w:val="24"/>
          <w:szCs w:val="24"/>
        </w:rPr>
        <w:t>参数</w:t>
      </w:r>
    </w:p>
    <w:p>
      <w:pPr>
        <w:pStyle w:val="2"/>
        <w:jc w:val="left"/>
      </w:pPr>
      <w:bookmarkStart w:id="63" w:name="_Hlk162780493"/>
      <w:r>
        <w:tab/>
      </w:r>
      <w:r>
        <w:rPr>
          <w:i/>
          <w:iCs/>
        </w:rPr>
        <w:t>β</w:t>
      </w:r>
      <w:r>
        <w:rPr>
          <w:rFonts w:hint="eastAsia"/>
          <w:i/>
          <w:iCs/>
        </w:rPr>
        <w:t>——</w:t>
      </w:r>
      <w:r>
        <w:rPr>
          <w:rFonts w:hint="eastAsia"/>
        </w:rPr>
        <w:t>构件的</w:t>
      </w:r>
      <w:r>
        <w:t>高厚比</w:t>
      </w:r>
      <w:r>
        <w:rPr>
          <w:rFonts w:hint="eastAsia"/>
        </w:rPr>
        <w:t>；</w:t>
      </w:r>
    </w:p>
    <w:p>
      <w:pPr>
        <w:pStyle w:val="2"/>
        <w:jc w:val="left"/>
      </w:pPr>
      <w:r>
        <w:rPr>
          <w:kern w:val="0"/>
        </w:rPr>
        <w:tab/>
      </w:r>
      <w:r>
        <w:rPr>
          <w:i/>
          <w:iCs/>
        </w:rPr>
        <w:t>γ</w:t>
      </w:r>
      <w:r>
        <w:rPr>
          <w:vertAlign w:val="subscript"/>
        </w:rPr>
        <w:sym w:font="Symbol" w:char="F062"/>
      </w:r>
      <w:r>
        <w:rPr>
          <w:rFonts w:hint="eastAsia"/>
          <w:i/>
          <w:iCs/>
        </w:rPr>
        <w:t>——</w:t>
      </w:r>
      <w:r>
        <w:t>高厚比修正系数</w:t>
      </w:r>
      <w:r>
        <w:rPr>
          <w:rFonts w:hint="eastAsia"/>
        </w:rPr>
        <w:t>；</w:t>
      </w:r>
    </w:p>
    <w:p>
      <w:pPr>
        <w:pStyle w:val="2"/>
        <w:jc w:val="left"/>
        <w:rPr>
          <w:kern w:val="0"/>
        </w:rPr>
      </w:pPr>
      <w:r>
        <w:tab/>
      </w:r>
      <w:r>
        <w:rPr>
          <w:i/>
          <w:iCs/>
        </w:rPr>
        <w:t>ζ</w:t>
      </w:r>
      <w:r>
        <w:rPr>
          <w:position w:val="-4"/>
          <w:vertAlign w:val="subscript"/>
        </w:rPr>
        <w:t>c</w:t>
      </w:r>
      <w:r>
        <w:rPr>
          <w:rFonts w:hint="eastAsia"/>
          <w:i/>
          <w:iCs/>
        </w:rPr>
        <w:t>——</w:t>
      </w:r>
      <w:r>
        <w:t>芯柱</w:t>
      </w:r>
      <w:r>
        <w:rPr>
          <w:rFonts w:hint="eastAsia"/>
        </w:rPr>
        <w:t>或芯柱式构造柱</w:t>
      </w:r>
      <w:r>
        <w:t>参与工作系数</w:t>
      </w:r>
      <w:r>
        <w:rPr>
          <w:rFonts w:hint="eastAsia"/>
        </w:rPr>
        <w:t>；</w:t>
      </w:r>
    </w:p>
    <w:p>
      <w:pPr>
        <w:pStyle w:val="2"/>
        <w:jc w:val="left"/>
        <w:rPr>
          <w:i/>
          <w:iCs/>
        </w:rPr>
      </w:pPr>
      <w:r>
        <w:rPr>
          <w:kern w:val="0"/>
        </w:rPr>
        <w:tab/>
      </w:r>
      <w:r>
        <w:rPr>
          <w:i/>
          <w:iCs/>
          <w:w w:val="95"/>
        </w:rPr>
        <w:t>ζ</w:t>
      </w:r>
      <w:r>
        <w:rPr>
          <w:w w:val="95"/>
          <w:position w:val="-4"/>
          <w:vertAlign w:val="subscript"/>
        </w:rPr>
        <w:t>N</w:t>
      </w:r>
      <w:r>
        <w:rPr>
          <w:rFonts w:hint="eastAsia"/>
          <w:i/>
          <w:iCs/>
        </w:rPr>
        <w:t>——</w:t>
      </w:r>
      <w:r>
        <w:t>砌体抗震抗剪强度的正应力影响系数</w:t>
      </w:r>
      <w:r>
        <w:rPr>
          <w:rFonts w:hint="eastAsia"/>
        </w:rPr>
        <w:t>；</w:t>
      </w:r>
    </w:p>
    <w:p>
      <w:pPr>
        <w:pStyle w:val="2"/>
        <w:jc w:val="left"/>
        <w:rPr>
          <w:kern w:val="0"/>
        </w:rPr>
      </w:pPr>
      <w:r>
        <w:tab/>
      </w:r>
      <w:r>
        <w:rPr>
          <w:i/>
          <w:iCs/>
        </w:rPr>
        <w:sym w:font="Symbol" w:char="F067"/>
      </w:r>
      <w:r>
        <w:rPr>
          <w:vertAlign w:val="subscript"/>
        </w:rPr>
        <w:t>RE</w:t>
      </w:r>
      <w:r>
        <w:rPr>
          <w:rFonts w:hint="eastAsia"/>
          <w:i/>
          <w:iCs/>
        </w:rPr>
        <w:t>——</w:t>
      </w:r>
      <w:r>
        <w:t>承载力抗震调整系数</w:t>
      </w:r>
      <w:r>
        <w:rPr>
          <w:rFonts w:hint="eastAsia"/>
        </w:rPr>
        <w:t>；</w:t>
      </w:r>
    </w:p>
    <w:p>
      <w:pPr>
        <w:pStyle w:val="2"/>
        <w:jc w:val="left"/>
        <w:rPr>
          <w:i/>
          <w:iCs/>
        </w:rPr>
      </w:pPr>
      <w:r>
        <w:rPr>
          <w:kern w:val="0"/>
        </w:rPr>
        <w:tab/>
      </w:r>
      <w:r>
        <w:rPr>
          <w:i/>
          <w:iCs/>
        </w:rPr>
        <w:t>λ</w:t>
      </w:r>
      <w:r>
        <w:rPr>
          <w:rFonts w:hint="eastAsia"/>
          <w:i/>
          <w:iCs/>
        </w:rPr>
        <w:t>——</w:t>
      </w:r>
      <w:r>
        <w:t>计算截面的剪跨比</w:t>
      </w:r>
      <w:r>
        <w:rPr>
          <w:rFonts w:hint="eastAsia"/>
        </w:rPr>
        <w:t>；</w:t>
      </w:r>
    </w:p>
    <w:p>
      <w:pPr>
        <w:pStyle w:val="2"/>
        <w:jc w:val="left"/>
        <w:rPr>
          <w:kern w:val="0"/>
        </w:rPr>
      </w:pPr>
      <w:r>
        <w:tab/>
      </w:r>
      <w:r>
        <w:rPr>
          <w:i/>
        </w:rPr>
        <w:t>η</w:t>
      </w:r>
      <w:r>
        <w:rPr>
          <w:position w:val="-4"/>
          <w:vertAlign w:val="subscript"/>
        </w:rPr>
        <w:t>vw</w:t>
      </w:r>
      <w:r>
        <w:rPr>
          <w:rFonts w:hint="eastAsia"/>
          <w:i/>
          <w:iCs/>
        </w:rPr>
        <w:t>——</w:t>
      </w:r>
      <w:r>
        <w:t>剪力增大系数</w:t>
      </w:r>
      <w:r>
        <w:rPr>
          <w:rFonts w:hint="eastAsia"/>
        </w:rPr>
        <w:t>；</w:t>
      </w:r>
    </w:p>
    <w:p>
      <w:pPr>
        <w:pStyle w:val="2"/>
        <w:jc w:val="left"/>
        <w:rPr>
          <w:i/>
          <w:iCs/>
        </w:rPr>
      </w:pPr>
      <w:r>
        <w:rPr>
          <w:kern w:val="0"/>
        </w:rPr>
        <w:tab/>
      </w:r>
      <w:r>
        <w:rPr>
          <w:i/>
        </w:rPr>
        <w:t>ρ</w:t>
      </w:r>
      <w:r>
        <w:rPr>
          <w:rFonts w:hint="eastAsia"/>
          <w:i/>
          <w:iCs/>
        </w:rPr>
        <w:t>——</w:t>
      </w:r>
      <w:r>
        <w:rPr>
          <w:rFonts w:hint="eastAsia"/>
        </w:rPr>
        <w:t>模壳砌块砌体的</w:t>
      </w:r>
      <w:r>
        <w:t>灌孔率</w:t>
      </w:r>
      <w:r>
        <w:rPr>
          <w:rFonts w:hint="eastAsia"/>
        </w:rPr>
        <w:t>、配筋率；</w:t>
      </w:r>
    </w:p>
    <w:p>
      <w:pPr>
        <w:pStyle w:val="2"/>
        <w:jc w:val="left"/>
      </w:pPr>
      <w:r>
        <w:tab/>
      </w:r>
      <w:r>
        <w:rPr>
          <w:i/>
          <w:iCs/>
        </w:rPr>
        <w:t>φ</w:t>
      </w:r>
      <w:r>
        <w:rPr>
          <w:rFonts w:hint="eastAsia"/>
          <w:i/>
          <w:iCs/>
        </w:rPr>
        <w:t>——</w:t>
      </w:r>
      <w:r>
        <w:t>承载力的影响系数</w:t>
      </w:r>
      <w:r>
        <w:rPr>
          <w:rFonts w:hint="eastAsia"/>
        </w:rPr>
        <w:t>；</w:t>
      </w:r>
    </w:p>
    <w:p>
      <w:pPr>
        <w:pStyle w:val="2"/>
        <w:jc w:val="left"/>
        <w:rPr>
          <w:i/>
          <w:iCs/>
        </w:rPr>
      </w:pPr>
      <w:r>
        <w:tab/>
      </w:r>
      <w:r>
        <w:rPr>
          <w:i/>
          <w:iCs/>
        </w:rPr>
        <w:t>φ</w:t>
      </w:r>
      <w:r>
        <w:rPr>
          <w:vertAlign w:val="subscript"/>
        </w:rPr>
        <w:t>0g</w:t>
      </w:r>
      <w:r>
        <w:rPr>
          <w:rFonts w:hint="eastAsia"/>
          <w:i/>
          <w:iCs/>
        </w:rPr>
        <w:t>——</w:t>
      </w:r>
      <w:r>
        <w:rPr>
          <w:rFonts w:hint="eastAsia"/>
        </w:rPr>
        <w:t>轴心受压构件的稳定</w:t>
      </w:r>
      <w:r>
        <w:t>系数</w:t>
      </w:r>
      <w:r>
        <w:rPr>
          <w:rFonts w:hint="eastAsia"/>
        </w:rPr>
        <w:t>。</w:t>
      </w:r>
    </w:p>
    <w:bookmarkEnd w:id="63"/>
    <w:p>
      <w:pPr>
        <w:pStyle w:val="45"/>
        <w:spacing w:before="312" w:after="312"/>
        <w:outlineLvl w:val="9"/>
        <w:rPr>
          <w:rFonts w:eastAsiaTheme="minorEastAsia"/>
          <w:szCs w:val="28"/>
        </w:rPr>
        <w:sectPr>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64" w:name="_Toc41895194"/>
      <w:bookmarkStart w:id="65" w:name="_Toc5168"/>
      <w:bookmarkStart w:id="66" w:name="_Toc148994655"/>
      <w:bookmarkStart w:id="67" w:name="_Toc149766320"/>
      <w:bookmarkStart w:id="68" w:name="_Toc149766378"/>
      <w:r>
        <w:rPr>
          <w:rFonts w:eastAsiaTheme="minorEastAsia"/>
          <w:sz w:val="32"/>
        </w:rPr>
        <w:t>3　材　　料</w:t>
      </w:r>
      <w:bookmarkEnd w:id="64"/>
      <w:bookmarkEnd w:id="65"/>
      <w:bookmarkEnd w:id="66"/>
      <w:bookmarkEnd w:id="67"/>
      <w:bookmarkEnd w:id="68"/>
    </w:p>
    <w:p>
      <w:pPr>
        <w:pStyle w:val="46"/>
      </w:pPr>
      <w:bookmarkStart w:id="69" w:name="_Toc149766379"/>
      <w:bookmarkStart w:id="70" w:name="_Toc149766321"/>
      <w:bookmarkStart w:id="71" w:name="_Toc148994656"/>
      <w:r>
        <w:t>3.1　材料强度等级</w:t>
      </w:r>
      <w:bookmarkEnd w:id="69"/>
      <w:bookmarkEnd w:id="70"/>
      <w:bookmarkEnd w:id="71"/>
    </w:p>
    <w:p>
      <w:pPr>
        <w:tabs>
          <w:tab w:val="left" w:pos="777"/>
        </w:tabs>
        <w:adjustRightInd w:val="0"/>
        <w:spacing w:line="360" w:lineRule="auto"/>
        <w:outlineLvl w:val="2"/>
        <w:rPr>
          <w:rFonts w:eastAsiaTheme="minorEastAsia"/>
          <w:sz w:val="24"/>
        </w:rPr>
      </w:pPr>
      <w:r>
        <w:rPr>
          <w:rFonts w:eastAsiaTheme="minorEastAsia"/>
          <w:b/>
          <w:sz w:val="24"/>
          <w:szCs w:val="24"/>
        </w:rPr>
        <w:t>3.1.1　</w:t>
      </w:r>
      <w:r>
        <w:rPr>
          <w:rFonts w:eastAsiaTheme="minorEastAsia"/>
          <w:sz w:val="24"/>
        </w:rPr>
        <w:t>混凝土模壳砌块的强度等级不应低于MU5。</w:t>
      </w:r>
    </w:p>
    <w:p>
      <w:pPr>
        <w:tabs>
          <w:tab w:val="left" w:pos="777"/>
        </w:tabs>
        <w:adjustRightInd w:val="0"/>
        <w:spacing w:line="360" w:lineRule="auto"/>
        <w:outlineLvl w:val="2"/>
        <w:rPr>
          <w:rFonts w:eastAsiaTheme="minorEastAsia"/>
          <w:sz w:val="24"/>
        </w:rPr>
      </w:pPr>
      <w:r>
        <w:rPr>
          <w:rFonts w:eastAsiaTheme="minorEastAsia"/>
          <w:b/>
          <w:sz w:val="24"/>
          <w:szCs w:val="24"/>
        </w:rPr>
        <w:t>3.1.2　</w:t>
      </w:r>
      <w:r>
        <w:rPr>
          <w:rFonts w:eastAsiaTheme="minorEastAsia"/>
          <w:sz w:val="24"/>
        </w:rPr>
        <w:t>模壳砌块</w:t>
      </w:r>
      <w:r>
        <w:rPr>
          <w:rFonts w:hint="eastAsia" w:eastAsiaTheme="minorEastAsia"/>
          <w:sz w:val="24"/>
        </w:rPr>
        <w:t>墙体</w:t>
      </w:r>
      <w:r>
        <w:rPr>
          <w:rFonts w:eastAsiaTheme="minorEastAsia"/>
          <w:sz w:val="24"/>
        </w:rPr>
        <w:t>用</w:t>
      </w:r>
      <w:r>
        <w:rPr>
          <w:rFonts w:eastAsiaTheme="minorEastAsia"/>
          <w:sz w:val="24"/>
          <w:szCs w:val="24"/>
        </w:rPr>
        <w:t>混凝土、</w:t>
      </w:r>
      <w:r>
        <w:rPr>
          <w:rFonts w:eastAsiaTheme="minorEastAsia"/>
          <w:bCs/>
          <w:sz w:val="24"/>
          <w:szCs w:val="24"/>
        </w:rPr>
        <w:t>后浇</w:t>
      </w:r>
      <w:r>
        <w:rPr>
          <w:rFonts w:eastAsiaTheme="minorEastAsia"/>
          <w:sz w:val="24"/>
          <w:szCs w:val="24"/>
        </w:rPr>
        <w:t>混凝土、钢材的力学性能指标</w:t>
      </w:r>
      <w:r>
        <w:rPr>
          <w:rFonts w:hint="eastAsia" w:eastAsiaTheme="minorEastAsia"/>
          <w:sz w:val="24"/>
          <w:szCs w:val="24"/>
        </w:rPr>
        <w:t>与</w:t>
      </w:r>
      <w:r>
        <w:rPr>
          <w:rFonts w:eastAsiaTheme="minorEastAsia"/>
          <w:sz w:val="24"/>
          <w:szCs w:val="24"/>
        </w:rPr>
        <w:t>耐久性要求应符合现行国家标准《混凝土结构设计规范》GB 50010的有关规定</w:t>
      </w:r>
      <w:r>
        <w:rPr>
          <w:rFonts w:eastAsiaTheme="minorEastAsia"/>
          <w:sz w:val="24"/>
        </w:rPr>
        <w:t>。</w:t>
      </w:r>
    </w:p>
    <w:p>
      <w:pPr>
        <w:tabs>
          <w:tab w:val="left" w:pos="735"/>
        </w:tabs>
        <w:adjustRightInd w:val="0"/>
        <w:spacing w:line="360" w:lineRule="auto"/>
        <w:outlineLvl w:val="2"/>
        <w:rPr>
          <w:rFonts w:eastAsiaTheme="minorEastAsia"/>
          <w:bCs/>
          <w:sz w:val="24"/>
        </w:rPr>
      </w:pPr>
      <w:r>
        <w:rPr>
          <w:rFonts w:eastAsiaTheme="minorEastAsia"/>
          <w:b/>
          <w:sz w:val="24"/>
          <w:szCs w:val="24"/>
        </w:rPr>
        <w:t>3.1.3　</w:t>
      </w:r>
      <w:r>
        <w:rPr>
          <w:rFonts w:eastAsiaTheme="minorEastAsia"/>
          <w:bCs/>
          <w:sz w:val="24"/>
          <w:szCs w:val="24"/>
        </w:rPr>
        <w:t>模壳</w:t>
      </w:r>
      <w:r>
        <w:rPr>
          <w:rFonts w:hint="eastAsia" w:eastAsiaTheme="minorEastAsia"/>
          <w:bCs/>
          <w:sz w:val="24"/>
          <w:szCs w:val="24"/>
        </w:rPr>
        <w:t>砌块墙体圈梁的顶部</w:t>
      </w:r>
      <w:r>
        <w:rPr>
          <w:rFonts w:eastAsiaTheme="minorEastAsia"/>
          <w:bCs/>
          <w:sz w:val="24"/>
        </w:rPr>
        <w:t>与底层模壳</w:t>
      </w:r>
      <w:r>
        <w:rPr>
          <w:rFonts w:hint="eastAsia" w:eastAsiaTheme="minorEastAsia"/>
          <w:bCs/>
          <w:sz w:val="24"/>
        </w:rPr>
        <w:t>砌块间</w:t>
      </w:r>
      <w:r>
        <w:rPr>
          <w:rFonts w:eastAsiaTheme="minorEastAsia"/>
          <w:bCs/>
          <w:sz w:val="24"/>
        </w:rPr>
        <w:t>宜采用</w:t>
      </w:r>
      <w:r>
        <w:rPr>
          <w:rFonts w:hint="eastAsia" w:eastAsiaTheme="minorEastAsia"/>
          <w:bCs/>
          <w:sz w:val="24"/>
        </w:rPr>
        <w:t>砌筑</w:t>
      </w:r>
      <w:r>
        <w:rPr>
          <w:rFonts w:eastAsiaTheme="minorEastAsia"/>
          <w:bCs/>
          <w:sz w:val="24"/>
        </w:rPr>
        <w:t>砂浆</w:t>
      </w:r>
      <w:r>
        <w:rPr>
          <w:rFonts w:hint="eastAsia" w:eastAsiaTheme="minorEastAsia"/>
          <w:bCs/>
          <w:sz w:val="24"/>
        </w:rPr>
        <w:t>砌筑</w:t>
      </w:r>
      <w:r>
        <w:rPr>
          <w:rFonts w:eastAsiaTheme="minorEastAsia"/>
          <w:bCs/>
          <w:sz w:val="24"/>
        </w:rPr>
        <w:t>，</w:t>
      </w:r>
      <w:r>
        <w:rPr>
          <w:rFonts w:hint="eastAsia" w:eastAsiaTheme="minorEastAsia"/>
          <w:bCs/>
          <w:sz w:val="24"/>
        </w:rPr>
        <w:t>对应砌筑</w:t>
      </w:r>
      <w:r>
        <w:rPr>
          <w:rFonts w:eastAsiaTheme="minorEastAsia"/>
          <w:bCs/>
          <w:sz w:val="24"/>
        </w:rPr>
        <w:t>砂浆强度等级</w:t>
      </w:r>
      <w:r>
        <w:rPr>
          <w:rFonts w:eastAsiaTheme="minorEastAsia"/>
          <w:bCs/>
          <w:sz w:val="24"/>
          <w:szCs w:val="24"/>
        </w:rPr>
        <w:t>不应低于M7.5。</w:t>
      </w:r>
    </w:p>
    <w:p>
      <w:pPr>
        <w:tabs>
          <w:tab w:val="left" w:pos="735"/>
        </w:tabs>
        <w:adjustRightInd w:val="0"/>
        <w:spacing w:line="360" w:lineRule="auto"/>
        <w:outlineLvl w:val="2"/>
        <w:rPr>
          <w:rFonts w:eastAsiaTheme="minorEastAsia"/>
          <w:bCs/>
          <w:sz w:val="24"/>
          <w:szCs w:val="24"/>
        </w:rPr>
      </w:pPr>
      <w:r>
        <w:rPr>
          <w:rFonts w:eastAsiaTheme="minorEastAsia"/>
          <w:b/>
          <w:sz w:val="24"/>
          <w:szCs w:val="24"/>
        </w:rPr>
        <w:t>3.1.4　</w:t>
      </w:r>
      <w:r>
        <w:rPr>
          <w:rFonts w:eastAsiaTheme="minorEastAsia"/>
          <w:bCs/>
          <w:sz w:val="24"/>
          <w:szCs w:val="24"/>
        </w:rPr>
        <w:t>模壳砌块</w:t>
      </w:r>
      <w:r>
        <w:rPr>
          <w:rFonts w:hint="eastAsia" w:eastAsiaTheme="minorEastAsia"/>
          <w:bCs/>
          <w:sz w:val="24"/>
          <w:szCs w:val="24"/>
        </w:rPr>
        <w:t>之</w:t>
      </w:r>
      <w:r>
        <w:rPr>
          <w:rFonts w:eastAsiaTheme="minorEastAsia"/>
          <w:bCs/>
          <w:sz w:val="24"/>
          <w:szCs w:val="24"/>
        </w:rPr>
        <w:t>间</w:t>
      </w:r>
      <w:r>
        <w:rPr>
          <w:rFonts w:hint="eastAsia" w:eastAsiaTheme="minorEastAsia"/>
          <w:bCs/>
          <w:sz w:val="24"/>
          <w:szCs w:val="24"/>
        </w:rPr>
        <w:t>的</w:t>
      </w:r>
      <w:r>
        <w:rPr>
          <w:rFonts w:eastAsiaTheme="minorEastAsia"/>
          <w:bCs/>
          <w:sz w:val="24"/>
          <w:szCs w:val="24"/>
        </w:rPr>
        <w:t>接缝应采用专用砌筑砂浆</w:t>
      </w:r>
      <w:r>
        <w:rPr>
          <w:rFonts w:hint="eastAsia" w:eastAsiaTheme="minorEastAsia"/>
          <w:bCs/>
          <w:sz w:val="24"/>
          <w:szCs w:val="24"/>
        </w:rPr>
        <w:t>薄层砌筑工艺砌筑</w:t>
      </w:r>
      <w:r>
        <w:rPr>
          <w:rFonts w:eastAsiaTheme="minorEastAsia"/>
          <w:bCs/>
          <w:sz w:val="24"/>
          <w:szCs w:val="24"/>
        </w:rPr>
        <w:t>，</w:t>
      </w:r>
      <w:r>
        <w:rPr>
          <w:rFonts w:hint="eastAsia" w:eastAsiaTheme="minorEastAsia"/>
          <w:bCs/>
          <w:sz w:val="24"/>
          <w:szCs w:val="24"/>
        </w:rPr>
        <w:t>性能要求应符合</w:t>
      </w:r>
      <w:r>
        <w:rPr>
          <w:rFonts w:eastAsiaTheme="minorEastAsia"/>
          <w:bCs/>
          <w:sz w:val="24"/>
          <w:szCs w:val="24"/>
        </w:rPr>
        <w:t>现行行业标准</w:t>
      </w:r>
      <w:r>
        <w:rPr>
          <w:rFonts w:eastAsiaTheme="minorEastAsia"/>
          <w:sz w:val="24"/>
          <w:szCs w:val="24"/>
        </w:rPr>
        <w:t>《</w:t>
      </w:r>
      <w:r>
        <w:rPr>
          <w:rFonts w:hint="eastAsia" w:eastAsiaTheme="minorEastAsia"/>
          <w:sz w:val="24"/>
          <w:szCs w:val="24"/>
        </w:rPr>
        <w:t>砌筑砂浆配合比设计规程</w:t>
      </w:r>
      <w:r>
        <w:rPr>
          <w:rFonts w:eastAsiaTheme="minorEastAsia"/>
          <w:sz w:val="24"/>
          <w:szCs w:val="24"/>
        </w:rPr>
        <w:t>》</w:t>
      </w:r>
      <w:r>
        <w:rPr>
          <w:rFonts w:hint="eastAsia" w:eastAsiaTheme="minorEastAsia"/>
          <w:bCs/>
          <w:sz w:val="24"/>
          <w:szCs w:val="24"/>
        </w:rPr>
        <w:t>J</w:t>
      </w:r>
      <w:r>
        <w:rPr>
          <w:rFonts w:eastAsiaTheme="minorEastAsia"/>
          <w:bCs/>
          <w:sz w:val="24"/>
          <w:szCs w:val="24"/>
        </w:rPr>
        <w:t>GJ/T 98</w:t>
      </w:r>
      <w:r>
        <w:rPr>
          <w:rFonts w:hint="eastAsia" w:eastAsiaTheme="minorEastAsia"/>
          <w:bCs/>
          <w:sz w:val="24"/>
          <w:szCs w:val="24"/>
        </w:rPr>
        <w:t>的有关规定。</w:t>
      </w:r>
    </w:p>
    <w:p>
      <w:pPr>
        <w:tabs>
          <w:tab w:val="left" w:pos="735"/>
        </w:tabs>
        <w:adjustRightInd w:val="0"/>
        <w:spacing w:line="360" w:lineRule="auto"/>
        <w:outlineLvl w:val="2"/>
        <w:rPr>
          <w:rFonts w:eastAsiaTheme="minorEastAsia"/>
          <w:sz w:val="24"/>
        </w:rPr>
      </w:pPr>
      <w:r>
        <w:rPr>
          <w:rFonts w:eastAsiaTheme="minorEastAsia"/>
          <w:b/>
          <w:sz w:val="24"/>
          <w:szCs w:val="24"/>
        </w:rPr>
        <w:t>3.1.5　</w:t>
      </w:r>
      <w:r>
        <w:rPr>
          <w:rFonts w:eastAsiaTheme="minorEastAsia"/>
          <w:bCs/>
          <w:sz w:val="24"/>
          <w:szCs w:val="24"/>
        </w:rPr>
        <w:t>模壳砌</w:t>
      </w:r>
      <w:r>
        <w:rPr>
          <w:rFonts w:hint="eastAsia" w:eastAsiaTheme="minorEastAsia"/>
          <w:bCs/>
          <w:sz w:val="24"/>
          <w:szCs w:val="24"/>
        </w:rPr>
        <w:t>块</w:t>
      </w:r>
      <w:r>
        <w:rPr>
          <w:rFonts w:eastAsiaTheme="minorEastAsia"/>
          <w:bCs/>
          <w:sz w:val="24"/>
          <w:szCs w:val="24"/>
        </w:rPr>
        <w:t>预留孔内可填充</w:t>
      </w:r>
      <w:r>
        <w:rPr>
          <w:sz w:val="24"/>
        </w:rPr>
        <w:t>密度等级为A03或A04</w:t>
      </w:r>
      <w:r>
        <w:rPr>
          <w:rFonts w:eastAsiaTheme="minorEastAsia"/>
          <w:bCs/>
          <w:sz w:val="24"/>
          <w:szCs w:val="24"/>
        </w:rPr>
        <w:t>泡沫混凝土，泡沫混凝土的物理力学性能应符合现行行业标准《泡沫混凝土应用技术规程》JGJ/T 341的有关规定</w:t>
      </w:r>
      <w:r>
        <w:rPr>
          <w:rFonts w:eastAsiaTheme="minorEastAsia"/>
          <w:sz w:val="24"/>
        </w:rPr>
        <w:t>。</w:t>
      </w:r>
    </w:p>
    <w:p>
      <w:pPr>
        <w:tabs>
          <w:tab w:val="left" w:pos="735"/>
        </w:tabs>
        <w:adjustRightInd w:val="0"/>
        <w:spacing w:line="360" w:lineRule="auto"/>
        <w:outlineLvl w:val="2"/>
        <w:rPr>
          <w:rFonts w:eastAsiaTheme="minorEastAsia"/>
          <w:sz w:val="24"/>
        </w:rPr>
      </w:pPr>
      <w:r>
        <w:rPr>
          <w:rFonts w:eastAsiaTheme="minorEastAsia"/>
          <w:b/>
          <w:sz w:val="24"/>
          <w:szCs w:val="24"/>
        </w:rPr>
        <w:t>3.1.6　</w:t>
      </w:r>
      <w:bookmarkStart w:id="72" w:name="_Hlk143165747"/>
      <w:r>
        <w:rPr>
          <w:rFonts w:hint="eastAsia" w:eastAsiaTheme="minorEastAsia"/>
          <w:bCs/>
          <w:sz w:val="24"/>
          <w:szCs w:val="24"/>
        </w:rPr>
        <w:t>芯柱、构造柱、圈梁等后浇构件应采用混凝土灌注或浇筑，</w:t>
      </w:r>
      <w:r>
        <w:rPr>
          <w:rFonts w:eastAsiaTheme="minorEastAsia"/>
          <w:bCs/>
          <w:sz w:val="24"/>
          <w:szCs w:val="24"/>
        </w:rPr>
        <w:t>混凝土强度指标</w:t>
      </w:r>
      <w:r>
        <w:rPr>
          <w:rFonts w:eastAsiaTheme="minorEastAsia"/>
          <w:sz w:val="24"/>
        </w:rPr>
        <w:t>应符合现行国家标准《砌体结构设计规</w:t>
      </w:r>
      <w:bookmarkEnd w:id="72"/>
      <w:r>
        <w:rPr>
          <w:rFonts w:eastAsiaTheme="minorEastAsia"/>
          <w:sz w:val="24"/>
        </w:rPr>
        <w:t>范》GB 50003的有关规定，同时应满足下列</w:t>
      </w:r>
      <w:r>
        <w:rPr>
          <w:rFonts w:hint="eastAsia" w:eastAsiaTheme="minorEastAsia"/>
          <w:sz w:val="24"/>
        </w:rPr>
        <w:t>要求</w:t>
      </w:r>
      <w:r>
        <w:rPr>
          <w:rFonts w:eastAsiaTheme="minorEastAsia"/>
          <w:sz w:val="24"/>
        </w:rPr>
        <w:t>：</w:t>
      </w:r>
    </w:p>
    <w:p>
      <w:pPr>
        <w:pStyle w:val="2"/>
        <w:jc w:val="left"/>
        <w:rPr>
          <w:b w:val="0"/>
          <w:sz w:val="24"/>
        </w:rPr>
      </w:pPr>
      <w:r>
        <w:t>1</w:t>
      </w:r>
      <w:r>
        <w:rPr>
          <w:rFonts w:hint="eastAsia"/>
        </w:rPr>
        <w:t>　</w:t>
      </w:r>
      <w:r>
        <w:rPr>
          <w:b w:val="0"/>
          <w:sz w:val="24"/>
        </w:rPr>
        <w:t>构造柱、圈梁、连梁混凝土的强度等级不应低于C30</w:t>
      </w:r>
      <w:r>
        <w:rPr>
          <w:rFonts w:hint="eastAsia"/>
          <w:b w:val="0"/>
          <w:sz w:val="24"/>
        </w:rPr>
        <w:t>；</w:t>
      </w:r>
    </w:p>
    <w:p>
      <w:pPr>
        <w:pStyle w:val="2"/>
        <w:jc w:val="left"/>
      </w:pPr>
      <w:r>
        <w:rPr>
          <w:rFonts w:hint="eastAsia"/>
        </w:rPr>
        <w:t>2　</w:t>
      </w:r>
      <w:r>
        <w:rPr>
          <w:rFonts w:hint="eastAsia"/>
          <w:b w:val="0"/>
          <w:sz w:val="24"/>
        </w:rPr>
        <w:t>芯柱</w:t>
      </w:r>
      <w:r>
        <w:rPr>
          <w:b w:val="0"/>
          <w:sz w:val="24"/>
        </w:rPr>
        <w:t>混凝土的强度等级不应低于Cb30</w:t>
      </w:r>
      <w:r>
        <w:rPr>
          <w:rFonts w:hint="eastAsia"/>
          <w:b w:val="0"/>
          <w:sz w:val="24"/>
        </w:rPr>
        <w:t>。</w:t>
      </w:r>
    </w:p>
    <w:p>
      <w:pPr>
        <w:tabs>
          <w:tab w:val="left" w:pos="735"/>
        </w:tabs>
        <w:adjustRightInd w:val="0"/>
        <w:spacing w:line="360" w:lineRule="auto"/>
        <w:outlineLvl w:val="2"/>
      </w:pPr>
      <w:r>
        <w:rPr>
          <w:rFonts w:eastAsiaTheme="minorEastAsia"/>
          <w:b/>
          <w:sz w:val="24"/>
        </w:rPr>
        <w:t>3.1.7　</w:t>
      </w:r>
      <w:r>
        <w:rPr>
          <w:rFonts w:eastAsiaTheme="minorEastAsia"/>
          <w:bCs/>
          <w:sz w:val="24"/>
        </w:rPr>
        <w:t>模壳砌块内芯柱和构造柱的钢筋</w:t>
      </w:r>
      <w:r>
        <w:rPr>
          <w:rFonts w:eastAsiaTheme="minorEastAsia"/>
          <w:sz w:val="24"/>
        </w:rPr>
        <w:t>应符合现行国家标准《砌体结构设计规范》GB 50003的有关规定，同时应满足下列</w:t>
      </w:r>
      <w:r>
        <w:rPr>
          <w:rFonts w:hint="eastAsia" w:eastAsiaTheme="minorEastAsia"/>
          <w:sz w:val="24"/>
        </w:rPr>
        <w:t>要求</w:t>
      </w:r>
      <w:r>
        <w:rPr>
          <w:rFonts w:eastAsiaTheme="minorEastAsia"/>
          <w:sz w:val="24"/>
        </w:rPr>
        <w:t>：</w:t>
      </w:r>
    </w:p>
    <w:p>
      <w:pPr>
        <w:pStyle w:val="2"/>
        <w:jc w:val="left"/>
      </w:pPr>
      <w:r>
        <w:t>1</w:t>
      </w:r>
      <w:r>
        <w:rPr>
          <w:rFonts w:hint="eastAsia"/>
        </w:rPr>
        <w:t>　</w:t>
      </w:r>
      <w:r>
        <w:rPr>
          <w:b w:val="0"/>
          <w:sz w:val="24"/>
        </w:rPr>
        <w:t>构造柱</w:t>
      </w:r>
      <w:r>
        <w:rPr>
          <w:rFonts w:hint="eastAsia"/>
          <w:b w:val="0"/>
          <w:sz w:val="24"/>
        </w:rPr>
        <w:t>、芯柱和圈梁的纵筋宜采用HRB400级钢筋，箍筋宜采用HPB300级钢筋；</w:t>
      </w:r>
    </w:p>
    <w:p>
      <w:pPr>
        <w:pStyle w:val="2"/>
        <w:jc w:val="left"/>
      </w:pPr>
      <w:r>
        <w:rPr>
          <w:rFonts w:hint="eastAsia"/>
        </w:rPr>
        <w:t>2　</w:t>
      </w:r>
      <w:r>
        <w:rPr>
          <w:b w:val="0"/>
          <w:sz w:val="24"/>
        </w:rPr>
        <w:t>模壳</w:t>
      </w:r>
      <w:r>
        <w:rPr>
          <w:rFonts w:hint="eastAsia"/>
          <w:b w:val="0"/>
          <w:sz w:val="24"/>
        </w:rPr>
        <w:t>砌块砌体结构的水平拉结钢筋宜采用HRB400级和RRB400级钢筋，也可采用HPB300级钢筋；</w:t>
      </w:r>
    </w:p>
    <w:p>
      <w:pPr>
        <w:pStyle w:val="2"/>
        <w:jc w:val="left"/>
      </w:pPr>
      <w:r>
        <w:rPr>
          <w:rFonts w:hint="eastAsia"/>
        </w:rPr>
        <w:t>3　</w:t>
      </w:r>
      <w:r>
        <w:rPr>
          <w:b w:val="0"/>
          <w:sz w:val="24"/>
        </w:rPr>
        <w:t>重要部位及直接承受疲劳荷载构件的受力钢筋不宜采用RRB400</w:t>
      </w:r>
      <w:r>
        <w:rPr>
          <w:rFonts w:hint="eastAsia"/>
          <w:b w:val="0"/>
          <w:sz w:val="24"/>
        </w:rPr>
        <w:t>级钢筋。</w:t>
      </w:r>
    </w:p>
    <w:p>
      <w:pPr>
        <w:pStyle w:val="46"/>
      </w:pPr>
      <w:bookmarkStart w:id="73" w:name="_Toc149766380"/>
      <w:bookmarkStart w:id="74" w:name="_Toc149766322"/>
      <w:bookmarkStart w:id="75" w:name="_Toc148994657"/>
      <w:r>
        <w:t>3.</w:t>
      </w:r>
      <w:bookmarkEnd w:id="73"/>
      <w:bookmarkEnd w:id="74"/>
      <w:bookmarkEnd w:id="75"/>
      <w:r>
        <w:t>2　</w:t>
      </w:r>
      <w:r>
        <w:rPr>
          <w:rFonts w:hint="eastAsia"/>
        </w:rPr>
        <w:t>模壳</w:t>
      </w:r>
      <w:r>
        <w:t>砌块</w:t>
      </w:r>
      <w:r>
        <w:rPr>
          <w:rFonts w:hint="eastAsia"/>
        </w:rPr>
        <w:t>砌体</w:t>
      </w:r>
      <w:r>
        <w:t>计算指标</w:t>
      </w:r>
    </w:p>
    <w:p>
      <w:pPr>
        <w:tabs>
          <w:tab w:val="left" w:pos="777"/>
        </w:tabs>
        <w:adjustRightInd w:val="0"/>
        <w:spacing w:line="360" w:lineRule="auto"/>
        <w:outlineLvl w:val="2"/>
        <w:rPr>
          <w:rFonts w:eastAsiaTheme="minorEastAsia"/>
          <w:sz w:val="24"/>
        </w:rPr>
      </w:pPr>
      <w:r>
        <w:rPr>
          <w:rFonts w:eastAsiaTheme="minorEastAsia"/>
          <w:b/>
          <w:sz w:val="24"/>
          <w:szCs w:val="24"/>
        </w:rPr>
        <w:t>3.2.1　</w:t>
      </w:r>
      <w:r>
        <w:rPr>
          <w:rFonts w:eastAsiaTheme="minorEastAsia"/>
          <w:sz w:val="24"/>
        </w:rPr>
        <w:t>模壳砌块灌</w:t>
      </w:r>
      <w:r>
        <w:rPr>
          <w:rFonts w:hint="eastAsia" w:eastAsiaTheme="minorEastAsia"/>
          <w:sz w:val="24"/>
        </w:rPr>
        <w:t>孔</w:t>
      </w:r>
      <w:r>
        <w:rPr>
          <w:rFonts w:eastAsiaTheme="minorEastAsia"/>
          <w:sz w:val="24"/>
        </w:rPr>
        <w:t>砌体的弹性模量，应按下式计算</w:t>
      </w:r>
      <w:r>
        <w:rPr>
          <w:rFonts w:hint="eastAsia" w:eastAsiaTheme="minorEastAsia"/>
          <w:sz w:val="24"/>
        </w:rPr>
        <w:t>：</w:t>
      </w:r>
    </w:p>
    <w:p>
      <w:pPr>
        <w:pStyle w:val="2"/>
        <w:jc w:val="right"/>
        <w:rPr>
          <w:kern w:val="0"/>
        </w:rPr>
      </w:pPr>
      <w:bookmarkStart w:id="76" w:name="_Hlk162780011"/>
      <w:r>
        <w:tab/>
      </w:r>
      <w:r>
        <w:rPr>
          <w:position w:val="-4"/>
          <w:vertAlign w:val="subscript"/>
        </w:rPr>
        <w:tab/>
      </w:r>
      <w:r>
        <w:rPr>
          <w:i/>
          <w:iCs/>
        </w:rPr>
        <w:t>E</w:t>
      </w:r>
      <w:r>
        <w:t>=2000</w:t>
      </w:r>
      <w:r>
        <w:rPr>
          <w:i/>
          <w:iCs/>
        </w:rPr>
        <w:t>f</w:t>
      </w:r>
      <w:r>
        <w:rPr>
          <w:vertAlign w:val="subscript"/>
        </w:rPr>
        <w:t>g</w:t>
      </w:r>
      <w:r>
        <w:rPr>
          <w:vertAlign w:val="subscript"/>
        </w:rPr>
        <w:tab/>
      </w:r>
      <w:r>
        <w:rPr>
          <w:rFonts w:hint="eastAsia"/>
          <w:vertAlign w:val="subscript"/>
        </w:rPr>
        <w:t xml:space="preserve">                                                                             </w:t>
      </w:r>
      <w:r>
        <w:t>（3.2.1）</w:t>
      </w:r>
    </w:p>
    <w:bookmarkEnd w:id="76"/>
    <w:p>
      <w:pPr>
        <w:spacing w:line="360" w:lineRule="auto"/>
        <w:rPr>
          <w:sz w:val="24"/>
          <w:szCs w:val="24"/>
        </w:rPr>
      </w:pPr>
      <w:r>
        <w:rPr>
          <w:sz w:val="24"/>
          <w:szCs w:val="24"/>
        </w:rPr>
        <w:t>式中：</w:t>
      </w:r>
      <w:r>
        <w:rPr>
          <w:i/>
          <w:iCs/>
          <w:sz w:val="24"/>
          <w:szCs w:val="24"/>
        </w:rPr>
        <w:t>f</w:t>
      </w:r>
      <w:r>
        <w:rPr>
          <w:sz w:val="24"/>
          <w:szCs w:val="24"/>
          <w:vertAlign w:val="subscript"/>
        </w:rPr>
        <w:t>g</w:t>
      </w:r>
      <w:r>
        <w:rPr>
          <w:rFonts w:hint="eastAsia"/>
          <w:i/>
          <w:iCs/>
        </w:rPr>
        <w:t>——</w:t>
      </w:r>
      <w:r>
        <w:rPr>
          <w:sz w:val="24"/>
          <w:szCs w:val="24"/>
        </w:rPr>
        <w:t>灌孔砌体的抗压强度设计值。</w:t>
      </w:r>
    </w:p>
    <w:p>
      <w:pPr>
        <w:tabs>
          <w:tab w:val="left" w:pos="777"/>
        </w:tabs>
        <w:adjustRightInd w:val="0"/>
        <w:spacing w:line="360" w:lineRule="auto"/>
        <w:outlineLvl w:val="2"/>
      </w:pPr>
      <w:r>
        <w:rPr>
          <w:rFonts w:eastAsiaTheme="minorEastAsia"/>
          <w:b/>
          <w:sz w:val="24"/>
          <w:szCs w:val="24"/>
        </w:rPr>
        <w:t>3.2.2　</w:t>
      </w:r>
      <w:r>
        <w:rPr>
          <w:rFonts w:eastAsiaTheme="minorEastAsia"/>
          <w:sz w:val="24"/>
        </w:rPr>
        <w:t>模壳砌块灌孔砌体线膨胀系数可按10</w:t>
      </w:r>
      <w:r>
        <w:rPr>
          <w:rFonts w:eastAsiaTheme="minorEastAsia"/>
          <w:sz w:val="24"/>
          <w:vertAlign w:val="superscript"/>
        </w:rPr>
        <w:t>-5</w:t>
      </w:r>
      <w:r>
        <w:rPr>
          <w:rFonts w:eastAsiaTheme="minorEastAsia"/>
          <w:sz w:val="24"/>
        </w:rPr>
        <w:t>/℃采用，收缩率可按-0.2 mm/m采用</w:t>
      </w:r>
      <w:r>
        <w:rPr>
          <w:rFonts w:hint="eastAsia" w:eastAsiaTheme="minorEastAsia"/>
          <w:sz w:val="24"/>
        </w:rPr>
        <w:t>。</w:t>
      </w:r>
    </w:p>
    <w:p>
      <w:pPr>
        <w:tabs>
          <w:tab w:val="left" w:pos="777"/>
        </w:tabs>
        <w:adjustRightInd w:val="0"/>
        <w:spacing w:line="360" w:lineRule="auto"/>
        <w:outlineLvl w:val="2"/>
      </w:pPr>
      <w:r>
        <w:rPr>
          <w:rFonts w:eastAsiaTheme="minorEastAsia"/>
          <w:b/>
          <w:sz w:val="24"/>
          <w:szCs w:val="24"/>
        </w:rPr>
        <w:t>3.2.3　</w:t>
      </w:r>
      <w:r>
        <w:rPr>
          <w:rFonts w:eastAsiaTheme="minorEastAsia"/>
          <w:sz w:val="24"/>
        </w:rPr>
        <w:t>材料的其他计算指标，应按现行国家标准《砌体结构设计规范》GB 50003的有关规定及国家</w:t>
      </w:r>
      <w:r>
        <w:rPr>
          <w:rFonts w:hint="eastAsia" w:eastAsiaTheme="minorEastAsia"/>
          <w:sz w:val="24"/>
        </w:rPr>
        <w:t>其他</w:t>
      </w:r>
      <w:r>
        <w:rPr>
          <w:rFonts w:eastAsiaTheme="minorEastAsia"/>
          <w:sz w:val="24"/>
        </w:rPr>
        <w:t>现行标准确定。</w:t>
      </w:r>
    </w:p>
    <w:p>
      <w:pPr>
        <w:pStyle w:val="2"/>
      </w:pPr>
    </w:p>
    <w:p>
      <w:pPr>
        <w:widowControl/>
        <w:spacing w:line="360" w:lineRule="auto"/>
        <w:jc w:val="left"/>
        <w:rPr>
          <w:rFonts w:eastAsiaTheme="minorEastAsia"/>
          <w:b/>
          <w:sz w:val="24"/>
        </w:rPr>
        <w:sectPr>
          <w:footerReference r:id="rId5" w:type="default"/>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77" w:name="_Toc11201"/>
      <w:bookmarkStart w:id="78" w:name="_Toc148994658"/>
      <w:bookmarkStart w:id="79" w:name="_Toc149766381"/>
      <w:bookmarkStart w:id="80" w:name="_Toc149766323"/>
      <w:bookmarkStart w:id="81" w:name="_Toc41895198"/>
      <w:bookmarkStart w:id="82" w:name="_Toc523844512"/>
      <w:r>
        <w:rPr>
          <w:rFonts w:eastAsiaTheme="minorEastAsia"/>
          <w:sz w:val="32"/>
        </w:rPr>
        <w:t>4　建筑设计</w:t>
      </w:r>
      <w:bookmarkEnd w:id="77"/>
      <w:bookmarkEnd w:id="78"/>
      <w:bookmarkEnd w:id="79"/>
      <w:bookmarkEnd w:id="80"/>
    </w:p>
    <w:p>
      <w:pPr>
        <w:adjustRightInd w:val="0"/>
        <w:spacing w:line="360" w:lineRule="auto"/>
        <w:contextualSpacing/>
        <w:outlineLvl w:val="2"/>
        <w:rPr>
          <w:sz w:val="24"/>
        </w:rPr>
      </w:pPr>
      <w:bookmarkStart w:id="83" w:name="_Toc22936"/>
      <w:bookmarkStart w:id="84" w:name="_Toc14352132"/>
      <w:bookmarkStart w:id="85" w:name="_Toc23310"/>
      <w:bookmarkStart w:id="86" w:name="_Toc14352134"/>
      <w:r>
        <w:rPr>
          <w:rFonts w:hint="eastAsia" w:eastAsiaTheme="minorEastAsia"/>
          <w:b/>
          <w:sz w:val="24"/>
          <w:szCs w:val="24"/>
        </w:rPr>
        <w:t>4</w:t>
      </w:r>
      <w:r>
        <w:rPr>
          <w:rFonts w:eastAsiaTheme="minorEastAsia"/>
          <w:b/>
          <w:sz w:val="24"/>
          <w:szCs w:val="24"/>
        </w:rPr>
        <w:t>.0.1　</w:t>
      </w:r>
      <w:r>
        <w:rPr>
          <w:sz w:val="24"/>
        </w:rPr>
        <w:t>建筑设计应符合现行国家标准《建筑模数协调标准》GB/T 50002</w:t>
      </w:r>
      <w:r>
        <w:rPr>
          <w:rFonts w:hint="eastAsia"/>
          <w:sz w:val="24"/>
        </w:rPr>
        <w:t>和</w:t>
      </w:r>
      <w:r>
        <w:rPr>
          <w:sz w:val="24"/>
        </w:rPr>
        <w:t>《民用建筑设计</w:t>
      </w:r>
      <w:r>
        <w:rPr>
          <w:rFonts w:hint="eastAsia"/>
          <w:sz w:val="24"/>
        </w:rPr>
        <w:t>统一标准</w:t>
      </w:r>
      <w:r>
        <w:rPr>
          <w:sz w:val="24"/>
        </w:rPr>
        <w:t>》GB 50352的有关规定，并应将结构系统、外围护系统、设备与管线及内装系统进行</w:t>
      </w:r>
      <w:r>
        <w:rPr>
          <w:rFonts w:hint="eastAsia"/>
          <w:sz w:val="24"/>
        </w:rPr>
        <w:t>集成一体化</w:t>
      </w:r>
      <w:r>
        <w:rPr>
          <w:sz w:val="24"/>
        </w:rPr>
        <w:t>设计。</w:t>
      </w:r>
      <w:bookmarkEnd w:id="83"/>
      <w:bookmarkEnd w:id="84"/>
    </w:p>
    <w:p>
      <w:pPr>
        <w:adjustRightInd w:val="0"/>
        <w:spacing w:line="360" w:lineRule="auto"/>
        <w:contextualSpacing/>
        <w:outlineLvl w:val="2"/>
        <w:rPr>
          <w:sz w:val="24"/>
        </w:rPr>
      </w:pPr>
      <w:r>
        <w:rPr>
          <w:rFonts w:hint="eastAsia" w:eastAsiaTheme="minorEastAsia"/>
          <w:b/>
          <w:sz w:val="24"/>
          <w:szCs w:val="24"/>
        </w:rPr>
        <w:t>4</w:t>
      </w:r>
      <w:r>
        <w:rPr>
          <w:rFonts w:eastAsiaTheme="minorEastAsia"/>
          <w:b/>
          <w:sz w:val="24"/>
          <w:szCs w:val="24"/>
        </w:rPr>
        <w:t>.0.2　</w:t>
      </w:r>
      <w:r>
        <w:rPr>
          <w:sz w:val="24"/>
        </w:rPr>
        <w:t>建筑设计</w:t>
      </w:r>
      <w:r>
        <w:rPr>
          <w:rFonts w:hint="eastAsia"/>
          <w:sz w:val="24"/>
        </w:rPr>
        <w:t>应</w:t>
      </w:r>
      <w:r>
        <w:rPr>
          <w:sz w:val="24"/>
        </w:rPr>
        <w:t>符合下列规定：</w:t>
      </w:r>
      <w:bookmarkEnd w:id="85"/>
      <w:bookmarkEnd w:id="86"/>
    </w:p>
    <w:p>
      <w:pPr>
        <w:pStyle w:val="81"/>
        <w:spacing w:line="360" w:lineRule="auto"/>
        <w:ind w:firstLine="482"/>
        <w:contextualSpacing/>
        <w:rPr>
          <w:rFonts w:ascii="Times New Roman" w:hAnsi="Times New Roman"/>
          <w:sz w:val="24"/>
          <w:szCs w:val="24"/>
        </w:rPr>
      </w:pPr>
      <w:r>
        <w:rPr>
          <w:rFonts w:ascii="Times New Roman" w:hAnsi="Times New Roman"/>
          <w:b/>
          <w:sz w:val="24"/>
          <w:szCs w:val="24"/>
        </w:rPr>
        <w:t>1</w:t>
      </w:r>
      <w:r>
        <w:rPr>
          <w:rFonts w:eastAsiaTheme="minorEastAsia"/>
          <w:b/>
          <w:sz w:val="24"/>
          <w:szCs w:val="24"/>
        </w:rPr>
        <w:t>　</w:t>
      </w:r>
      <w:r>
        <w:rPr>
          <w:rFonts w:ascii="Times New Roman" w:hAnsi="Times New Roman"/>
          <w:sz w:val="24"/>
        </w:rPr>
        <w:t>层高不应大于3.6 m；</w:t>
      </w:r>
    </w:p>
    <w:p>
      <w:pPr>
        <w:pStyle w:val="81"/>
        <w:spacing w:line="360" w:lineRule="auto"/>
        <w:ind w:firstLine="482"/>
        <w:contextualSpacing/>
        <w:rPr>
          <w:rFonts w:ascii="Times New Roman" w:hAnsi="Times New Roman"/>
          <w:sz w:val="24"/>
        </w:rPr>
      </w:pPr>
      <w:r>
        <w:rPr>
          <w:rFonts w:ascii="Times New Roman" w:hAnsi="Times New Roman"/>
          <w:b/>
          <w:sz w:val="24"/>
          <w:szCs w:val="24"/>
        </w:rPr>
        <w:t>2</w:t>
      </w:r>
      <w:r>
        <w:rPr>
          <w:rFonts w:eastAsiaTheme="minorEastAsia"/>
          <w:b/>
          <w:sz w:val="24"/>
          <w:szCs w:val="24"/>
        </w:rPr>
        <w:t>　</w:t>
      </w:r>
      <w:r>
        <w:rPr>
          <w:rFonts w:ascii="Times New Roman" w:hAnsi="Times New Roman"/>
          <w:sz w:val="24"/>
        </w:rPr>
        <w:t>宜采用标准化设计，遵循少规格、多组合的原则</w:t>
      </w:r>
      <w:r>
        <w:rPr>
          <w:rFonts w:ascii="Times New Roman" w:hAnsi="Times New Roman"/>
          <w:bCs/>
          <w:sz w:val="24"/>
          <w:szCs w:val="24"/>
        </w:rPr>
        <w:t>；</w:t>
      </w:r>
    </w:p>
    <w:p>
      <w:pPr>
        <w:pStyle w:val="81"/>
        <w:spacing w:line="360" w:lineRule="auto"/>
        <w:ind w:firstLine="482"/>
        <w:contextualSpacing/>
        <w:rPr>
          <w:rFonts w:ascii="Times New Roman" w:hAnsi="Times New Roman"/>
          <w:sz w:val="24"/>
          <w:szCs w:val="24"/>
        </w:rPr>
      </w:pPr>
      <w:r>
        <w:rPr>
          <w:rFonts w:ascii="Times New Roman" w:hAnsi="Times New Roman"/>
          <w:b/>
          <w:sz w:val="24"/>
          <w:szCs w:val="24"/>
        </w:rPr>
        <w:t>3</w:t>
      </w:r>
      <w:r>
        <w:rPr>
          <w:rFonts w:eastAsiaTheme="minorEastAsia"/>
          <w:b/>
          <w:sz w:val="24"/>
          <w:szCs w:val="24"/>
        </w:rPr>
        <w:t>　</w:t>
      </w:r>
      <w:r>
        <w:rPr>
          <w:rFonts w:ascii="Times New Roman" w:hAnsi="Times New Roman"/>
          <w:bCs/>
          <w:sz w:val="24"/>
          <w:szCs w:val="24"/>
        </w:rPr>
        <w:t>建筑平面宜简洁、规则、体形凹凸转折不宜过多，立面不宜突变过大</w:t>
      </w:r>
      <w:r>
        <w:rPr>
          <w:rFonts w:ascii="Times New Roman" w:hAnsi="Times New Roman"/>
          <w:sz w:val="24"/>
          <w:szCs w:val="24"/>
        </w:rPr>
        <w:t>；</w:t>
      </w:r>
    </w:p>
    <w:p>
      <w:pPr>
        <w:pStyle w:val="81"/>
        <w:spacing w:line="360" w:lineRule="auto"/>
        <w:ind w:firstLine="482"/>
        <w:contextualSpacing/>
        <w:rPr>
          <w:rFonts w:ascii="Times New Roman" w:hAnsi="Times New Roman"/>
          <w:sz w:val="24"/>
        </w:rPr>
      </w:pPr>
      <w:r>
        <w:rPr>
          <w:rFonts w:ascii="Times New Roman" w:hAnsi="Times New Roman"/>
          <w:b/>
          <w:sz w:val="24"/>
          <w:szCs w:val="24"/>
        </w:rPr>
        <w:t>4</w:t>
      </w:r>
      <w:r>
        <w:rPr>
          <w:rFonts w:eastAsiaTheme="minorEastAsia"/>
          <w:b/>
          <w:sz w:val="24"/>
          <w:szCs w:val="24"/>
        </w:rPr>
        <w:t>　</w:t>
      </w:r>
      <w:r>
        <w:rPr>
          <w:rFonts w:ascii="Times New Roman" w:hAnsi="Times New Roman"/>
          <w:sz w:val="24"/>
          <w:szCs w:val="24"/>
        </w:rPr>
        <w:t>结构</w:t>
      </w:r>
      <w:r>
        <w:rPr>
          <w:rFonts w:ascii="Times New Roman" w:hAnsi="Times New Roman"/>
          <w:sz w:val="24"/>
        </w:rPr>
        <w:t>平面、立面网格宜以2M为基本模数；</w:t>
      </w:r>
    </w:p>
    <w:p>
      <w:pPr>
        <w:pStyle w:val="81"/>
        <w:spacing w:line="360" w:lineRule="auto"/>
        <w:ind w:firstLine="482"/>
        <w:contextualSpacing/>
        <w:rPr>
          <w:rFonts w:ascii="Times New Roman" w:hAnsi="Times New Roman"/>
          <w:bCs/>
          <w:sz w:val="24"/>
          <w:szCs w:val="24"/>
        </w:rPr>
      </w:pPr>
      <w:r>
        <w:rPr>
          <w:rFonts w:ascii="Times New Roman" w:hAnsi="Times New Roman"/>
          <w:b/>
          <w:sz w:val="24"/>
          <w:szCs w:val="24"/>
        </w:rPr>
        <w:t>5</w:t>
      </w:r>
      <w:r>
        <w:rPr>
          <w:rFonts w:eastAsiaTheme="minorEastAsia"/>
          <w:b/>
          <w:sz w:val="24"/>
          <w:szCs w:val="24"/>
        </w:rPr>
        <w:t>　</w:t>
      </w:r>
      <w:r>
        <w:rPr>
          <w:rFonts w:ascii="Times New Roman" w:hAnsi="Times New Roman"/>
          <w:bCs/>
          <w:sz w:val="24"/>
          <w:szCs w:val="24"/>
        </w:rPr>
        <w:t>门窗洞口的平面布置宜均匀，立面布置宜上下对齐。</w:t>
      </w:r>
    </w:p>
    <w:p>
      <w:pPr>
        <w:adjustRightInd w:val="0"/>
        <w:spacing w:line="360" w:lineRule="auto"/>
        <w:contextualSpacing/>
        <w:outlineLvl w:val="2"/>
        <w:rPr>
          <w:sz w:val="24"/>
        </w:rPr>
      </w:pPr>
      <w:r>
        <w:rPr>
          <w:rFonts w:hint="eastAsia" w:eastAsiaTheme="minorEastAsia"/>
          <w:b/>
          <w:sz w:val="24"/>
          <w:szCs w:val="24"/>
        </w:rPr>
        <w:t>4</w:t>
      </w:r>
      <w:r>
        <w:rPr>
          <w:rFonts w:eastAsiaTheme="minorEastAsia"/>
          <w:b/>
          <w:sz w:val="24"/>
          <w:szCs w:val="24"/>
        </w:rPr>
        <w:t>.0.3　</w:t>
      </w:r>
      <w:r>
        <w:rPr>
          <w:sz w:val="24"/>
        </w:rPr>
        <w:t>门</w:t>
      </w:r>
      <w:r>
        <w:rPr>
          <w:rFonts w:hint="eastAsia"/>
          <w:sz w:val="24"/>
        </w:rPr>
        <w:t>窗</w:t>
      </w:r>
      <w:r>
        <w:rPr>
          <w:sz w:val="24"/>
        </w:rPr>
        <w:t>洞口位置应设</w:t>
      </w:r>
      <w:r>
        <w:rPr>
          <w:rFonts w:hint="eastAsia"/>
          <w:sz w:val="24"/>
        </w:rPr>
        <w:t>置</w:t>
      </w:r>
      <w:r>
        <w:rPr>
          <w:sz w:val="24"/>
        </w:rPr>
        <w:t>补强措施，并应符合下列规定：</w:t>
      </w:r>
    </w:p>
    <w:p>
      <w:pPr>
        <w:pStyle w:val="81"/>
        <w:spacing w:line="360" w:lineRule="auto"/>
        <w:ind w:firstLine="482"/>
        <w:contextualSpacing/>
        <w:rPr>
          <w:rFonts w:ascii="Times New Roman" w:hAnsi="Times New Roman"/>
          <w:bCs/>
          <w:sz w:val="24"/>
          <w:szCs w:val="24"/>
        </w:rPr>
      </w:pPr>
      <w:r>
        <w:rPr>
          <w:rFonts w:ascii="Times New Roman" w:hAnsi="Times New Roman"/>
          <w:b/>
          <w:sz w:val="24"/>
          <w:szCs w:val="24"/>
        </w:rPr>
        <w:t>1</w:t>
      </w:r>
      <w:r>
        <w:rPr>
          <w:rFonts w:eastAsiaTheme="minorEastAsia"/>
          <w:b/>
          <w:sz w:val="24"/>
          <w:szCs w:val="24"/>
        </w:rPr>
        <w:t>　</w:t>
      </w:r>
      <w:r>
        <w:rPr>
          <w:rFonts w:ascii="Times New Roman" w:hAnsi="Times New Roman"/>
          <w:sz w:val="24"/>
          <w:szCs w:val="24"/>
        </w:rPr>
        <w:t>构造柱、芯柱可兼作洞口两侧的加强措施</w:t>
      </w:r>
      <w:r>
        <w:rPr>
          <w:rFonts w:ascii="Times New Roman" w:hAnsi="Times New Roman"/>
          <w:bCs/>
          <w:sz w:val="24"/>
          <w:szCs w:val="24"/>
        </w:rPr>
        <w:t>；</w:t>
      </w:r>
    </w:p>
    <w:p>
      <w:pPr>
        <w:pStyle w:val="81"/>
        <w:spacing w:line="360" w:lineRule="auto"/>
        <w:ind w:firstLine="482"/>
        <w:contextualSpacing/>
        <w:rPr>
          <w:rFonts w:ascii="Times New Roman" w:hAnsi="Times New Roman"/>
          <w:sz w:val="24"/>
        </w:rPr>
      </w:pPr>
      <w:r>
        <w:rPr>
          <w:rFonts w:ascii="Times New Roman" w:hAnsi="Times New Roman"/>
          <w:b/>
          <w:sz w:val="24"/>
          <w:szCs w:val="24"/>
        </w:rPr>
        <w:t>2</w:t>
      </w:r>
      <w:r>
        <w:rPr>
          <w:rFonts w:eastAsiaTheme="minorEastAsia"/>
          <w:b/>
          <w:sz w:val="24"/>
          <w:szCs w:val="24"/>
        </w:rPr>
        <w:t>　</w:t>
      </w:r>
      <w:r>
        <w:rPr>
          <w:rFonts w:ascii="Times New Roman" w:hAnsi="Times New Roman"/>
          <w:sz w:val="24"/>
        </w:rPr>
        <w:t>宜采用钢筋混凝土过梁</w:t>
      </w:r>
      <w:r>
        <w:rPr>
          <w:rFonts w:hint="eastAsia" w:ascii="Times New Roman" w:hAnsi="Times New Roman"/>
          <w:sz w:val="24"/>
        </w:rPr>
        <w:t>或</w:t>
      </w:r>
      <w:r>
        <w:rPr>
          <w:rFonts w:ascii="Times New Roman" w:hAnsi="Times New Roman"/>
          <w:sz w:val="24"/>
        </w:rPr>
        <w:t>模壳砌块过梁；</w:t>
      </w:r>
    </w:p>
    <w:p>
      <w:pPr>
        <w:pStyle w:val="81"/>
        <w:spacing w:line="360" w:lineRule="auto"/>
        <w:ind w:firstLine="482"/>
        <w:contextualSpacing/>
        <w:rPr>
          <w:rFonts w:ascii="Times New Roman" w:hAnsi="Times New Roman"/>
          <w:sz w:val="24"/>
          <w:szCs w:val="24"/>
        </w:rPr>
      </w:pPr>
      <w:r>
        <w:rPr>
          <w:rFonts w:ascii="Times New Roman" w:hAnsi="Times New Roman"/>
          <w:b/>
          <w:sz w:val="24"/>
          <w:szCs w:val="24"/>
        </w:rPr>
        <w:t>3</w:t>
      </w:r>
      <w:r>
        <w:rPr>
          <w:rFonts w:eastAsiaTheme="minorEastAsia"/>
          <w:b/>
          <w:sz w:val="24"/>
          <w:szCs w:val="24"/>
        </w:rPr>
        <w:t>　</w:t>
      </w:r>
      <w:r>
        <w:rPr>
          <w:rFonts w:ascii="Times New Roman" w:hAnsi="Times New Roman"/>
          <w:sz w:val="24"/>
        </w:rPr>
        <w:t>窗洞下方宜设置</w:t>
      </w:r>
      <w:r>
        <w:rPr>
          <w:rFonts w:hint="eastAsia" w:ascii="Times New Roman" w:hAnsi="Times New Roman"/>
          <w:sz w:val="24"/>
        </w:rPr>
        <w:t>钢筋</w:t>
      </w:r>
      <w:r>
        <w:rPr>
          <w:rFonts w:ascii="Times New Roman" w:hAnsi="Times New Roman"/>
          <w:sz w:val="24"/>
        </w:rPr>
        <w:t>混凝土窗台梁。</w:t>
      </w:r>
    </w:p>
    <w:p>
      <w:pPr>
        <w:adjustRightInd w:val="0"/>
        <w:spacing w:line="360" w:lineRule="auto"/>
        <w:contextualSpacing/>
        <w:outlineLvl w:val="2"/>
        <w:rPr>
          <w:rFonts w:eastAsiaTheme="minorEastAsia"/>
          <w:sz w:val="24"/>
          <w:szCs w:val="24"/>
        </w:rPr>
      </w:pPr>
      <w:r>
        <w:rPr>
          <w:rFonts w:hint="eastAsia" w:eastAsiaTheme="minorEastAsia"/>
          <w:b/>
          <w:sz w:val="24"/>
          <w:szCs w:val="24"/>
        </w:rPr>
        <w:t>4</w:t>
      </w:r>
      <w:r>
        <w:rPr>
          <w:rFonts w:eastAsiaTheme="minorEastAsia"/>
          <w:b/>
          <w:sz w:val="24"/>
          <w:szCs w:val="24"/>
        </w:rPr>
        <w:t>.0.4　</w:t>
      </w:r>
      <w:r>
        <w:rPr>
          <w:rFonts w:hint="eastAsia" w:eastAsiaTheme="minorEastAsia"/>
          <w:sz w:val="24"/>
          <w:szCs w:val="24"/>
        </w:rPr>
        <w:t>模壳砌块墙体应具有良好的自保温性能；可</w:t>
      </w:r>
      <w:r>
        <w:rPr>
          <w:rFonts w:eastAsiaTheme="minorEastAsia"/>
          <w:sz w:val="24"/>
          <w:szCs w:val="24"/>
        </w:rPr>
        <w:t>采用外墙外保温做法</w:t>
      </w:r>
      <w:r>
        <w:rPr>
          <w:rFonts w:hint="eastAsia" w:eastAsiaTheme="minorEastAsia"/>
          <w:sz w:val="24"/>
          <w:szCs w:val="24"/>
        </w:rPr>
        <w:t>进一步提高节能性能</w:t>
      </w:r>
      <w:r>
        <w:rPr>
          <w:rFonts w:eastAsiaTheme="minorEastAsia"/>
          <w:sz w:val="24"/>
          <w:szCs w:val="24"/>
        </w:rPr>
        <w:t>，并应符合国家现行标准</w:t>
      </w:r>
      <w:r>
        <w:rPr>
          <w:rFonts w:hint="eastAsia" w:eastAsiaTheme="minorEastAsia"/>
          <w:sz w:val="24"/>
          <w:szCs w:val="24"/>
        </w:rPr>
        <w:t>《挤塑聚苯板（X</w:t>
      </w:r>
      <w:r>
        <w:rPr>
          <w:rFonts w:eastAsiaTheme="minorEastAsia"/>
          <w:sz w:val="24"/>
          <w:szCs w:val="24"/>
        </w:rPr>
        <w:t>PS</w:t>
      </w:r>
      <w:r>
        <w:rPr>
          <w:rFonts w:hint="eastAsia" w:eastAsiaTheme="minorEastAsia"/>
          <w:sz w:val="24"/>
          <w:szCs w:val="24"/>
        </w:rPr>
        <w:t>）薄抹灰外墙外保温系统材料》G</w:t>
      </w:r>
      <w:r>
        <w:rPr>
          <w:rFonts w:eastAsiaTheme="minorEastAsia"/>
          <w:sz w:val="24"/>
          <w:szCs w:val="24"/>
        </w:rPr>
        <w:t>B/T 30595、《外墙外保温工程技术规程》JGJ 144</w:t>
      </w:r>
      <w:r>
        <w:rPr>
          <w:rFonts w:hint="eastAsia" w:eastAsiaTheme="minorEastAsia"/>
          <w:sz w:val="24"/>
          <w:szCs w:val="24"/>
        </w:rPr>
        <w:t>和</w:t>
      </w:r>
      <w:bookmarkStart w:id="87" w:name="_Hlk160116501"/>
      <w:r>
        <w:rPr>
          <w:rFonts w:eastAsiaTheme="minorEastAsia"/>
          <w:sz w:val="24"/>
          <w:szCs w:val="24"/>
        </w:rPr>
        <w:t>《岩棉薄抹灰外墙外保温工程技术标准》JGJ/T 480</w:t>
      </w:r>
      <w:bookmarkEnd w:id="87"/>
      <w:r>
        <w:rPr>
          <w:rFonts w:eastAsiaTheme="minorEastAsia"/>
          <w:sz w:val="24"/>
          <w:szCs w:val="24"/>
        </w:rPr>
        <w:t>的有关规定。</w:t>
      </w:r>
    </w:p>
    <w:p>
      <w:pPr>
        <w:adjustRightInd w:val="0"/>
        <w:spacing w:line="360" w:lineRule="auto"/>
        <w:contextualSpacing/>
        <w:outlineLvl w:val="2"/>
        <w:rPr>
          <w:rFonts w:eastAsiaTheme="minorEastAsia"/>
          <w:sz w:val="24"/>
          <w:szCs w:val="24"/>
        </w:rPr>
      </w:pPr>
      <w:r>
        <w:rPr>
          <w:rFonts w:hint="eastAsia" w:eastAsiaTheme="minorEastAsia"/>
          <w:b/>
          <w:sz w:val="24"/>
          <w:szCs w:val="24"/>
        </w:rPr>
        <w:t>4</w:t>
      </w:r>
      <w:r>
        <w:rPr>
          <w:rFonts w:eastAsiaTheme="minorEastAsia"/>
          <w:b/>
          <w:sz w:val="24"/>
          <w:szCs w:val="24"/>
        </w:rPr>
        <w:t>.0.5　</w:t>
      </w:r>
      <w:r>
        <w:rPr>
          <w:rFonts w:eastAsiaTheme="minorEastAsia"/>
          <w:sz w:val="24"/>
          <w:szCs w:val="24"/>
        </w:rPr>
        <w:t>模壳</w:t>
      </w:r>
      <w:r>
        <w:rPr>
          <w:rFonts w:hint="eastAsia" w:eastAsiaTheme="minorEastAsia"/>
          <w:sz w:val="24"/>
          <w:szCs w:val="24"/>
        </w:rPr>
        <w:t>砌块</w:t>
      </w:r>
      <w:r>
        <w:rPr>
          <w:rFonts w:eastAsiaTheme="minorEastAsia"/>
          <w:sz w:val="24"/>
          <w:szCs w:val="24"/>
        </w:rPr>
        <w:t>砌体建筑防水设计应符合</w:t>
      </w:r>
      <w:r>
        <w:rPr>
          <w:rFonts w:hint="eastAsia" w:eastAsiaTheme="minorEastAsia"/>
          <w:sz w:val="24"/>
          <w:szCs w:val="24"/>
        </w:rPr>
        <w:t>国家现行标准《</w:t>
      </w:r>
      <w:r>
        <w:rPr>
          <w:rFonts w:eastAsiaTheme="minorEastAsia"/>
          <w:sz w:val="24"/>
          <w:szCs w:val="24"/>
        </w:rPr>
        <w:t>砌体结构工程施工规范</w:t>
      </w:r>
      <w:r>
        <w:rPr>
          <w:rFonts w:hint="eastAsia" w:eastAsiaTheme="minorEastAsia"/>
          <w:sz w:val="24"/>
          <w:szCs w:val="24"/>
        </w:rPr>
        <w:t>》</w:t>
      </w:r>
      <w:r>
        <w:rPr>
          <w:rFonts w:eastAsiaTheme="minorEastAsia"/>
          <w:sz w:val="24"/>
          <w:szCs w:val="24"/>
        </w:rPr>
        <w:t>GB 50924和《建筑外墙防水工程技术规程》JGJ/T 235的有关规定，</w:t>
      </w:r>
      <w:r>
        <w:rPr>
          <w:rFonts w:hint="eastAsia" w:eastAsiaTheme="minorEastAsia"/>
          <w:sz w:val="24"/>
          <w:szCs w:val="24"/>
        </w:rPr>
        <w:t>并</w:t>
      </w:r>
      <w:r>
        <w:rPr>
          <w:rFonts w:eastAsiaTheme="minorEastAsia"/>
          <w:sz w:val="24"/>
          <w:szCs w:val="24"/>
        </w:rPr>
        <w:t>应满足下列</w:t>
      </w:r>
      <w:r>
        <w:rPr>
          <w:rFonts w:hint="eastAsia" w:eastAsiaTheme="minorEastAsia"/>
          <w:sz w:val="24"/>
          <w:szCs w:val="24"/>
        </w:rPr>
        <w:t>要求</w:t>
      </w:r>
      <w:r>
        <w:rPr>
          <w:rFonts w:eastAsiaTheme="minorEastAsia"/>
          <w:sz w:val="24"/>
          <w:szCs w:val="24"/>
        </w:rPr>
        <w:t>：</w:t>
      </w:r>
    </w:p>
    <w:p>
      <w:pPr>
        <w:pStyle w:val="81"/>
        <w:spacing w:line="360" w:lineRule="auto"/>
        <w:ind w:firstLine="482"/>
        <w:contextualSpacing/>
        <w:rPr>
          <w:rFonts w:ascii="Times New Roman" w:hAnsi="Times New Roman" w:eastAsiaTheme="minorEastAsia"/>
          <w:sz w:val="24"/>
          <w:szCs w:val="24"/>
        </w:rPr>
      </w:pPr>
      <w:bookmarkStart w:id="88" w:name="_Hlk57060306"/>
      <w:r>
        <w:rPr>
          <w:rFonts w:ascii="Times New Roman" w:hAnsi="Times New Roman"/>
          <w:b/>
          <w:sz w:val="24"/>
          <w:szCs w:val="24"/>
        </w:rPr>
        <w:t>1</w:t>
      </w:r>
      <w:r>
        <w:rPr>
          <w:rFonts w:eastAsiaTheme="minorEastAsia"/>
          <w:b/>
          <w:sz w:val="24"/>
          <w:szCs w:val="24"/>
        </w:rPr>
        <w:t>　</w:t>
      </w:r>
      <w:r>
        <w:rPr>
          <w:rFonts w:ascii="Times New Roman" w:hAnsi="Times New Roman" w:eastAsiaTheme="minorEastAsia"/>
          <w:sz w:val="24"/>
          <w:szCs w:val="24"/>
        </w:rPr>
        <w:t>模壳</w:t>
      </w:r>
      <w:r>
        <w:rPr>
          <w:rFonts w:hint="eastAsia" w:ascii="Times New Roman" w:hAnsi="Times New Roman" w:eastAsiaTheme="minorEastAsia"/>
          <w:sz w:val="24"/>
          <w:szCs w:val="24"/>
        </w:rPr>
        <w:t>砌块</w:t>
      </w:r>
      <w:r>
        <w:rPr>
          <w:rFonts w:ascii="Times New Roman" w:hAnsi="Times New Roman" w:eastAsiaTheme="minorEastAsia"/>
          <w:sz w:val="24"/>
          <w:szCs w:val="24"/>
        </w:rPr>
        <w:t>砌体</w:t>
      </w:r>
      <w:r>
        <w:rPr>
          <w:rFonts w:ascii="Times New Roman" w:hAnsi="Times New Roman"/>
          <w:sz w:val="24"/>
          <w:szCs w:val="24"/>
        </w:rPr>
        <w:t>外墙</w:t>
      </w:r>
      <w:r>
        <w:rPr>
          <w:rFonts w:ascii="Times New Roman" w:hAnsi="Times New Roman" w:eastAsiaTheme="minorEastAsia"/>
          <w:sz w:val="24"/>
          <w:szCs w:val="24"/>
        </w:rPr>
        <w:t>竖向、水平接缝应采取防水措施；</w:t>
      </w:r>
    </w:p>
    <w:p>
      <w:pPr>
        <w:pStyle w:val="81"/>
        <w:spacing w:line="360" w:lineRule="auto"/>
        <w:ind w:firstLine="482"/>
        <w:contextualSpacing/>
        <w:rPr>
          <w:rFonts w:ascii="Times New Roman" w:hAnsi="Times New Roman"/>
          <w:sz w:val="24"/>
        </w:rPr>
      </w:pPr>
      <w:r>
        <w:rPr>
          <w:rFonts w:ascii="Times New Roman" w:hAnsi="Times New Roman"/>
          <w:b/>
          <w:sz w:val="24"/>
          <w:szCs w:val="24"/>
        </w:rPr>
        <w:t>2</w:t>
      </w:r>
      <w:r>
        <w:rPr>
          <w:rFonts w:eastAsiaTheme="minorEastAsia"/>
          <w:b/>
          <w:sz w:val="24"/>
          <w:szCs w:val="24"/>
        </w:rPr>
        <w:t>　</w:t>
      </w:r>
      <w:r>
        <w:rPr>
          <w:rFonts w:ascii="Times New Roman" w:hAnsi="Times New Roman"/>
          <w:sz w:val="24"/>
          <w:szCs w:val="24"/>
        </w:rPr>
        <w:t>外墙表面、</w:t>
      </w:r>
      <w:r>
        <w:rPr>
          <w:rFonts w:ascii="Times New Roman" w:hAnsi="Times New Roman"/>
          <w:bCs/>
          <w:sz w:val="24"/>
          <w:szCs w:val="24"/>
        </w:rPr>
        <w:t>伸出墙外的雨蓬、开敞式阳台、室外空调机搁板、遮阳板窗套等均应采取防水措施；</w:t>
      </w:r>
    </w:p>
    <w:p>
      <w:pPr>
        <w:pStyle w:val="81"/>
        <w:spacing w:line="360" w:lineRule="auto"/>
        <w:ind w:firstLine="482"/>
        <w:contextualSpacing/>
        <w:rPr>
          <w:rFonts w:ascii="Times New Roman" w:hAnsi="Times New Roman" w:eastAsiaTheme="minorEastAsia"/>
          <w:bCs/>
          <w:sz w:val="24"/>
          <w:szCs w:val="24"/>
        </w:rPr>
      </w:pPr>
      <w:r>
        <w:rPr>
          <w:rFonts w:ascii="Times New Roman" w:hAnsi="Times New Roman"/>
          <w:b/>
          <w:sz w:val="24"/>
          <w:szCs w:val="24"/>
        </w:rPr>
        <w:t>3</w:t>
      </w:r>
      <w:r>
        <w:rPr>
          <w:rFonts w:eastAsiaTheme="minorEastAsia"/>
          <w:b/>
          <w:sz w:val="24"/>
          <w:szCs w:val="24"/>
        </w:rPr>
        <w:t>　</w:t>
      </w:r>
      <w:r>
        <w:rPr>
          <w:rFonts w:ascii="Times New Roman" w:hAnsi="Times New Roman"/>
          <w:bCs/>
          <w:sz w:val="24"/>
          <w:szCs w:val="24"/>
        </w:rPr>
        <w:t>地面以下的室内宜设置防潮层</w:t>
      </w:r>
      <w:r>
        <w:rPr>
          <w:rFonts w:ascii="Times New Roman" w:hAnsi="Times New Roman" w:eastAsiaTheme="minorEastAsia"/>
          <w:bCs/>
          <w:sz w:val="24"/>
          <w:szCs w:val="24"/>
        </w:rPr>
        <w:t>；</w:t>
      </w:r>
    </w:p>
    <w:p>
      <w:pPr>
        <w:pStyle w:val="81"/>
        <w:spacing w:line="360" w:lineRule="auto"/>
        <w:ind w:firstLine="482"/>
        <w:contextualSpacing/>
        <w:rPr>
          <w:rFonts w:ascii="Times New Roman" w:hAnsi="Times New Roman"/>
          <w:sz w:val="24"/>
          <w:szCs w:val="24"/>
        </w:rPr>
      </w:pPr>
      <w:r>
        <w:rPr>
          <w:rFonts w:ascii="Times New Roman" w:hAnsi="Times New Roman"/>
          <w:b/>
          <w:sz w:val="24"/>
          <w:szCs w:val="24"/>
        </w:rPr>
        <w:t>4</w:t>
      </w:r>
      <w:r>
        <w:rPr>
          <w:rFonts w:eastAsiaTheme="minorEastAsia"/>
          <w:b/>
          <w:sz w:val="24"/>
          <w:szCs w:val="24"/>
        </w:rPr>
        <w:t>　</w:t>
      </w:r>
      <w:r>
        <w:rPr>
          <w:rFonts w:ascii="Times New Roman" w:hAnsi="Times New Roman"/>
          <w:sz w:val="24"/>
        </w:rPr>
        <w:t>卫生间等有防水要求的房间，内墙应采用水泥砂浆抹灰，并应有防水、防潮措施。</w:t>
      </w:r>
    </w:p>
    <w:p>
      <w:pPr>
        <w:adjustRightInd w:val="0"/>
        <w:spacing w:line="360" w:lineRule="auto"/>
        <w:contextualSpacing/>
        <w:outlineLvl w:val="2"/>
        <w:rPr>
          <w:sz w:val="24"/>
        </w:rPr>
      </w:pPr>
      <w:r>
        <w:rPr>
          <w:rFonts w:hint="eastAsia" w:eastAsiaTheme="minorEastAsia"/>
          <w:b/>
          <w:sz w:val="24"/>
          <w:szCs w:val="24"/>
        </w:rPr>
        <w:t>4</w:t>
      </w:r>
      <w:r>
        <w:rPr>
          <w:rFonts w:eastAsiaTheme="minorEastAsia"/>
          <w:b/>
          <w:sz w:val="24"/>
          <w:szCs w:val="24"/>
        </w:rPr>
        <w:t>.0.6　</w:t>
      </w:r>
      <w:r>
        <w:rPr>
          <w:rFonts w:eastAsiaTheme="minorEastAsia"/>
          <w:sz w:val="24"/>
          <w:szCs w:val="24"/>
        </w:rPr>
        <w:t>模壳</w:t>
      </w:r>
      <w:r>
        <w:rPr>
          <w:rFonts w:hint="eastAsia" w:eastAsiaTheme="minorEastAsia"/>
          <w:sz w:val="24"/>
          <w:szCs w:val="24"/>
        </w:rPr>
        <w:t>砌块</w:t>
      </w:r>
      <w:r>
        <w:rPr>
          <w:rFonts w:eastAsiaTheme="minorEastAsia"/>
          <w:sz w:val="24"/>
          <w:szCs w:val="24"/>
        </w:rPr>
        <w:t>砌体</w:t>
      </w:r>
      <w:r>
        <w:rPr>
          <w:sz w:val="24"/>
        </w:rPr>
        <w:t>建筑的热工性能应满足建筑所在地气候区对建筑节能的要求，并应符合建筑装饰与设备节能对施工安装和维修的规定。</w:t>
      </w:r>
    </w:p>
    <w:p>
      <w:pPr>
        <w:adjustRightInd w:val="0"/>
        <w:spacing w:line="360" w:lineRule="auto"/>
        <w:contextualSpacing/>
        <w:outlineLvl w:val="2"/>
        <w:rPr>
          <w:sz w:val="24"/>
        </w:rPr>
      </w:pPr>
      <w:r>
        <w:rPr>
          <w:rFonts w:hint="eastAsia"/>
          <w:b/>
          <w:sz w:val="24"/>
        </w:rPr>
        <w:t>4</w:t>
      </w:r>
      <w:r>
        <w:rPr>
          <w:b/>
          <w:sz w:val="24"/>
        </w:rPr>
        <w:t>.0.7</w:t>
      </w:r>
      <w:r>
        <w:rPr>
          <w:rFonts w:eastAsiaTheme="minorEastAsia"/>
          <w:b/>
          <w:sz w:val="24"/>
          <w:szCs w:val="24"/>
        </w:rPr>
        <w:t>　</w:t>
      </w:r>
      <w:r>
        <w:rPr>
          <w:sz w:val="24"/>
        </w:rPr>
        <w:t>屋面设计应符合下列</w:t>
      </w:r>
      <w:r>
        <w:rPr>
          <w:bCs/>
          <w:sz w:val="24"/>
          <w:szCs w:val="24"/>
        </w:rPr>
        <w:t>规定</w:t>
      </w:r>
      <w:r>
        <w:rPr>
          <w:sz w:val="24"/>
        </w:rPr>
        <w:t>：</w:t>
      </w:r>
    </w:p>
    <w:bookmarkEnd w:id="88"/>
    <w:p>
      <w:pPr>
        <w:pStyle w:val="81"/>
        <w:spacing w:line="360" w:lineRule="auto"/>
        <w:ind w:firstLine="482"/>
        <w:contextualSpacing/>
        <w:rPr>
          <w:rFonts w:ascii="Times New Roman" w:hAnsi="Times New Roman"/>
          <w:sz w:val="24"/>
          <w:szCs w:val="24"/>
        </w:rPr>
      </w:pPr>
      <w:bookmarkStart w:id="89" w:name="_Toc4542"/>
      <w:bookmarkStart w:id="90" w:name="_Toc14352166"/>
      <w:r>
        <w:rPr>
          <w:rFonts w:ascii="Times New Roman" w:hAnsi="Times New Roman"/>
          <w:b/>
          <w:sz w:val="24"/>
          <w:szCs w:val="24"/>
        </w:rPr>
        <w:t>1</w:t>
      </w:r>
      <w:r>
        <w:rPr>
          <w:rFonts w:eastAsiaTheme="minorEastAsia"/>
          <w:b/>
          <w:sz w:val="24"/>
          <w:szCs w:val="24"/>
        </w:rPr>
        <w:t>　</w:t>
      </w:r>
      <w:r>
        <w:rPr>
          <w:rFonts w:ascii="Times New Roman" w:hAnsi="Times New Roman"/>
          <w:sz w:val="24"/>
        </w:rPr>
        <w:t>采用平屋面时，应在屋面设置保温隔热层，并应采取排水措施</w:t>
      </w:r>
      <w:r>
        <w:rPr>
          <w:rFonts w:hint="eastAsia" w:ascii="Times New Roman" w:hAnsi="Times New Roman"/>
          <w:sz w:val="24"/>
        </w:rPr>
        <w:t>；</w:t>
      </w:r>
    </w:p>
    <w:p>
      <w:pPr>
        <w:pStyle w:val="81"/>
        <w:spacing w:line="360" w:lineRule="auto"/>
        <w:ind w:firstLine="482"/>
        <w:contextualSpacing/>
        <w:rPr>
          <w:rFonts w:ascii="Times New Roman" w:hAnsi="Times New Roman"/>
          <w:sz w:val="24"/>
        </w:rPr>
      </w:pPr>
      <w:r>
        <w:rPr>
          <w:rFonts w:ascii="Times New Roman" w:hAnsi="Times New Roman"/>
          <w:b/>
          <w:sz w:val="24"/>
          <w:szCs w:val="24"/>
        </w:rPr>
        <w:t>2</w:t>
      </w:r>
      <w:r>
        <w:rPr>
          <w:rFonts w:eastAsiaTheme="minorEastAsia"/>
          <w:b/>
          <w:sz w:val="24"/>
          <w:szCs w:val="24"/>
        </w:rPr>
        <w:t>　</w:t>
      </w:r>
      <w:r>
        <w:rPr>
          <w:rFonts w:ascii="Times New Roman" w:hAnsi="Times New Roman"/>
          <w:bCs/>
          <w:sz w:val="24"/>
          <w:szCs w:val="24"/>
        </w:rPr>
        <w:t>采用坡屋面时，坡屋面宜设挑檐，并应在屋面设置保温隔热层</w:t>
      </w:r>
      <w:r>
        <w:rPr>
          <w:rFonts w:hint="eastAsia" w:ascii="Times New Roman" w:hAnsi="Times New Roman"/>
          <w:bCs/>
          <w:sz w:val="24"/>
          <w:szCs w:val="24"/>
        </w:rPr>
        <w:t>；</w:t>
      </w:r>
    </w:p>
    <w:p>
      <w:pPr>
        <w:pStyle w:val="81"/>
        <w:spacing w:line="360" w:lineRule="auto"/>
        <w:ind w:firstLine="482"/>
        <w:contextualSpacing/>
        <w:rPr>
          <w:rFonts w:ascii="Times New Roman" w:hAnsi="Times New Roman" w:eastAsiaTheme="minorEastAsia"/>
          <w:bCs/>
          <w:sz w:val="24"/>
          <w:szCs w:val="24"/>
        </w:rPr>
      </w:pPr>
      <w:r>
        <w:rPr>
          <w:rFonts w:ascii="Times New Roman" w:hAnsi="Times New Roman"/>
          <w:b/>
          <w:sz w:val="24"/>
          <w:szCs w:val="24"/>
        </w:rPr>
        <w:t>3</w:t>
      </w:r>
      <w:r>
        <w:rPr>
          <w:rFonts w:eastAsiaTheme="minorEastAsia"/>
          <w:b/>
          <w:sz w:val="24"/>
          <w:szCs w:val="24"/>
        </w:rPr>
        <w:t>　</w:t>
      </w:r>
      <w:r>
        <w:rPr>
          <w:rFonts w:ascii="Times New Roman" w:hAnsi="Times New Roman"/>
          <w:bCs/>
          <w:sz w:val="24"/>
          <w:szCs w:val="24"/>
        </w:rPr>
        <w:t>钢筋混凝土屋面板及其保温隔热层上部的砂浆找平层</w:t>
      </w:r>
      <w:r>
        <w:rPr>
          <w:rFonts w:hint="eastAsia" w:ascii="Times New Roman" w:hAnsi="Times New Roman"/>
          <w:bCs/>
          <w:sz w:val="24"/>
          <w:szCs w:val="24"/>
        </w:rPr>
        <w:t>、保护层</w:t>
      </w:r>
      <w:r>
        <w:rPr>
          <w:rFonts w:ascii="Times New Roman" w:hAnsi="Times New Roman"/>
          <w:bCs/>
          <w:sz w:val="24"/>
          <w:szCs w:val="24"/>
        </w:rPr>
        <w:t>等均应设置分隔缝，并应与周边女儿墙断开，分隔缝间距不宜大于6 m，缝宽不应小于20 mm</w:t>
      </w:r>
      <w:r>
        <w:rPr>
          <w:rFonts w:hint="eastAsia" w:ascii="Times New Roman" w:hAnsi="Times New Roman"/>
          <w:bCs/>
          <w:sz w:val="24"/>
          <w:szCs w:val="24"/>
        </w:rPr>
        <w:t>；</w:t>
      </w:r>
    </w:p>
    <w:p>
      <w:pPr>
        <w:pStyle w:val="81"/>
        <w:spacing w:line="360" w:lineRule="auto"/>
        <w:ind w:firstLine="482"/>
        <w:contextualSpacing/>
        <w:rPr>
          <w:rFonts w:ascii="Times New Roman" w:hAnsi="Times New Roman" w:eastAsiaTheme="minorEastAsia"/>
          <w:bCs/>
          <w:sz w:val="24"/>
          <w:szCs w:val="24"/>
        </w:rPr>
      </w:pPr>
      <w:r>
        <w:rPr>
          <w:rFonts w:ascii="Times New Roman" w:hAnsi="Times New Roman"/>
          <w:b/>
          <w:sz w:val="24"/>
          <w:szCs w:val="24"/>
        </w:rPr>
        <w:t>4</w:t>
      </w:r>
      <w:r>
        <w:rPr>
          <w:rFonts w:eastAsiaTheme="minorEastAsia"/>
          <w:b/>
          <w:sz w:val="24"/>
          <w:szCs w:val="24"/>
        </w:rPr>
        <w:t>　</w:t>
      </w:r>
      <w:r>
        <w:rPr>
          <w:rFonts w:ascii="Times New Roman" w:hAnsi="Times New Roman"/>
          <w:bCs/>
          <w:sz w:val="24"/>
          <w:szCs w:val="24"/>
        </w:rPr>
        <w:t>设有挑檐的屋面，保温层宜覆盖全部檐口</w:t>
      </w:r>
      <w:r>
        <w:rPr>
          <w:rFonts w:ascii="Times New Roman" w:hAnsi="Times New Roman" w:eastAsiaTheme="minorEastAsia"/>
          <w:bCs/>
          <w:sz w:val="24"/>
          <w:szCs w:val="24"/>
        </w:rPr>
        <w:t>。</w:t>
      </w:r>
    </w:p>
    <w:p>
      <w:pPr>
        <w:adjustRightInd w:val="0"/>
        <w:spacing w:line="360" w:lineRule="auto"/>
        <w:contextualSpacing/>
        <w:outlineLvl w:val="2"/>
        <w:rPr>
          <w:sz w:val="24"/>
        </w:rPr>
      </w:pPr>
      <w:r>
        <w:rPr>
          <w:rFonts w:hint="eastAsia" w:eastAsiaTheme="minorEastAsia"/>
          <w:b/>
          <w:sz w:val="24"/>
          <w:szCs w:val="24"/>
        </w:rPr>
        <w:t>4</w:t>
      </w:r>
      <w:r>
        <w:rPr>
          <w:rFonts w:eastAsiaTheme="minorEastAsia"/>
          <w:b/>
          <w:sz w:val="24"/>
          <w:szCs w:val="24"/>
        </w:rPr>
        <w:t>.0.8　</w:t>
      </w:r>
      <w:r>
        <w:rPr>
          <w:sz w:val="24"/>
        </w:rPr>
        <w:t>厨房、卫生间等部位给排水管线应集中设置，减少平面交叉，宜按上下对位、相邻布置、靠近管井等原则进行设计。</w:t>
      </w:r>
    </w:p>
    <w:bookmarkEnd w:id="89"/>
    <w:bookmarkEnd w:id="90"/>
    <w:p>
      <w:pPr>
        <w:adjustRightInd w:val="0"/>
        <w:snapToGrid w:val="0"/>
        <w:spacing w:line="360" w:lineRule="auto"/>
        <w:ind w:firstLine="361" w:firstLineChars="200"/>
        <w:rPr>
          <w:b/>
          <w:bCs/>
          <w:sz w:val="18"/>
          <w:szCs w:val="18"/>
        </w:rPr>
      </w:pPr>
      <w:r>
        <w:rPr>
          <w:b/>
          <w:bCs/>
          <w:sz w:val="18"/>
          <w:szCs w:val="18"/>
        </w:rPr>
        <w:br w:type="page"/>
      </w:r>
    </w:p>
    <w:p>
      <w:pPr>
        <w:pStyle w:val="45"/>
        <w:spacing w:before="312" w:after="312"/>
        <w:rPr>
          <w:rFonts w:eastAsiaTheme="minorEastAsia"/>
          <w:sz w:val="32"/>
        </w:rPr>
      </w:pPr>
      <w:bookmarkStart w:id="91" w:name="_Toc149766324"/>
      <w:bookmarkStart w:id="92" w:name="_Toc10820"/>
      <w:bookmarkStart w:id="93" w:name="_Toc148994659"/>
      <w:bookmarkStart w:id="94" w:name="_Toc149766382"/>
      <w:r>
        <w:rPr>
          <w:rFonts w:eastAsiaTheme="minorEastAsia"/>
          <w:sz w:val="32"/>
        </w:rPr>
        <w:t>5　结构设计</w:t>
      </w:r>
      <w:bookmarkEnd w:id="81"/>
      <w:bookmarkEnd w:id="82"/>
      <w:bookmarkEnd w:id="91"/>
      <w:bookmarkEnd w:id="92"/>
      <w:bookmarkEnd w:id="93"/>
      <w:bookmarkEnd w:id="94"/>
    </w:p>
    <w:p>
      <w:pPr>
        <w:pStyle w:val="46"/>
      </w:pPr>
      <w:bookmarkStart w:id="95" w:name="_Toc523844513"/>
      <w:bookmarkStart w:id="96" w:name="_Toc149766325"/>
      <w:bookmarkStart w:id="97" w:name="_Toc41895199"/>
      <w:bookmarkStart w:id="98" w:name="_Toc22106"/>
      <w:bookmarkStart w:id="99" w:name="_Toc149766383"/>
      <w:bookmarkStart w:id="100" w:name="_Toc148994660"/>
      <w:r>
        <w:t>5.1　一般规定</w:t>
      </w:r>
      <w:bookmarkEnd w:id="95"/>
      <w:bookmarkEnd w:id="96"/>
      <w:bookmarkEnd w:id="97"/>
      <w:bookmarkEnd w:id="98"/>
      <w:bookmarkEnd w:id="99"/>
      <w:bookmarkEnd w:id="100"/>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.1.1　</w:t>
      </w:r>
      <w:r>
        <w:rPr>
          <w:sz w:val="24"/>
        </w:rPr>
        <w:t>考虑地震作用组合的模壳</w:t>
      </w:r>
      <w:r>
        <w:rPr>
          <w:rFonts w:hint="eastAsia"/>
          <w:sz w:val="24"/>
        </w:rPr>
        <w:t>砌块</w:t>
      </w:r>
      <w:r>
        <w:rPr>
          <w:sz w:val="24"/>
        </w:rPr>
        <w:t>砌体结构构件，其截面承载力应除以承载力抗震调整系数</w:t>
      </w:r>
      <w:r>
        <w:rPr>
          <w:i/>
          <w:iCs/>
          <w:sz w:val="24"/>
        </w:rPr>
        <w:sym w:font="Symbol" w:char="F067"/>
      </w:r>
      <w:r>
        <w:rPr>
          <w:sz w:val="24"/>
          <w:vertAlign w:val="subscript"/>
        </w:rPr>
        <w:t>RE</w:t>
      </w:r>
      <w:r>
        <w:rPr>
          <w:sz w:val="24"/>
        </w:rPr>
        <w:t>，承载力抗震调整系数应按表5.1.1取值</w:t>
      </w:r>
      <w:r>
        <w:rPr>
          <w:rFonts w:hint="eastAsia"/>
          <w:sz w:val="24"/>
        </w:rPr>
        <w:t>；</w:t>
      </w:r>
      <w:r>
        <w:rPr>
          <w:sz w:val="24"/>
        </w:rPr>
        <w:t>当仅计算竖向地震作用时，各类结构构件承载力抗震调整系数均应采用1.0。</w:t>
      </w:r>
    </w:p>
    <w:p>
      <w:pPr>
        <w:widowControl/>
        <w:spacing w:line="360" w:lineRule="auto"/>
        <w:jc w:val="center"/>
        <w:rPr>
          <w:b/>
          <w:bCs/>
          <w:szCs w:val="21"/>
        </w:rPr>
      </w:pPr>
      <w:r>
        <w:rPr>
          <w:b/>
          <w:bCs/>
          <w:szCs w:val="21"/>
        </w:rPr>
        <w:t>表5.1.1　承载力抗震调整系数</w:t>
      </w:r>
    </w:p>
    <w:tbl>
      <w:tblPr>
        <w:tblStyle w:val="31"/>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2797"/>
        <w:gridCol w:w="2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96" w:type="dxa"/>
            <w:vAlign w:val="center"/>
          </w:tcPr>
          <w:p>
            <w:pPr>
              <w:pStyle w:val="2"/>
              <w:ind w:firstLine="6"/>
              <w:rPr>
                <w:b w:val="0"/>
              </w:rPr>
            </w:pPr>
            <w:r>
              <w:rPr>
                <w:b w:val="0"/>
              </w:rPr>
              <w:t>结构构件类型</w:t>
            </w:r>
          </w:p>
        </w:tc>
        <w:tc>
          <w:tcPr>
            <w:tcW w:w="2797" w:type="dxa"/>
            <w:vAlign w:val="center"/>
          </w:tcPr>
          <w:p>
            <w:pPr>
              <w:pStyle w:val="2"/>
              <w:ind w:firstLine="6"/>
              <w:rPr>
                <w:b w:val="0"/>
              </w:rPr>
            </w:pPr>
            <w:r>
              <w:rPr>
                <w:b w:val="0"/>
              </w:rPr>
              <w:t>受力状态</w:t>
            </w:r>
          </w:p>
        </w:tc>
        <w:tc>
          <w:tcPr>
            <w:tcW w:w="2797" w:type="dxa"/>
            <w:vAlign w:val="center"/>
          </w:tcPr>
          <w:p>
            <w:pPr>
              <w:pStyle w:val="2"/>
              <w:ind w:firstLine="6"/>
              <w:rPr>
                <w:b w:val="0"/>
              </w:rPr>
            </w:pPr>
            <w:r>
              <w:rPr>
                <w:b w:val="0"/>
                <w:i/>
                <w:iCs/>
              </w:rPr>
              <w:sym w:font="Symbol" w:char="F067"/>
            </w:r>
            <w:r>
              <w:rPr>
                <w:b w:val="0"/>
                <w:vertAlign w:val="subscript"/>
              </w:rPr>
              <w:t>RE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96" w:type="dxa"/>
            <w:vAlign w:val="center"/>
          </w:tcPr>
          <w:p>
            <w:pPr>
              <w:pStyle w:val="2"/>
              <w:ind w:firstLine="6"/>
              <w:rPr>
                <w:b w:val="0"/>
              </w:rPr>
            </w:pPr>
            <w:r>
              <w:rPr>
                <w:b w:val="0"/>
              </w:rPr>
              <w:t>两端均设有构造柱、芯柱的</w:t>
            </w:r>
          </w:p>
          <w:p>
            <w:pPr>
              <w:pStyle w:val="2"/>
              <w:ind w:firstLine="6"/>
              <w:rPr>
                <w:b w:val="0"/>
              </w:rPr>
            </w:pPr>
            <w:r>
              <w:rPr>
                <w:b w:val="0"/>
              </w:rPr>
              <w:t>模壳</w:t>
            </w:r>
            <w:r>
              <w:rPr>
                <w:rFonts w:hint="eastAsia"/>
                <w:b w:val="0"/>
              </w:rPr>
              <w:t>砌块</w:t>
            </w:r>
            <w:r>
              <w:rPr>
                <w:b w:val="0"/>
              </w:rPr>
              <w:t>砌体抗震墙</w:t>
            </w:r>
          </w:p>
        </w:tc>
        <w:tc>
          <w:tcPr>
            <w:tcW w:w="2797" w:type="dxa"/>
            <w:vAlign w:val="center"/>
          </w:tcPr>
          <w:p>
            <w:pPr>
              <w:pStyle w:val="2"/>
              <w:ind w:firstLine="6"/>
              <w:rPr>
                <w:b w:val="0"/>
              </w:rPr>
            </w:pPr>
            <w:r>
              <w:rPr>
                <w:b w:val="0"/>
              </w:rPr>
              <w:t>受剪</w:t>
            </w:r>
          </w:p>
        </w:tc>
        <w:tc>
          <w:tcPr>
            <w:tcW w:w="2797" w:type="dxa"/>
            <w:vAlign w:val="center"/>
          </w:tcPr>
          <w:p>
            <w:pPr>
              <w:pStyle w:val="2"/>
              <w:ind w:firstLine="6"/>
              <w:rPr>
                <w:b w:val="0"/>
              </w:rPr>
            </w:pPr>
            <w:r>
              <w:rPr>
                <w:b w:val="0"/>
              </w:rPr>
              <w:t>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96" w:type="dxa"/>
            <w:vAlign w:val="center"/>
          </w:tcPr>
          <w:p>
            <w:pPr>
              <w:pStyle w:val="2"/>
              <w:ind w:firstLine="6"/>
              <w:rPr>
                <w:b w:val="0"/>
              </w:rPr>
            </w:pPr>
            <w:r>
              <w:rPr>
                <w:rFonts w:hint="eastAsia"/>
                <w:b w:val="0"/>
              </w:rPr>
              <w:t>模壳砌块墙体</w:t>
            </w:r>
          </w:p>
        </w:tc>
        <w:tc>
          <w:tcPr>
            <w:tcW w:w="2797" w:type="dxa"/>
            <w:vAlign w:val="center"/>
          </w:tcPr>
          <w:p>
            <w:pPr>
              <w:pStyle w:val="2"/>
              <w:ind w:firstLine="6"/>
              <w:rPr>
                <w:b w:val="0"/>
              </w:rPr>
            </w:pPr>
            <w:r>
              <w:rPr>
                <w:b w:val="0"/>
              </w:rPr>
              <w:t>偏压、大偏拉、受剪</w:t>
            </w:r>
          </w:p>
        </w:tc>
        <w:tc>
          <w:tcPr>
            <w:tcW w:w="2797" w:type="dxa"/>
            <w:vAlign w:val="center"/>
          </w:tcPr>
          <w:p>
            <w:pPr>
              <w:pStyle w:val="2"/>
              <w:ind w:firstLine="6"/>
              <w:rPr>
                <w:b w:val="0"/>
              </w:rPr>
            </w:pPr>
            <w:r>
              <w:rPr>
                <w:b w:val="0"/>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96" w:type="dxa"/>
            <w:vAlign w:val="center"/>
          </w:tcPr>
          <w:p>
            <w:pPr>
              <w:pStyle w:val="2"/>
              <w:ind w:firstLine="6"/>
              <w:rPr>
                <w:b w:val="0"/>
              </w:rPr>
            </w:pPr>
            <w:r>
              <w:rPr>
                <w:rFonts w:hint="eastAsia"/>
                <w:b w:val="0"/>
              </w:rPr>
              <w:t>其他</w:t>
            </w:r>
            <w:r>
              <w:rPr>
                <w:b w:val="0"/>
              </w:rPr>
              <w:t>模壳</w:t>
            </w:r>
            <w:r>
              <w:rPr>
                <w:rFonts w:hint="eastAsia"/>
                <w:b w:val="0"/>
              </w:rPr>
              <w:t>砌块</w:t>
            </w:r>
            <w:r>
              <w:rPr>
                <w:b w:val="0"/>
              </w:rPr>
              <w:t>砌体</w:t>
            </w:r>
          </w:p>
        </w:tc>
        <w:tc>
          <w:tcPr>
            <w:tcW w:w="2797" w:type="dxa"/>
            <w:vAlign w:val="center"/>
          </w:tcPr>
          <w:p>
            <w:pPr>
              <w:pStyle w:val="2"/>
              <w:ind w:firstLine="6"/>
              <w:rPr>
                <w:b w:val="0"/>
              </w:rPr>
            </w:pPr>
            <w:r>
              <w:rPr>
                <w:b w:val="0"/>
              </w:rPr>
              <w:t>受剪、受压</w:t>
            </w:r>
          </w:p>
        </w:tc>
        <w:tc>
          <w:tcPr>
            <w:tcW w:w="2797" w:type="dxa"/>
            <w:vAlign w:val="center"/>
          </w:tcPr>
          <w:p>
            <w:pPr>
              <w:pStyle w:val="2"/>
              <w:ind w:firstLine="6"/>
              <w:rPr>
                <w:b w:val="0"/>
              </w:rPr>
            </w:pPr>
            <w:r>
              <w:rPr>
                <w:b w:val="0"/>
              </w:rPr>
              <w:t>1.00</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.1.2　</w:t>
      </w:r>
      <w:r>
        <w:rPr>
          <w:rFonts w:hint="eastAsia"/>
          <w:sz w:val="24"/>
        </w:rPr>
        <w:t>多层</w:t>
      </w:r>
      <w:r>
        <w:rPr>
          <w:sz w:val="24"/>
        </w:rPr>
        <w:t>模壳</w:t>
      </w:r>
      <w:r>
        <w:rPr>
          <w:rFonts w:hint="eastAsia"/>
          <w:sz w:val="24"/>
        </w:rPr>
        <w:t>砌块</w:t>
      </w:r>
      <w:r>
        <w:rPr>
          <w:sz w:val="24"/>
        </w:rPr>
        <w:t>墙厚同砌块厚度</w:t>
      </w:r>
      <w:r>
        <w:rPr>
          <w:rFonts w:hint="eastAsia"/>
          <w:sz w:val="24"/>
        </w:rPr>
        <w:t>，</w:t>
      </w:r>
      <w:r>
        <w:rPr>
          <w:sz w:val="24"/>
        </w:rPr>
        <w:t>墙体最小厚度应为200 mm，</w:t>
      </w:r>
      <w:r>
        <w:rPr>
          <w:rFonts w:hint="eastAsia"/>
          <w:sz w:val="24"/>
        </w:rPr>
        <w:t>最大厚度可根据建筑高度进行调整，</w:t>
      </w:r>
      <w:r>
        <w:rPr>
          <w:sz w:val="24"/>
        </w:rPr>
        <w:t>最大适用高度和对应的最大层数应符合表5.1.2的规定。</w:t>
      </w:r>
    </w:p>
    <w:p>
      <w:pPr>
        <w:widowControl/>
        <w:spacing w:line="360" w:lineRule="auto"/>
        <w:jc w:val="center"/>
        <w:rPr>
          <w:b/>
          <w:sz w:val="24"/>
          <w:szCs w:val="24"/>
        </w:rPr>
      </w:pPr>
      <w:r>
        <w:rPr>
          <w:b/>
          <w:bCs/>
          <w:szCs w:val="21"/>
        </w:rPr>
        <w:t>表5.1.2　模壳</w:t>
      </w:r>
      <w:r>
        <w:rPr>
          <w:rFonts w:hint="eastAsia"/>
          <w:b/>
          <w:bCs/>
          <w:szCs w:val="21"/>
        </w:rPr>
        <w:t>砌块</w:t>
      </w:r>
      <w:r>
        <w:rPr>
          <w:b/>
          <w:bCs/>
          <w:szCs w:val="21"/>
        </w:rPr>
        <w:t>砌体结构最大适用高度和对应的最大层数</w:t>
      </w:r>
    </w:p>
    <w:tbl>
      <w:tblPr>
        <w:tblStyle w:val="31"/>
        <w:tblW w:w="49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551"/>
        <w:gridCol w:w="1411"/>
        <w:gridCol w:w="1272"/>
        <w:gridCol w:w="1271"/>
        <w:gridCol w:w="13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12" w:type="dxa"/>
            <w:vMerge w:val="restart"/>
            <w:tcBorders>
              <w:tl2br w:val="nil"/>
              <w:tr2bl w:val="nil"/>
            </w:tcBorders>
            <w:vAlign w:val="center"/>
          </w:tcPr>
          <w:p>
            <w:pPr>
              <w:jc w:val="center"/>
              <w:rPr>
                <w:bCs/>
                <w:sz w:val="21"/>
                <w:szCs w:val="21"/>
              </w:rPr>
            </w:pPr>
            <w:r>
              <w:rPr>
                <w:bCs/>
                <w:sz w:val="21"/>
                <w:szCs w:val="21"/>
              </w:rPr>
              <w:t>项目</w:t>
            </w:r>
          </w:p>
        </w:tc>
        <w:tc>
          <w:tcPr>
            <w:tcW w:w="6630" w:type="dxa"/>
            <w:gridSpan w:val="5"/>
            <w:tcBorders>
              <w:tl2br w:val="nil"/>
              <w:tr2bl w:val="nil"/>
            </w:tcBorders>
            <w:vAlign w:val="center"/>
          </w:tcPr>
          <w:p>
            <w:pPr>
              <w:jc w:val="center"/>
              <w:rPr>
                <w:bCs/>
                <w:sz w:val="21"/>
                <w:szCs w:val="21"/>
              </w:rPr>
            </w:pPr>
            <w:r>
              <w:rPr>
                <w:bCs/>
                <w:sz w:val="21"/>
                <w:szCs w:val="21"/>
              </w:rPr>
              <w:t>设防烈度和设计基本地震加速度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12" w:type="dxa"/>
            <w:vMerge w:val="continue"/>
            <w:tcBorders>
              <w:tl2br w:val="nil"/>
              <w:tr2bl w:val="nil"/>
            </w:tcBorders>
            <w:vAlign w:val="center"/>
          </w:tcPr>
          <w:p>
            <w:pPr>
              <w:jc w:val="center"/>
              <w:rPr>
                <w:bCs/>
                <w:sz w:val="21"/>
                <w:szCs w:val="21"/>
              </w:rPr>
            </w:pPr>
          </w:p>
        </w:tc>
        <w:tc>
          <w:tcPr>
            <w:tcW w:w="1506" w:type="dxa"/>
            <w:tcBorders>
              <w:tl2br w:val="nil"/>
              <w:tr2bl w:val="nil"/>
            </w:tcBorders>
            <w:vAlign w:val="center"/>
          </w:tcPr>
          <w:p>
            <w:pPr>
              <w:jc w:val="center"/>
              <w:rPr>
                <w:bCs/>
                <w:sz w:val="21"/>
                <w:szCs w:val="21"/>
              </w:rPr>
            </w:pPr>
            <w:r>
              <w:rPr>
                <w:bCs/>
                <w:sz w:val="21"/>
                <w:szCs w:val="21"/>
              </w:rPr>
              <w:t>6度</w:t>
            </w:r>
          </w:p>
        </w:tc>
        <w:tc>
          <w:tcPr>
            <w:tcW w:w="2605" w:type="dxa"/>
            <w:gridSpan w:val="2"/>
            <w:tcBorders>
              <w:tl2br w:val="nil"/>
              <w:tr2bl w:val="nil"/>
            </w:tcBorders>
            <w:vAlign w:val="center"/>
          </w:tcPr>
          <w:p>
            <w:pPr>
              <w:jc w:val="center"/>
              <w:rPr>
                <w:bCs/>
                <w:sz w:val="21"/>
                <w:szCs w:val="21"/>
              </w:rPr>
            </w:pPr>
            <w:r>
              <w:rPr>
                <w:bCs/>
                <w:sz w:val="21"/>
                <w:szCs w:val="21"/>
              </w:rPr>
              <w:t>7度</w:t>
            </w:r>
          </w:p>
        </w:tc>
        <w:tc>
          <w:tcPr>
            <w:tcW w:w="2519" w:type="dxa"/>
            <w:gridSpan w:val="2"/>
            <w:tcBorders>
              <w:tl2br w:val="nil"/>
              <w:tr2bl w:val="nil"/>
            </w:tcBorders>
            <w:vAlign w:val="center"/>
          </w:tcPr>
          <w:p>
            <w:pPr>
              <w:jc w:val="center"/>
              <w:rPr>
                <w:bCs/>
                <w:sz w:val="21"/>
                <w:szCs w:val="21"/>
              </w:rPr>
            </w:pPr>
            <w:r>
              <w:rPr>
                <w:bCs/>
                <w:sz w:val="21"/>
                <w:szCs w:val="21"/>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12" w:type="dxa"/>
            <w:vMerge w:val="continue"/>
            <w:tcBorders>
              <w:tl2br w:val="nil"/>
              <w:tr2bl w:val="nil"/>
            </w:tcBorders>
            <w:vAlign w:val="center"/>
          </w:tcPr>
          <w:p>
            <w:pPr>
              <w:jc w:val="center"/>
              <w:rPr>
                <w:bCs/>
                <w:sz w:val="21"/>
                <w:szCs w:val="21"/>
              </w:rPr>
            </w:pPr>
          </w:p>
        </w:tc>
        <w:tc>
          <w:tcPr>
            <w:tcW w:w="1506" w:type="dxa"/>
            <w:tcBorders>
              <w:tl2br w:val="nil"/>
              <w:tr2bl w:val="nil"/>
            </w:tcBorders>
            <w:vAlign w:val="center"/>
          </w:tcPr>
          <w:p>
            <w:pPr>
              <w:jc w:val="center"/>
              <w:rPr>
                <w:bCs/>
                <w:sz w:val="21"/>
                <w:szCs w:val="21"/>
              </w:rPr>
            </w:pPr>
            <w:r>
              <w:rPr>
                <w:bCs/>
                <w:sz w:val="21"/>
                <w:szCs w:val="21"/>
              </w:rPr>
              <w:t>0.05g</w:t>
            </w:r>
          </w:p>
        </w:tc>
        <w:tc>
          <w:tcPr>
            <w:tcW w:w="1370" w:type="dxa"/>
            <w:tcBorders>
              <w:tl2br w:val="nil"/>
              <w:tr2bl w:val="nil"/>
            </w:tcBorders>
            <w:vAlign w:val="center"/>
          </w:tcPr>
          <w:p>
            <w:pPr>
              <w:jc w:val="center"/>
              <w:rPr>
                <w:bCs/>
                <w:sz w:val="21"/>
                <w:szCs w:val="21"/>
              </w:rPr>
            </w:pPr>
            <w:r>
              <w:rPr>
                <w:bCs/>
                <w:sz w:val="21"/>
                <w:szCs w:val="21"/>
              </w:rPr>
              <w:t>0.10g</w:t>
            </w:r>
          </w:p>
        </w:tc>
        <w:tc>
          <w:tcPr>
            <w:tcW w:w="1235" w:type="dxa"/>
            <w:tcBorders>
              <w:tl2br w:val="nil"/>
              <w:tr2bl w:val="nil"/>
            </w:tcBorders>
            <w:vAlign w:val="center"/>
          </w:tcPr>
          <w:p>
            <w:pPr>
              <w:jc w:val="center"/>
              <w:rPr>
                <w:bCs/>
                <w:sz w:val="21"/>
                <w:szCs w:val="21"/>
              </w:rPr>
            </w:pPr>
            <w:r>
              <w:rPr>
                <w:bCs/>
                <w:sz w:val="21"/>
                <w:szCs w:val="21"/>
              </w:rPr>
              <w:t>0.15g</w:t>
            </w:r>
          </w:p>
        </w:tc>
        <w:tc>
          <w:tcPr>
            <w:tcW w:w="1234" w:type="dxa"/>
            <w:tcBorders>
              <w:tl2br w:val="nil"/>
              <w:tr2bl w:val="nil"/>
            </w:tcBorders>
            <w:vAlign w:val="center"/>
          </w:tcPr>
          <w:p>
            <w:pPr>
              <w:jc w:val="center"/>
              <w:rPr>
                <w:bCs/>
                <w:sz w:val="21"/>
                <w:szCs w:val="21"/>
              </w:rPr>
            </w:pPr>
            <w:r>
              <w:rPr>
                <w:bCs/>
                <w:sz w:val="21"/>
                <w:szCs w:val="21"/>
              </w:rPr>
              <w:t>0.20g</w:t>
            </w:r>
          </w:p>
        </w:tc>
        <w:tc>
          <w:tcPr>
            <w:tcW w:w="1285" w:type="dxa"/>
            <w:tcBorders>
              <w:tl2br w:val="nil"/>
              <w:tr2bl w:val="nil"/>
            </w:tcBorders>
            <w:vAlign w:val="center"/>
          </w:tcPr>
          <w:p>
            <w:pPr>
              <w:jc w:val="center"/>
              <w:rPr>
                <w:bCs/>
                <w:sz w:val="21"/>
                <w:szCs w:val="21"/>
              </w:rPr>
            </w:pPr>
            <w:r>
              <w:rPr>
                <w:bCs/>
                <w:sz w:val="21"/>
                <w:szCs w:val="21"/>
              </w:rPr>
              <w:t>0.30g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12" w:type="dxa"/>
            <w:tcBorders>
              <w:tl2br w:val="nil"/>
              <w:tr2bl w:val="nil"/>
            </w:tcBorders>
            <w:vAlign w:val="center"/>
          </w:tcPr>
          <w:p>
            <w:pPr>
              <w:jc w:val="center"/>
              <w:rPr>
                <w:bCs/>
                <w:sz w:val="21"/>
                <w:szCs w:val="21"/>
              </w:rPr>
            </w:pPr>
            <w:r>
              <w:rPr>
                <w:bCs/>
                <w:sz w:val="21"/>
                <w:szCs w:val="21"/>
              </w:rPr>
              <w:t>高度（m）</w:t>
            </w:r>
          </w:p>
        </w:tc>
        <w:tc>
          <w:tcPr>
            <w:tcW w:w="1506" w:type="dxa"/>
            <w:tcBorders>
              <w:tl2br w:val="nil"/>
              <w:tr2bl w:val="nil"/>
            </w:tcBorders>
            <w:vAlign w:val="center"/>
          </w:tcPr>
          <w:p>
            <w:pPr>
              <w:jc w:val="center"/>
              <w:rPr>
                <w:bCs/>
                <w:sz w:val="21"/>
                <w:szCs w:val="21"/>
              </w:rPr>
            </w:pPr>
            <w:r>
              <w:rPr>
                <w:bCs/>
                <w:sz w:val="21"/>
                <w:szCs w:val="21"/>
              </w:rPr>
              <w:t>21</w:t>
            </w:r>
          </w:p>
        </w:tc>
        <w:tc>
          <w:tcPr>
            <w:tcW w:w="1370" w:type="dxa"/>
            <w:tcBorders>
              <w:tl2br w:val="nil"/>
              <w:tr2bl w:val="nil"/>
            </w:tcBorders>
            <w:vAlign w:val="center"/>
          </w:tcPr>
          <w:p>
            <w:pPr>
              <w:jc w:val="center"/>
              <w:rPr>
                <w:bCs/>
                <w:sz w:val="21"/>
                <w:szCs w:val="21"/>
              </w:rPr>
            </w:pPr>
            <w:r>
              <w:rPr>
                <w:bCs/>
                <w:sz w:val="21"/>
                <w:szCs w:val="21"/>
              </w:rPr>
              <w:t>21</w:t>
            </w:r>
          </w:p>
        </w:tc>
        <w:tc>
          <w:tcPr>
            <w:tcW w:w="1235" w:type="dxa"/>
            <w:tcBorders>
              <w:tl2br w:val="nil"/>
              <w:tr2bl w:val="nil"/>
            </w:tcBorders>
            <w:vAlign w:val="center"/>
          </w:tcPr>
          <w:p>
            <w:pPr>
              <w:jc w:val="center"/>
              <w:rPr>
                <w:bCs/>
                <w:sz w:val="21"/>
                <w:szCs w:val="21"/>
              </w:rPr>
            </w:pPr>
            <w:r>
              <w:rPr>
                <w:bCs/>
                <w:sz w:val="21"/>
                <w:szCs w:val="21"/>
              </w:rPr>
              <w:t>18</w:t>
            </w:r>
          </w:p>
        </w:tc>
        <w:tc>
          <w:tcPr>
            <w:tcW w:w="1234" w:type="dxa"/>
            <w:tcBorders>
              <w:tl2br w:val="nil"/>
              <w:tr2bl w:val="nil"/>
            </w:tcBorders>
            <w:vAlign w:val="center"/>
          </w:tcPr>
          <w:p>
            <w:pPr>
              <w:jc w:val="center"/>
              <w:rPr>
                <w:bCs/>
                <w:sz w:val="21"/>
                <w:szCs w:val="21"/>
              </w:rPr>
            </w:pPr>
            <w:r>
              <w:rPr>
                <w:bCs/>
                <w:sz w:val="21"/>
                <w:szCs w:val="21"/>
              </w:rPr>
              <w:t>18</w:t>
            </w:r>
          </w:p>
        </w:tc>
        <w:tc>
          <w:tcPr>
            <w:tcW w:w="1285" w:type="dxa"/>
            <w:tcBorders>
              <w:tl2br w:val="nil"/>
              <w:tr2bl w:val="nil"/>
            </w:tcBorders>
            <w:vAlign w:val="center"/>
          </w:tcPr>
          <w:p>
            <w:pPr>
              <w:jc w:val="center"/>
              <w:rPr>
                <w:bCs/>
                <w:sz w:val="21"/>
                <w:szCs w:val="21"/>
              </w:rPr>
            </w:pPr>
            <w:r>
              <w:rPr>
                <w:bCs/>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12" w:type="dxa"/>
            <w:tcBorders>
              <w:tl2br w:val="nil"/>
              <w:tr2bl w:val="nil"/>
            </w:tcBorders>
            <w:vAlign w:val="center"/>
          </w:tcPr>
          <w:p>
            <w:pPr>
              <w:jc w:val="center"/>
              <w:rPr>
                <w:bCs/>
                <w:sz w:val="21"/>
                <w:szCs w:val="21"/>
              </w:rPr>
            </w:pPr>
            <w:r>
              <w:rPr>
                <w:bCs/>
                <w:sz w:val="21"/>
                <w:szCs w:val="21"/>
              </w:rPr>
              <w:t>层数（层）</w:t>
            </w:r>
          </w:p>
        </w:tc>
        <w:tc>
          <w:tcPr>
            <w:tcW w:w="1506" w:type="dxa"/>
            <w:tcBorders>
              <w:tl2br w:val="nil"/>
              <w:tr2bl w:val="nil"/>
            </w:tcBorders>
            <w:vAlign w:val="center"/>
          </w:tcPr>
          <w:p>
            <w:pPr>
              <w:jc w:val="center"/>
              <w:rPr>
                <w:bCs/>
                <w:sz w:val="21"/>
                <w:szCs w:val="21"/>
              </w:rPr>
            </w:pPr>
            <w:r>
              <w:rPr>
                <w:bCs/>
                <w:sz w:val="21"/>
                <w:szCs w:val="21"/>
              </w:rPr>
              <w:t>6</w:t>
            </w:r>
          </w:p>
        </w:tc>
        <w:tc>
          <w:tcPr>
            <w:tcW w:w="1370" w:type="dxa"/>
            <w:tcBorders>
              <w:tl2br w:val="nil"/>
              <w:tr2bl w:val="nil"/>
            </w:tcBorders>
            <w:vAlign w:val="center"/>
          </w:tcPr>
          <w:p>
            <w:pPr>
              <w:jc w:val="center"/>
              <w:rPr>
                <w:bCs/>
                <w:sz w:val="21"/>
                <w:szCs w:val="21"/>
              </w:rPr>
            </w:pPr>
            <w:r>
              <w:rPr>
                <w:bCs/>
                <w:sz w:val="21"/>
                <w:szCs w:val="21"/>
              </w:rPr>
              <w:t>6</w:t>
            </w:r>
          </w:p>
        </w:tc>
        <w:tc>
          <w:tcPr>
            <w:tcW w:w="1235" w:type="dxa"/>
            <w:tcBorders>
              <w:tl2br w:val="nil"/>
              <w:tr2bl w:val="nil"/>
            </w:tcBorders>
            <w:vAlign w:val="center"/>
          </w:tcPr>
          <w:p>
            <w:pPr>
              <w:jc w:val="center"/>
              <w:rPr>
                <w:bCs/>
                <w:sz w:val="21"/>
                <w:szCs w:val="21"/>
              </w:rPr>
            </w:pPr>
            <w:r>
              <w:rPr>
                <w:bCs/>
                <w:sz w:val="21"/>
                <w:szCs w:val="21"/>
              </w:rPr>
              <w:t>6</w:t>
            </w:r>
          </w:p>
        </w:tc>
        <w:tc>
          <w:tcPr>
            <w:tcW w:w="1234" w:type="dxa"/>
            <w:tcBorders>
              <w:tl2br w:val="nil"/>
              <w:tr2bl w:val="nil"/>
            </w:tcBorders>
            <w:vAlign w:val="center"/>
          </w:tcPr>
          <w:p>
            <w:pPr>
              <w:jc w:val="center"/>
              <w:rPr>
                <w:bCs/>
                <w:sz w:val="21"/>
                <w:szCs w:val="21"/>
              </w:rPr>
            </w:pPr>
            <w:r>
              <w:rPr>
                <w:bCs/>
                <w:sz w:val="21"/>
                <w:szCs w:val="21"/>
              </w:rPr>
              <w:t>6</w:t>
            </w:r>
          </w:p>
        </w:tc>
        <w:tc>
          <w:tcPr>
            <w:tcW w:w="1285" w:type="dxa"/>
            <w:tcBorders>
              <w:tl2br w:val="nil"/>
              <w:tr2bl w:val="nil"/>
            </w:tcBorders>
            <w:vAlign w:val="center"/>
          </w:tcPr>
          <w:p>
            <w:pPr>
              <w:jc w:val="center"/>
              <w:rPr>
                <w:bCs/>
                <w:sz w:val="21"/>
                <w:szCs w:val="21"/>
              </w:rPr>
            </w:pPr>
            <w:r>
              <w:rPr>
                <w:bCs/>
                <w:sz w:val="21"/>
                <w:szCs w:val="21"/>
              </w:rPr>
              <w:t>5</w:t>
            </w:r>
          </w:p>
        </w:tc>
      </w:tr>
    </w:tbl>
    <w:p>
      <w:pPr>
        <w:tabs>
          <w:tab w:val="left" w:pos="425"/>
          <w:tab w:val="left" w:pos="735"/>
          <w:tab w:val="left" w:pos="767"/>
        </w:tabs>
        <w:autoSpaceDE w:val="0"/>
        <w:autoSpaceDN w:val="0"/>
        <w:spacing w:line="360" w:lineRule="auto"/>
        <w:ind w:right="120"/>
        <w:outlineLvl w:val="2"/>
        <w:rPr>
          <w:sz w:val="24"/>
          <w:szCs w:val="24"/>
        </w:rPr>
      </w:pPr>
      <w:bookmarkStart w:id="101" w:name="_Hlk143190145"/>
      <w:r>
        <w:rPr>
          <w:rFonts w:hint="eastAsia" w:eastAsiaTheme="minorEastAsia"/>
          <w:b/>
          <w:sz w:val="24"/>
          <w:szCs w:val="24"/>
        </w:rPr>
        <w:t>5</w:t>
      </w:r>
      <w:r>
        <w:rPr>
          <w:rFonts w:eastAsiaTheme="minorEastAsia"/>
          <w:b/>
          <w:sz w:val="24"/>
          <w:szCs w:val="24"/>
        </w:rPr>
        <w:t>.1.3　</w:t>
      </w:r>
      <w:r>
        <w:rPr>
          <w:sz w:val="24"/>
          <w:szCs w:val="24"/>
        </w:rPr>
        <w:t>模壳</w:t>
      </w:r>
      <w:bookmarkEnd w:id="101"/>
      <w:r>
        <w:rPr>
          <w:rFonts w:hint="eastAsia"/>
          <w:sz w:val="24"/>
          <w:szCs w:val="24"/>
        </w:rPr>
        <w:t>砌块</w:t>
      </w:r>
      <w:r>
        <w:rPr>
          <w:sz w:val="24"/>
          <w:szCs w:val="24"/>
        </w:rPr>
        <w:t>砌体</w:t>
      </w:r>
      <w:r>
        <w:rPr>
          <w:rFonts w:hint="eastAsia"/>
          <w:sz w:val="24"/>
          <w:szCs w:val="24"/>
        </w:rPr>
        <w:t>结构</w:t>
      </w:r>
      <w:r>
        <w:rPr>
          <w:sz w:val="24"/>
          <w:szCs w:val="24"/>
        </w:rPr>
        <w:t>抗震墙房屋，体型复杂、平立面不规则时宜设防震缝。</w:t>
      </w:r>
    </w:p>
    <w:p>
      <w:pPr>
        <w:tabs>
          <w:tab w:val="left" w:pos="425"/>
          <w:tab w:val="left" w:pos="735"/>
          <w:tab w:val="left" w:pos="767"/>
        </w:tabs>
        <w:autoSpaceDE w:val="0"/>
        <w:autoSpaceDN w:val="0"/>
        <w:spacing w:line="360" w:lineRule="auto"/>
        <w:ind w:right="120"/>
        <w:outlineLvl w:val="2"/>
        <w:rPr>
          <w:sz w:val="24"/>
          <w:szCs w:val="24"/>
        </w:rPr>
      </w:pPr>
      <w:r>
        <w:rPr>
          <w:rFonts w:eastAsiaTheme="minorEastAsia"/>
          <w:b/>
          <w:sz w:val="24"/>
          <w:szCs w:val="24"/>
        </w:rPr>
        <w:t>5.1.4　</w:t>
      </w:r>
      <w:r>
        <w:rPr>
          <w:sz w:val="24"/>
          <w:szCs w:val="24"/>
        </w:rPr>
        <w:t>模壳</w:t>
      </w:r>
      <w:r>
        <w:rPr>
          <w:rFonts w:hint="eastAsia"/>
          <w:sz w:val="24"/>
          <w:szCs w:val="24"/>
        </w:rPr>
        <w:t>砌块</w:t>
      </w:r>
      <w:r>
        <w:rPr>
          <w:sz w:val="24"/>
          <w:szCs w:val="24"/>
        </w:rPr>
        <w:t>配筋砌体结构构件，受力钢筋的锚固和接头，应符合现行国家标准《砌体结构设计规范》GB 50003的有关规定</w:t>
      </w:r>
      <w:r>
        <w:rPr>
          <w:rFonts w:hint="eastAsia"/>
          <w:sz w:val="24"/>
          <w:szCs w:val="24"/>
        </w:rPr>
        <w:t>，并应满足下列要求：</w:t>
      </w:r>
    </w:p>
    <w:p>
      <w:pPr>
        <w:tabs>
          <w:tab w:val="left" w:pos="735"/>
          <w:tab w:val="left" w:pos="767"/>
        </w:tabs>
        <w:autoSpaceDE w:val="0"/>
        <w:autoSpaceDN w:val="0"/>
        <w:spacing w:line="360" w:lineRule="auto"/>
        <w:ind w:right="119" w:firstLine="482" w:firstLineChars="200"/>
        <w:outlineLvl w:val="2"/>
        <w:rPr>
          <w:sz w:val="24"/>
          <w:szCs w:val="24"/>
        </w:rPr>
      </w:pPr>
      <w:r>
        <w:rPr>
          <w:b/>
          <w:sz w:val="24"/>
          <w:szCs w:val="24"/>
        </w:rPr>
        <w:t>1</w:t>
      </w:r>
      <w:r>
        <w:rPr>
          <w:rFonts w:eastAsiaTheme="minorEastAsia"/>
          <w:b/>
          <w:sz w:val="24"/>
          <w:szCs w:val="24"/>
        </w:rPr>
        <w:t>　</w:t>
      </w:r>
      <w:r>
        <w:rPr>
          <w:sz w:val="24"/>
          <w:szCs w:val="24"/>
        </w:rPr>
        <w:t>钢筋搭接接头，一、二级抗震等级不应小于1.2</w:t>
      </w:r>
      <w:r>
        <w:rPr>
          <w:i/>
          <w:iCs/>
          <w:sz w:val="24"/>
          <w:szCs w:val="24"/>
        </w:rPr>
        <w:t>l</w:t>
      </w:r>
      <w:r>
        <w:rPr>
          <w:sz w:val="24"/>
          <w:szCs w:val="24"/>
          <w:vertAlign w:val="subscript"/>
        </w:rPr>
        <w:t>a</w:t>
      </w:r>
      <w:r>
        <w:rPr>
          <w:sz w:val="24"/>
          <w:szCs w:val="24"/>
        </w:rPr>
        <w:t>＋5</w:t>
      </w:r>
      <w:r>
        <w:rPr>
          <w:i/>
          <w:iCs/>
          <w:sz w:val="24"/>
          <w:szCs w:val="24"/>
        </w:rPr>
        <w:t>d</w:t>
      </w:r>
      <w:r>
        <w:rPr>
          <w:sz w:val="24"/>
          <w:szCs w:val="24"/>
        </w:rPr>
        <w:t>；三、四级抗震等级不应小于1.2</w:t>
      </w:r>
      <w:r>
        <w:rPr>
          <w:i/>
          <w:iCs/>
          <w:sz w:val="24"/>
          <w:szCs w:val="24"/>
        </w:rPr>
        <w:t>l</w:t>
      </w:r>
      <w:r>
        <w:rPr>
          <w:sz w:val="24"/>
          <w:szCs w:val="24"/>
          <w:vertAlign w:val="subscript"/>
        </w:rPr>
        <w:t>a</w:t>
      </w:r>
      <w:r>
        <w:rPr>
          <w:sz w:val="24"/>
          <w:szCs w:val="24"/>
        </w:rPr>
        <w:t>；</w:t>
      </w:r>
    </w:p>
    <w:p>
      <w:pPr>
        <w:tabs>
          <w:tab w:val="left" w:pos="735"/>
          <w:tab w:val="left" w:pos="767"/>
        </w:tabs>
        <w:autoSpaceDE w:val="0"/>
        <w:autoSpaceDN w:val="0"/>
        <w:spacing w:line="360" w:lineRule="auto"/>
        <w:ind w:right="119" w:firstLine="482" w:firstLineChars="200"/>
        <w:outlineLvl w:val="2"/>
        <w:rPr>
          <w:sz w:val="24"/>
          <w:szCs w:val="24"/>
        </w:rPr>
      </w:pPr>
      <w:r>
        <w:rPr>
          <w:b/>
          <w:sz w:val="24"/>
          <w:szCs w:val="24"/>
        </w:rPr>
        <w:t>2</w:t>
      </w:r>
      <w:r>
        <w:rPr>
          <w:rFonts w:eastAsiaTheme="minorEastAsia"/>
          <w:b/>
          <w:sz w:val="24"/>
          <w:szCs w:val="24"/>
        </w:rPr>
        <w:t>　</w:t>
      </w:r>
      <w:r>
        <w:rPr>
          <w:sz w:val="24"/>
          <w:szCs w:val="24"/>
        </w:rPr>
        <w:t>非全灌孔水平模壳砌块</w:t>
      </w:r>
      <w:r>
        <w:rPr>
          <w:rFonts w:hint="eastAsia"/>
          <w:sz w:val="24"/>
          <w:szCs w:val="24"/>
        </w:rPr>
        <w:t>墙体</w:t>
      </w:r>
      <w:r>
        <w:rPr>
          <w:sz w:val="24"/>
          <w:szCs w:val="24"/>
        </w:rPr>
        <w:t>，其水平或竖向受拉钢筋的最小锚固长度和搭接长度应按四级抗震等级相关规定确定；</w:t>
      </w:r>
    </w:p>
    <w:p>
      <w:pPr>
        <w:tabs>
          <w:tab w:val="left" w:pos="735"/>
          <w:tab w:val="left" w:pos="767"/>
        </w:tabs>
        <w:autoSpaceDE w:val="0"/>
        <w:autoSpaceDN w:val="0"/>
        <w:spacing w:line="360" w:lineRule="auto"/>
        <w:ind w:right="119" w:firstLine="482" w:firstLineChars="200"/>
        <w:outlineLvl w:val="2"/>
        <w:rPr>
          <w:sz w:val="24"/>
          <w:szCs w:val="24"/>
        </w:rPr>
      </w:pPr>
      <w:r>
        <w:rPr>
          <w:b/>
          <w:sz w:val="24"/>
          <w:szCs w:val="24"/>
        </w:rPr>
        <w:t>3</w:t>
      </w:r>
      <w:r>
        <w:rPr>
          <w:rFonts w:eastAsiaTheme="minorEastAsia"/>
          <w:b/>
          <w:sz w:val="24"/>
          <w:szCs w:val="24"/>
        </w:rPr>
        <w:t>　</w:t>
      </w:r>
      <w:r>
        <w:rPr>
          <w:sz w:val="24"/>
          <w:szCs w:val="24"/>
        </w:rPr>
        <w:t>位于同一连接区段内的受拉钢筋搭接接头面积百分率应符合现行国家标准《混凝土结构设计规范》GB 50010的有关规定。</w:t>
      </w:r>
    </w:p>
    <w:p>
      <w:pPr>
        <w:tabs>
          <w:tab w:val="left" w:pos="425"/>
          <w:tab w:val="left" w:pos="735"/>
        </w:tabs>
        <w:adjustRightInd w:val="0"/>
        <w:spacing w:line="360" w:lineRule="auto"/>
        <w:outlineLvl w:val="2"/>
        <w:rPr>
          <w:sz w:val="24"/>
        </w:rPr>
      </w:pPr>
      <w:r>
        <w:rPr>
          <w:rFonts w:eastAsiaTheme="minorEastAsia"/>
          <w:b/>
          <w:sz w:val="24"/>
          <w:szCs w:val="24"/>
        </w:rPr>
        <w:t>5.1.5　</w:t>
      </w:r>
      <w:r>
        <w:rPr>
          <w:sz w:val="24"/>
        </w:rPr>
        <w:t>多层模壳</w:t>
      </w:r>
      <w:r>
        <w:rPr>
          <w:rFonts w:hint="eastAsia"/>
          <w:sz w:val="24"/>
        </w:rPr>
        <w:t>砌块</w:t>
      </w:r>
      <w:r>
        <w:rPr>
          <w:sz w:val="24"/>
        </w:rPr>
        <w:t>砌体</w:t>
      </w:r>
      <w:r>
        <w:rPr>
          <w:rFonts w:hint="eastAsia"/>
          <w:sz w:val="24"/>
        </w:rPr>
        <w:t>结构建筑</w:t>
      </w:r>
      <w:r>
        <w:rPr>
          <w:sz w:val="24"/>
        </w:rPr>
        <w:t>总高度与总宽度的比值，宜</w:t>
      </w:r>
      <w:r>
        <w:rPr>
          <w:rFonts w:hint="eastAsia"/>
          <w:sz w:val="24"/>
        </w:rPr>
        <w:t>符合</w:t>
      </w:r>
      <w:r>
        <w:rPr>
          <w:sz w:val="24"/>
        </w:rPr>
        <w:t>表5.1.5的规定。</w:t>
      </w:r>
    </w:p>
    <w:p>
      <w:pPr>
        <w:widowControl/>
        <w:spacing w:line="360" w:lineRule="auto"/>
        <w:jc w:val="center"/>
        <w:rPr>
          <w:b/>
          <w:sz w:val="24"/>
          <w:szCs w:val="24"/>
        </w:rPr>
      </w:pPr>
      <w:r>
        <w:rPr>
          <w:b/>
          <w:bCs/>
          <w:szCs w:val="21"/>
        </w:rPr>
        <w:t>表5.1.5　模壳</w:t>
      </w:r>
      <w:r>
        <w:rPr>
          <w:rFonts w:hint="eastAsia"/>
          <w:b/>
          <w:bCs/>
          <w:szCs w:val="21"/>
        </w:rPr>
        <w:t>砌块</w:t>
      </w:r>
      <w:r>
        <w:rPr>
          <w:b/>
          <w:bCs/>
          <w:szCs w:val="21"/>
        </w:rPr>
        <w:t>砌体</w:t>
      </w:r>
      <w:r>
        <w:rPr>
          <w:rFonts w:hint="eastAsia"/>
          <w:b/>
          <w:bCs/>
          <w:szCs w:val="21"/>
        </w:rPr>
        <w:t>结构建筑</w:t>
      </w:r>
      <w:r>
        <w:rPr>
          <w:b/>
          <w:bCs/>
          <w:szCs w:val="21"/>
        </w:rPr>
        <w:t>的最大高宽比</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67"/>
        <w:gridCol w:w="2070"/>
        <w:gridCol w:w="2070"/>
        <w:gridCol w:w="2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67" w:type="dxa"/>
            <w:tcBorders>
              <w:tl2br w:val="nil"/>
              <w:tr2bl w:val="nil"/>
            </w:tcBorders>
            <w:vAlign w:val="center"/>
          </w:tcPr>
          <w:p>
            <w:pPr>
              <w:adjustRightInd w:val="0"/>
              <w:jc w:val="center"/>
              <w:rPr>
                <w:bCs/>
                <w:sz w:val="21"/>
                <w:szCs w:val="18"/>
              </w:rPr>
            </w:pPr>
            <w:r>
              <w:rPr>
                <w:bCs/>
                <w:sz w:val="21"/>
                <w:szCs w:val="18"/>
              </w:rPr>
              <w:t>设防烈度</w:t>
            </w:r>
          </w:p>
        </w:tc>
        <w:tc>
          <w:tcPr>
            <w:tcW w:w="2070" w:type="dxa"/>
            <w:tcBorders>
              <w:tl2br w:val="nil"/>
              <w:tr2bl w:val="nil"/>
            </w:tcBorders>
            <w:vAlign w:val="center"/>
          </w:tcPr>
          <w:p>
            <w:pPr>
              <w:adjustRightInd w:val="0"/>
              <w:jc w:val="center"/>
              <w:rPr>
                <w:bCs/>
                <w:sz w:val="21"/>
                <w:szCs w:val="18"/>
              </w:rPr>
            </w:pPr>
            <w:r>
              <w:rPr>
                <w:bCs/>
                <w:sz w:val="21"/>
                <w:szCs w:val="18"/>
              </w:rPr>
              <w:t>6度</w:t>
            </w:r>
          </w:p>
        </w:tc>
        <w:tc>
          <w:tcPr>
            <w:tcW w:w="2070" w:type="dxa"/>
            <w:tcBorders>
              <w:tl2br w:val="nil"/>
              <w:tr2bl w:val="nil"/>
            </w:tcBorders>
            <w:vAlign w:val="center"/>
          </w:tcPr>
          <w:p>
            <w:pPr>
              <w:adjustRightInd w:val="0"/>
              <w:jc w:val="center"/>
              <w:rPr>
                <w:bCs/>
                <w:sz w:val="21"/>
                <w:szCs w:val="18"/>
              </w:rPr>
            </w:pPr>
            <w:r>
              <w:rPr>
                <w:bCs/>
                <w:sz w:val="21"/>
                <w:szCs w:val="18"/>
              </w:rPr>
              <w:t>7度</w:t>
            </w:r>
          </w:p>
        </w:tc>
        <w:tc>
          <w:tcPr>
            <w:tcW w:w="2070" w:type="dxa"/>
            <w:tcBorders>
              <w:tl2br w:val="nil"/>
              <w:tr2bl w:val="nil"/>
            </w:tcBorders>
            <w:vAlign w:val="center"/>
          </w:tcPr>
          <w:p>
            <w:pPr>
              <w:adjustRightInd w:val="0"/>
              <w:jc w:val="center"/>
              <w:rPr>
                <w:bCs/>
                <w:sz w:val="21"/>
                <w:szCs w:val="18"/>
              </w:rPr>
            </w:pPr>
            <w:r>
              <w:rPr>
                <w:bCs/>
                <w:sz w:val="21"/>
                <w:szCs w:val="18"/>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67" w:type="dxa"/>
            <w:tcBorders>
              <w:tl2br w:val="nil"/>
              <w:tr2bl w:val="nil"/>
            </w:tcBorders>
            <w:vAlign w:val="center"/>
          </w:tcPr>
          <w:p>
            <w:pPr>
              <w:adjustRightInd w:val="0"/>
              <w:jc w:val="center"/>
              <w:rPr>
                <w:bCs/>
                <w:sz w:val="21"/>
                <w:szCs w:val="18"/>
              </w:rPr>
            </w:pPr>
            <w:r>
              <w:rPr>
                <w:bCs/>
                <w:sz w:val="21"/>
                <w:szCs w:val="18"/>
              </w:rPr>
              <w:t>最大高宽比</w:t>
            </w:r>
          </w:p>
        </w:tc>
        <w:tc>
          <w:tcPr>
            <w:tcW w:w="2070" w:type="dxa"/>
            <w:tcBorders>
              <w:tl2br w:val="nil"/>
              <w:tr2bl w:val="nil"/>
            </w:tcBorders>
            <w:vAlign w:val="center"/>
          </w:tcPr>
          <w:p>
            <w:pPr>
              <w:adjustRightInd w:val="0"/>
              <w:jc w:val="center"/>
              <w:rPr>
                <w:bCs/>
                <w:sz w:val="21"/>
                <w:szCs w:val="18"/>
              </w:rPr>
            </w:pPr>
            <w:r>
              <w:rPr>
                <w:bCs/>
                <w:sz w:val="21"/>
                <w:szCs w:val="18"/>
              </w:rPr>
              <w:t>2.5</w:t>
            </w:r>
          </w:p>
        </w:tc>
        <w:tc>
          <w:tcPr>
            <w:tcW w:w="2070" w:type="dxa"/>
            <w:tcBorders>
              <w:tl2br w:val="nil"/>
              <w:tr2bl w:val="nil"/>
            </w:tcBorders>
            <w:vAlign w:val="center"/>
          </w:tcPr>
          <w:p>
            <w:pPr>
              <w:adjustRightInd w:val="0"/>
              <w:jc w:val="center"/>
              <w:rPr>
                <w:bCs/>
                <w:sz w:val="21"/>
                <w:szCs w:val="18"/>
              </w:rPr>
            </w:pPr>
            <w:r>
              <w:rPr>
                <w:bCs/>
                <w:sz w:val="21"/>
                <w:szCs w:val="18"/>
              </w:rPr>
              <w:t>2.5</w:t>
            </w:r>
          </w:p>
        </w:tc>
        <w:tc>
          <w:tcPr>
            <w:tcW w:w="2070" w:type="dxa"/>
            <w:tcBorders>
              <w:tl2br w:val="nil"/>
              <w:tr2bl w:val="nil"/>
            </w:tcBorders>
            <w:vAlign w:val="center"/>
          </w:tcPr>
          <w:p>
            <w:pPr>
              <w:adjustRightInd w:val="0"/>
              <w:jc w:val="center"/>
              <w:rPr>
                <w:bCs/>
                <w:sz w:val="21"/>
                <w:szCs w:val="18"/>
              </w:rPr>
            </w:pPr>
            <w:r>
              <w:rPr>
                <w:bCs/>
                <w:sz w:val="21"/>
                <w:szCs w:val="18"/>
              </w:rPr>
              <w:t>2.0</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.1.6　</w:t>
      </w:r>
      <w:r>
        <w:rPr>
          <w:sz w:val="24"/>
        </w:rPr>
        <w:t>模壳</w:t>
      </w:r>
      <w:r>
        <w:rPr>
          <w:rFonts w:hint="eastAsia"/>
          <w:sz w:val="24"/>
        </w:rPr>
        <w:t>砌块</w:t>
      </w:r>
      <w:r>
        <w:rPr>
          <w:sz w:val="24"/>
        </w:rPr>
        <w:t>砌体结构</w:t>
      </w:r>
      <w:r>
        <w:rPr>
          <w:rFonts w:hint="eastAsia"/>
          <w:sz w:val="24"/>
        </w:rPr>
        <w:t>宜</w:t>
      </w:r>
      <w:r>
        <w:rPr>
          <w:sz w:val="24"/>
        </w:rPr>
        <w:t>采用纵、横墙共同承重的结构体系，</w:t>
      </w:r>
      <w:r>
        <w:rPr>
          <w:sz w:val="24"/>
          <w:szCs w:val="24"/>
        </w:rPr>
        <w:t>横墙间距应</w:t>
      </w:r>
      <w:r>
        <w:rPr>
          <w:rFonts w:hint="eastAsia"/>
          <w:sz w:val="24"/>
          <w:szCs w:val="24"/>
        </w:rPr>
        <w:t>符合</w:t>
      </w:r>
      <w:r>
        <w:rPr>
          <w:sz w:val="24"/>
          <w:szCs w:val="24"/>
        </w:rPr>
        <w:t>表5.1.6的规定</w:t>
      </w:r>
      <w:r>
        <w:rPr>
          <w:rFonts w:hint="eastAsia"/>
          <w:sz w:val="24"/>
          <w:szCs w:val="24"/>
        </w:rPr>
        <w:t>；</w:t>
      </w:r>
      <w:r>
        <w:rPr>
          <w:sz w:val="24"/>
        </w:rPr>
        <w:t>多层模壳</w:t>
      </w:r>
      <w:r>
        <w:rPr>
          <w:rFonts w:hint="eastAsia"/>
          <w:sz w:val="24"/>
        </w:rPr>
        <w:t>砌块</w:t>
      </w:r>
      <w:r>
        <w:rPr>
          <w:sz w:val="24"/>
        </w:rPr>
        <w:t>砌体结构</w:t>
      </w:r>
      <w:r>
        <w:rPr>
          <w:rFonts w:hint="eastAsia"/>
          <w:sz w:val="24"/>
        </w:rPr>
        <w:t>建筑</w:t>
      </w:r>
      <w:r>
        <w:rPr>
          <w:sz w:val="24"/>
        </w:rPr>
        <w:t>的顶层，最大横墙间距</w:t>
      </w:r>
      <w:r>
        <w:rPr>
          <w:rFonts w:hint="eastAsia"/>
          <w:sz w:val="24"/>
        </w:rPr>
        <w:t>可</w:t>
      </w:r>
      <w:r>
        <w:rPr>
          <w:sz w:val="24"/>
        </w:rPr>
        <w:t>放宽，但应采取相应加强措施。</w:t>
      </w:r>
    </w:p>
    <w:p>
      <w:pPr>
        <w:widowControl/>
        <w:spacing w:line="360" w:lineRule="auto"/>
        <w:jc w:val="center"/>
        <w:rPr>
          <w:b/>
          <w:sz w:val="24"/>
          <w:szCs w:val="24"/>
        </w:rPr>
      </w:pPr>
      <w:r>
        <w:rPr>
          <w:b/>
          <w:bCs/>
          <w:szCs w:val="21"/>
        </w:rPr>
        <w:t>表5.1.6　横墙间距（m）</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960"/>
        <w:gridCol w:w="1961"/>
        <w:gridCol w:w="1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395" w:type="dxa"/>
            <w:vMerge w:val="restart"/>
            <w:tcBorders>
              <w:tl2br w:val="nil"/>
              <w:tr2bl w:val="nil"/>
            </w:tcBorders>
            <w:vAlign w:val="center"/>
          </w:tcPr>
          <w:p>
            <w:pPr>
              <w:adjustRightInd w:val="0"/>
              <w:jc w:val="center"/>
              <w:rPr>
                <w:bCs/>
                <w:sz w:val="21"/>
                <w:szCs w:val="18"/>
              </w:rPr>
            </w:pPr>
            <w:r>
              <w:rPr>
                <w:bCs/>
                <w:sz w:val="21"/>
                <w:szCs w:val="18"/>
              </w:rPr>
              <w:t>楼、屋盖形式</w:t>
            </w:r>
          </w:p>
        </w:tc>
        <w:tc>
          <w:tcPr>
            <w:tcW w:w="5882" w:type="dxa"/>
            <w:gridSpan w:val="3"/>
            <w:tcBorders>
              <w:tl2br w:val="nil"/>
              <w:tr2bl w:val="nil"/>
            </w:tcBorders>
            <w:vAlign w:val="center"/>
          </w:tcPr>
          <w:p>
            <w:pPr>
              <w:adjustRightInd w:val="0"/>
              <w:jc w:val="center"/>
              <w:rPr>
                <w:bCs/>
                <w:sz w:val="21"/>
                <w:szCs w:val="18"/>
              </w:rPr>
            </w:pPr>
            <w:r>
              <w:rPr>
                <w:bCs/>
                <w:sz w:val="21"/>
                <w:szCs w:val="18"/>
              </w:rPr>
              <w:t>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395" w:type="dxa"/>
            <w:vMerge w:val="continue"/>
            <w:tcBorders>
              <w:tl2br w:val="nil"/>
              <w:tr2bl w:val="nil"/>
            </w:tcBorders>
            <w:vAlign w:val="center"/>
          </w:tcPr>
          <w:p>
            <w:pPr>
              <w:adjustRightInd w:val="0"/>
              <w:jc w:val="center"/>
              <w:rPr>
                <w:bCs/>
                <w:sz w:val="21"/>
                <w:szCs w:val="18"/>
              </w:rPr>
            </w:pPr>
          </w:p>
        </w:tc>
        <w:tc>
          <w:tcPr>
            <w:tcW w:w="1960" w:type="dxa"/>
            <w:tcBorders>
              <w:tl2br w:val="nil"/>
              <w:tr2bl w:val="nil"/>
            </w:tcBorders>
            <w:vAlign w:val="center"/>
          </w:tcPr>
          <w:p>
            <w:pPr>
              <w:adjustRightInd w:val="0"/>
              <w:jc w:val="center"/>
              <w:rPr>
                <w:bCs/>
                <w:sz w:val="21"/>
                <w:szCs w:val="18"/>
              </w:rPr>
            </w:pPr>
            <w:r>
              <w:rPr>
                <w:bCs/>
                <w:sz w:val="21"/>
                <w:szCs w:val="18"/>
              </w:rPr>
              <w:t>6度</w:t>
            </w:r>
          </w:p>
        </w:tc>
        <w:tc>
          <w:tcPr>
            <w:tcW w:w="1961" w:type="dxa"/>
            <w:tcBorders>
              <w:tl2br w:val="nil"/>
              <w:tr2bl w:val="nil"/>
            </w:tcBorders>
            <w:vAlign w:val="center"/>
          </w:tcPr>
          <w:p>
            <w:pPr>
              <w:adjustRightInd w:val="0"/>
              <w:jc w:val="center"/>
              <w:rPr>
                <w:bCs/>
                <w:sz w:val="21"/>
                <w:szCs w:val="18"/>
              </w:rPr>
            </w:pPr>
            <w:r>
              <w:rPr>
                <w:bCs/>
                <w:sz w:val="21"/>
                <w:szCs w:val="18"/>
              </w:rPr>
              <w:t>7度</w:t>
            </w:r>
          </w:p>
        </w:tc>
        <w:tc>
          <w:tcPr>
            <w:tcW w:w="1961" w:type="dxa"/>
            <w:tcBorders>
              <w:tl2br w:val="nil"/>
              <w:tr2bl w:val="nil"/>
            </w:tcBorders>
            <w:vAlign w:val="center"/>
          </w:tcPr>
          <w:p>
            <w:pPr>
              <w:adjustRightInd w:val="0"/>
              <w:jc w:val="center"/>
              <w:rPr>
                <w:bCs/>
                <w:sz w:val="21"/>
                <w:szCs w:val="18"/>
              </w:rPr>
            </w:pPr>
            <w:r>
              <w:rPr>
                <w:bCs/>
                <w:sz w:val="21"/>
                <w:szCs w:val="18"/>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395" w:type="dxa"/>
            <w:tcBorders>
              <w:tl2br w:val="nil"/>
              <w:tr2bl w:val="nil"/>
            </w:tcBorders>
            <w:vAlign w:val="center"/>
          </w:tcPr>
          <w:p>
            <w:pPr>
              <w:adjustRightInd w:val="0"/>
              <w:jc w:val="center"/>
              <w:rPr>
                <w:bCs/>
                <w:sz w:val="21"/>
                <w:szCs w:val="18"/>
              </w:rPr>
            </w:pPr>
            <w:r>
              <w:rPr>
                <w:rFonts w:hint="eastAsia"/>
                <w:bCs/>
                <w:sz w:val="21"/>
                <w:szCs w:val="18"/>
              </w:rPr>
              <w:t>现浇钢筋混凝土楼盖</w:t>
            </w:r>
          </w:p>
        </w:tc>
        <w:tc>
          <w:tcPr>
            <w:tcW w:w="1960" w:type="dxa"/>
            <w:tcBorders>
              <w:tl2br w:val="nil"/>
              <w:tr2bl w:val="nil"/>
            </w:tcBorders>
            <w:vAlign w:val="center"/>
          </w:tcPr>
          <w:p>
            <w:pPr>
              <w:adjustRightInd w:val="0"/>
              <w:jc w:val="center"/>
              <w:rPr>
                <w:bCs/>
                <w:sz w:val="21"/>
                <w:szCs w:val="18"/>
              </w:rPr>
            </w:pPr>
            <w:r>
              <w:rPr>
                <w:rFonts w:hint="eastAsia"/>
                <w:bCs/>
                <w:sz w:val="21"/>
                <w:szCs w:val="18"/>
              </w:rPr>
              <w:t>1</w:t>
            </w:r>
            <w:r>
              <w:rPr>
                <w:bCs/>
                <w:sz w:val="21"/>
                <w:szCs w:val="18"/>
              </w:rPr>
              <w:t>5</w:t>
            </w:r>
          </w:p>
        </w:tc>
        <w:tc>
          <w:tcPr>
            <w:tcW w:w="1961" w:type="dxa"/>
            <w:tcBorders>
              <w:tl2br w:val="nil"/>
              <w:tr2bl w:val="nil"/>
            </w:tcBorders>
            <w:vAlign w:val="center"/>
          </w:tcPr>
          <w:p>
            <w:pPr>
              <w:adjustRightInd w:val="0"/>
              <w:jc w:val="center"/>
              <w:rPr>
                <w:bCs/>
                <w:sz w:val="21"/>
                <w:szCs w:val="18"/>
              </w:rPr>
            </w:pPr>
            <w:r>
              <w:rPr>
                <w:rFonts w:hint="eastAsia"/>
                <w:bCs/>
                <w:sz w:val="21"/>
                <w:szCs w:val="18"/>
              </w:rPr>
              <w:t>1</w:t>
            </w:r>
            <w:r>
              <w:rPr>
                <w:bCs/>
                <w:sz w:val="21"/>
                <w:szCs w:val="18"/>
              </w:rPr>
              <w:t>5</w:t>
            </w:r>
          </w:p>
        </w:tc>
        <w:tc>
          <w:tcPr>
            <w:tcW w:w="1961" w:type="dxa"/>
            <w:tcBorders>
              <w:tl2br w:val="nil"/>
              <w:tr2bl w:val="nil"/>
            </w:tcBorders>
            <w:vAlign w:val="center"/>
          </w:tcPr>
          <w:p>
            <w:pPr>
              <w:adjustRightInd w:val="0"/>
              <w:jc w:val="center"/>
              <w:rPr>
                <w:bCs/>
                <w:sz w:val="21"/>
                <w:szCs w:val="18"/>
              </w:rPr>
            </w:pPr>
            <w:r>
              <w:rPr>
                <w:rFonts w:hint="eastAsia"/>
                <w:bCs/>
                <w:sz w:val="21"/>
                <w:szCs w:val="18"/>
              </w:rPr>
              <w:t>1</w:t>
            </w:r>
            <w:r>
              <w:rPr>
                <w:bCs/>
                <w:sz w:val="21"/>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395" w:type="dxa"/>
            <w:tcBorders>
              <w:tl2br w:val="nil"/>
              <w:tr2bl w:val="nil"/>
            </w:tcBorders>
            <w:vAlign w:val="center"/>
          </w:tcPr>
          <w:p>
            <w:pPr>
              <w:adjustRightInd w:val="0"/>
              <w:jc w:val="center"/>
              <w:rPr>
                <w:bCs/>
                <w:strike/>
                <w:sz w:val="21"/>
                <w:szCs w:val="18"/>
              </w:rPr>
            </w:pPr>
            <w:r>
              <w:rPr>
                <w:bCs/>
                <w:sz w:val="21"/>
                <w:szCs w:val="18"/>
              </w:rPr>
              <w:t>叠合楼</w:t>
            </w:r>
            <w:r>
              <w:rPr>
                <w:rFonts w:hint="eastAsia"/>
                <w:bCs/>
                <w:sz w:val="21"/>
                <w:szCs w:val="18"/>
              </w:rPr>
              <w:t>盖</w:t>
            </w:r>
            <w:r>
              <w:rPr>
                <w:bCs/>
                <w:sz w:val="21"/>
                <w:szCs w:val="18"/>
              </w:rPr>
              <w:t>、屋盖</w:t>
            </w:r>
          </w:p>
        </w:tc>
        <w:tc>
          <w:tcPr>
            <w:tcW w:w="1960" w:type="dxa"/>
            <w:tcBorders>
              <w:tl2br w:val="nil"/>
              <w:tr2bl w:val="nil"/>
            </w:tcBorders>
            <w:vAlign w:val="center"/>
          </w:tcPr>
          <w:p>
            <w:pPr>
              <w:adjustRightInd w:val="0"/>
              <w:jc w:val="center"/>
              <w:rPr>
                <w:bCs/>
                <w:strike/>
                <w:sz w:val="21"/>
                <w:szCs w:val="18"/>
              </w:rPr>
            </w:pPr>
            <w:r>
              <w:rPr>
                <w:bCs/>
                <w:sz w:val="21"/>
                <w:szCs w:val="18"/>
              </w:rPr>
              <w:t>11</w:t>
            </w:r>
          </w:p>
        </w:tc>
        <w:tc>
          <w:tcPr>
            <w:tcW w:w="1961" w:type="dxa"/>
            <w:tcBorders>
              <w:tl2br w:val="nil"/>
              <w:tr2bl w:val="nil"/>
            </w:tcBorders>
            <w:vAlign w:val="center"/>
          </w:tcPr>
          <w:p>
            <w:pPr>
              <w:adjustRightInd w:val="0"/>
              <w:jc w:val="center"/>
              <w:rPr>
                <w:bCs/>
                <w:strike/>
                <w:sz w:val="21"/>
                <w:szCs w:val="18"/>
              </w:rPr>
            </w:pPr>
            <w:r>
              <w:rPr>
                <w:bCs/>
                <w:sz w:val="21"/>
                <w:szCs w:val="18"/>
              </w:rPr>
              <w:t>11</w:t>
            </w:r>
          </w:p>
        </w:tc>
        <w:tc>
          <w:tcPr>
            <w:tcW w:w="1961" w:type="dxa"/>
            <w:tcBorders>
              <w:tl2br w:val="nil"/>
              <w:tr2bl w:val="nil"/>
            </w:tcBorders>
            <w:vAlign w:val="center"/>
          </w:tcPr>
          <w:p>
            <w:pPr>
              <w:adjustRightInd w:val="0"/>
              <w:jc w:val="center"/>
              <w:rPr>
                <w:bCs/>
                <w:strike/>
                <w:sz w:val="21"/>
                <w:szCs w:val="18"/>
              </w:rPr>
            </w:pPr>
            <w:r>
              <w:rPr>
                <w:bCs/>
                <w:sz w:val="21"/>
                <w:szCs w:val="18"/>
              </w:rPr>
              <w:t>9</w:t>
            </w:r>
          </w:p>
        </w:tc>
      </w:tr>
    </w:tbl>
    <w:p>
      <w:pPr>
        <w:spacing w:line="360" w:lineRule="auto"/>
        <w:outlineLvl w:val="2"/>
        <w:rPr>
          <w:sz w:val="24"/>
        </w:rPr>
      </w:pPr>
      <w:r>
        <w:rPr>
          <w:rFonts w:eastAsiaTheme="minorEastAsia"/>
          <w:b/>
          <w:sz w:val="24"/>
          <w:szCs w:val="24"/>
        </w:rPr>
        <w:t>5.1.7　</w:t>
      </w:r>
      <w:r>
        <w:rPr>
          <w:sz w:val="24"/>
        </w:rPr>
        <w:t>多层模壳</w:t>
      </w:r>
      <w:r>
        <w:rPr>
          <w:rFonts w:hint="eastAsia"/>
          <w:sz w:val="24"/>
        </w:rPr>
        <w:t>砌块</w:t>
      </w:r>
      <w:r>
        <w:rPr>
          <w:sz w:val="24"/>
        </w:rPr>
        <w:t>砌体</w:t>
      </w:r>
      <w:r>
        <w:rPr>
          <w:rFonts w:hint="eastAsia"/>
          <w:sz w:val="24"/>
        </w:rPr>
        <w:t>结构</w:t>
      </w:r>
      <w:r>
        <w:rPr>
          <w:sz w:val="24"/>
        </w:rPr>
        <w:t>中墙段的局部尺寸限值，宜符合表5.1.7的规定。</w:t>
      </w:r>
    </w:p>
    <w:p>
      <w:pPr>
        <w:widowControl/>
        <w:spacing w:line="360" w:lineRule="auto"/>
        <w:jc w:val="center"/>
        <w:rPr>
          <w:b/>
          <w:bCs/>
          <w:szCs w:val="21"/>
        </w:rPr>
      </w:pPr>
      <w:r>
        <w:rPr>
          <w:b/>
          <w:bCs/>
          <w:szCs w:val="21"/>
        </w:rPr>
        <w:t>表5.1.7　房屋局部尺寸限值（m）</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1037"/>
        <w:gridCol w:w="1037"/>
        <w:gridCol w:w="1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148" w:type="dxa"/>
            <w:vAlign w:val="bottom"/>
          </w:tcPr>
          <w:p>
            <w:pPr>
              <w:pStyle w:val="2"/>
              <w:ind w:firstLine="6"/>
              <w:rPr>
                <w:b w:val="0"/>
              </w:rPr>
            </w:pPr>
            <w:r>
              <w:rPr>
                <w:b w:val="0"/>
              </w:rPr>
              <w:t>部位</w:t>
            </w:r>
          </w:p>
        </w:tc>
        <w:tc>
          <w:tcPr>
            <w:tcW w:w="1037" w:type="dxa"/>
            <w:vAlign w:val="bottom"/>
          </w:tcPr>
          <w:p>
            <w:pPr>
              <w:pStyle w:val="2"/>
              <w:ind w:firstLine="6"/>
              <w:rPr>
                <w:b w:val="0"/>
              </w:rPr>
            </w:pPr>
            <w:r>
              <w:rPr>
                <w:b w:val="0"/>
              </w:rPr>
              <w:t>6度</w:t>
            </w:r>
          </w:p>
        </w:tc>
        <w:tc>
          <w:tcPr>
            <w:tcW w:w="1037" w:type="dxa"/>
            <w:vAlign w:val="bottom"/>
          </w:tcPr>
          <w:p>
            <w:pPr>
              <w:pStyle w:val="2"/>
              <w:ind w:firstLine="6"/>
              <w:rPr>
                <w:b w:val="0"/>
              </w:rPr>
            </w:pPr>
            <w:r>
              <w:rPr>
                <w:b w:val="0"/>
              </w:rPr>
              <w:t>7度</w:t>
            </w:r>
          </w:p>
        </w:tc>
        <w:tc>
          <w:tcPr>
            <w:tcW w:w="1037" w:type="dxa"/>
            <w:vAlign w:val="bottom"/>
          </w:tcPr>
          <w:p>
            <w:pPr>
              <w:pStyle w:val="2"/>
              <w:ind w:firstLine="6"/>
              <w:rPr>
                <w:b w:val="0"/>
              </w:rPr>
            </w:pPr>
            <w:r>
              <w:rPr>
                <w:b w:val="0"/>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148" w:type="dxa"/>
            <w:vAlign w:val="bottom"/>
          </w:tcPr>
          <w:p>
            <w:pPr>
              <w:pStyle w:val="2"/>
              <w:ind w:firstLine="6"/>
              <w:rPr>
                <w:b w:val="0"/>
              </w:rPr>
            </w:pPr>
            <w:r>
              <w:rPr>
                <w:b w:val="0"/>
              </w:rPr>
              <w:t>承重窗间墙最小宽度</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148" w:type="dxa"/>
            <w:vAlign w:val="bottom"/>
          </w:tcPr>
          <w:p>
            <w:pPr>
              <w:pStyle w:val="2"/>
              <w:ind w:firstLine="6"/>
              <w:rPr>
                <w:b w:val="0"/>
              </w:rPr>
            </w:pPr>
            <w:r>
              <w:rPr>
                <w:b w:val="0"/>
              </w:rPr>
              <w:t>承重外墙尽端至门窗洞边的最小距离</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148" w:type="dxa"/>
            <w:vAlign w:val="bottom"/>
          </w:tcPr>
          <w:p>
            <w:pPr>
              <w:pStyle w:val="2"/>
              <w:ind w:firstLine="6"/>
              <w:rPr>
                <w:b w:val="0"/>
              </w:rPr>
            </w:pPr>
            <w:r>
              <w:rPr>
                <w:b w:val="0"/>
              </w:rPr>
              <w:t>非承重外墙尽端至门窗洞边的最小距离</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148" w:type="dxa"/>
            <w:vAlign w:val="bottom"/>
          </w:tcPr>
          <w:p>
            <w:pPr>
              <w:pStyle w:val="2"/>
              <w:ind w:firstLine="6"/>
              <w:rPr>
                <w:b w:val="0"/>
              </w:rPr>
            </w:pPr>
            <w:r>
              <w:rPr>
                <w:b w:val="0"/>
              </w:rPr>
              <w:t>内墙阳角至门窗洞边的最小距离</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1.0</w:t>
            </w:r>
          </w:p>
        </w:tc>
        <w:tc>
          <w:tcPr>
            <w:tcW w:w="1037" w:type="dxa"/>
            <w:vAlign w:val="bottom"/>
          </w:tcPr>
          <w:p>
            <w:pPr>
              <w:pStyle w:val="2"/>
              <w:ind w:firstLine="6"/>
              <w:rPr>
                <w:b w:val="0"/>
              </w:rPr>
            </w:pPr>
            <w:r>
              <w:rPr>
                <w:b w:val="0"/>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148" w:type="dxa"/>
            <w:vAlign w:val="bottom"/>
          </w:tcPr>
          <w:p>
            <w:pPr>
              <w:pStyle w:val="2"/>
              <w:ind w:firstLine="6"/>
              <w:rPr>
                <w:b w:val="0"/>
              </w:rPr>
            </w:pPr>
            <w:r>
              <w:rPr>
                <w:b w:val="0"/>
              </w:rPr>
              <w:t>非出</w:t>
            </w:r>
            <w:r>
              <w:rPr>
                <w:rFonts w:hint="eastAsia"/>
                <w:b w:val="0"/>
              </w:rPr>
              <w:t>入</w:t>
            </w:r>
            <w:r>
              <w:rPr>
                <w:b w:val="0"/>
              </w:rPr>
              <w:t>口处的无锚固女儿墙最大高度</w:t>
            </w:r>
          </w:p>
        </w:tc>
        <w:tc>
          <w:tcPr>
            <w:tcW w:w="1037" w:type="dxa"/>
            <w:vAlign w:val="bottom"/>
          </w:tcPr>
          <w:p>
            <w:pPr>
              <w:pStyle w:val="2"/>
              <w:ind w:firstLine="6"/>
              <w:rPr>
                <w:b w:val="0"/>
              </w:rPr>
            </w:pPr>
            <w:r>
              <w:rPr>
                <w:b w:val="0"/>
              </w:rPr>
              <w:t>0.5</w:t>
            </w:r>
          </w:p>
        </w:tc>
        <w:tc>
          <w:tcPr>
            <w:tcW w:w="1037" w:type="dxa"/>
            <w:vAlign w:val="bottom"/>
          </w:tcPr>
          <w:p>
            <w:pPr>
              <w:pStyle w:val="2"/>
              <w:ind w:firstLine="6"/>
              <w:rPr>
                <w:b w:val="0"/>
              </w:rPr>
            </w:pPr>
            <w:r>
              <w:rPr>
                <w:b w:val="0"/>
              </w:rPr>
              <w:t>0.5</w:t>
            </w:r>
          </w:p>
        </w:tc>
        <w:tc>
          <w:tcPr>
            <w:tcW w:w="1037" w:type="dxa"/>
            <w:vAlign w:val="bottom"/>
          </w:tcPr>
          <w:p>
            <w:pPr>
              <w:pStyle w:val="2"/>
              <w:ind w:firstLine="6"/>
              <w:rPr>
                <w:b w:val="0"/>
              </w:rPr>
            </w:pPr>
            <w:r>
              <w:rPr>
                <w:b w:val="0"/>
              </w:rPr>
              <w:t>0.5</w:t>
            </w:r>
          </w:p>
        </w:tc>
      </w:tr>
    </w:tbl>
    <w:p>
      <w:pPr>
        <w:spacing w:line="360" w:lineRule="auto"/>
        <w:outlineLvl w:val="2"/>
        <w:rPr>
          <w:sz w:val="24"/>
        </w:rPr>
      </w:pPr>
      <w:r>
        <w:rPr>
          <w:rFonts w:eastAsiaTheme="minorEastAsia"/>
          <w:b/>
          <w:sz w:val="24"/>
          <w:szCs w:val="24"/>
        </w:rPr>
        <w:t>5.1.8　</w:t>
      </w:r>
      <w:r>
        <w:rPr>
          <w:sz w:val="24"/>
        </w:rPr>
        <w:t>多层模壳</w:t>
      </w:r>
      <w:r>
        <w:rPr>
          <w:rFonts w:hint="eastAsia"/>
          <w:sz w:val="24"/>
        </w:rPr>
        <w:t>砌块</w:t>
      </w:r>
      <w:r>
        <w:rPr>
          <w:sz w:val="24"/>
        </w:rPr>
        <w:t>砌体</w:t>
      </w:r>
      <w:r>
        <w:rPr>
          <w:rFonts w:hint="eastAsia"/>
          <w:sz w:val="24"/>
        </w:rPr>
        <w:t>结构</w:t>
      </w:r>
      <w:r>
        <w:rPr>
          <w:sz w:val="24"/>
        </w:rPr>
        <w:t>体系</w:t>
      </w:r>
      <w:r>
        <w:rPr>
          <w:rFonts w:hint="eastAsia"/>
          <w:sz w:val="24"/>
        </w:rPr>
        <w:t>，</w:t>
      </w:r>
      <w:r>
        <w:rPr>
          <w:sz w:val="24"/>
        </w:rPr>
        <w:t>应符合下列规定：</w:t>
      </w:r>
    </w:p>
    <w:p>
      <w:pPr>
        <w:pStyle w:val="81"/>
        <w:tabs>
          <w:tab w:val="left" w:pos="851"/>
        </w:tabs>
        <w:autoSpaceDE w:val="0"/>
        <w:autoSpaceDN w:val="0"/>
        <w:spacing w:line="360" w:lineRule="auto"/>
        <w:ind w:firstLine="482"/>
        <w:jc w:val="left"/>
        <w:rPr>
          <w:rFonts w:ascii="Times New Roman" w:hAnsi="Times New Roman"/>
          <w:sz w:val="24"/>
          <w:szCs w:val="24"/>
        </w:rPr>
      </w:pPr>
      <w:r>
        <w:rPr>
          <w:rFonts w:ascii="Times New Roman" w:hAnsi="Times New Roman"/>
          <w:b/>
          <w:sz w:val="24"/>
          <w:szCs w:val="24"/>
        </w:rPr>
        <w:t>1</w:t>
      </w:r>
      <w:r>
        <w:rPr>
          <w:rFonts w:eastAsiaTheme="minorEastAsia"/>
          <w:b/>
          <w:sz w:val="24"/>
          <w:szCs w:val="24"/>
        </w:rPr>
        <w:t>　</w:t>
      </w:r>
      <w:r>
        <w:rPr>
          <w:rFonts w:ascii="Times New Roman" w:hAnsi="Times New Roman"/>
          <w:spacing w:val="-1"/>
          <w:sz w:val="24"/>
          <w:szCs w:val="24"/>
        </w:rPr>
        <w:t>纵横墙的布置宜均匀对称，沿平面内宜对齐，沿竖向应上下连续；且纵横向墙体的数量不宜相差过大。同一轴线上的窗间墙宽度</w:t>
      </w:r>
      <w:r>
        <w:rPr>
          <w:rFonts w:ascii="Times New Roman" w:hAnsi="Times New Roman"/>
          <w:sz w:val="24"/>
          <w:szCs w:val="24"/>
        </w:rPr>
        <w:t>宜均匀；洞口面积，6</w:t>
      </w:r>
      <w:r>
        <w:rPr>
          <w:rFonts w:hint="eastAsia" w:ascii="Times New Roman" w:hAnsi="Times New Roman"/>
          <w:sz w:val="24"/>
          <w:szCs w:val="24"/>
        </w:rPr>
        <w:t>度</w:t>
      </w:r>
      <w:r>
        <w:rPr>
          <w:rFonts w:ascii="Times New Roman" w:hAnsi="Times New Roman"/>
          <w:sz w:val="24"/>
          <w:szCs w:val="24"/>
        </w:rPr>
        <w:t>、7度时不宜大于墙面面积的60%，8</w:t>
      </w:r>
      <w:r>
        <w:rPr>
          <w:rFonts w:hint="eastAsia" w:ascii="Times New Roman" w:hAnsi="Times New Roman"/>
          <w:sz w:val="24"/>
          <w:szCs w:val="24"/>
        </w:rPr>
        <w:t>度</w:t>
      </w:r>
      <w:r>
        <w:rPr>
          <w:rFonts w:ascii="Times New Roman" w:hAnsi="Times New Roman"/>
          <w:sz w:val="24"/>
          <w:szCs w:val="24"/>
        </w:rPr>
        <w:t>时不宜大于55%</w:t>
      </w:r>
      <w:r>
        <w:rPr>
          <w:rFonts w:hint="eastAsia" w:ascii="Times New Roman" w:hAnsi="Times New Roman"/>
          <w:sz w:val="24"/>
          <w:szCs w:val="24"/>
        </w:rPr>
        <w:t>；</w:t>
      </w:r>
    </w:p>
    <w:p>
      <w:pPr>
        <w:pStyle w:val="81"/>
        <w:tabs>
          <w:tab w:val="left" w:pos="851"/>
        </w:tabs>
        <w:autoSpaceDE w:val="0"/>
        <w:autoSpaceDN w:val="0"/>
        <w:spacing w:line="360" w:lineRule="auto"/>
        <w:ind w:firstLine="482"/>
        <w:jc w:val="left"/>
        <w:rPr>
          <w:rFonts w:ascii="Times New Roman" w:hAnsi="Times New Roman"/>
          <w:sz w:val="24"/>
          <w:szCs w:val="24"/>
        </w:rPr>
      </w:pPr>
      <w:r>
        <w:rPr>
          <w:rFonts w:ascii="Times New Roman" w:hAnsi="Times New Roman"/>
          <w:b/>
          <w:sz w:val="24"/>
          <w:szCs w:val="24"/>
        </w:rPr>
        <w:t>2</w:t>
      </w:r>
      <w:r>
        <w:rPr>
          <w:rFonts w:eastAsiaTheme="minorEastAsia"/>
          <w:b/>
          <w:sz w:val="24"/>
          <w:szCs w:val="24"/>
        </w:rPr>
        <w:t>　</w:t>
      </w:r>
      <w:r>
        <w:rPr>
          <w:rFonts w:ascii="Times New Roman" w:hAnsi="Times New Roman"/>
          <w:spacing w:val="-2"/>
          <w:sz w:val="24"/>
          <w:szCs w:val="24"/>
        </w:rPr>
        <w:t>房屋有下列情况之一时宜设置防震缝，缝两侧均应设置墙体，缝宽应根据</w:t>
      </w:r>
      <w:r>
        <w:rPr>
          <w:rFonts w:hint="eastAsia" w:ascii="Times New Roman" w:hAnsi="Times New Roman"/>
          <w:spacing w:val="-2"/>
          <w:sz w:val="24"/>
          <w:szCs w:val="24"/>
        </w:rPr>
        <w:t>设防</w:t>
      </w:r>
      <w:r>
        <w:rPr>
          <w:rFonts w:ascii="Times New Roman" w:hAnsi="Times New Roman"/>
          <w:spacing w:val="-2"/>
          <w:sz w:val="24"/>
          <w:szCs w:val="24"/>
        </w:rPr>
        <w:t>烈度和</w:t>
      </w:r>
      <w:r>
        <w:rPr>
          <w:rFonts w:hint="eastAsia" w:ascii="Times New Roman" w:hAnsi="Times New Roman"/>
          <w:spacing w:val="-2"/>
          <w:sz w:val="24"/>
          <w:szCs w:val="24"/>
        </w:rPr>
        <w:t>建筑</w:t>
      </w:r>
      <w:r>
        <w:rPr>
          <w:rFonts w:ascii="Times New Roman" w:hAnsi="Times New Roman"/>
          <w:spacing w:val="-2"/>
          <w:sz w:val="24"/>
          <w:szCs w:val="24"/>
        </w:rPr>
        <w:t>高度确定，可采用</w:t>
      </w:r>
      <w:r>
        <w:rPr>
          <w:rFonts w:ascii="Times New Roman" w:hAnsi="Times New Roman"/>
          <w:spacing w:val="-1"/>
          <w:sz w:val="24"/>
          <w:szCs w:val="24"/>
        </w:rPr>
        <w:t>100 mm：</w:t>
      </w:r>
    </w:p>
    <w:p>
      <w:pPr>
        <w:pStyle w:val="81"/>
        <w:tabs>
          <w:tab w:val="left" w:pos="851"/>
        </w:tabs>
        <w:autoSpaceDE w:val="0"/>
        <w:autoSpaceDN w:val="0"/>
        <w:spacing w:line="360" w:lineRule="auto"/>
        <w:ind w:firstLine="723" w:firstLineChars="300"/>
        <w:rPr>
          <w:rFonts w:ascii="Times New Roman" w:hAnsi="Times New Roman"/>
          <w:sz w:val="24"/>
          <w:szCs w:val="24"/>
        </w:rPr>
      </w:pPr>
      <w:r>
        <w:rPr>
          <w:rFonts w:ascii="Times New Roman" w:hAnsi="Times New Roman"/>
          <w:b/>
          <w:sz w:val="24"/>
          <w:szCs w:val="24"/>
        </w:rPr>
        <w:t>1</w:t>
      </w:r>
      <w:r>
        <w:rPr>
          <w:rFonts w:hint="eastAsia" w:ascii="Times New Roman" w:hAnsi="Times New Roman"/>
          <w:sz w:val="24"/>
          <w:szCs w:val="24"/>
        </w:rPr>
        <w:t>）</w:t>
      </w:r>
      <w:r>
        <w:rPr>
          <w:rFonts w:ascii="Times New Roman" w:hAnsi="Times New Roman"/>
          <w:sz w:val="24"/>
          <w:szCs w:val="24"/>
        </w:rPr>
        <w:t>房屋立面高差在6 m以上；</w:t>
      </w:r>
    </w:p>
    <w:p>
      <w:pPr>
        <w:pStyle w:val="81"/>
        <w:tabs>
          <w:tab w:val="left" w:pos="851"/>
        </w:tabs>
        <w:autoSpaceDE w:val="0"/>
        <w:autoSpaceDN w:val="0"/>
        <w:spacing w:line="360" w:lineRule="auto"/>
        <w:ind w:firstLine="723" w:firstLineChars="300"/>
        <w:rPr>
          <w:rFonts w:ascii="Times New Roman" w:hAnsi="Times New Roman"/>
          <w:sz w:val="24"/>
          <w:szCs w:val="24"/>
        </w:rPr>
      </w:pPr>
      <w:r>
        <w:rPr>
          <w:rFonts w:ascii="Times New Roman" w:hAnsi="Times New Roman"/>
          <w:b/>
          <w:sz w:val="24"/>
          <w:szCs w:val="24"/>
        </w:rPr>
        <w:t>2</w:t>
      </w:r>
      <w:r>
        <w:rPr>
          <w:rFonts w:hint="eastAsia" w:ascii="Times New Roman" w:hAnsi="Times New Roman"/>
          <w:sz w:val="24"/>
          <w:szCs w:val="24"/>
        </w:rPr>
        <w:t>）</w:t>
      </w:r>
      <w:r>
        <w:rPr>
          <w:rFonts w:ascii="Times New Roman" w:hAnsi="Times New Roman"/>
          <w:sz w:val="24"/>
          <w:szCs w:val="24"/>
        </w:rPr>
        <w:t>房屋有错层，且楼板高差大于层高的1/4；</w:t>
      </w:r>
    </w:p>
    <w:p>
      <w:pPr>
        <w:pStyle w:val="81"/>
        <w:tabs>
          <w:tab w:val="left" w:pos="851"/>
        </w:tabs>
        <w:autoSpaceDE w:val="0"/>
        <w:autoSpaceDN w:val="0"/>
        <w:spacing w:line="360" w:lineRule="auto"/>
        <w:ind w:left="1071" w:leftChars="338" w:hanging="361" w:hangingChars="150"/>
        <w:rPr>
          <w:rFonts w:ascii="Times New Roman" w:hAnsi="Times New Roman"/>
          <w:sz w:val="24"/>
          <w:szCs w:val="24"/>
        </w:rPr>
      </w:pPr>
      <w:r>
        <w:rPr>
          <w:rFonts w:ascii="Times New Roman" w:hAnsi="Times New Roman"/>
          <w:b/>
          <w:sz w:val="24"/>
          <w:szCs w:val="24"/>
        </w:rPr>
        <w:t>3</w:t>
      </w:r>
      <w:r>
        <w:rPr>
          <w:rFonts w:hint="eastAsia" w:ascii="Times New Roman" w:hAnsi="Times New Roman"/>
          <w:sz w:val="24"/>
          <w:szCs w:val="24"/>
        </w:rPr>
        <w:t>）两</w:t>
      </w:r>
      <w:r>
        <w:rPr>
          <w:rFonts w:ascii="Times New Roman" w:hAnsi="Times New Roman"/>
          <w:sz w:val="24"/>
          <w:szCs w:val="24"/>
        </w:rPr>
        <w:t>部分结构刚度、质量截然不同</w:t>
      </w:r>
      <w:r>
        <w:rPr>
          <w:rFonts w:hint="eastAsia" w:ascii="Times New Roman" w:hAnsi="Times New Roman"/>
          <w:sz w:val="24"/>
          <w:szCs w:val="24"/>
        </w:rPr>
        <w:t>。</w:t>
      </w:r>
    </w:p>
    <w:p>
      <w:pPr>
        <w:pStyle w:val="81"/>
        <w:tabs>
          <w:tab w:val="left" w:pos="431"/>
        </w:tabs>
        <w:autoSpaceDE w:val="0"/>
        <w:autoSpaceDN w:val="0"/>
        <w:spacing w:line="360" w:lineRule="auto"/>
        <w:ind w:firstLine="482"/>
        <w:rPr>
          <w:rFonts w:ascii="Times New Roman" w:hAnsi="Times New Roman"/>
          <w:sz w:val="24"/>
          <w:szCs w:val="24"/>
        </w:rPr>
      </w:pPr>
      <w:r>
        <w:rPr>
          <w:rFonts w:ascii="Times New Roman" w:hAnsi="Times New Roman"/>
          <w:b/>
          <w:sz w:val="24"/>
          <w:szCs w:val="24"/>
        </w:rPr>
        <w:t>3</w:t>
      </w:r>
      <w:r>
        <w:rPr>
          <w:rFonts w:eastAsiaTheme="minorEastAsia"/>
          <w:b/>
          <w:sz w:val="24"/>
          <w:szCs w:val="24"/>
        </w:rPr>
        <w:t>　</w:t>
      </w:r>
      <w:r>
        <w:rPr>
          <w:rFonts w:ascii="Times New Roman" w:hAnsi="Times New Roman"/>
          <w:sz w:val="24"/>
          <w:szCs w:val="24"/>
        </w:rPr>
        <w:t>横墙较少、跨度较大的房屋，宜采用现浇钢筋混凝土楼</w:t>
      </w:r>
      <w:r>
        <w:rPr>
          <w:rFonts w:hint="eastAsia" w:ascii="Times New Roman" w:hAnsi="Times New Roman"/>
          <w:sz w:val="24"/>
          <w:szCs w:val="24"/>
        </w:rPr>
        <w:t>（</w:t>
      </w:r>
      <w:r>
        <w:rPr>
          <w:rFonts w:ascii="Times New Roman" w:hAnsi="Times New Roman"/>
          <w:sz w:val="24"/>
          <w:szCs w:val="24"/>
        </w:rPr>
        <w:t>屋</w:t>
      </w:r>
      <w:r>
        <w:rPr>
          <w:rFonts w:hint="eastAsia" w:ascii="Times New Roman" w:hAnsi="Times New Roman"/>
          <w:sz w:val="24"/>
          <w:szCs w:val="24"/>
        </w:rPr>
        <w:t>）</w:t>
      </w:r>
      <w:r>
        <w:rPr>
          <w:rFonts w:ascii="Times New Roman" w:hAnsi="Times New Roman"/>
          <w:sz w:val="24"/>
          <w:szCs w:val="24"/>
        </w:rPr>
        <w:t>盖</w:t>
      </w:r>
      <w:r>
        <w:rPr>
          <w:rFonts w:hint="eastAsia" w:ascii="Times New Roman" w:hAnsi="Times New Roman"/>
          <w:sz w:val="24"/>
          <w:szCs w:val="24"/>
        </w:rPr>
        <w:t>；</w:t>
      </w:r>
    </w:p>
    <w:p>
      <w:pPr>
        <w:pStyle w:val="81"/>
        <w:tabs>
          <w:tab w:val="left" w:pos="431"/>
        </w:tabs>
        <w:autoSpaceDE w:val="0"/>
        <w:autoSpaceDN w:val="0"/>
        <w:spacing w:line="360" w:lineRule="auto"/>
        <w:ind w:firstLine="482"/>
        <w:rPr>
          <w:rFonts w:ascii="Times New Roman" w:hAnsi="Times New Roman"/>
          <w:sz w:val="24"/>
          <w:szCs w:val="24"/>
        </w:rPr>
      </w:pPr>
      <w:r>
        <w:rPr>
          <w:rFonts w:ascii="Times New Roman" w:hAnsi="Times New Roman"/>
          <w:b/>
          <w:sz w:val="24"/>
          <w:szCs w:val="24"/>
        </w:rPr>
        <w:t>4</w:t>
      </w:r>
      <w:r>
        <w:rPr>
          <w:rFonts w:eastAsiaTheme="minorEastAsia"/>
          <w:b/>
          <w:sz w:val="24"/>
          <w:szCs w:val="24"/>
        </w:rPr>
        <w:t>　</w:t>
      </w:r>
      <w:r>
        <w:rPr>
          <w:rFonts w:ascii="Times New Roman" w:hAnsi="Times New Roman"/>
          <w:spacing w:val="-1"/>
          <w:sz w:val="24"/>
          <w:szCs w:val="24"/>
        </w:rPr>
        <w:t>烟道、风道等不应削弱墙体；当墙体被削弱时，应对墙体采取加强措施；不宜采用无竖向配筋的附墙烟囱及出屋面的烟</w:t>
      </w:r>
      <w:r>
        <w:rPr>
          <w:rFonts w:ascii="Times New Roman" w:hAnsi="Times New Roman"/>
          <w:sz w:val="24"/>
          <w:szCs w:val="24"/>
        </w:rPr>
        <w:t>囱</w:t>
      </w:r>
      <w:r>
        <w:rPr>
          <w:rFonts w:hint="eastAsia" w:ascii="Times New Roman" w:hAnsi="Times New Roman"/>
          <w:sz w:val="24"/>
          <w:szCs w:val="24"/>
        </w:rPr>
        <w:t>；</w:t>
      </w:r>
    </w:p>
    <w:p>
      <w:pPr>
        <w:pStyle w:val="81"/>
        <w:tabs>
          <w:tab w:val="left" w:pos="431"/>
        </w:tabs>
        <w:autoSpaceDE w:val="0"/>
        <w:autoSpaceDN w:val="0"/>
        <w:spacing w:line="360" w:lineRule="auto"/>
        <w:ind w:firstLine="482"/>
        <w:rPr>
          <w:rFonts w:ascii="Times New Roman" w:hAnsi="Times New Roman"/>
          <w:sz w:val="24"/>
          <w:szCs w:val="24"/>
        </w:rPr>
      </w:pPr>
      <w:r>
        <w:rPr>
          <w:rFonts w:ascii="Times New Roman" w:hAnsi="Times New Roman"/>
          <w:b/>
          <w:sz w:val="24"/>
          <w:szCs w:val="24"/>
        </w:rPr>
        <w:t>5</w:t>
      </w:r>
      <w:r>
        <w:rPr>
          <w:rFonts w:eastAsiaTheme="minorEastAsia"/>
          <w:b/>
          <w:sz w:val="24"/>
          <w:szCs w:val="24"/>
        </w:rPr>
        <w:t>　</w:t>
      </w:r>
      <w:r>
        <w:rPr>
          <w:rFonts w:ascii="Times New Roman" w:hAnsi="Times New Roman"/>
          <w:sz w:val="24"/>
          <w:szCs w:val="24"/>
        </w:rPr>
        <w:t>不应采用无锚固的钢筋混凝土预制挑檐</w:t>
      </w:r>
      <w:r>
        <w:rPr>
          <w:rFonts w:hint="eastAsia" w:ascii="Times New Roman" w:hAnsi="Times New Roman"/>
          <w:sz w:val="24"/>
          <w:szCs w:val="24"/>
        </w:rPr>
        <w:t>；</w:t>
      </w:r>
    </w:p>
    <w:p>
      <w:pPr>
        <w:pStyle w:val="81"/>
        <w:tabs>
          <w:tab w:val="left" w:pos="431"/>
        </w:tabs>
        <w:autoSpaceDE w:val="0"/>
        <w:autoSpaceDN w:val="0"/>
        <w:spacing w:line="360" w:lineRule="auto"/>
        <w:ind w:firstLine="482"/>
        <w:rPr>
          <w:rFonts w:ascii="Times New Roman" w:hAnsi="Times New Roman"/>
          <w:sz w:val="24"/>
          <w:szCs w:val="24"/>
        </w:rPr>
      </w:pPr>
      <w:r>
        <w:rPr>
          <w:rFonts w:ascii="Times New Roman" w:hAnsi="Times New Roman"/>
          <w:b/>
          <w:sz w:val="24"/>
          <w:szCs w:val="24"/>
        </w:rPr>
        <w:t>6</w:t>
      </w:r>
      <w:r>
        <w:rPr>
          <w:rFonts w:eastAsiaTheme="minorEastAsia"/>
          <w:b/>
          <w:sz w:val="24"/>
          <w:szCs w:val="24"/>
        </w:rPr>
        <w:t>　</w:t>
      </w:r>
      <w:r>
        <w:rPr>
          <w:rFonts w:ascii="Times New Roman" w:hAnsi="Times New Roman"/>
          <w:sz w:val="24"/>
          <w:szCs w:val="24"/>
        </w:rPr>
        <w:t>不应采用连体、转换等复杂结构体系。</w:t>
      </w:r>
    </w:p>
    <w:p>
      <w:pPr>
        <w:tabs>
          <w:tab w:val="left" w:pos="425"/>
          <w:tab w:val="left" w:pos="567"/>
          <w:tab w:val="left" w:pos="735"/>
        </w:tabs>
        <w:adjustRightInd w:val="0"/>
        <w:spacing w:line="360" w:lineRule="auto"/>
        <w:outlineLvl w:val="2"/>
        <w:rPr>
          <w:sz w:val="24"/>
        </w:rPr>
      </w:pPr>
      <w:r>
        <w:rPr>
          <w:rFonts w:eastAsiaTheme="minorEastAsia"/>
          <w:b/>
          <w:sz w:val="24"/>
          <w:szCs w:val="24"/>
        </w:rPr>
        <w:t>5.1.9　</w:t>
      </w:r>
      <w:r>
        <w:rPr>
          <w:sz w:val="24"/>
        </w:rPr>
        <w:t>模壳</w:t>
      </w:r>
      <w:r>
        <w:rPr>
          <w:rFonts w:hint="eastAsia"/>
          <w:sz w:val="24"/>
        </w:rPr>
        <w:t>砌块砌体</w:t>
      </w:r>
      <w:r>
        <w:rPr>
          <w:sz w:val="24"/>
        </w:rPr>
        <w:t>结构应进行多遇地震作用下的抗震变形验算，其楼层内最大的层间弹性位移角不宜超过1</w:t>
      </w:r>
      <w:r>
        <w:rPr>
          <w:rFonts w:hint="eastAsia"/>
          <w:sz w:val="24"/>
        </w:rPr>
        <w:t>/</w:t>
      </w:r>
      <w:r>
        <w:rPr>
          <w:sz w:val="24"/>
        </w:rPr>
        <w:t>800，底层不宜超过1</w:t>
      </w:r>
      <w:r>
        <w:rPr>
          <w:rFonts w:hint="eastAsia"/>
          <w:sz w:val="24"/>
        </w:rPr>
        <w:t>/</w:t>
      </w:r>
      <w:r>
        <w:rPr>
          <w:sz w:val="24"/>
        </w:rPr>
        <w:t>1200。</w:t>
      </w:r>
    </w:p>
    <w:p>
      <w:pPr>
        <w:tabs>
          <w:tab w:val="left" w:pos="425"/>
          <w:tab w:val="left" w:pos="567"/>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.1.10　</w:t>
      </w:r>
      <w:r>
        <w:rPr>
          <w:sz w:val="24"/>
        </w:rPr>
        <w:t>模壳</w:t>
      </w:r>
      <w:r>
        <w:rPr>
          <w:rFonts w:hint="eastAsia"/>
          <w:sz w:val="24"/>
        </w:rPr>
        <w:t>砌块</w:t>
      </w:r>
      <w:r>
        <w:rPr>
          <w:sz w:val="24"/>
        </w:rPr>
        <w:t>砌体结构的</w:t>
      </w:r>
      <w:r>
        <w:rPr>
          <w:rFonts w:hint="eastAsia"/>
          <w:sz w:val="24"/>
        </w:rPr>
        <w:t>设计、构造措施</w:t>
      </w:r>
      <w:r>
        <w:rPr>
          <w:sz w:val="24"/>
        </w:rPr>
        <w:t>等应符合国家现行标准《混凝土结构工程施工规程》GB 50666</w:t>
      </w:r>
      <w:r>
        <w:rPr>
          <w:rFonts w:hint="eastAsia"/>
          <w:sz w:val="24"/>
        </w:rPr>
        <w:t>和</w:t>
      </w:r>
      <w:r>
        <w:rPr>
          <w:sz w:val="24"/>
        </w:rPr>
        <w:t>《装配式混凝土结构技术规程》JGJ 1的有关规定。</w:t>
      </w:r>
    </w:p>
    <w:p>
      <w:pPr>
        <w:tabs>
          <w:tab w:val="left" w:pos="425"/>
          <w:tab w:val="left" w:pos="735"/>
        </w:tabs>
        <w:spacing w:line="360" w:lineRule="auto"/>
        <w:outlineLvl w:val="2"/>
        <w:rPr>
          <w:sz w:val="24"/>
        </w:rPr>
      </w:pPr>
      <w:r>
        <w:rPr>
          <w:rFonts w:hint="eastAsia" w:eastAsiaTheme="minorEastAsia"/>
          <w:b/>
          <w:sz w:val="24"/>
          <w:szCs w:val="24"/>
        </w:rPr>
        <w:t>5</w:t>
      </w:r>
      <w:r>
        <w:rPr>
          <w:rFonts w:eastAsiaTheme="minorEastAsia"/>
          <w:b/>
          <w:sz w:val="24"/>
          <w:szCs w:val="24"/>
        </w:rPr>
        <w:t>.1.11　</w:t>
      </w:r>
      <w:r>
        <w:rPr>
          <w:sz w:val="24"/>
        </w:rPr>
        <w:t>模壳</w:t>
      </w:r>
      <w:r>
        <w:rPr>
          <w:rFonts w:hint="eastAsia"/>
          <w:sz w:val="24"/>
        </w:rPr>
        <w:t>砌块</w:t>
      </w:r>
      <w:r>
        <w:rPr>
          <w:sz w:val="24"/>
        </w:rPr>
        <w:t>砌体结构的地震作用计算，可采用底部剪力法，并应符合现行国家标准《建筑抗震设计规范》GB 50011的有关规定。</w:t>
      </w:r>
    </w:p>
    <w:p>
      <w:pPr>
        <w:tabs>
          <w:tab w:val="left" w:pos="425"/>
          <w:tab w:val="left" w:pos="735"/>
        </w:tabs>
        <w:adjustRightInd w:val="0"/>
        <w:spacing w:line="360" w:lineRule="auto"/>
        <w:outlineLvl w:val="2"/>
        <w:rPr>
          <w:sz w:val="24"/>
        </w:rPr>
      </w:pPr>
      <w:r>
        <w:rPr>
          <w:rFonts w:eastAsiaTheme="minorEastAsia"/>
          <w:b/>
          <w:sz w:val="24"/>
          <w:szCs w:val="24"/>
        </w:rPr>
        <w:t>5.1.12　</w:t>
      </w:r>
      <w:r>
        <w:rPr>
          <w:sz w:val="24"/>
        </w:rPr>
        <w:t>模壳</w:t>
      </w:r>
      <w:r>
        <w:rPr>
          <w:rFonts w:hint="eastAsia"/>
          <w:sz w:val="24"/>
        </w:rPr>
        <w:t>砌块</w:t>
      </w:r>
      <w:r>
        <w:rPr>
          <w:sz w:val="24"/>
        </w:rPr>
        <w:t>砌体结构中受力钢筋的锚固和连接构造应符合国家现行标准《混凝土结构设计规范》GB 50010、《建筑抗震设计规范》</w:t>
      </w:r>
      <w:r>
        <w:rPr>
          <w:rFonts w:hint="eastAsia"/>
          <w:sz w:val="24"/>
        </w:rPr>
        <w:t>G</w:t>
      </w:r>
      <w:r>
        <w:rPr>
          <w:sz w:val="24"/>
        </w:rPr>
        <w:t>B 50011和《约束砌体与配筋砌体结构技术规程》JGJ 13的有关规定。</w:t>
      </w:r>
    </w:p>
    <w:bookmarkEnd w:id="1"/>
    <w:bookmarkEnd w:id="2"/>
    <w:p>
      <w:pPr>
        <w:tabs>
          <w:tab w:val="left" w:pos="425"/>
          <w:tab w:val="left" w:pos="735"/>
        </w:tabs>
        <w:adjustRightInd w:val="0"/>
        <w:spacing w:line="360" w:lineRule="auto"/>
        <w:outlineLvl w:val="2"/>
        <w:rPr>
          <w:sz w:val="24"/>
        </w:rPr>
      </w:pPr>
      <w:bookmarkStart w:id="102" w:name="_Toc41895200"/>
      <w:bookmarkStart w:id="103" w:name="_Toc523844514"/>
      <w:r>
        <w:rPr>
          <w:rFonts w:hint="eastAsia" w:eastAsiaTheme="minorEastAsia"/>
          <w:b/>
          <w:sz w:val="24"/>
          <w:szCs w:val="24"/>
        </w:rPr>
        <w:t>5</w:t>
      </w:r>
      <w:r>
        <w:rPr>
          <w:rFonts w:eastAsiaTheme="minorEastAsia"/>
          <w:b/>
          <w:sz w:val="24"/>
          <w:szCs w:val="24"/>
        </w:rPr>
        <w:t>.1.13　</w:t>
      </w:r>
      <w:r>
        <w:rPr>
          <w:sz w:val="24"/>
        </w:rPr>
        <w:t>模壳</w:t>
      </w:r>
      <w:r>
        <w:rPr>
          <w:rFonts w:hint="eastAsia"/>
          <w:sz w:val="24"/>
        </w:rPr>
        <w:t>砌块</w:t>
      </w:r>
      <w:r>
        <w:rPr>
          <w:sz w:val="24"/>
        </w:rPr>
        <w:t>砌体结构宜采用</w:t>
      </w:r>
      <w:r>
        <w:rPr>
          <w:rFonts w:hint="eastAsia"/>
          <w:sz w:val="24"/>
        </w:rPr>
        <w:t>芯柱</w:t>
      </w:r>
      <w:r>
        <w:rPr>
          <w:sz w:val="24"/>
        </w:rPr>
        <w:t>，模壳</w:t>
      </w:r>
      <w:r>
        <w:rPr>
          <w:rFonts w:hint="eastAsia"/>
          <w:sz w:val="24"/>
        </w:rPr>
        <w:t>砌块</w:t>
      </w:r>
      <w:r>
        <w:rPr>
          <w:sz w:val="24"/>
        </w:rPr>
        <w:t>内</w:t>
      </w:r>
      <w:r>
        <w:rPr>
          <w:rFonts w:hint="eastAsia"/>
          <w:sz w:val="24"/>
        </w:rPr>
        <w:t>灌注的混凝土</w:t>
      </w:r>
      <w:r>
        <w:rPr>
          <w:sz w:val="24"/>
        </w:rPr>
        <w:t>应密实，</w:t>
      </w:r>
      <w:r>
        <w:rPr>
          <w:rFonts w:hint="eastAsia"/>
          <w:sz w:val="24"/>
        </w:rPr>
        <w:t>采取</w:t>
      </w:r>
      <w:r>
        <w:rPr>
          <w:sz w:val="24"/>
        </w:rPr>
        <w:t>振捣</w:t>
      </w:r>
      <w:r>
        <w:rPr>
          <w:rFonts w:hint="eastAsia"/>
          <w:sz w:val="24"/>
        </w:rPr>
        <w:t>措施</w:t>
      </w:r>
      <w:r>
        <w:rPr>
          <w:sz w:val="24"/>
        </w:rPr>
        <w:t>时应避免触碰</w:t>
      </w:r>
      <w:r>
        <w:rPr>
          <w:rFonts w:hint="eastAsia"/>
          <w:sz w:val="24"/>
        </w:rPr>
        <w:t>模壳砌块</w:t>
      </w:r>
      <w:r>
        <w:rPr>
          <w:sz w:val="24"/>
        </w:rPr>
        <w:t>。</w:t>
      </w:r>
    </w:p>
    <w:p>
      <w:pPr>
        <w:tabs>
          <w:tab w:val="left" w:pos="425"/>
          <w:tab w:val="left" w:pos="735"/>
        </w:tabs>
        <w:adjustRightInd w:val="0"/>
        <w:spacing w:line="360" w:lineRule="auto"/>
        <w:outlineLvl w:val="2"/>
        <w:rPr>
          <w:sz w:val="24"/>
        </w:rPr>
      </w:pPr>
      <w:r>
        <w:rPr>
          <w:rFonts w:eastAsiaTheme="minorEastAsia"/>
          <w:b/>
          <w:sz w:val="24"/>
          <w:szCs w:val="24"/>
        </w:rPr>
        <w:t>5.1.14　</w:t>
      </w:r>
      <w:r>
        <w:rPr>
          <w:sz w:val="24"/>
        </w:rPr>
        <w:t>构造柱</w:t>
      </w:r>
      <w:r>
        <w:rPr>
          <w:rFonts w:hint="eastAsia"/>
          <w:sz w:val="24"/>
        </w:rPr>
        <w:t>中</w:t>
      </w:r>
      <w:r>
        <w:rPr>
          <w:sz w:val="24"/>
        </w:rPr>
        <w:t>钢筋的保护层厚度应为模壳砌块的边缘厚度。</w:t>
      </w:r>
    </w:p>
    <w:p>
      <w:pPr>
        <w:tabs>
          <w:tab w:val="left" w:pos="425"/>
          <w:tab w:val="left" w:pos="735"/>
        </w:tabs>
        <w:adjustRightInd w:val="0"/>
        <w:spacing w:line="360" w:lineRule="auto"/>
        <w:outlineLvl w:val="2"/>
        <w:rPr>
          <w:sz w:val="24"/>
        </w:rPr>
      </w:pPr>
      <w:r>
        <w:rPr>
          <w:rFonts w:eastAsiaTheme="minorEastAsia"/>
          <w:b/>
          <w:sz w:val="24"/>
          <w:szCs w:val="24"/>
        </w:rPr>
        <w:t>5.1.15　</w:t>
      </w:r>
      <w:r>
        <w:rPr>
          <w:sz w:val="24"/>
        </w:rPr>
        <w:t>预制模壳</w:t>
      </w:r>
      <w:r>
        <w:rPr>
          <w:rFonts w:hint="eastAsia"/>
          <w:sz w:val="24"/>
        </w:rPr>
        <w:t>砌块</w:t>
      </w:r>
      <w:r>
        <w:rPr>
          <w:sz w:val="24"/>
        </w:rPr>
        <w:t>内表面、边缘叠合板叠合区应设置</w:t>
      </w:r>
      <w:r>
        <w:rPr>
          <w:rFonts w:hint="eastAsia"/>
          <w:sz w:val="24"/>
        </w:rPr>
        <w:t>自然</w:t>
      </w:r>
      <w:r>
        <w:rPr>
          <w:sz w:val="24"/>
        </w:rPr>
        <w:t>粗糙面，</w:t>
      </w:r>
      <w:r>
        <w:rPr>
          <w:rFonts w:hint="eastAsia"/>
          <w:sz w:val="24"/>
        </w:rPr>
        <w:t>其中边缘叠合板对应</w:t>
      </w:r>
      <w:r>
        <w:rPr>
          <w:sz w:val="24"/>
        </w:rPr>
        <w:t>粗糙面的凹凸深度不应小于4 mm。</w:t>
      </w:r>
    </w:p>
    <w:p>
      <w:pPr>
        <w:tabs>
          <w:tab w:val="left" w:pos="425"/>
          <w:tab w:val="left" w:pos="567"/>
          <w:tab w:val="left" w:pos="735"/>
        </w:tabs>
        <w:adjustRightInd w:val="0"/>
        <w:spacing w:line="360" w:lineRule="auto"/>
        <w:outlineLvl w:val="2"/>
        <w:rPr>
          <w:sz w:val="24"/>
        </w:rPr>
      </w:pPr>
      <w:bookmarkStart w:id="104" w:name="_Hlk143196747"/>
      <w:r>
        <w:rPr>
          <w:rFonts w:eastAsiaTheme="minorEastAsia"/>
          <w:b/>
          <w:sz w:val="24"/>
          <w:szCs w:val="24"/>
        </w:rPr>
        <w:t>5.1.16　</w:t>
      </w:r>
      <w:r>
        <w:rPr>
          <w:rFonts w:eastAsiaTheme="minorEastAsia"/>
          <w:bCs/>
          <w:sz w:val="24"/>
          <w:szCs w:val="24"/>
        </w:rPr>
        <w:t>模壳</w:t>
      </w:r>
      <w:r>
        <w:rPr>
          <w:rFonts w:hint="eastAsia" w:eastAsiaTheme="minorEastAsia"/>
          <w:bCs/>
          <w:sz w:val="24"/>
          <w:szCs w:val="24"/>
        </w:rPr>
        <w:t>砌块</w:t>
      </w:r>
      <w:r>
        <w:rPr>
          <w:rFonts w:eastAsiaTheme="minorEastAsia"/>
          <w:bCs/>
          <w:sz w:val="24"/>
          <w:szCs w:val="24"/>
        </w:rPr>
        <w:t>砌体结构宜采用模壳砌块条形基础，并应</w:t>
      </w:r>
      <w:bookmarkEnd w:id="104"/>
      <w:r>
        <w:rPr>
          <w:rFonts w:eastAsiaTheme="minorEastAsia"/>
          <w:bCs/>
          <w:sz w:val="24"/>
          <w:szCs w:val="24"/>
        </w:rPr>
        <w:t>符合下列规定：</w:t>
      </w:r>
    </w:p>
    <w:p>
      <w:pPr>
        <w:adjustRightInd w:val="0"/>
        <w:spacing w:line="360" w:lineRule="auto"/>
        <w:ind w:firstLine="482" w:firstLineChars="200"/>
        <w:rPr>
          <w:sz w:val="24"/>
          <w:szCs w:val="24"/>
        </w:rPr>
      </w:pPr>
      <w:r>
        <w:rPr>
          <w:b/>
          <w:sz w:val="24"/>
          <w:szCs w:val="24"/>
        </w:rPr>
        <w:t>1</w:t>
      </w:r>
      <w:r>
        <w:rPr>
          <w:sz w:val="24"/>
          <w:szCs w:val="24"/>
        </w:rPr>
        <w:t>　</w:t>
      </w:r>
      <w:r>
        <w:rPr>
          <w:sz w:val="24"/>
        </w:rPr>
        <w:t>模壳砌块条形基础内应浇筑混凝土，并应符合现行国家标准《砌体结构设计规范》GB 50003的有关规定；</w:t>
      </w:r>
    </w:p>
    <w:p>
      <w:pPr>
        <w:adjustRightInd w:val="0"/>
        <w:spacing w:line="360" w:lineRule="auto"/>
        <w:ind w:firstLine="482" w:firstLineChars="200"/>
        <w:rPr>
          <w:sz w:val="24"/>
          <w:szCs w:val="24"/>
        </w:rPr>
      </w:pPr>
      <w:r>
        <w:rPr>
          <w:b/>
          <w:sz w:val="24"/>
          <w:szCs w:val="24"/>
        </w:rPr>
        <w:t>2</w:t>
      </w:r>
      <w:r>
        <w:rPr>
          <w:sz w:val="24"/>
          <w:szCs w:val="24"/>
        </w:rPr>
        <w:t>　基础的设计和构造措施应符合</w:t>
      </w:r>
      <w:r>
        <w:rPr>
          <w:rFonts w:eastAsiaTheme="minorEastAsia"/>
          <w:bCs/>
          <w:sz w:val="24"/>
          <w:szCs w:val="24"/>
        </w:rPr>
        <w:t>现行国家标准《建筑地基基础设计规范》GB 50007的有关规定</w:t>
      </w:r>
      <w:r>
        <w:rPr>
          <w:sz w:val="24"/>
          <w:szCs w:val="24"/>
        </w:rPr>
        <w:t>。</w:t>
      </w:r>
    </w:p>
    <w:p>
      <w:pPr>
        <w:tabs>
          <w:tab w:val="left" w:pos="425"/>
          <w:tab w:val="left" w:pos="567"/>
          <w:tab w:val="left" w:pos="735"/>
          <w:tab w:val="left" w:pos="821"/>
        </w:tabs>
        <w:autoSpaceDE w:val="0"/>
        <w:autoSpaceDN w:val="0"/>
        <w:adjustRightInd w:val="0"/>
        <w:spacing w:line="360" w:lineRule="auto"/>
        <w:outlineLvl w:val="2"/>
        <w:rPr>
          <w:rFonts w:eastAsiaTheme="minorEastAsia"/>
          <w:bCs/>
          <w:sz w:val="24"/>
          <w:szCs w:val="24"/>
        </w:rPr>
      </w:pPr>
      <w:r>
        <w:rPr>
          <w:rFonts w:hint="eastAsia" w:eastAsiaTheme="minorEastAsia"/>
          <w:b/>
          <w:sz w:val="24"/>
          <w:szCs w:val="24"/>
        </w:rPr>
        <w:t>5</w:t>
      </w:r>
      <w:r>
        <w:rPr>
          <w:rFonts w:eastAsiaTheme="minorEastAsia"/>
          <w:b/>
          <w:sz w:val="24"/>
          <w:szCs w:val="24"/>
        </w:rPr>
        <w:t>.1.17　</w:t>
      </w:r>
      <w:r>
        <w:rPr>
          <w:rFonts w:eastAsiaTheme="minorEastAsia"/>
          <w:bCs/>
          <w:sz w:val="24"/>
          <w:szCs w:val="24"/>
        </w:rPr>
        <w:t>模壳</w:t>
      </w:r>
      <w:r>
        <w:rPr>
          <w:rFonts w:hint="eastAsia" w:eastAsiaTheme="minorEastAsia"/>
          <w:bCs/>
          <w:sz w:val="24"/>
          <w:szCs w:val="24"/>
        </w:rPr>
        <w:t>砌块</w:t>
      </w:r>
      <w:r>
        <w:rPr>
          <w:rFonts w:eastAsiaTheme="minorEastAsia"/>
          <w:bCs/>
          <w:sz w:val="24"/>
          <w:szCs w:val="24"/>
        </w:rPr>
        <w:t>砌体</w:t>
      </w:r>
      <w:r>
        <w:rPr>
          <w:rFonts w:hint="eastAsia" w:eastAsiaTheme="minorEastAsia"/>
          <w:bCs/>
          <w:sz w:val="24"/>
          <w:szCs w:val="24"/>
        </w:rPr>
        <w:t>结构</w:t>
      </w:r>
      <w:r>
        <w:rPr>
          <w:rFonts w:eastAsiaTheme="minorEastAsia"/>
          <w:bCs/>
          <w:sz w:val="24"/>
          <w:szCs w:val="24"/>
        </w:rPr>
        <w:t>抗震墙</w:t>
      </w:r>
      <w:r>
        <w:rPr>
          <w:rFonts w:hint="eastAsia" w:eastAsiaTheme="minorEastAsia"/>
          <w:bCs/>
          <w:sz w:val="24"/>
          <w:szCs w:val="24"/>
        </w:rPr>
        <w:t>跨高比大于</w:t>
      </w:r>
      <w:r>
        <w:rPr>
          <w:rFonts w:eastAsiaTheme="minorEastAsia"/>
          <w:bCs/>
          <w:sz w:val="24"/>
          <w:szCs w:val="24"/>
        </w:rPr>
        <w:t>2.5的连梁应采用钢筋混凝土连梁，其截面组合的剪力设计值和斜截面承载力，应符合现行国家标准《混凝土结构设计规范》GB 50010中对连梁的有关规定。</w:t>
      </w:r>
    </w:p>
    <w:p>
      <w:pPr>
        <w:tabs>
          <w:tab w:val="left" w:pos="425"/>
          <w:tab w:val="left" w:pos="567"/>
          <w:tab w:val="left" w:pos="735"/>
          <w:tab w:val="left" w:pos="821"/>
        </w:tabs>
        <w:autoSpaceDE w:val="0"/>
        <w:autoSpaceDN w:val="0"/>
        <w:adjustRightInd w:val="0"/>
        <w:spacing w:line="360" w:lineRule="auto"/>
        <w:outlineLvl w:val="2"/>
        <w:rPr>
          <w:rFonts w:eastAsiaTheme="minorEastAsia"/>
          <w:bCs/>
          <w:sz w:val="24"/>
          <w:szCs w:val="24"/>
        </w:rPr>
      </w:pPr>
      <w:r>
        <w:rPr>
          <w:rFonts w:hint="eastAsia" w:eastAsiaTheme="minorEastAsia"/>
          <w:b/>
          <w:sz w:val="24"/>
          <w:szCs w:val="24"/>
        </w:rPr>
        <w:t>5</w:t>
      </w:r>
      <w:r>
        <w:rPr>
          <w:rFonts w:eastAsiaTheme="minorEastAsia"/>
          <w:b/>
          <w:sz w:val="24"/>
          <w:szCs w:val="24"/>
        </w:rPr>
        <w:t>.1.18　</w:t>
      </w:r>
      <w:r>
        <w:rPr>
          <w:sz w:val="24"/>
          <w:szCs w:val="24"/>
        </w:rPr>
        <w:t>模壳</w:t>
      </w:r>
      <w:r>
        <w:rPr>
          <w:rFonts w:hint="eastAsia"/>
          <w:sz w:val="24"/>
          <w:szCs w:val="24"/>
        </w:rPr>
        <w:t>砌块墙体</w:t>
      </w:r>
      <w:r>
        <w:rPr>
          <w:sz w:val="24"/>
          <w:szCs w:val="24"/>
        </w:rPr>
        <w:t>构件的计算高度</w:t>
      </w:r>
      <w:r>
        <w:rPr>
          <w:i/>
          <w:iCs/>
          <w:sz w:val="24"/>
          <w:szCs w:val="24"/>
        </w:rPr>
        <w:t>H</w:t>
      </w:r>
      <w:r>
        <w:rPr>
          <w:sz w:val="24"/>
          <w:szCs w:val="24"/>
          <w:vertAlign w:val="subscript"/>
        </w:rPr>
        <w:t>0</w:t>
      </w:r>
      <w:r>
        <w:rPr>
          <w:sz w:val="24"/>
          <w:szCs w:val="24"/>
        </w:rPr>
        <w:t>，应根据房屋类别和构件支承条件等按现行国家标准《砌体结构设计规范》GB 50003的规定采用。</w:t>
      </w:r>
    </w:p>
    <w:p>
      <w:pPr>
        <w:pStyle w:val="46"/>
      </w:pPr>
      <w:bookmarkStart w:id="105" w:name="_Toc149766384"/>
      <w:bookmarkStart w:id="106" w:name="_Toc22685"/>
      <w:bookmarkStart w:id="107" w:name="_Toc149766326"/>
      <w:bookmarkStart w:id="108" w:name="_Toc148994661"/>
      <w:r>
        <w:t>5.2　模壳砌块</w:t>
      </w:r>
      <w:r>
        <w:rPr>
          <w:rFonts w:hint="eastAsia"/>
        </w:rPr>
        <w:t>砌体</w:t>
      </w:r>
      <w:bookmarkEnd w:id="102"/>
      <w:bookmarkEnd w:id="103"/>
      <w:bookmarkEnd w:id="105"/>
      <w:bookmarkEnd w:id="106"/>
      <w:bookmarkEnd w:id="107"/>
      <w:bookmarkEnd w:id="108"/>
    </w:p>
    <w:p>
      <w:pPr>
        <w:tabs>
          <w:tab w:val="left" w:pos="425"/>
          <w:tab w:val="left" w:pos="735"/>
        </w:tabs>
        <w:spacing w:line="360" w:lineRule="auto"/>
        <w:outlineLvl w:val="2"/>
        <w:rPr>
          <w:sz w:val="24"/>
        </w:rPr>
      </w:pPr>
      <w:r>
        <w:rPr>
          <w:rFonts w:hint="eastAsia" w:eastAsiaTheme="minorEastAsia"/>
          <w:b/>
          <w:sz w:val="24"/>
          <w:szCs w:val="24"/>
        </w:rPr>
        <w:t>5</w:t>
      </w:r>
      <w:r>
        <w:rPr>
          <w:rFonts w:eastAsiaTheme="minorEastAsia"/>
          <w:b/>
          <w:sz w:val="24"/>
          <w:szCs w:val="24"/>
        </w:rPr>
        <w:t>.2.1　</w:t>
      </w:r>
      <w:r>
        <w:rPr>
          <w:sz w:val="24"/>
        </w:rPr>
        <w:t>模壳</w:t>
      </w:r>
      <w:r>
        <w:rPr>
          <w:rFonts w:hint="eastAsia"/>
          <w:sz w:val="24"/>
        </w:rPr>
        <w:t>砌块墙体</w:t>
      </w:r>
      <w:r>
        <w:rPr>
          <w:sz w:val="24"/>
        </w:rPr>
        <w:t>所用模壳砌块的长度宜取398 mm</w:t>
      </w:r>
      <w:r>
        <w:rPr>
          <w:rFonts w:hint="eastAsia"/>
          <w:sz w:val="24"/>
        </w:rPr>
        <w:t>或</w:t>
      </w:r>
      <w:r>
        <w:rPr>
          <w:sz w:val="24"/>
        </w:rPr>
        <w:t>199 mm，</w:t>
      </w:r>
      <w:r>
        <w:rPr>
          <w:rFonts w:hint="eastAsia"/>
          <w:sz w:val="24"/>
        </w:rPr>
        <w:t>厚度宜</w:t>
      </w:r>
      <w:r>
        <w:rPr>
          <w:sz w:val="24"/>
        </w:rPr>
        <w:t>为200 mm，高度宜为158 mm。</w:t>
      </w:r>
    </w:p>
    <w:p>
      <w:pPr>
        <w:tabs>
          <w:tab w:val="left" w:pos="425"/>
          <w:tab w:val="left" w:pos="735"/>
        </w:tabs>
        <w:spacing w:line="360" w:lineRule="auto"/>
        <w:outlineLvl w:val="2"/>
        <w:rPr>
          <w:sz w:val="24"/>
        </w:rPr>
      </w:pPr>
      <w:r>
        <w:rPr>
          <w:rFonts w:eastAsiaTheme="minorEastAsia"/>
          <w:b/>
          <w:sz w:val="24"/>
          <w:szCs w:val="24"/>
        </w:rPr>
        <w:t>5.2.2　</w:t>
      </w:r>
      <w:r>
        <w:rPr>
          <w:sz w:val="24"/>
        </w:rPr>
        <w:t>模壳砌块墙体砌块间配筋应符合下列规定：</w:t>
      </w:r>
    </w:p>
    <w:p>
      <w:pPr>
        <w:spacing w:line="360" w:lineRule="auto"/>
        <w:ind w:firstLine="482" w:firstLineChars="200"/>
        <w:rPr>
          <w:sz w:val="24"/>
        </w:rPr>
      </w:pPr>
      <w:r>
        <w:rPr>
          <w:b/>
          <w:sz w:val="24"/>
          <w:szCs w:val="24"/>
        </w:rPr>
        <w:t>1</w:t>
      </w:r>
      <w:r>
        <w:rPr>
          <w:sz w:val="24"/>
          <w:szCs w:val="24"/>
        </w:rPr>
        <w:t>　</w:t>
      </w:r>
      <w:r>
        <w:rPr>
          <w:rFonts w:hint="eastAsia"/>
          <w:sz w:val="24"/>
        </w:rPr>
        <w:t>模壳砌块水平方向应每隔4皮设置直径不小于6</w:t>
      </w:r>
      <w:r>
        <w:rPr>
          <w:sz w:val="24"/>
        </w:rPr>
        <w:t xml:space="preserve"> </w:t>
      </w:r>
      <w:r>
        <w:rPr>
          <w:rFonts w:hint="eastAsia"/>
          <w:sz w:val="24"/>
        </w:rPr>
        <w:t>mm的水平钢筋</w:t>
      </w:r>
      <w:r>
        <w:rPr>
          <w:sz w:val="24"/>
        </w:rPr>
        <w:t>；</w:t>
      </w:r>
    </w:p>
    <w:p>
      <w:pPr>
        <w:spacing w:line="360" w:lineRule="auto"/>
        <w:ind w:firstLine="482" w:firstLineChars="200"/>
        <w:rPr>
          <w:sz w:val="24"/>
        </w:rPr>
      </w:pPr>
      <w:r>
        <w:rPr>
          <w:b/>
          <w:sz w:val="24"/>
          <w:szCs w:val="24"/>
        </w:rPr>
        <w:t>2</w:t>
      </w:r>
      <w:r>
        <w:rPr>
          <w:sz w:val="24"/>
          <w:szCs w:val="24"/>
        </w:rPr>
        <w:t>　</w:t>
      </w:r>
      <w:r>
        <w:rPr>
          <w:rFonts w:hint="eastAsia"/>
          <w:sz w:val="24"/>
          <w:szCs w:val="24"/>
        </w:rPr>
        <w:t>块间</w:t>
      </w:r>
      <w:r>
        <w:rPr>
          <w:sz w:val="24"/>
        </w:rPr>
        <w:t>水平钢筋宜与构造柱、芯柱内的竖向受力钢筋</w:t>
      </w:r>
      <w:r>
        <w:rPr>
          <w:rFonts w:hint="eastAsia"/>
          <w:sz w:val="24"/>
        </w:rPr>
        <w:t>有效锚固并应</w:t>
      </w:r>
      <w:r>
        <w:rPr>
          <w:sz w:val="24"/>
        </w:rPr>
        <w:t>绑扎连接。</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.2.3　</w:t>
      </w:r>
      <w:r>
        <w:rPr>
          <w:sz w:val="24"/>
        </w:rPr>
        <w:t>模壳砌块墙体</w:t>
      </w:r>
      <w:r>
        <w:rPr>
          <w:rFonts w:hint="eastAsia"/>
          <w:sz w:val="24"/>
        </w:rPr>
        <w:t>各</w:t>
      </w:r>
      <w:r>
        <w:rPr>
          <w:sz w:val="24"/>
        </w:rPr>
        <w:t>芯柱内应设置</w:t>
      </w:r>
      <w:r>
        <w:rPr>
          <w:rFonts w:hint="eastAsia"/>
          <w:sz w:val="24"/>
        </w:rPr>
        <w:t>不少于1根</w:t>
      </w:r>
      <w:r>
        <w:rPr>
          <w:sz w:val="24"/>
        </w:rPr>
        <w:t>竖向受力钢筋，直径不应小于12 mm。</w:t>
      </w:r>
    </w:p>
    <w:p>
      <w:pPr>
        <w:tabs>
          <w:tab w:val="left" w:pos="425"/>
          <w:tab w:val="left" w:pos="735"/>
        </w:tabs>
        <w:adjustRightInd w:val="0"/>
        <w:spacing w:line="360" w:lineRule="auto"/>
        <w:outlineLvl w:val="2"/>
      </w:pPr>
      <w:bookmarkStart w:id="109" w:name="_Toc149766327"/>
      <w:bookmarkStart w:id="110" w:name="_Toc149766385"/>
      <w:bookmarkStart w:id="111" w:name="_Toc148994663"/>
      <w:bookmarkStart w:id="112" w:name="_Toc523844516"/>
      <w:r>
        <w:rPr>
          <w:rFonts w:eastAsiaTheme="minorEastAsia"/>
          <w:b/>
          <w:sz w:val="24"/>
          <w:szCs w:val="24"/>
        </w:rPr>
        <w:t>5.2.4　</w:t>
      </w:r>
      <w:r>
        <w:rPr>
          <w:rFonts w:hint="eastAsia"/>
          <w:sz w:val="24"/>
        </w:rPr>
        <w:t>模壳砌块砌体结构中宜采用芯柱或组合芯柱构造。</w:t>
      </w:r>
    </w:p>
    <w:p>
      <w:pPr>
        <w:pStyle w:val="46"/>
      </w:pPr>
      <w:r>
        <w:rPr>
          <w:bCs/>
          <w:szCs w:val="21"/>
        </w:rPr>
        <w:t>5.3</w:t>
      </w:r>
      <w:r>
        <w:t>　</w:t>
      </w:r>
      <w:r>
        <w:rPr>
          <w:rFonts w:eastAsia="黑体"/>
        </w:rPr>
        <w:t>承载力</w:t>
      </w:r>
      <w:r>
        <w:rPr>
          <w:rFonts w:hint="eastAsia" w:eastAsia="黑体"/>
        </w:rPr>
        <w:t>计算</w:t>
      </w:r>
      <w:bookmarkEnd w:id="109"/>
      <w:bookmarkEnd w:id="110"/>
      <w:bookmarkEnd w:id="111"/>
    </w:p>
    <w:p>
      <w:pPr>
        <w:spacing w:line="360" w:lineRule="auto"/>
        <w:outlineLvl w:val="2"/>
        <w:rPr>
          <w:sz w:val="24"/>
        </w:rPr>
      </w:pPr>
      <w:r>
        <w:rPr>
          <w:rFonts w:eastAsiaTheme="minorEastAsia"/>
          <w:b/>
          <w:sz w:val="24"/>
          <w:szCs w:val="24"/>
        </w:rPr>
        <w:t>5.3.1　</w:t>
      </w:r>
      <w:r>
        <w:rPr>
          <w:sz w:val="24"/>
        </w:rPr>
        <w:t>根据建筑结构破坏可能产生后果的严重性，建筑结构应按表5.3.1划分为三个安全等级，设计时应根据具体情况选用。</w:t>
      </w:r>
    </w:p>
    <w:p>
      <w:pPr>
        <w:spacing w:line="360" w:lineRule="auto"/>
        <w:jc w:val="center"/>
        <w:rPr>
          <w:b/>
          <w:spacing w:val="17"/>
          <w:szCs w:val="21"/>
        </w:rPr>
      </w:pPr>
      <w:r>
        <w:rPr>
          <w:b/>
          <w:spacing w:val="17"/>
          <w:szCs w:val="21"/>
        </w:rPr>
        <w:t>表5.3.1</w:t>
      </w:r>
      <w:r>
        <w:rPr>
          <w:b/>
          <w:bCs/>
          <w:sz w:val="18"/>
          <w:szCs w:val="18"/>
        </w:rPr>
        <w:t>　</w:t>
      </w:r>
      <w:r>
        <w:rPr>
          <w:b/>
          <w:spacing w:val="17"/>
          <w:szCs w:val="21"/>
        </w:rPr>
        <w:t>建筑结构的安全等级</w:t>
      </w:r>
    </w:p>
    <w:tbl>
      <w:tblPr>
        <w:tblStyle w:val="146"/>
        <w:tblW w:w="0" w:type="auto"/>
        <w:tblInd w:w="121" w:type="dxa"/>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Layout w:type="fixed"/>
        <w:tblCellMar>
          <w:top w:w="0" w:type="dxa"/>
          <w:left w:w="0" w:type="dxa"/>
          <w:bottom w:w="0" w:type="dxa"/>
          <w:right w:w="0" w:type="dxa"/>
        </w:tblCellMar>
      </w:tblPr>
      <w:tblGrid>
        <w:gridCol w:w="2488"/>
        <w:gridCol w:w="2488"/>
        <w:gridCol w:w="3106"/>
      </w:tblGrid>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2488" w:type="dxa"/>
            <w:vAlign w:val="center"/>
          </w:tcPr>
          <w:p>
            <w:pPr>
              <w:pStyle w:val="147"/>
              <w:spacing w:before="0"/>
              <w:ind w:left="634" w:right="622"/>
              <w:rPr>
                <w:rFonts w:eastAsia="宋体" w:asciiTheme="minorHAnsi" w:hAnsiTheme="minorHAnsi" w:cstheme="minorBidi"/>
                <w:bCs/>
                <w:sz w:val="21"/>
                <w:szCs w:val="21"/>
              </w:rPr>
            </w:pPr>
            <w:r>
              <w:rPr>
                <w:rFonts w:eastAsia="宋体" w:asciiTheme="minorHAnsi" w:hAnsiTheme="minorHAnsi" w:cstheme="minorBidi"/>
                <w:bCs/>
                <w:spacing w:val="-1"/>
                <w:sz w:val="21"/>
                <w:szCs w:val="21"/>
              </w:rPr>
              <w:t>安全等级</w:t>
            </w:r>
          </w:p>
        </w:tc>
        <w:tc>
          <w:tcPr>
            <w:tcW w:w="2488" w:type="dxa"/>
            <w:vAlign w:val="center"/>
          </w:tcPr>
          <w:p>
            <w:pPr>
              <w:pStyle w:val="147"/>
              <w:spacing w:before="0"/>
              <w:ind w:left="634" w:right="623"/>
              <w:rPr>
                <w:rFonts w:eastAsia="宋体" w:asciiTheme="minorHAnsi" w:hAnsiTheme="minorHAnsi" w:cstheme="minorBidi"/>
                <w:bCs/>
                <w:sz w:val="21"/>
                <w:szCs w:val="21"/>
              </w:rPr>
            </w:pPr>
            <w:r>
              <w:rPr>
                <w:rFonts w:eastAsia="宋体" w:asciiTheme="minorHAnsi" w:hAnsiTheme="minorHAnsi" w:cstheme="minorBidi"/>
                <w:bCs/>
                <w:spacing w:val="-1"/>
                <w:sz w:val="21"/>
                <w:szCs w:val="21"/>
              </w:rPr>
              <w:t>破坏后果</w:t>
            </w:r>
          </w:p>
        </w:tc>
        <w:tc>
          <w:tcPr>
            <w:tcW w:w="3106" w:type="dxa"/>
            <w:vAlign w:val="center"/>
          </w:tcPr>
          <w:p>
            <w:pPr>
              <w:pStyle w:val="147"/>
              <w:spacing w:before="0"/>
              <w:ind w:left="796" w:right="786"/>
              <w:rPr>
                <w:rFonts w:eastAsia="宋体" w:asciiTheme="minorHAnsi" w:hAnsiTheme="minorHAnsi" w:cstheme="minorBidi"/>
                <w:bCs/>
                <w:sz w:val="21"/>
                <w:szCs w:val="21"/>
              </w:rPr>
            </w:pPr>
            <w:r>
              <w:rPr>
                <w:rFonts w:eastAsia="宋体" w:asciiTheme="minorHAnsi" w:hAnsiTheme="minorHAnsi" w:cstheme="minorBidi"/>
                <w:bCs/>
                <w:spacing w:val="-1"/>
                <w:sz w:val="21"/>
                <w:szCs w:val="21"/>
              </w:rPr>
              <w:t>建筑物类型</w:t>
            </w: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2488" w:type="dxa"/>
            <w:vAlign w:val="center"/>
          </w:tcPr>
          <w:p>
            <w:pPr>
              <w:pStyle w:val="147"/>
              <w:spacing w:before="0"/>
              <w:ind w:left="634" w:right="622"/>
              <w:rPr>
                <w:rFonts w:eastAsia="宋体" w:asciiTheme="minorHAnsi" w:hAnsiTheme="minorHAnsi" w:cstheme="minorBidi"/>
                <w:sz w:val="21"/>
                <w:szCs w:val="21"/>
              </w:rPr>
            </w:pPr>
            <w:r>
              <w:rPr>
                <w:rFonts w:eastAsia="宋体" w:asciiTheme="minorHAnsi" w:hAnsiTheme="minorHAnsi" w:cstheme="minorBidi"/>
                <w:sz w:val="21"/>
                <w:szCs w:val="21"/>
              </w:rPr>
              <w:t>一级</w:t>
            </w:r>
          </w:p>
        </w:tc>
        <w:tc>
          <w:tcPr>
            <w:tcW w:w="2488" w:type="dxa"/>
            <w:vAlign w:val="center"/>
          </w:tcPr>
          <w:p>
            <w:pPr>
              <w:pStyle w:val="147"/>
              <w:spacing w:before="0"/>
              <w:ind w:left="634" w:right="623"/>
              <w:rPr>
                <w:rFonts w:eastAsia="宋体" w:asciiTheme="minorHAnsi" w:hAnsiTheme="minorHAnsi" w:cstheme="minorBidi"/>
                <w:sz w:val="21"/>
                <w:szCs w:val="21"/>
              </w:rPr>
            </w:pPr>
            <w:r>
              <w:rPr>
                <w:rFonts w:eastAsia="宋体" w:asciiTheme="minorHAnsi" w:hAnsiTheme="minorHAnsi" w:cstheme="minorBidi"/>
                <w:sz w:val="21"/>
                <w:szCs w:val="21"/>
              </w:rPr>
              <w:t>很严重</w:t>
            </w:r>
          </w:p>
        </w:tc>
        <w:tc>
          <w:tcPr>
            <w:tcW w:w="3106" w:type="dxa"/>
            <w:vAlign w:val="center"/>
          </w:tcPr>
          <w:p>
            <w:pPr>
              <w:pStyle w:val="147"/>
              <w:spacing w:before="0"/>
              <w:ind w:left="796" w:right="786"/>
              <w:rPr>
                <w:rFonts w:eastAsia="宋体" w:asciiTheme="minorHAnsi" w:hAnsiTheme="minorHAnsi" w:cstheme="minorBidi"/>
                <w:sz w:val="21"/>
                <w:szCs w:val="21"/>
              </w:rPr>
            </w:pPr>
            <w:r>
              <w:rPr>
                <w:rFonts w:eastAsia="宋体" w:asciiTheme="minorHAnsi" w:hAnsiTheme="minorHAnsi" w:cstheme="minorBidi"/>
                <w:spacing w:val="-1"/>
                <w:sz w:val="21"/>
                <w:szCs w:val="21"/>
              </w:rPr>
              <w:t>重要的房屋</w:t>
            </w: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2488" w:type="dxa"/>
            <w:vAlign w:val="center"/>
          </w:tcPr>
          <w:p>
            <w:pPr>
              <w:pStyle w:val="147"/>
              <w:spacing w:before="0"/>
              <w:ind w:left="634" w:right="622"/>
              <w:rPr>
                <w:rFonts w:eastAsia="宋体" w:asciiTheme="minorHAnsi" w:hAnsiTheme="minorHAnsi" w:cstheme="minorBidi"/>
                <w:sz w:val="21"/>
                <w:szCs w:val="21"/>
              </w:rPr>
            </w:pPr>
            <w:r>
              <w:rPr>
                <w:rFonts w:eastAsia="宋体" w:asciiTheme="minorHAnsi" w:hAnsiTheme="minorHAnsi" w:cstheme="minorBidi"/>
                <w:sz w:val="21"/>
                <w:szCs w:val="21"/>
              </w:rPr>
              <w:t>二级</w:t>
            </w:r>
          </w:p>
        </w:tc>
        <w:tc>
          <w:tcPr>
            <w:tcW w:w="2488" w:type="dxa"/>
            <w:vAlign w:val="center"/>
          </w:tcPr>
          <w:p>
            <w:pPr>
              <w:pStyle w:val="147"/>
              <w:spacing w:before="0"/>
              <w:ind w:left="634" w:right="623"/>
              <w:rPr>
                <w:rFonts w:eastAsia="宋体" w:asciiTheme="minorHAnsi" w:hAnsiTheme="minorHAnsi" w:cstheme="minorBidi"/>
                <w:sz w:val="21"/>
                <w:szCs w:val="21"/>
              </w:rPr>
            </w:pPr>
            <w:r>
              <w:rPr>
                <w:rFonts w:eastAsia="宋体" w:asciiTheme="minorHAnsi" w:hAnsiTheme="minorHAnsi" w:cstheme="minorBidi"/>
                <w:sz w:val="21"/>
                <w:szCs w:val="21"/>
              </w:rPr>
              <w:t>严重</w:t>
            </w:r>
          </w:p>
        </w:tc>
        <w:tc>
          <w:tcPr>
            <w:tcW w:w="3106" w:type="dxa"/>
            <w:vAlign w:val="center"/>
          </w:tcPr>
          <w:p>
            <w:pPr>
              <w:pStyle w:val="147"/>
              <w:spacing w:before="0"/>
              <w:ind w:left="796" w:right="786"/>
              <w:rPr>
                <w:rFonts w:eastAsia="宋体" w:asciiTheme="minorHAnsi" w:hAnsiTheme="minorHAnsi" w:cstheme="minorBidi"/>
                <w:sz w:val="21"/>
                <w:szCs w:val="21"/>
              </w:rPr>
            </w:pPr>
            <w:r>
              <w:rPr>
                <w:rFonts w:eastAsia="宋体" w:asciiTheme="minorHAnsi" w:hAnsiTheme="minorHAnsi" w:cstheme="minorBidi"/>
                <w:spacing w:val="-1"/>
                <w:sz w:val="21"/>
                <w:szCs w:val="21"/>
              </w:rPr>
              <w:t>一般的房屋</w:t>
            </w: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2488" w:type="dxa"/>
            <w:vAlign w:val="center"/>
          </w:tcPr>
          <w:p>
            <w:pPr>
              <w:pStyle w:val="147"/>
              <w:spacing w:before="0"/>
              <w:ind w:left="634" w:right="622"/>
              <w:rPr>
                <w:rFonts w:eastAsia="宋体" w:asciiTheme="minorHAnsi" w:hAnsiTheme="minorHAnsi" w:cstheme="minorBidi"/>
                <w:sz w:val="21"/>
                <w:szCs w:val="21"/>
              </w:rPr>
            </w:pPr>
            <w:r>
              <w:rPr>
                <w:rFonts w:eastAsia="宋体" w:asciiTheme="minorHAnsi" w:hAnsiTheme="minorHAnsi" w:cstheme="minorBidi"/>
                <w:sz w:val="21"/>
                <w:szCs w:val="21"/>
              </w:rPr>
              <w:t>三级</w:t>
            </w:r>
          </w:p>
        </w:tc>
        <w:tc>
          <w:tcPr>
            <w:tcW w:w="2488" w:type="dxa"/>
            <w:vAlign w:val="center"/>
          </w:tcPr>
          <w:p>
            <w:pPr>
              <w:pStyle w:val="147"/>
              <w:spacing w:before="0"/>
              <w:ind w:left="634" w:right="623"/>
              <w:rPr>
                <w:rFonts w:eastAsia="宋体" w:asciiTheme="minorHAnsi" w:hAnsiTheme="minorHAnsi" w:cstheme="minorBidi"/>
                <w:sz w:val="21"/>
                <w:szCs w:val="21"/>
              </w:rPr>
            </w:pPr>
            <w:r>
              <w:rPr>
                <w:rFonts w:eastAsia="宋体" w:asciiTheme="minorHAnsi" w:hAnsiTheme="minorHAnsi" w:cstheme="minorBidi"/>
                <w:sz w:val="21"/>
                <w:szCs w:val="21"/>
              </w:rPr>
              <w:t>不严重</w:t>
            </w:r>
          </w:p>
        </w:tc>
        <w:tc>
          <w:tcPr>
            <w:tcW w:w="3106" w:type="dxa"/>
            <w:vAlign w:val="center"/>
          </w:tcPr>
          <w:p>
            <w:pPr>
              <w:pStyle w:val="147"/>
              <w:spacing w:before="0"/>
              <w:ind w:left="796" w:right="786"/>
              <w:rPr>
                <w:rFonts w:eastAsia="宋体" w:asciiTheme="minorHAnsi" w:hAnsiTheme="minorHAnsi" w:cstheme="minorBidi"/>
                <w:sz w:val="21"/>
                <w:szCs w:val="21"/>
              </w:rPr>
            </w:pPr>
            <w:r>
              <w:rPr>
                <w:rFonts w:eastAsia="宋体" w:asciiTheme="minorHAnsi" w:hAnsiTheme="minorHAnsi" w:cstheme="minorBidi"/>
                <w:spacing w:val="-1"/>
                <w:sz w:val="21"/>
                <w:szCs w:val="21"/>
              </w:rPr>
              <w:t>次要的房屋</w:t>
            </w:r>
          </w:p>
        </w:tc>
      </w:tr>
    </w:tbl>
    <w:p>
      <w:pPr>
        <w:spacing w:line="360" w:lineRule="auto"/>
        <w:outlineLvl w:val="2"/>
        <w:rPr>
          <w:sz w:val="24"/>
          <w:szCs w:val="24"/>
        </w:rPr>
      </w:pPr>
      <w:r>
        <w:rPr>
          <w:rFonts w:hint="eastAsia" w:eastAsiaTheme="minorEastAsia"/>
          <w:b/>
          <w:sz w:val="24"/>
          <w:szCs w:val="24"/>
        </w:rPr>
        <w:t>5</w:t>
      </w:r>
      <w:r>
        <w:rPr>
          <w:rFonts w:eastAsiaTheme="minorEastAsia"/>
          <w:b/>
          <w:sz w:val="24"/>
          <w:szCs w:val="24"/>
        </w:rPr>
        <w:t>.3.2　</w:t>
      </w:r>
      <w:r>
        <w:rPr>
          <w:sz w:val="24"/>
          <w:szCs w:val="24"/>
        </w:rPr>
        <w:t>模壳</w:t>
      </w:r>
      <w:r>
        <w:rPr>
          <w:rFonts w:hint="eastAsia"/>
          <w:sz w:val="24"/>
          <w:szCs w:val="24"/>
        </w:rPr>
        <w:t>砌块</w:t>
      </w:r>
      <w:r>
        <w:rPr>
          <w:sz w:val="24"/>
          <w:szCs w:val="24"/>
        </w:rPr>
        <w:t>砌体结构的内力与位移分析可采用线弹性分析法。应根据结构分析所得到的内力，分别按轴心受压、偏心受压、偏心受拉等构件进行正截面承载力和斜截面承载力计算，并</w:t>
      </w:r>
      <w:r>
        <w:rPr>
          <w:rFonts w:hint="eastAsia"/>
          <w:sz w:val="24"/>
          <w:szCs w:val="24"/>
        </w:rPr>
        <w:t>宜</w:t>
      </w:r>
      <w:r>
        <w:rPr>
          <w:sz w:val="24"/>
          <w:szCs w:val="24"/>
        </w:rPr>
        <w:t>进行结构变形验算。</w:t>
      </w:r>
    </w:p>
    <w:p>
      <w:pPr>
        <w:spacing w:line="360" w:lineRule="auto"/>
        <w:outlineLvl w:val="2"/>
        <w:rPr>
          <w:sz w:val="24"/>
          <w:szCs w:val="24"/>
        </w:rPr>
      </w:pPr>
      <w:r>
        <w:rPr>
          <w:rFonts w:hint="eastAsia" w:eastAsiaTheme="minorEastAsia"/>
          <w:b/>
          <w:sz w:val="24"/>
          <w:szCs w:val="24"/>
        </w:rPr>
        <w:t>5</w:t>
      </w:r>
      <w:r>
        <w:rPr>
          <w:rFonts w:eastAsiaTheme="minorEastAsia"/>
          <w:b/>
          <w:sz w:val="24"/>
          <w:szCs w:val="24"/>
        </w:rPr>
        <w:t>.3.3　</w:t>
      </w:r>
      <w:r>
        <w:rPr>
          <w:sz w:val="24"/>
          <w:szCs w:val="24"/>
        </w:rPr>
        <w:t>模壳</w:t>
      </w:r>
      <w:r>
        <w:rPr>
          <w:rFonts w:hint="eastAsia"/>
          <w:sz w:val="24"/>
          <w:szCs w:val="24"/>
        </w:rPr>
        <w:t>砌块</w:t>
      </w:r>
      <w:r>
        <w:rPr>
          <w:sz w:val="24"/>
          <w:szCs w:val="24"/>
        </w:rPr>
        <w:t>砌体结构进行构件设计时，静力计算应符合本</w:t>
      </w:r>
      <w:r>
        <w:rPr>
          <w:rFonts w:hint="eastAsia"/>
          <w:sz w:val="24"/>
          <w:szCs w:val="24"/>
        </w:rPr>
        <w:t>规程</w:t>
      </w:r>
      <w:r>
        <w:rPr>
          <w:sz w:val="24"/>
          <w:szCs w:val="24"/>
        </w:rPr>
        <w:t>的规定并应符合现行国家标准《砌体结构设计规范》GB 50003的有关规定。</w:t>
      </w:r>
    </w:p>
    <w:p>
      <w:pPr>
        <w:spacing w:line="360" w:lineRule="auto"/>
        <w:outlineLvl w:val="2"/>
        <w:rPr>
          <w:sz w:val="24"/>
          <w:szCs w:val="24"/>
        </w:rPr>
      </w:pPr>
      <w:r>
        <w:rPr>
          <w:rFonts w:eastAsiaTheme="minorEastAsia"/>
          <w:b/>
          <w:sz w:val="24"/>
          <w:szCs w:val="24"/>
        </w:rPr>
        <w:t>5.3.4　</w:t>
      </w:r>
      <w:r>
        <w:rPr>
          <w:sz w:val="24"/>
          <w:szCs w:val="24"/>
        </w:rPr>
        <w:t>带有构造柱的模壳</w:t>
      </w:r>
      <w:r>
        <w:rPr>
          <w:rFonts w:hint="eastAsia"/>
          <w:sz w:val="24"/>
          <w:szCs w:val="24"/>
        </w:rPr>
        <w:t>砌块</w:t>
      </w:r>
      <w:r>
        <w:rPr>
          <w:sz w:val="24"/>
          <w:szCs w:val="24"/>
        </w:rPr>
        <w:t>砌体结构轴心受压承载力计算可按现行国家标准《砌体结构设计规范》GB 50003中砌块砌体和钢筋混凝土构造柱组合墙的有关规定计算。</w:t>
      </w:r>
    </w:p>
    <w:p>
      <w:pPr>
        <w:tabs>
          <w:tab w:val="left" w:pos="425"/>
          <w:tab w:val="left" w:pos="735"/>
        </w:tabs>
        <w:adjustRightInd w:val="0"/>
        <w:spacing w:line="360" w:lineRule="auto"/>
        <w:outlineLvl w:val="2"/>
        <w:rPr>
          <w:sz w:val="24"/>
          <w:szCs w:val="24"/>
        </w:rPr>
      </w:pPr>
      <w:r>
        <w:rPr>
          <w:rFonts w:eastAsiaTheme="minorEastAsia"/>
          <w:b/>
          <w:sz w:val="24"/>
          <w:szCs w:val="24"/>
        </w:rPr>
        <w:t>5.3.5　</w:t>
      </w:r>
      <w:r>
        <w:rPr>
          <w:rFonts w:hint="eastAsia"/>
          <w:sz w:val="24"/>
          <w:szCs w:val="24"/>
        </w:rPr>
        <w:t>模壳砌块墙体作为受压承重构件时的承载力，应满足下式要求：</w:t>
      </w:r>
    </w:p>
    <w:p>
      <w:pPr>
        <w:tabs>
          <w:tab w:val="left" w:pos="3402"/>
          <w:tab w:val="left" w:pos="7230"/>
        </w:tabs>
        <w:spacing w:line="360" w:lineRule="auto"/>
      </w:pPr>
      <w:r>
        <w:tab/>
      </w:r>
      <w:r>
        <w:rPr>
          <w:position w:val="-10"/>
        </w:rPr>
        <w:object>
          <v:shape id="_x0000_i1025" o:spt="75" type="#_x0000_t75" style="height:15.8pt;width:46.2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tab/>
      </w:r>
      <w:r>
        <w:rPr>
          <w:sz w:val="24"/>
          <w:szCs w:val="24"/>
        </w:rPr>
        <w:t>（5.3.5）</w:t>
      </w:r>
    </w:p>
    <w:p>
      <w:pPr>
        <w:pStyle w:val="145"/>
        <w:spacing w:before="0" w:beforeAutospacing="0" w:after="0" w:afterAutospacing="0"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iCs/>
        </w:rPr>
        <w:t>N</w:t>
      </w:r>
      <w:r>
        <w:rPr>
          <w:rFonts w:ascii="Times New Roman" w:hAnsi="Times New Roman" w:cs="Times New Roman"/>
        </w:rPr>
        <w:t>——轴向力设计值；</w:t>
      </w:r>
    </w:p>
    <w:p>
      <w:pPr>
        <w:widowControl/>
        <w:spacing w:line="360" w:lineRule="auto"/>
        <w:ind w:firstLine="720" w:firstLineChars="300"/>
        <w:jc w:val="left"/>
        <w:rPr>
          <w:kern w:val="0"/>
          <w:sz w:val="24"/>
          <w:szCs w:val="24"/>
        </w:rPr>
      </w:pPr>
      <w:r>
        <w:rPr>
          <w:i/>
          <w:iCs/>
          <w:kern w:val="0"/>
          <w:sz w:val="24"/>
          <w:szCs w:val="24"/>
        </w:rPr>
        <w:t>φ</w:t>
      </w:r>
      <w:r>
        <w:rPr>
          <w:sz w:val="24"/>
          <w:szCs w:val="24"/>
        </w:rPr>
        <w:t>——</w:t>
      </w:r>
      <w:r>
        <w:rPr>
          <w:kern w:val="0"/>
          <w:sz w:val="24"/>
          <w:szCs w:val="24"/>
        </w:rPr>
        <w:t>高厚比</w:t>
      </w:r>
      <w:r>
        <w:rPr>
          <w:i/>
          <w:iCs/>
          <w:kern w:val="0"/>
          <w:sz w:val="24"/>
          <w:szCs w:val="24"/>
        </w:rPr>
        <w:t>β</w:t>
      </w:r>
      <w:r>
        <w:rPr>
          <w:kern w:val="0"/>
          <w:sz w:val="24"/>
          <w:szCs w:val="24"/>
        </w:rPr>
        <w:t>和轴向力的偏心距</w:t>
      </w:r>
      <w:r>
        <w:rPr>
          <w:i/>
          <w:iCs/>
          <w:kern w:val="0"/>
          <w:sz w:val="24"/>
          <w:szCs w:val="24"/>
        </w:rPr>
        <w:t>e</w:t>
      </w:r>
      <w:r>
        <w:rPr>
          <w:kern w:val="0"/>
          <w:sz w:val="24"/>
          <w:szCs w:val="24"/>
        </w:rPr>
        <w:t>对受压构件承载力的影响系数；</w:t>
      </w:r>
    </w:p>
    <w:p>
      <w:pPr>
        <w:widowControl/>
        <w:spacing w:line="360" w:lineRule="auto"/>
        <w:ind w:firstLine="720" w:firstLineChars="300"/>
        <w:jc w:val="left"/>
        <w:rPr>
          <w:kern w:val="0"/>
          <w:sz w:val="24"/>
          <w:szCs w:val="24"/>
        </w:rPr>
      </w:pPr>
      <w:r>
        <w:rPr>
          <w:i/>
          <w:iCs/>
          <w:kern w:val="0"/>
          <w:sz w:val="24"/>
          <w:szCs w:val="24"/>
        </w:rPr>
        <w:t>f</w:t>
      </w:r>
      <w:r>
        <w:rPr>
          <w:kern w:val="0"/>
          <w:sz w:val="24"/>
          <w:szCs w:val="24"/>
        </w:rPr>
        <w:t>——砌体的抗压强度设计值；</w:t>
      </w:r>
    </w:p>
    <w:p>
      <w:pPr>
        <w:tabs>
          <w:tab w:val="left" w:pos="735"/>
        </w:tabs>
        <w:spacing w:line="360" w:lineRule="auto"/>
        <w:ind w:left="142" w:firstLine="480" w:firstLineChars="200"/>
        <w:rPr>
          <w:kern w:val="0"/>
          <w:sz w:val="24"/>
          <w:szCs w:val="24"/>
        </w:rPr>
      </w:pPr>
      <w:r>
        <w:rPr>
          <w:i/>
          <w:iCs/>
          <w:kern w:val="0"/>
          <w:sz w:val="24"/>
          <w:szCs w:val="24"/>
        </w:rPr>
        <w:t>A</w:t>
      </w:r>
      <w:r>
        <w:rPr>
          <w:kern w:val="0"/>
          <w:sz w:val="24"/>
          <w:szCs w:val="24"/>
        </w:rPr>
        <w:t>——截面面积。</w:t>
      </w:r>
    </w:p>
    <w:p>
      <w:pPr>
        <w:tabs>
          <w:tab w:val="left" w:pos="425"/>
          <w:tab w:val="left" w:pos="735"/>
        </w:tabs>
        <w:spacing w:line="360" w:lineRule="auto"/>
        <w:outlineLvl w:val="2"/>
        <w:rPr>
          <w:sz w:val="24"/>
          <w:szCs w:val="24"/>
        </w:rPr>
      </w:pPr>
      <w:r>
        <w:rPr>
          <w:rFonts w:eastAsiaTheme="minorEastAsia"/>
          <w:b/>
          <w:sz w:val="24"/>
          <w:szCs w:val="24"/>
        </w:rPr>
        <w:t>5.3.6　</w:t>
      </w:r>
      <w:r>
        <w:rPr>
          <w:sz w:val="24"/>
          <w:szCs w:val="24"/>
        </w:rPr>
        <w:t>确定影响系数</w:t>
      </w:r>
      <w:r>
        <w:rPr>
          <w:i/>
          <w:iCs/>
          <w:kern w:val="0"/>
          <w:sz w:val="22"/>
        </w:rPr>
        <w:t>φ</w:t>
      </w:r>
      <w:r>
        <w:rPr>
          <w:sz w:val="24"/>
          <w:szCs w:val="24"/>
        </w:rPr>
        <w:t>时，构件高厚比</w:t>
      </w:r>
      <w:r>
        <w:rPr>
          <w:i/>
          <w:iCs/>
          <w:sz w:val="24"/>
          <w:szCs w:val="24"/>
        </w:rPr>
        <w:t>β</w:t>
      </w:r>
      <w:r>
        <w:rPr>
          <w:sz w:val="24"/>
          <w:szCs w:val="24"/>
        </w:rPr>
        <w:t>应按下列公式计算：</w:t>
      </w:r>
    </w:p>
    <w:p>
      <w:pPr>
        <w:pStyle w:val="145"/>
        <w:tabs>
          <w:tab w:val="left" w:pos="3261"/>
          <w:tab w:val="left" w:pos="7088"/>
        </w:tabs>
        <w:spacing w:before="0" w:beforeAutospacing="0" w:after="0" w:afterAutospacing="0"/>
        <w:ind w:firstLine="480" w:firstLineChars="200"/>
        <w:jc w:val="both"/>
        <w:rPr>
          <w:rFonts w:ascii="Times New Roman" w:hAnsi="Times New Roman"/>
        </w:rPr>
      </w:pPr>
      <w:r>
        <w:rPr>
          <w:rFonts w:ascii="Times New Roman" w:hAnsi="Times New Roman" w:cs="Times New Roman"/>
        </w:rPr>
        <w:t>对矩形截面</w:t>
      </w:r>
      <w:r>
        <w:rPr>
          <w:rFonts w:hint="eastAsia" w:ascii="Times New Roman" w:hAnsi="Times New Roman" w:cs="Times New Roman"/>
        </w:rPr>
        <w:t>：</w:t>
      </w:r>
      <w:r>
        <w:rPr>
          <w:rFonts w:ascii="Times New Roman" w:hAnsi="Times New Roman"/>
        </w:rPr>
        <w:tab/>
      </w:r>
      <w:r>
        <w:rPr>
          <w:rFonts w:ascii="Times New Roman" w:hAnsi="Times New Roman" w:cs="Times New Roman"/>
          <w:position w:val="-14"/>
        </w:rPr>
        <w:object>
          <v:shape id="_x0000_i1026" o:spt="75" type="#_x0000_t75" style="height:19.65pt;width:74.7pt;" o:ole="t" filled="f" o:preferrelative="t" stroked="f" coordsize="21600,21600">
            <v:path/>
            <v:fill on="f" focussize="0,0"/>
            <v:stroke on="f" joinstyle="miter"/>
            <v:imagedata r:id="rId15" o:title=""/>
            <o:lock v:ext="edit" aspectratio="t"/>
            <w10:wrap type="none"/>
            <w10:anchorlock/>
          </v:shape>
          <o:OLEObject Type="Embed" ProgID="Equation.DSMT4" ShapeID="_x0000_i1026" DrawAspect="Content" ObjectID="_1468075726" r:id="rId14">
            <o:LockedField>false</o:LockedField>
          </o:OLEObject>
        </w:object>
      </w:r>
      <w:r>
        <w:rPr>
          <w:rFonts w:ascii="Times New Roman" w:hAnsi="Times New Roman"/>
        </w:rPr>
        <w:tab/>
      </w:r>
      <w:r>
        <w:rPr>
          <w:rFonts w:ascii="Times New Roman" w:hAnsi="Times New Roman" w:cs="Times New Roman"/>
        </w:rPr>
        <w:t>（5.3.6-1）</w:t>
      </w:r>
    </w:p>
    <w:p>
      <w:pPr>
        <w:pStyle w:val="145"/>
        <w:tabs>
          <w:tab w:val="left" w:pos="3261"/>
          <w:tab w:val="left" w:pos="7088"/>
        </w:tabs>
        <w:spacing w:before="0" w:beforeAutospacing="0" w:after="0" w:afterAutospacing="0"/>
        <w:ind w:firstLine="480" w:firstLineChars="200"/>
        <w:jc w:val="both"/>
        <w:rPr>
          <w:rFonts w:ascii="Times New Roman" w:hAnsi="Times New Roman"/>
        </w:rPr>
      </w:pPr>
      <w:r>
        <w:rPr>
          <w:rFonts w:ascii="Times New Roman" w:hAnsi="Times New Roman" w:cs="Times New Roman"/>
        </w:rPr>
        <w:t>对T形截面</w:t>
      </w:r>
      <w:r>
        <w:rPr>
          <w:rFonts w:hint="eastAsia" w:ascii="Times New Roman" w:hAnsi="Times New Roman" w:cs="Times New Roman"/>
        </w:rPr>
        <w:t>：</w:t>
      </w:r>
      <w:r>
        <w:rPr>
          <w:rFonts w:ascii="Times New Roman" w:hAnsi="Times New Roman" w:cs="Times New Roman"/>
        </w:rPr>
        <w:tab/>
      </w:r>
      <w:r>
        <w:rPr>
          <w:rFonts w:ascii="Times New Roman" w:hAnsi="Times New Roman" w:cs="Times New Roman"/>
          <w:position w:val="-14"/>
        </w:rPr>
        <w:object>
          <v:shape id="_x0000_i1027" o:spt="75" type="#_x0000_t75" style="height:19.65pt;width:76.6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r>
        <w:rPr>
          <w:rFonts w:ascii="Times New Roman" w:hAnsi="Times New Roman" w:cs="Times New Roman"/>
        </w:rPr>
        <w:tab/>
      </w:r>
      <w:r>
        <w:rPr>
          <w:rFonts w:ascii="Times New Roman" w:hAnsi="Times New Roman" w:cs="Times New Roman"/>
        </w:rPr>
        <w:t>（5.3.6-2）</w:t>
      </w:r>
    </w:p>
    <w:p>
      <w:pPr>
        <w:pStyle w:val="145"/>
        <w:spacing w:before="0" w:beforeAutospacing="0" w:after="0" w:afterAutospacing="0"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iCs/>
        </w:rPr>
        <w:t>γ</w:t>
      </w:r>
      <w:r>
        <w:rPr>
          <w:rFonts w:ascii="Times New Roman" w:hAnsi="Times New Roman" w:cs="Times New Roman"/>
          <w:vertAlign w:val="subscript"/>
        </w:rPr>
        <w:sym w:font="Symbol" w:char="F062"/>
      </w:r>
      <w:r>
        <w:t>——</w:t>
      </w:r>
      <w:r>
        <w:rPr>
          <w:rFonts w:ascii="Times New Roman" w:hAnsi="Times New Roman" w:cs="Times New Roman"/>
        </w:rPr>
        <w:t>高厚比修正系数，对于灌孔混凝土</w:t>
      </w:r>
      <w:r>
        <w:rPr>
          <w:rFonts w:hint="eastAsia" w:ascii="Times New Roman" w:hAnsi="Times New Roman" w:cs="Times New Roman"/>
        </w:rPr>
        <w:t>模壳</w:t>
      </w:r>
      <w:r>
        <w:rPr>
          <w:rFonts w:ascii="Times New Roman" w:hAnsi="Times New Roman" w:cs="Times New Roman"/>
        </w:rPr>
        <w:t>砌块砌体，取1.0；</w:t>
      </w:r>
    </w:p>
    <w:p>
      <w:pPr>
        <w:pStyle w:val="145"/>
        <w:spacing w:before="0" w:beforeAutospacing="0" w:after="0" w:afterAutospacing="0" w:line="360" w:lineRule="auto"/>
        <w:ind w:firstLine="720" w:firstLineChars="300"/>
        <w:rPr>
          <w:rFonts w:ascii="Times New Roman" w:hAnsi="Times New Roman" w:cs="Times New Roman"/>
        </w:rPr>
      </w:pPr>
      <w:r>
        <w:rPr>
          <w:rFonts w:ascii="Times New Roman" w:hAnsi="Times New Roman" w:cs="Times New Roman"/>
          <w:i/>
          <w:iCs/>
        </w:rPr>
        <w:t>H</w:t>
      </w:r>
      <w:r>
        <w:rPr>
          <w:rFonts w:ascii="Times New Roman" w:hAnsi="Times New Roman" w:cs="Times New Roman"/>
          <w:vertAlign w:val="subscript"/>
        </w:rPr>
        <w:t>0</w:t>
      </w:r>
      <w:r>
        <w:t>——</w:t>
      </w:r>
      <w:r>
        <w:rPr>
          <w:rFonts w:ascii="Times New Roman" w:hAnsi="Times New Roman" w:cs="Times New Roman"/>
        </w:rPr>
        <w:t>受压构件的计算高度；</w:t>
      </w:r>
    </w:p>
    <w:p>
      <w:pPr>
        <w:pStyle w:val="145"/>
        <w:spacing w:before="0" w:beforeAutospacing="0" w:after="0" w:afterAutospacing="0" w:line="360" w:lineRule="auto"/>
        <w:ind w:left="706" w:leftChars="336" w:firstLine="2"/>
        <w:rPr>
          <w:rFonts w:ascii="Times New Roman" w:hAnsi="Times New Roman" w:cs="Times New Roman"/>
        </w:rPr>
      </w:pPr>
      <w:r>
        <w:rPr>
          <w:rFonts w:ascii="Times New Roman" w:hAnsi="Times New Roman" w:cs="Times New Roman"/>
          <w:i/>
          <w:iCs/>
        </w:rPr>
        <w:t>h</w:t>
      </w:r>
      <w:r>
        <w:t>——</w:t>
      </w:r>
      <w:r>
        <w:rPr>
          <w:rFonts w:ascii="Times New Roman" w:hAnsi="Times New Roman" w:cs="Times New Roman"/>
        </w:rPr>
        <w:t>矩形截面轴向力偏心方向的边长，当轴心受压时为截面较小边长；</w:t>
      </w:r>
    </w:p>
    <w:p>
      <w:pPr>
        <w:pStyle w:val="145"/>
        <w:spacing w:before="0" w:beforeAutospacing="0" w:after="0" w:afterAutospacing="0" w:line="360" w:lineRule="auto"/>
        <w:ind w:left="706" w:leftChars="336" w:firstLine="2"/>
        <w:rPr>
          <w:rFonts w:ascii="Times New Roman" w:hAnsi="Times New Roman" w:cs="Times New Roman"/>
        </w:rPr>
      </w:pPr>
      <w:r>
        <w:rPr>
          <w:rFonts w:ascii="Times New Roman" w:hAnsi="Times New Roman" w:cs="Times New Roman"/>
          <w:i/>
          <w:iCs/>
        </w:rPr>
        <w:t>h</w:t>
      </w:r>
      <w:r>
        <w:rPr>
          <w:rFonts w:ascii="Times New Roman" w:hAnsi="Times New Roman" w:cs="Times New Roman"/>
          <w:vertAlign w:val="subscript"/>
        </w:rPr>
        <w:t>T</w:t>
      </w:r>
      <w:r>
        <w:t>——</w:t>
      </w:r>
      <w:r>
        <w:rPr>
          <w:rFonts w:ascii="Times New Roman" w:hAnsi="Times New Roman" w:cs="Times New Roman"/>
        </w:rPr>
        <w:t>T形截面的折算厚度，可近似按3.5</w:t>
      </w:r>
      <w:r>
        <w:rPr>
          <w:rFonts w:ascii="Times New Roman" w:hAnsi="Times New Roman" w:cs="Times New Roman"/>
          <w:i/>
          <w:iCs/>
        </w:rPr>
        <w:t>i</w:t>
      </w:r>
      <w:r>
        <w:rPr>
          <w:rFonts w:ascii="Times New Roman" w:hAnsi="Times New Roman" w:cs="Times New Roman"/>
        </w:rPr>
        <w:t>计算，</w:t>
      </w:r>
      <w:r>
        <w:rPr>
          <w:rFonts w:ascii="Times New Roman" w:hAnsi="Times New Roman" w:cs="Times New Roman"/>
          <w:i/>
          <w:iCs/>
        </w:rPr>
        <w:t>i</w:t>
      </w:r>
      <w:r>
        <w:rPr>
          <w:rFonts w:ascii="Times New Roman" w:hAnsi="Times New Roman" w:cs="Times New Roman"/>
        </w:rPr>
        <w:t>为截面回转半径。</w:t>
      </w:r>
    </w:p>
    <w:p>
      <w:pPr>
        <w:spacing w:line="360" w:lineRule="auto"/>
        <w:outlineLvl w:val="2"/>
        <w:rPr>
          <w:sz w:val="24"/>
          <w:szCs w:val="24"/>
        </w:rPr>
      </w:pPr>
      <w:r>
        <w:rPr>
          <w:rFonts w:eastAsiaTheme="minorEastAsia"/>
          <w:b/>
          <w:sz w:val="24"/>
          <w:szCs w:val="24"/>
        </w:rPr>
        <w:t>5.3.7　</w:t>
      </w:r>
      <w:r>
        <w:rPr>
          <w:sz w:val="24"/>
          <w:szCs w:val="24"/>
        </w:rPr>
        <w:t>轴心受压模壳</w:t>
      </w:r>
      <w:r>
        <w:rPr>
          <w:rFonts w:hint="eastAsia"/>
          <w:sz w:val="24"/>
          <w:szCs w:val="24"/>
        </w:rPr>
        <w:t>砌块墙体，当模壳砌块间配有水平分布钢筋时，其</w:t>
      </w:r>
      <w:r>
        <w:rPr>
          <w:sz w:val="24"/>
          <w:szCs w:val="24"/>
        </w:rPr>
        <w:t>正截面受压承载力应</w:t>
      </w:r>
      <w:r>
        <w:rPr>
          <w:rFonts w:hint="eastAsia"/>
          <w:sz w:val="24"/>
          <w:szCs w:val="24"/>
        </w:rPr>
        <w:t>满足</w:t>
      </w:r>
      <w:r>
        <w:rPr>
          <w:sz w:val="24"/>
          <w:szCs w:val="24"/>
        </w:rPr>
        <w:t>下列公式要求：</w:t>
      </w:r>
    </w:p>
    <w:p>
      <w:pPr>
        <w:pStyle w:val="81"/>
        <w:tabs>
          <w:tab w:val="left" w:pos="2694"/>
          <w:tab w:val="left" w:pos="6946"/>
        </w:tabs>
        <w:spacing w:line="360" w:lineRule="auto"/>
        <w:ind w:firstLine="0" w:firstLineChars="0"/>
        <w:outlineLvl w:val="2"/>
        <w:rPr>
          <w:rFonts w:ascii="Times New Roman" w:hAnsi="Times New Roman"/>
          <w:sz w:val="24"/>
          <w:szCs w:val="24"/>
        </w:rPr>
      </w:pPr>
      <w:r>
        <w:rPr>
          <w:rFonts w:ascii="Times New Roman" w:hAnsi="Times New Roman"/>
        </w:rPr>
        <w:tab/>
      </w:r>
      <w:r>
        <w:rPr>
          <w:rFonts w:ascii="Times New Roman" w:hAnsi="Times New Roman"/>
          <w:position w:val="-14"/>
        </w:rPr>
        <w:object>
          <v:shape id="_x0000_i1028" o:spt="75" type="#_x0000_t75" style="height:21.55pt;width:117.8pt;" o:ole="t" filled="f" o:preferrelative="t" stroked="f" coordsize="21600,21600">
            <v:path/>
            <v:fill on="f" focussize="0,0"/>
            <v:stroke on="f" joinstyle="miter"/>
            <v:imagedata r:id="rId19" o:title=""/>
            <o:lock v:ext="edit" aspectratio="t"/>
            <w10:wrap type="none"/>
            <w10:anchorlock/>
          </v:shape>
          <o:OLEObject Type="Embed" ProgID="Equation.DSMT4" ShapeID="_x0000_i1028" DrawAspect="Content" ObjectID="_1468075728" r:id="rId18">
            <o:LockedField>false</o:LockedField>
          </o:OLEObject>
        </w:object>
      </w:r>
      <w:r>
        <w:rPr>
          <w:rFonts w:ascii="Times New Roman" w:hAnsi="Times New Roman"/>
        </w:rPr>
        <w:tab/>
      </w:r>
      <w:r>
        <w:rPr>
          <w:rFonts w:hint="eastAsia" w:ascii="Times New Roman" w:hAnsi="Times New Roman"/>
          <w:sz w:val="24"/>
          <w:szCs w:val="24"/>
        </w:rPr>
        <w:t>（</w:t>
      </w:r>
      <w:r>
        <w:rPr>
          <w:rFonts w:ascii="Times New Roman" w:hAnsi="Times New Roman"/>
          <w:sz w:val="24"/>
          <w:szCs w:val="24"/>
        </w:rPr>
        <w:t>5.3.7-1</w:t>
      </w:r>
      <w:r>
        <w:rPr>
          <w:rFonts w:hint="eastAsia" w:ascii="Times New Roman" w:hAnsi="Times New Roman"/>
          <w:sz w:val="24"/>
          <w:szCs w:val="24"/>
        </w:rPr>
        <w:t>）</w:t>
      </w:r>
    </w:p>
    <w:p>
      <w:pPr>
        <w:pStyle w:val="81"/>
        <w:tabs>
          <w:tab w:val="left" w:pos="2977"/>
          <w:tab w:val="left" w:pos="6946"/>
        </w:tabs>
        <w:snapToGrid w:val="0"/>
        <w:spacing w:line="240" w:lineRule="auto"/>
        <w:ind w:firstLine="0" w:firstLineChars="0"/>
        <w:outlineLvl w:val="2"/>
        <w:rPr>
          <w:rFonts w:ascii="Times New Roman" w:hAnsi="Times New Roman"/>
          <w:sz w:val="24"/>
          <w:szCs w:val="24"/>
        </w:rPr>
      </w:pPr>
      <w:r>
        <w:tab/>
      </w:r>
      <w:r>
        <w:rPr>
          <w:position w:val="-28"/>
        </w:rPr>
        <w:object>
          <v:shape id="_x0000_i1029" o:spt="75" type="#_x0000_t75" style="height:32.75pt;width:87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29" r:id="rId20">
            <o:LockedField>false</o:LockedField>
          </o:OLEObject>
        </w:object>
      </w:r>
      <w:r>
        <w:tab/>
      </w:r>
      <w:r>
        <w:rPr>
          <w:rFonts w:hint="eastAsia" w:ascii="Times New Roman" w:hAnsi="Times New Roman"/>
          <w:sz w:val="24"/>
          <w:szCs w:val="24"/>
        </w:rPr>
        <w:t>（</w:t>
      </w:r>
      <w:r>
        <w:rPr>
          <w:rFonts w:ascii="Times New Roman" w:hAnsi="Times New Roman"/>
          <w:sz w:val="24"/>
          <w:szCs w:val="24"/>
        </w:rPr>
        <w:t>5.3.7-2</w:t>
      </w:r>
      <w:r>
        <w:rPr>
          <w:rFonts w:hint="eastAsia" w:ascii="Times New Roman" w:hAnsi="Times New Roman"/>
          <w:sz w:val="24"/>
          <w:szCs w:val="24"/>
        </w:rPr>
        <w:t>）</w:t>
      </w:r>
    </w:p>
    <w:p>
      <w:pPr>
        <w:spacing w:line="360" w:lineRule="auto"/>
        <w:jc w:val="left"/>
        <w:rPr>
          <w:sz w:val="24"/>
          <w:szCs w:val="24"/>
        </w:rPr>
      </w:pPr>
      <w:r>
        <w:rPr>
          <w:sz w:val="24"/>
          <w:szCs w:val="24"/>
        </w:rPr>
        <w:t>式中：</w:t>
      </w:r>
      <w:r>
        <w:rPr>
          <w:i/>
          <w:iCs/>
          <w:sz w:val="24"/>
          <w:szCs w:val="24"/>
        </w:rPr>
        <w:t>N</w:t>
      </w:r>
      <w:r>
        <w:rPr>
          <w:sz w:val="24"/>
          <w:szCs w:val="24"/>
        </w:rPr>
        <w:t>——轴向力设计值（N）；</w:t>
      </w:r>
    </w:p>
    <w:p>
      <w:pPr>
        <w:spacing w:line="360" w:lineRule="auto"/>
        <w:ind w:left="1335" w:leftChars="350" w:hanging="600" w:hangingChars="250"/>
        <w:rPr>
          <w:spacing w:val="1"/>
          <w:sz w:val="24"/>
          <w:szCs w:val="24"/>
        </w:rPr>
      </w:pPr>
      <w:r>
        <w:rPr>
          <w:i/>
          <w:iCs/>
          <w:sz w:val="24"/>
          <w:szCs w:val="24"/>
        </w:rPr>
        <w:t>f</w:t>
      </w:r>
      <w:r>
        <w:rPr>
          <w:position w:val="-4"/>
          <w:sz w:val="24"/>
          <w:szCs w:val="24"/>
          <w:vertAlign w:val="subscript"/>
        </w:rPr>
        <w:t>g</w:t>
      </w:r>
      <w:r>
        <w:rPr>
          <w:sz w:val="24"/>
          <w:szCs w:val="24"/>
        </w:rPr>
        <w:t>——灌孔砌块砌体的抗压强度设计值（MPa）；</w:t>
      </w:r>
    </w:p>
    <w:p>
      <w:pPr>
        <w:spacing w:line="360" w:lineRule="auto"/>
        <w:ind w:firstLine="630" w:firstLineChars="300"/>
        <w:jc w:val="left"/>
        <w:rPr>
          <w:sz w:val="24"/>
          <w:szCs w:val="24"/>
        </w:rPr>
      </w:pPr>
      <w:r>
        <w:rPr>
          <w:position w:val="-14"/>
        </w:rPr>
        <w:object>
          <v:shape id="_x0000_i1030" o:spt="75" type="#_x0000_t75" style="height:21.55pt;width:15pt;" o:ole="t" filled="f" o:preferrelative="t" stroked="f" coordsize="21600,21600">
            <v:path/>
            <v:fill on="f" focussize="0,0"/>
            <v:stroke on="f" joinstyle="miter"/>
            <v:imagedata r:id="rId23" o:title=""/>
            <o:lock v:ext="edit" aspectratio="t"/>
            <w10:wrap type="none"/>
            <w10:anchorlock/>
          </v:shape>
          <o:OLEObject Type="Embed" ProgID="Equation.DSMT4" ShapeID="_x0000_i1030" DrawAspect="Content" ObjectID="_1468075730" r:id="rId22">
            <o:LockedField>false</o:LockedField>
          </o:OLEObject>
        </w:object>
      </w:r>
      <w:r>
        <w:rPr>
          <w:sz w:val="24"/>
          <w:szCs w:val="24"/>
        </w:rPr>
        <w:t>——钢筋的抗压强度设计值</w:t>
      </w:r>
      <w:r>
        <w:rPr>
          <w:w w:val="95"/>
          <w:sz w:val="24"/>
          <w:szCs w:val="24"/>
        </w:rPr>
        <w:t>（MPa）</w:t>
      </w:r>
      <w:r>
        <w:rPr>
          <w:sz w:val="24"/>
          <w:szCs w:val="24"/>
        </w:rPr>
        <w:t>；</w:t>
      </w:r>
    </w:p>
    <w:p>
      <w:pPr>
        <w:spacing w:line="360" w:lineRule="auto"/>
        <w:ind w:firstLine="720" w:firstLineChars="300"/>
        <w:jc w:val="left"/>
        <w:rPr>
          <w:spacing w:val="1"/>
          <w:sz w:val="24"/>
          <w:szCs w:val="24"/>
        </w:rPr>
      </w:pPr>
      <w:r>
        <w:rPr>
          <w:i/>
          <w:iCs/>
          <w:sz w:val="24"/>
          <w:szCs w:val="24"/>
        </w:rPr>
        <w:t>A</w:t>
      </w:r>
      <w:r>
        <w:rPr>
          <w:sz w:val="24"/>
          <w:szCs w:val="24"/>
        </w:rPr>
        <w:t>——构件的毛截面面积</w:t>
      </w:r>
      <w:r>
        <w:rPr>
          <w:w w:val="95"/>
          <w:sz w:val="24"/>
          <w:szCs w:val="24"/>
        </w:rPr>
        <w:t>（mm</w:t>
      </w:r>
      <w:r>
        <w:rPr>
          <w:w w:val="95"/>
          <w:sz w:val="24"/>
          <w:szCs w:val="24"/>
          <w:vertAlign w:val="superscript"/>
        </w:rPr>
        <w:t>2</w:t>
      </w:r>
      <w:r>
        <w:rPr>
          <w:w w:val="95"/>
          <w:sz w:val="24"/>
          <w:szCs w:val="24"/>
        </w:rPr>
        <w:t>）</w:t>
      </w:r>
      <w:r>
        <w:rPr>
          <w:sz w:val="24"/>
          <w:szCs w:val="24"/>
        </w:rPr>
        <w:t>；</w:t>
      </w:r>
    </w:p>
    <w:p>
      <w:pPr>
        <w:spacing w:line="360" w:lineRule="auto"/>
        <w:ind w:firstLine="630" w:firstLineChars="300"/>
        <w:jc w:val="left"/>
        <w:rPr>
          <w:spacing w:val="-83"/>
          <w:sz w:val="24"/>
          <w:szCs w:val="24"/>
        </w:rPr>
      </w:pPr>
      <w:r>
        <w:rPr>
          <w:position w:val="-10"/>
        </w:rPr>
        <w:object>
          <v:shape id="_x0000_i1031" o:spt="75" type="#_x0000_t75" style="height:15.8pt;width:15pt;" o:ole="t" filled="f" o:preferrelative="t" stroked="f" coordsize="21600,21600">
            <v:path/>
            <v:fill on="f" focussize="0,0"/>
            <v:stroke on="f" joinstyle="miter"/>
            <v:imagedata r:id="rId25" o:title=""/>
            <o:lock v:ext="edit" aspectratio="t"/>
            <w10:wrap type="none"/>
            <w10:anchorlock/>
          </v:shape>
          <o:OLEObject Type="Embed" ProgID="Equation.DSMT4" ShapeID="_x0000_i1031" DrawAspect="Content" ObjectID="_1468075731" r:id="rId24">
            <o:LockedField>false</o:LockedField>
          </o:OLEObject>
        </w:object>
      </w:r>
      <w:r>
        <w:rPr>
          <w:sz w:val="24"/>
          <w:szCs w:val="24"/>
        </w:rPr>
        <w:t>——全部竖向钢筋的截面面积（mm</w:t>
      </w:r>
      <w:r>
        <w:rPr>
          <w:sz w:val="24"/>
          <w:szCs w:val="24"/>
          <w:vertAlign w:val="superscript"/>
        </w:rPr>
        <w:t>2</w:t>
      </w:r>
      <w:r>
        <w:rPr>
          <w:sz w:val="24"/>
          <w:szCs w:val="24"/>
        </w:rPr>
        <w:t>）</w:t>
      </w:r>
      <w:r>
        <w:rPr>
          <w:rFonts w:hint="eastAsia"/>
          <w:sz w:val="24"/>
          <w:szCs w:val="24"/>
        </w:rPr>
        <w:t>；</w:t>
      </w:r>
    </w:p>
    <w:p>
      <w:pPr>
        <w:spacing w:line="360" w:lineRule="auto"/>
        <w:ind w:firstLine="708" w:firstLineChars="295"/>
        <w:jc w:val="left"/>
        <w:rPr>
          <w:sz w:val="24"/>
          <w:szCs w:val="24"/>
        </w:rPr>
      </w:pPr>
      <w:r>
        <w:rPr>
          <w:i/>
          <w:iCs/>
          <w:sz w:val="24"/>
          <w:szCs w:val="24"/>
        </w:rPr>
        <w:t>φ</w:t>
      </w:r>
      <w:r>
        <w:rPr>
          <w:iCs/>
          <w:position w:val="-4"/>
          <w:sz w:val="24"/>
          <w:szCs w:val="24"/>
          <w:vertAlign w:val="subscript"/>
        </w:rPr>
        <w:t>0</w:t>
      </w:r>
      <w:r>
        <w:rPr>
          <w:i/>
          <w:iCs/>
          <w:position w:val="-4"/>
          <w:sz w:val="24"/>
          <w:szCs w:val="24"/>
          <w:vertAlign w:val="subscript"/>
        </w:rPr>
        <w:t>g</w:t>
      </w:r>
      <w:r>
        <w:rPr>
          <w:sz w:val="24"/>
          <w:szCs w:val="24"/>
        </w:rPr>
        <w:t>——轴心受压构件的稳定系数；</w:t>
      </w:r>
    </w:p>
    <w:p>
      <w:pPr>
        <w:spacing w:line="360" w:lineRule="auto"/>
        <w:ind w:firstLine="720" w:firstLineChars="300"/>
        <w:jc w:val="left"/>
        <w:rPr>
          <w:sz w:val="24"/>
          <w:szCs w:val="24"/>
        </w:rPr>
      </w:pPr>
      <w:r>
        <w:rPr>
          <w:i/>
          <w:sz w:val="24"/>
          <w:szCs w:val="24"/>
        </w:rPr>
        <w:t>β</w:t>
      </w:r>
      <w:r>
        <w:rPr>
          <w:sz w:val="24"/>
          <w:szCs w:val="24"/>
        </w:rPr>
        <w:t>——构件高厚比</w:t>
      </w:r>
      <w:bookmarkStart w:id="113" w:name="_Hlk151674128"/>
      <w:r>
        <w:rPr>
          <w:sz w:val="24"/>
          <w:szCs w:val="24"/>
        </w:rPr>
        <w:t>。</w:t>
      </w:r>
    </w:p>
    <w:bookmarkEnd w:id="113"/>
    <w:p>
      <w:pPr>
        <w:tabs>
          <w:tab w:val="left" w:pos="425"/>
          <w:tab w:val="left" w:pos="735"/>
        </w:tabs>
        <w:adjustRightInd w:val="0"/>
        <w:spacing w:line="360" w:lineRule="auto"/>
        <w:outlineLvl w:val="2"/>
        <w:rPr>
          <w:sz w:val="24"/>
          <w:szCs w:val="24"/>
        </w:rPr>
      </w:pPr>
      <w:r>
        <w:rPr>
          <w:rFonts w:eastAsiaTheme="minorEastAsia"/>
          <w:b/>
          <w:sz w:val="24"/>
          <w:szCs w:val="24"/>
        </w:rPr>
        <w:t>5.3.8　</w:t>
      </w:r>
      <w:r>
        <w:rPr>
          <w:sz w:val="24"/>
          <w:szCs w:val="24"/>
        </w:rPr>
        <w:t>模壳</w:t>
      </w:r>
      <w:r>
        <w:rPr>
          <w:rFonts w:hint="eastAsia"/>
          <w:sz w:val="24"/>
          <w:szCs w:val="24"/>
        </w:rPr>
        <w:t>砌块</w:t>
      </w:r>
      <w:r>
        <w:rPr>
          <w:sz w:val="24"/>
          <w:szCs w:val="24"/>
        </w:rPr>
        <w:t>砌体结构构件，当竖向钢筋仅配在中间时，其平面外偏心受压承载力可按现行国家标准《砌体结构设计规范》GB 50003中无筋砌体构件受压构件的承载力验算公式进行计算，但应采用灌孔砌体的抗压强度设计值。</w:t>
      </w:r>
    </w:p>
    <w:p>
      <w:pPr>
        <w:spacing w:line="360" w:lineRule="auto"/>
        <w:outlineLvl w:val="2"/>
        <w:rPr>
          <w:sz w:val="24"/>
          <w:szCs w:val="24"/>
        </w:rPr>
      </w:pPr>
      <w:r>
        <w:rPr>
          <w:rFonts w:eastAsiaTheme="minorEastAsia"/>
          <w:b/>
          <w:sz w:val="24"/>
          <w:szCs w:val="24"/>
        </w:rPr>
        <w:t>5.3.9　</w:t>
      </w:r>
      <w:r>
        <w:rPr>
          <w:sz w:val="24"/>
          <w:szCs w:val="24"/>
        </w:rPr>
        <w:t>偏心受压和偏心受拉配筋模壳</w:t>
      </w:r>
      <w:r>
        <w:rPr>
          <w:rFonts w:hint="eastAsia"/>
          <w:sz w:val="24"/>
          <w:szCs w:val="24"/>
        </w:rPr>
        <w:t>砌块墙体</w:t>
      </w:r>
      <w:r>
        <w:rPr>
          <w:sz w:val="24"/>
          <w:szCs w:val="24"/>
        </w:rPr>
        <w:t>，其斜截面受剪承载力应</w:t>
      </w:r>
      <w:r>
        <w:rPr>
          <w:rFonts w:hint="eastAsia"/>
          <w:sz w:val="24"/>
          <w:szCs w:val="24"/>
        </w:rPr>
        <w:t>符合</w:t>
      </w:r>
      <w:r>
        <w:rPr>
          <w:sz w:val="24"/>
          <w:szCs w:val="24"/>
        </w:rPr>
        <w:t>下列</w:t>
      </w:r>
      <w:r>
        <w:rPr>
          <w:rFonts w:hint="eastAsia"/>
          <w:sz w:val="24"/>
          <w:szCs w:val="24"/>
        </w:rPr>
        <w:t>规定</w:t>
      </w:r>
      <w:r>
        <w:rPr>
          <w:sz w:val="24"/>
          <w:szCs w:val="24"/>
        </w:rPr>
        <w:t>：</w:t>
      </w:r>
    </w:p>
    <w:p>
      <w:pPr>
        <w:pStyle w:val="81"/>
        <w:spacing w:line="360" w:lineRule="auto"/>
        <w:ind w:firstLine="480"/>
        <w:rPr>
          <w:rFonts w:ascii="Times New Roman" w:hAnsi="Times New Roman"/>
          <w:sz w:val="24"/>
          <w:szCs w:val="24"/>
        </w:rPr>
      </w:pPr>
      <w:r>
        <w:rPr>
          <w:rFonts w:ascii="Times New Roman" w:hAnsi="Times New Roman"/>
          <w:sz w:val="24"/>
          <w:szCs w:val="24"/>
        </w:rPr>
        <w:t>1</w:t>
      </w:r>
      <w:r>
        <w:rPr>
          <w:rFonts w:eastAsiaTheme="minorEastAsia"/>
          <w:b/>
          <w:sz w:val="24"/>
          <w:szCs w:val="24"/>
        </w:rPr>
        <w:t>　</w:t>
      </w:r>
      <w:r>
        <w:rPr>
          <w:rFonts w:hint="eastAsia" w:ascii="Times New Roman" w:hAnsi="Times New Roman"/>
          <w:sz w:val="24"/>
          <w:szCs w:val="24"/>
        </w:rPr>
        <w:t>模壳砌块墙体</w:t>
      </w:r>
      <w:r>
        <w:rPr>
          <w:rFonts w:ascii="Times New Roman" w:hAnsi="Times New Roman"/>
          <w:sz w:val="24"/>
          <w:szCs w:val="24"/>
        </w:rPr>
        <w:t>的截面应满足下式要求：</w:t>
      </w:r>
    </w:p>
    <w:p>
      <w:pPr>
        <w:pStyle w:val="81"/>
        <w:tabs>
          <w:tab w:val="left" w:pos="3119"/>
          <w:tab w:val="left" w:pos="7088"/>
        </w:tabs>
        <w:spacing w:line="360" w:lineRule="auto"/>
        <w:ind w:firstLine="480"/>
        <w:rPr>
          <w:rFonts w:ascii="Times New Roman" w:hAnsi="Times New Roman"/>
          <w:sz w:val="24"/>
          <w:szCs w:val="24"/>
        </w:rPr>
      </w:pPr>
      <w:r>
        <w:rPr>
          <w:rFonts w:ascii="Times New Roman" w:hAnsi="Times New Roman"/>
          <w:sz w:val="24"/>
          <w:szCs w:val="24"/>
        </w:rPr>
        <w:tab/>
      </w:r>
      <w:r>
        <w:rPr>
          <w:position w:val="-14"/>
        </w:rPr>
        <w:object>
          <v:shape id="_x0000_i1032" o:spt="75" type="#_x0000_t75" style="height:21.55pt;width:67.4pt;" o:ole="t" filled="f" o:preferrelative="t" stroked="f" coordsize="21600,21600">
            <v:path/>
            <v:fill on="f" focussize="0,0"/>
            <v:stroke on="f" joinstyle="miter"/>
            <v:imagedata r:id="rId27" o:title=""/>
            <o:lock v:ext="edit" aspectratio="t"/>
            <w10:wrap type="none"/>
            <w10:anchorlock/>
          </v:shape>
          <o:OLEObject Type="Embed" ProgID="Equation.DSMT4" ShapeID="_x0000_i1032" DrawAspect="Content" ObjectID="_1468075732" r:id="rId26">
            <o:LockedField>false</o:LockedField>
          </o:OLEObject>
        </w:object>
      </w:r>
      <w:r>
        <w:tab/>
      </w:r>
      <w:r>
        <w:rPr>
          <w:rFonts w:hint="eastAsia" w:ascii="Times New Roman" w:hAnsi="Times New Roman"/>
          <w:sz w:val="24"/>
          <w:szCs w:val="24"/>
        </w:rPr>
        <w:t>（</w:t>
      </w:r>
      <w:r>
        <w:rPr>
          <w:rFonts w:ascii="Times New Roman" w:hAnsi="Times New Roman"/>
          <w:sz w:val="24"/>
          <w:szCs w:val="24"/>
        </w:rPr>
        <w:t>5.3.9-1</w:t>
      </w:r>
      <w:r>
        <w:rPr>
          <w:rFonts w:hint="eastAsia" w:ascii="Times New Roman" w:hAnsi="Times New Roman"/>
          <w:sz w:val="24"/>
          <w:szCs w:val="24"/>
        </w:rPr>
        <w:t>）</w:t>
      </w:r>
    </w:p>
    <w:p>
      <w:pPr>
        <w:spacing w:line="360" w:lineRule="auto"/>
        <w:rPr>
          <w:sz w:val="24"/>
          <w:szCs w:val="24"/>
        </w:rPr>
      </w:pPr>
      <w:r>
        <w:rPr>
          <w:sz w:val="24"/>
          <w:szCs w:val="24"/>
        </w:rPr>
        <w:t>式中：</w:t>
      </w:r>
      <w:r>
        <w:rPr>
          <w:i/>
          <w:iCs/>
          <w:sz w:val="24"/>
          <w:szCs w:val="24"/>
        </w:rPr>
        <w:t>V</w:t>
      </w:r>
      <w:r>
        <w:rPr>
          <w:sz w:val="24"/>
          <w:szCs w:val="24"/>
        </w:rPr>
        <w:t>——</w:t>
      </w:r>
      <w:r>
        <w:rPr>
          <w:rFonts w:hint="eastAsia"/>
          <w:sz w:val="24"/>
          <w:szCs w:val="24"/>
        </w:rPr>
        <w:t>模壳砌块墙体</w:t>
      </w:r>
      <w:r>
        <w:rPr>
          <w:sz w:val="24"/>
          <w:szCs w:val="24"/>
        </w:rPr>
        <w:t>的剪力设计值</w:t>
      </w:r>
      <w:r>
        <w:rPr>
          <w:rFonts w:hint="eastAsia"/>
          <w:sz w:val="24"/>
          <w:szCs w:val="24"/>
        </w:rPr>
        <w:t>（</w:t>
      </w:r>
      <w:r>
        <w:rPr>
          <w:sz w:val="24"/>
          <w:szCs w:val="24"/>
        </w:rPr>
        <w:t>N</w:t>
      </w:r>
      <w:r>
        <w:rPr>
          <w:rFonts w:hint="eastAsia"/>
          <w:sz w:val="24"/>
          <w:szCs w:val="24"/>
        </w:rPr>
        <w:t>）</w:t>
      </w:r>
      <w:r>
        <w:rPr>
          <w:sz w:val="24"/>
          <w:szCs w:val="24"/>
        </w:rPr>
        <w:t>；</w:t>
      </w:r>
    </w:p>
    <w:p>
      <w:pPr>
        <w:spacing w:line="360" w:lineRule="auto"/>
        <w:ind w:firstLine="720" w:firstLineChars="300"/>
        <w:rPr>
          <w:spacing w:val="1"/>
          <w:sz w:val="24"/>
          <w:szCs w:val="24"/>
        </w:rPr>
      </w:pPr>
      <w:r>
        <w:rPr>
          <w:i/>
          <w:iCs/>
          <w:sz w:val="24"/>
          <w:szCs w:val="24"/>
        </w:rPr>
        <w:t>b</w:t>
      </w:r>
      <w:r>
        <w:rPr>
          <w:sz w:val="24"/>
          <w:szCs w:val="24"/>
        </w:rPr>
        <w:t>——</w:t>
      </w:r>
      <w:r>
        <w:rPr>
          <w:rFonts w:hint="eastAsia"/>
          <w:sz w:val="24"/>
          <w:szCs w:val="24"/>
        </w:rPr>
        <w:t>模壳砌块墙体</w:t>
      </w:r>
      <w:r>
        <w:rPr>
          <w:sz w:val="24"/>
          <w:szCs w:val="24"/>
        </w:rPr>
        <w:t>截面宽度或T形、倒L形截面腹板宽度</w:t>
      </w:r>
      <w:r>
        <w:rPr>
          <w:rFonts w:hint="eastAsia"/>
          <w:sz w:val="24"/>
          <w:szCs w:val="24"/>
        </w:rPr>
        <w:t>（</w:t>
      </w:r>
      <w:r>
        <w:rPr>
          <w:sz w:val="24"/>
          <w:szCs w:val="24"/>
        </w:rPr>
        <w:t>mm</w:t>
      </w:r>
      <w:r>
        <w:rPr>
          <w:rFonts w:hint="eastAsia"/>
          <w:sz w:val="24"/>
          <w:szCs w:val="24"/>
        </w:rPr>
        <w:t>）</w:t>
      </w:r>
      <w:r>
        <w:rPr>
          <w:sz w:val="24"/>
          <w:szCs w:val="24"/>
        </w:rPr>
        <w:t>；</w:t>
      </w:r>
    </w:p>
    <w:p>
      <w:pPr>
        <w:spacing w:line="360" w:lineRule="auto"/>
        <w:ind w:firstLine="720" w:firstLineChars="300"/>
        <w:rPr>
          <w:sz w:val="24"/>
          <w:szCs w:val="24"/>
        </w:rPr>
      </w:pPr>
      <w:r>
        <w:rPr>
          <w:i/>
          <w:iCs/>
          <w:sz w:val="24"/>
          <w:szCs w:val="24"/>
        </w:rPr>
        <w:t>h</w:t>
      </w:r>
      <w:r>
        <w:rPr>
          <w:position w:val="-4"/>
          <w:sz w:val="24"/>
          <w:szCs w:val="24"/>
          <w:vertAlign w:val="subscript"/>
        </w:rPr>
        <w:t>0</w:t>
      </w:r>
      <w:r>
        <w:rPr>
          <w:sz w:val="24"/>
          <w:szCs w:val="24"/>
        </w:rPr>
        <w:t>——</w:t>
      </w:r>
      <w:r>
        <w:rPr>
          <w:rFonts w:hint="eastAsia"/>
          <w:sz w:val="24"/>
          <w:szCs w:val="24"/>
        </w:rPr>
        <w:t>模壳砌块墙体的</w:t>
      </w:r>
      <w:r>
        <w:rPr>
          <w:sz w:val="24"/>
          <w:szCs w:val="24"/>
        </w:rPr>
        <w:t>截面有效高度</w:t>
      </w:r>
      <w:r>
        <w:rPr>
          <w:rFonts w:hint="eastAsia"/>
          <w:sz w:val="24"/>
          <w:szCs w:val="24"/>
        </w:rPr>
        <w:t>（m</w:t>
      </w:r>
      <w:r>
        <w:rPr>
          <w:sz w:val="24"/>
          <w:szCs w:val="24"/>
        </w:rPr>
        <w:t>m</w:t>
      </w:r>
      <w:r>
        <w:rPr>
          <w:rFonts w:hint="eastAsia"/>
          <w:sz w:val="24"/>
          <w:szCs w:val="24"/>
        </w:rPr>
        <w:t>）</w:t>
      </w:r>
      <w:r>
        <w:rPr>
          <w:sz w:val="24"/>
          <w:szCs w:val="24"/>
        </w:rPr>
        <w:t>。</w:t>
      </w:r>
    </w:p>
    <w:p>
      <w:pPr>
        <w:pStyle w:val="81"/>
        <w:spacing w:line="360" w:lineRule="auto"/>
        <w:ind w:left="442" w:firstLine="0" w:firstLineChars="0"/>
        <w:rPr>
          <w:rFonts w:ascii="Times New Roman" w:hAnsi="Times New Roman"/>
          <w:sz w:val="24"/>
          <w:szCs w:val="24"/>
        </w:rPr>
      </w:pPr>
      <w:r>
        <w:rPr>
          <w:rFonts w:ascii="Times New Roman" w:hAnsi="Times New Roman"/>
          <w:sz w:val="24"/>
          <w:szCs w:val="24"/>
        </w:rPr>
        <w:t>2</w:t>
      </w:r>
      <w:r>
        <w:rPr>
          <w:rFonts w:eastAsiaTheme="minorEastAsia"/>
          <w:b/>
          <w:sz w:val="24"/>
          <w:szCs w:val="24"/>
        </w:rPr>
        <w:t>　</w:t>
      </w:r>
      <w:r>
        <w:rPr>
          <w:rFonts w:hint="eastAsia"/>
          <w:sz w:val="24"/>
          <w:szCs w:val="24"/>
        </w:rPr>
        <w:t>模壳砌块墙体</w:t>
      </w:r>
      <w:r>
        <w:rPr>
          <w:rFonts w:ascii="Times New Roman" w:hAnsi="Times New Roman"/>
          <w:sz w:val="24"/>
          <w:szCs w:val="24"/>
        </w:rPr>
        <w:t>在偏心受压时的斜截面受剪承载力，应满足下列公式要求：</w:t>
      </w:r>
    </w:p>
    <w:p>
      <w:pPr>
        <w:pStyle w:val="81"/>
        <w:spacing w:line="360" w:lineRule="auto"/>
        <w:ind w:left="442" w:firstLine="0" w:firstLineChars="0"/>
        <w:rPr>
          <w:rFonts w:ascii="Times New Roman" w:hAnsi="Times New Roman"/>
          <w:sz w:val="24"/>
          <w:szCs w:val="24"/>
        </w:rPr>
      </w:pPr>
      <w:r>
        <w:rPr>
          <w:rFonts w:ascii="Times New Roman" w:hAnsi="Times New Roman"/>
          <w:sz w:val="24"/>
          <w:szCs w:val="24"/>
        </w:rPr>
        <w:tab/>
      </w:r>
      <w:r>
        <w:rPr>
          <w:rFonts w:ascii="Times New Roman" w:hAnsi="Times New Roman"/>
          <w:position w:val="-24"/>
        </w:rPr>
        <w:object>
          <v:shape id="_x0000_i1033" o:spt="75" type="#_x0000_t75" style="height:33.9pt;width:242.55pt;" o:ole="t" filled="f" o:preferrelative="t" stroked="f" coordsize="21600,21600">
            <v:path/>
            <v:fill on="f" focussize="0,0"/>
            <v:stroke on="f" joinstyle="miter"/>
            <v:imagedata r:id="rId29" o:title=""/>
            <o:lock v:ext="edit" aspectratio="t"/>
            <w10:wrap type="none"/>
            <w10:anchorlock/>
          </v:shape>
          <o:OLEObject Type="Embed" ProgID="Equation.DSMT4" ShapeID="_x0000_i1033" DrawAspect="Content" ObjectID="_1468075733" r:id="rId28">
            <o:LockedField>false</o:LockedField>
          </o:OLEObject>
        </w:object>
      </w:r>
      <w:r>
        <w:rPr>
          <w:rFonts w:ascii="Times New Roman" w:hAnsi="Times New Roman"/>
        </w:rPr>
        <w:tab/>
      </w:r>
      <w:r>
        <w:rPr>
          <w:rFonts w:hint="eastAsia" w:ascii="Times New Roman" w:hAnsi="Times New Roman"/>
        </w:rPr>
        <w:t xml:space="preserve">                       </w:t>
      </w:r>
      <w:r>
        <w:rPr>
          <w:rFonts w:hint="eastAsia" w:ascii="Times New Roman" w:hAnsi="Times New Roman"/>
          <w:sz w:val="24"/>
          <w:szCs w:val="24"/>
        </w:rPr>
        <w:t>（</w:t>
      </w:r>
      <w:r>
        <w:rPr>
          <w:rFonts w:ascii="Times New Roman" w:hAnsi="Times New Roman"/>
          <w:sz w:val="24"/>
          <w:szCs w:val="24"/>
        </w:rPr>
        <w:t>5.3.9-2</w:t>
      </w:r>
      <w:r>
        <w:rPr>
          <w:rFonts w:hint="eastAsia" w:ascii="Times New Roman" w:hAnsi="Times New Roman"/>
          <w:sz w:val="24"/>
          <w:szCs w:val="24"/>
        </w:rPr>
        <w:t>）</w:t>
      </w:r>
    </w:p>
    <w:p>
      <w:pPr>
        <w:pStyle w:val="81"/>
        <w:tabs>
          <w:tab w:val="left" w:pos="3402"/>
          <w:tab w:val="left" w:pos="7088"/>
        </w:tabs>
        <w:spacing w:line="360" w:lineRule="auto"/>
        <w:ind w:left="442" w:firstLine="0" w:firstLineChars="0"/>
        <w:rPr>
          <w:rFonts w:ascii="Times New Roman" w:hAnsi="Times New Roman"/>
          <w:sz w:val="24"/>
          <w:szCs w:val="24"/>
        </w:rPr>
      </w:pPr>
      <w:r>
        <w:rPr>
          <w:rFonts w:ascii="Times New Roman" w:hAnsi="Times New Roman"/>
          <w:sz w:val="24"/>
          <w:szCs w:val="24"/>
        </w:rPr>
        <w:tab/>
      </w:r>
      <w:r>
        <w:rPr>
          <w:rFonts w:ascii="Times New Roman" w:hAnsi="Times New Roman"/>
          <w:position w:val="-30"/>
        </w:rPr>
        <w:object>
          <v:shape id="_x0000_i1034" o:spt="75" type="#_x0000_t75" style="height:33.9pt;width:41.2pt;" o:ole="t" filled="f" o:preferrelative="t" stroked="f" coordsize="21600,21600">
            <v:path/>
            <v:fill on="f" focussize="0,0"/>
            <v:stroke on="f" joinstyle="miter"/>
            <v:imagedata r:id="rId31" o:title=""/>
            <o:lock v:ext="edit" aspectratio="t"/>
            <w10:wrap type="none"/>
            <w10:anchorlock/>
          </v:shape>
          <o:OLEObject Type="Embed" ProgID="Equation.DSMT4" ShapeID="_x0000_i1034" DrawAspect="Content" ObjectID="_1468075734" r:id="rId30">
            <o:LockedField>false</o:LockedField>
          </o:OLEObject>
        </w:object>
      </w:r>
      <w:r>
        <w:rPr>
          <w:rFonts w:ascii="Times New Roman" w:hAnsi="Times New Roman"/>
        </w:rPr>
        <w:tab/>
      </w:r>
      <w:r>
        <w:rPr>
          <w:rFonts w:hint="eastAsia" w:ascii="Times New Roman" w:hAnsi="Times New Roman"/>
          <w:sz w:val="24"/>
          <w:szCs w:val="24"/>
        </w:rPr>
        <w:t>（</w:t>
      </w:r>
      <w:r>
        <w:rPr>
          <w:rFonts w:ascii="Times New Roman" w:hAnsi="Times New Roman"/>
          <w:sz w:val="24"/>
          <w:szCs w:val="24"/>
        </w:rPr>
        <w:t>5.3.9-3</w:t>
      </w:r>
      <w:r>
        <w:rPr>
          <w:rFonts w:hint="eastAsia" w:ascii="Times New Roman" w:hAnsi="Times New Roman"/>
          <w:sz w:val="24"/>
          <w:szCs w:val="24"/>
        </w:rPr>
        <w:t>）</w:t>
      </w:r>
    </w:p>
    <w:p>
      <w:pPr>
        <w:spacing w:line="360" w:lineRule="auto"/>
        <w:ind w:left="1440" w:right="-57" w:hanging="1440" w:hangingChars="600"/>
        <w:rPr>
          <w:spacing w:val="1"/>
          <w:sz w:val="24"/>
          <w:szCs w:val="24"/>
        </w:rPr>
      </w:pPr>
      <w:r>
        <w:rPr>
          <w:sz w:val="24"/>
          <w:szCs w:val="24"/>
        </w:rPr>
        <w:t>式中：</w:t>
      </w:r>
      <w:r>
        <w:rPr>
          <w:i/>
          <w:iCs/>
          <w:sz w:val="24"/>
          <w:szCs w:val="24"/>
        </w:rPr>
        <w:t>f</w:t>
      </w:r>
      <w:r>
        <w:rPr>
          <w:position w:val="-4"/>
          <w:sz w:val="24"/>
          <w:szCs w:val="24"/>
          <w:vertAlign w:val="subscript"/>
        </w:rPr>
        <w:t>vg</w:t>
      </w:r>
      <w:r>
        <w:rPr>
          <w:sz w:val="24"/>
          <w:szCs w:val="24"/>
        </w:rPr>
        <w:t>——灌孔</w:t>
      </w:r>
      <w:r>
        <w:rPr>
          <w:rFonts w:hint="eastAsia"/>
          <w:sz w:val="24"/>
          <w:szCs w:val="24"/>
        </w:rPr>
        <w:t>模壳</w:t>
      </w:r>
      <w:r>
        <w:rPr>
          <w:sz w:val="24"/>
          <w:szCs w:val="24"/>
        </w:rPr>
        <w:t>砌块砌体抗剪强度设计值</w:t>
      </w:r>
      <w:r>
        <w:rPr>
          <w:rFonts w:hint="eastAsia"/>
          <w:sz w:val="24"/>
          <w:szCs w:val="24"/>
        </w:rPr>
        <w:t>（</w:t>
      </w:r>
      <w:r>
        <w:rPr>
          <w:sz w:val="24"/>
          <w:szCs w:val="24"/>
        </w:rPr>
        <w:t>MPa</w:t>
      </w:r>
      <w:r>
        <w:rPr>
          <w:rFonts w:hint="eastAsia"/>
          <w:sz w:val="24"/>
          <w:szCs w:val="24"/>
        </w:rPr>
        <w:t>）</w:t>
      </w:r>
      <w:r>
        <w:rPr>
          <w:sz w:val="24"/>
          <w:szCs w:val="24"/>
        </w:rPr>
        <w:t>；</w:t>
      </w:r>
    </w:p>
    <w:p>
      <w:pPr>
        <w:spacing w:line="360" w:lineRule="auto"/>
        <w:ind w:left="2070" w:leftChars="300" w:right="-57" w:hanging="1440" w:hangingChars="600"/>
        <w:rPr>
          <w:sz w:val="24"/>
          <w:szCs w:val="24"/>
        </w:rPr>
      </w:pPr>
      <w:r>
        <w:rPr>
          <w:i/>
          <w:iCs/>
          <w:sz w:val="24"/>
          <w:szCs w:val="24"/>
        </w:rPr>
        <w:t>M</w:t>
      </w:r>
      <w:r>
        <w:rPr>
          <w:sz w:val="24"/>
          <w:szCs w:val="24"/>
        </w:rPr>
        <w:t>、</w:t>
      </w:r>
      <w:r>
        <w:rPr>
          <w:i/>
          <w:iCs/>
          <w:sz w:val="24"/>
          <w:szCs w:val="24"/>
        </w:rPr>
        <w:t>N</w:t>
      </w:r>
      <w:r>
        <w:rPr>
          <w:sz w:val="24"/>
          <w:szCs w:val="24"/>
        </w:rPr>
        <w:t>、</w:t>
      </w:r>
      <w:r>
        <w:rPr>
          <w:i/>
          <w:iCs/>
          <w:sz w:val="24"/>
          <w:szCs w:val="24"/>
        </w:rPr>
        <w:t>V</w:t>
      </w:r>
      <w:r>
        <w:rPr>
          <w:sz w:val="24"/>
          <w:szCs w:val="24"/>
        </w:rPr>
        <w:t>——计算截面的弯矩、轴向力和剪力设计值，当</w:t>
      </w:r>
      <w:r>
        <w:rPr>
          <w:i/>
          <w:iCs/>
          <w:sz w:val="24"/>
          <w:szCs w:val="24"/>
        </w:rPr>
        <w:t>N</w:t>
      </w:r>
      <w:r>
        <w:rPr>
          <w:sz w:val="24"/>
          <w:szCs w:val="24"/>
        </w:rPr>
        <w:t>大于0.25</w:t>
      </w:r>
      <w:r>
        <w:rPr>
          <w:i/>
          <w:iCs/>
          <w:sz w:val="24"/>
          <w:szCs w:val="24"/>
        </w:rPr>
        <w:t>f</w:t>
      </w:r>
      <w:r>
        <w:rPr>
          <w:position w:val="-4"/>
          <w:sz w:val="24"/>
          <w:szCs w:val="24"/>
          <w:vertAlign w:val="subscript"/>
        </w:rPr>
        <w:t>g</w:t>
      </w:r>
      <w:r>
        <w:rPr>
          <w:i/>
          <w:iCs/>
          <w:sz w:val="24"/>
          <w:szCs w:val="24"/>
        </w:rPr>
        <w:t>bh</w:t>
      </w:r>
      <w:r>
        <w:rPr>
          <w:sz w:val="24"/>
          <w:szCs w:val="24"/>
        </w:rPr>
        <w:t>时取</w:t>
      </w:r>
      <w:r>
        <w:rPr>
          <w:i/>
          <w:iCs/>
          <w:sz w:val="24"/>
          <w:szCs w:val="24"/>
        </w:rPr>
        <w:t>N</w:t>
      </w:r>
      <w:r>
        <w:rPr>
          <w:sz w:val="24"/>
          <w:szCs w:val="24"/>
        </w:rPr>
        <w:t>＝0.25</w:t>
      </w:r>
      <w:r>
        <w:rPr>
          <w:i/>
          <w:iCs/>
          <w:sz w:val="24"/>
          <w:szCs w:val="24"/>
        </w:rPr>
        <w:t>f</w:t>
      </w:r>
      <w:r>
        <w:rPr>
          <w:position w:val="-4"/>
          <w:sz w:val="24"/>
          <w:szCs w:val="24"/>
          <w:vertAlign w:val="subscript"/>
        </w:rPr>
        <w:t>g</w:t>
      </w:r>
      <w:r>
        <w:rPr>
          <w:i/>
          <w:iCs/>
          <w:sz w:val="24"/>
          <w:szCs w:val="24"/>
        </w:rPr>
        <w:t>bh</w:t>
      </w:r>
      <w:r>
        <w:rPr>
          <w:sz w:val="24"/>
          <w:szCs w:val="24"/>
        </w:rPr>
        <w:t>；</w:t>
      </w:r>
    </w:p>
    <w:p>
      <w:pPr>
        <w:spacing w:line="360" w:lineRule="auto"/>
        <w:ind w:left="586" w:right="-57" w:firstLine="129" w:firstLineChars="54"/>
        <w:rPr>
          <w:spacing w:val="1"/>
          <w:sz w:val="24"/>
          <w:szCs w:val="24"/>
        </w:rPr>
      </w:pPr>
      <w:r>
        <w:rPr>
          <w:i/>
          <w:iCs/>
          <w:sz w:val="24"/>
          <w:szCs w:val="24"/>
        </w:rPr>
        <w:t>A</w:t>
      </w:r>
      <w:r>
        <w:rPr>
          <w:sz w:val="24"/>
          <w:szCs w:val="24"/>
        </w:rPr>
        <w:t>——剪力墙的截面面积（mm</w:t>
      </w:r>
      <w:r>
        <w:rPr>
          <w:sz w:val="24"/>
          <w:szCs w:val="24"/>
          <w:vertAlign w:val="superscript"/>
        </w:rPr>
        <w:t>2</w:t>
      </w:r>
      <w:r>
        <w:rPr>
          <w:sz w:val="24"/>
          <w:szCs w:val="24"/>
        </w:rPr>
        <w:t>）；</w:t>
      </w:r>
    </w:p>
    <w:p>
      <w:pPr>
        <w:spacing w:line="360" w:lineRule="auto"/>
        <w:ind w:left="586" w:right="-57" w:firstLine="122" w:firstLineChars="51"/>
        <w:rPr>
          <w:spacing w:val="1"/>
          <w:sz w:val="24"/>
          <w:szCs w:val="24"/>
        </w:rPr>
      </w:pPr>
      <w:r>
        <w:rPr>
          <w:i/>
          <w:iCs/>
          <w:sz w:val="24"/>
          <w:szCs w:val="24"/>
        </w:rPr>
        <w:t>A</w:t>
      </w:r>
      <w:r>
        <w:rPr>
          <w:position w:val="-4"/>
          <w:sz w:val="24"/>
          <w:szCs w:val="24"/>
          <w:vertAlign w:val="subscript"/>
        </w:rPr>
        <w:t>w</w:t>
      </w:r>
      <w:r>
        <w:rPr>
          <w:sz w:val="24"/>
          <w:szCs w:val="24"/>
        </w:rPr>
        <w:t>——T形或倒L形截面腹板的截面面积（mm</w:t>
      </w:r>
      <w:r>
        <w:rPr>
          <w:sz w:val="24"/>
          <w:szCs w:val="24"/>
          <w:vertAlign w:val="superscript"/>
        </w:rPr>
        <w:t>2</w:t>
      </w:r>
      <w:r>
        <w:rPr>
          <w:sz w:val="24"/>
          <w:szCs w:val="24"/>
        </w:rPr>
        <w:t>），对矩形截面取</w:t>
      </w:r>
      <w:r>
        <w:rPr>
          <w:i/>
          <w:iCs/>
          <w:sz w:val="24"/>
          <w:szCs w:val="24"/>
        </w:rPr>
        <w:t>A</w:t>
      </w:r>
      <w:r>
        <w:rPr>
          <w:position w:val="-4"/>
          <w:sz w:val="24"/>
          <w:szCs w:val="24"/>
          <w:vertAlign w:val="subscript"/>
        </w:rPr>
        <w:t>w</w:t>
      </w:r>
      <w:r>
        <w:rPr>
          <w:sz w:val="24"/>
          <w:szCs w:val="24"/>
        </w:rPr>
        <w:t>＝</w:t>
      </w:r>
      <w:r>
        <w:rPr>
          <w:i/>
          <w:iCs/>
          <w:sz w:val="24"/>
          <w:szCs w:val="24"/>
        </w:rPr>
        <w:t>A</w:t>
      </w:r>
      <w:r>
        <w:rPr>
          <w:sz w:val="24"/>
          <w:szCs w:val="24"/>
        </w:rPr>
        <w:t>；</w:t>
      </w:r>
    </w:p>
    <w:p>
      <w:pPr>
        <w:spacing w:line="360" w:lineRule="auto"/>
        <w:ind w:left="584" w:firstLine="122" w:firstLineChars="51"/>
        <w:rPr>
          <w:sz w:val="24"/>
          <w:szCs w:val="24"/>
        </w:rPr>
      </w:pPr>
      <w:r>
        <w:rPr>
          <w:i/>
          <w:iCs/>
          <w:sz w:val="24"/>
          <w:szCs w:val="24"/>
        </w:rPr>
        <w:t>λ</w:t>
      </w:r>
      <w:r>
        <w:rPr>
          <w:sz w:val="24"/>
          <w:szCs w:val="24"/>
        </w:rPr>
        <w:t>——计算截面的剪跨比，当</w:t>
      </w:r>
      <w:r>
        <w:rPr>
          <w:i/>
          <w:iCs/>
          <w:sz w:val="24"/>
          <w:szCs w:val="24"/>
        </w:rPr>
        <w:t>λ</w:t>
      </w:r>
      <w:r>
        <w:rPr>
          <w:sz w:val="24"/>
          <w:szCs w:val="24"/>
        </w:rPr>
        <w:t>＜1.5时取1.5，当</w:t>
      </w:r>
      <w:r>
        <w:rPr>
          <w:i/>
          <w:iCs/>
          <w:sz w:val="24"/>
          <w:szCs w:val="24"/>
        </w:rPr>
        <w:t>λ</w:t>
      </w:r>
      <w:r>
        <w:rPr>
          <w:sz w:val="24"/>
          <w:szCs w:val="24"/>
        </w:rPr>
        <w:t>≥2.2时取2.2；</w:t>
      </w:r>
    </w:p>
    <w:p>
      <w:pPr>
        <w:spacing w:line="360" w:lineRule="auto"/>
        <w:ind w:left="624" w:right="85" w:firstLine="88" w:firstLineChars="37"/>
        <w:rPr>
          <w:spacing w:val="1"/>
          <w:sz w:val="24"/>
          <w:szCs w:val="24"/>
        </w:rPr>
      </w:pPr>
      <w:r>
        <w:rPr>
          <w:i/>
          <w:iCs/>
          <w:sz w:val="24"/>
          <w:szCs w:val="24"/>
        </w:rPr>
        <w:t>A</w:t>
      </w:r>
      <w:r>
        <w:rPr>
          <w:position w:val="-4"/>
          <w:sz w:val="24"/>
          <w:szCs w:val="24"/>
          <w:vertAlign w:val="subscript"/>
        </w:rPr>
        <w:t>sh</w:t>
      </w:r>
      <w:r>
        <w:rPr>
          <w:sz w:val="24"/>
          <w:szCs w:val="24"/>
        </w:rPr>
        <w:t>——配置在同一截面内的水平分布钢筋的全部截面面积（mm</w:t>
      </w:r>
      <w:r>
        <w:rPr>
          <w:sz w:val="24"/>
          <w:szCs w:val="24"/>
          <w:vertAlign w:val="superscript"/>
        </w:rPr>
        <w:t>2</w:t>
      </w:r>
      <w:r>
        <w:rPr>
          <w:sz w:val="24"/>
          <w:szCs w:val="24"/>
        </w:rPr>
        <w:t>）；</w:t>
      </w:r>
    </w:p>
    <w:p>
      <w:pPr>
        <w:spacing w:line="360" w:lineRule="auto"/>
        <w:ind w:left="586" w:right="85" w:firstLine="122" w:firstLineChars="51"/>
        <w:rPr>
          <w:sz w:val="24"/>
          <w:szCs w:val="24"/>
        </w:rPr>
      </w:pPr>
      <w:r>
        <w:rPr>
          <w:i/>
          <w:iCs/>
          <w:sz w:val="24"/>
          <w:szCs w:val="24"/>
        </w:rPr>
        <w:t>s</w:t>
      </w:r>
      <w:r>
        <w:rPr>
          <w:sz w:val="24"/>
          <w:szCs w:val="24"/>
        </w:rPr>
        <w:t>——水平分布钢筋的竖向间距（mm）；</w:t>
      </w:r>
    </w:p>
    <w:p>
      <w:pPr>
        <w:spacing w:line="360" w:lineRule="auto"/>
        <w:ind w:left="586" w:firstLine="122" w:firstLineChars="51"/>
        <w:rPr>
          <w:sz w:val="24"/>
          <w:szCs w:val="24"/>
        </w:rPr>
      </w:pPr>
      <w:r>
        <w:rPr>
          <w:i/>
          <w:iCs/>
          <w:sz w:val="24"/>
          <w:szCs w:val="24"/>
        </w:rPr>
        <w:t>f</w:t>
      </w:r>
      <w:r>
        <w:rPr>
          <w:position w:val="-4"/>
          <w:sz w:val="24"/>
          <w:szCs w:val="24"/>
          <w:vertAlign w:val="subscript"/>
        </w:rPr>
        <w:t>yh</w:t>
      </w:r>
      <w:r>
        <w:rPr>
          <w:sz w:val="24"/>
          <w:szCs w:val="24"/>
        </w:rPr>
        <w:t>——水平钢筋的抗拉强度设计值（MPa）。</w:t>
      </w:r>
    </w:p>
    <w:p>
      <w:pPr>
        <w:spacing w:line="360" w:lineRule="auto"/>
        <w:ind w:firstLine="480" w:firstLineChars="200"/>
        <w:rPr>
          <w:sz w:val="24"/>
          <w:szCs w:val="24"/>
        </w:rPr>
      </w:pPr>
      <w:r>
        <w:rPr>
          <w:sz w:val="24"/>
          <w:szCs w:val="24"/>
        </w:rPr>
        <w:t>3</w:t>
      </w:r>
      <w:r>
        <w:rPr>
          <w:rFonts w:eastAsiaTheme="minorEastAsia"/>
          <w:b/>
          <w:sz w:val="24"/>
          <w:szCs w:val="24"/>
        </w:rPr>
        <w:t>　</w:t>
      </w:r>
      <w:r>
        <w:rPr>
          <w:rFonts w:hint="eastAsia"/>
          <w:sz w:val="24"/>
          <w:szCs w:val="24"/>
        </w:rPr>
        <w:t>模壳砌块墙体</w:t>
      </w:r>
      <w:r>
        <w:rPr>
          <w:sz w:val="24"/>
          <w:szCs w:val="24"/>
        </w:rPr>
        <w:t>在偏心受拉时的斜截面受剪承载力，应</w:t>
      </w:r>
      <w:r>
        <w:rPr>
          <w:rFonts w:hint="eastAsia"/>
          <w:sz w:val="24"/>
          <w:szCs w:val="24"/>
        </w:rPr>
        <w:t>满足下</w:t>
      </w:r>
      <w:r>
        <w:rPr>
          <w:sz w:val="24"/>
          <w:szCs w:val="24"/>
        </w:rPr>
        <w:t>式</w:t>
      </w:r>
      <w:r>
        <w:rPr>
          <w:rFonts w:hint="eastAsia"/>
          <w:sz w:val="24"/>
          <w:szCs w:val="24"/>
        </w:rPr>
        <w:t>要求</w:t>
      </w:r>
      <w:r>
        <w:rPr>
          <w:sz w:val="24"/>
          <w:szCs w:val="24"/>
        </w:rPr>
        <w:t>：</w:t>
      </w:r>
    </w:p>
    <w:p>
      <w:pPr>
        <w:pStyle w:val="2"/>
        <w:rPr>
          <w:sz w:val="24"/>
        </w:rPr>
      </w:pPr>
      <w:r>
        <w:tab/>
      </w:r>
      <w:r>
        <w:object>
          <v:shape id="_x0000_i1035" o:spt="75" type="#_x0000_t75" style="height:33.9pt;width:242.55pt;" o:ole="t" filled="f" o:preferrelative="t" stroked="f" coordsize="21600,21600">
            <v:path/>
            <v:fill on="f" focussize="0,0"/>
            <v:stroke on="f" joinstyle="miter"/>
            <v:imagedata r:id="rId33" o:title=""/>
            <o:lock v:ext="edit" aspectratio="t"/>
            <w10:wrap type="none"/>
            <w10:anchorlock/>
          </v:shape>
          <o:OLEObject Type="Embed" ProgID="Equation.DSMT4" ShapeID="_x0000_i1035" DrawAspect="Content" ObjectID="_1468075735" r:id="rId32">
            <o:LockedField>false</o:LockedField>
          </o:OLEObject>
        </w:object>
      </w:r>
      <w:r>
        <w:tab/>
      </w:r>
      <w:r>
        <w:rPr>
          <w:rFonts w:hint="eastAsia"/>
        </w:rPr>
        <w:t xml:space="preserve">                             </w:t>
      </w:r>
      <w:r>
        <w:rPr>
          <w:b w:val="0"/>
          <w:sz w:val="24"/>
        </w:rPr>
        <w:t>（5.3.9-4）</w:t>
      </w:r>
    </w:p>
    <w:p>
      <w:pPr>
        <w:spacing w:line="360" w:lineRule="auto"/>
        <w:ind w:left="1440" w:right="-57" w:hanging="1440" w:hangingChars="600"/>
        <w:rPr>
          <w:i/>
          <w:iCs/>
          <w:sz w:val="24"/>
          <w:szCs w:val="24"/>
        </w:rPr>
      </w:pPr>
      <w:r>
        <w:rPr>
          <w:sz w:val="24"/>
          <w:szCs w:val="24"/>
        </w:rPr>
        <w:t>式中：</w:t>
      </w:r>
      <w:r>
        <w:rPr>
          <w:i/>
          <w:iCs/>
          <w:sz w:val="24"/>
          <w:szCs w:val="24"/>
        </w:rPr>
        <w:t>V</w:t>
      </w:r>
      <w:r>
        <w:rPr>
          <w:sz w:val="24"/>
          <w:szCs w:val="24"/>
        </w:rPr>
        <w:t>——计算截面的剪力设计值；</w:t>
      </w:r>
    </w:p>
    <w:p>
      <w:pPr>
        <w:spacing w:line="360" w:lineRule="auto"/>
        <w:ind w:left="586" w:right="-57" w:firstLine="129" w:firstLineChars="54"/>
        <w:rPr>
          <w:spacing w:val="1"/>
          <w:sz w:val="24"/>
          <w:szCs w:val="24"/>
        </w:rPr>
      </w:pPr>
      <w:r>
        <w:rPr>
          <w:i/>
          <w:iCs/>
          <w:sz w:val="24"/>
          <w:szCs w:val="24"/>
        </w:rPr>
        <w:t>A</w:t>
      </w:r>
      <w:r>
        <w:rPr>
          <w:sz w:val="24"/>
          <w:szCs w:val="24"/>
        </w:rPr>
        <w:t>——剪力墙的截面面积（mm</w:t>
      </w:r>
      <w:r>
        <w:rPr>
          <w:sz w:val="24"/>
          <w:szCs w:val="24"/>
          <w:vertAlign w:val="superscript"/>
        </w:rPr>
        <w:t>2</w:t>
      </w:r>
      <w:r>
        <w:rPr>
          <w:sz w:val="24"/>
          <w:szCs w:val="24"/>
        </w:rPr>
        <w:t>）；</w:t>
      </w:r>
    </w:p>
    <w:p>
      <w:pPr>
        <w:spacing w:line="360" w:lineRule="auto"/>
        <w:ind w:left="586" w:right="-57" w:firstLine="122" w:firstLineChars="51"/>
        <w:rPr>
          <w:spacing w:val="1"/>
          <w:sz w:val="24"/>
          <w:szCs w:val="24"/>
        </w:rPr>
      </w:pPr>
      <w:r>
        <w:rPr>
          <w:i/>
          <w:iCs/>
          <w:sz w:val="24"/>
          <w:szCs w:val="24"/>
        </w:rPr>
        <w:t>A</w:t>
      </w:r>
      <w:r>
        <w:rPr>
          <w:position w:val="-4"/>
          <w:sz w:val="24"/>
          <w:szCs w:val="24"/>
          <w:vertAlign w:val="subscript"/>
        </w:rPr>
        <w:t>w</w:t>
      </w:r>
      <w:r>
        <w:rPr>
          <w:sz w:val="24"/>
          <w:szCs w:val="24"/>
        </w:rPr>
        <w:t>——T形或倒L形截面腹板的截面面积（mm</w:t>
      </w:r>
      <w:r>
        <w:rPr>
          <w:sz w:val="24"/>
          <w:szCs w:val="24"/>
          <w:vertAlign w:val="superscript"/>
        </w:rPr>
        <w:t>2</w:t>
      </w:r>
      <w:r>
        <w:rPr>
          <w:sz w:val="24"/>
          <w:szCs w:val="24"/>
        </w:rPr>
        <w:t>），对矩形截面取</w:t>
      </w:r>
      <w:r>
        <w:rPr>
          <w:i/>
          <w:iCs/>
          <w:sz w:val="24"/>
          <w:szCs w:val="24"/>
        </w:rPr>
        <w:t>A</w:t>
      </w:r>
      <w:r>
        <w:rPr>
          <w:position w:val="-4"/>
          <w:sz w:val="24"/>
          <w:szCs w:val="24"/>
          <w:vertAlign w:val="subscript"/>
        </w:rPr>
        <w:t>w</w:t>
      </w:r>
      <w:r>
        <w:rPr>
          <w:sz w:val="24"/>
          <w:szCs w:val="24"/>
        </w:rPr>
        <w:t>＝</w:t>
      </w:r>
      <w:r>
        <w:rPr>
          <w:i/>
          <w:iCs/>
          <w:sz w:val="24"/>
          <w:szCs w:val="24"/>
        </w:rPr>
        <w:t>A</w:t>
      </w:r>
      <w:r>
        <w:rPr>
          <w:sz w:val="24"/>
          <w:szCs w:val="24"/>
        </w:rPr>
        <w:t>；</w:t>
      </w:r>
    </w:p>
    <w:p>
      <w:pPr>
        <w:spacing w:line="360" w:lineRule="auto"/>
        <w:ind w:left="584" w:firstLine="122" w:firstLineChars="51"/>
        <w:rPr>
          <w:sz w:val="24"/>
          <w:szCs w:val="24"/>
        </w:rPr>
      </w:pPr>
      <w:r>
        <w:rPr>
          <w:i/>
          <w:iCs/>
          <w:sz w:val="24"/>
          <w:szCs w:val="24"/>
        </w:rPr>
        <w:t>λ</w:t>
      </w:r>
      <w:r>
        <w:rPr>
          <w:sz w:val="24"/>
          <w:szCs w:val="24"/>
        </w:rPr>
        <w:t>——计算截面的剪跨比，当</w:t>
      </w:r>
      <w:r>
        <w:rPr>
          <w:i/>
          <w:iCs/>
          <w:sz w:val="24"/>
          <w:szCs w:val="24"/>
        </w:rPr>
        <w:t>λ</w:t>
      </w:r>
      <w:r>
        <w:rPr>
          <w:sz w:val="24"/>
          <w:szCs w:val="24"/>
        </w:rPr>
        <w:t>＜1.5时取1.5，当</w:t>
      </w:r>
      <w:r>
        <w:rPr>
          <w:i/>
          <w:iCs/>
          <w:sz w:val="24"/>
          <w:szCs w:val="24"/>
        </w:rPr>
        <w:t>λ</w:t>
      </w:r>
      <w:r>
        <w:rPr>
          <w:sz w:val="24"/>
          <w:szCs w:val="24"/>
        </w:rPr>
        <w:t>≥2.2时取2.2；</w:t>
      </w:r>
    </w:p>
    <w:p>
      <w:pPr>
        <w:spacing w:line="360" w:lineRule="auto"/>
        <w:ind w:left="624" w:right="85" w:firstLine="88" w:firstLineChars="37"/>
        <w:rPr>
          <w:spacing w:val="1"/>
          <w:sz w:val="24"/>
          <w:szCs w:val="24"/>
        </w:rPr>
      </w:pPr>
      <w:r>
        <w:rPr>
          <w:i/>
          <w:iCs/>
          <w:sz w:val="24"/>
          <w:szCs w:val="24"/>
        </w:rPr>
        <w:t>A</w:t>
      </w:r>
      <w:r>
        <w:rPr>
          <w:position w:val="-4"/>
          <w:sz w:val="24"/>
          <w:szCs w:val="24"/>
          <w:vertAlign w:val="subscript"/>
        </w:rPr>
        <w:t>sh</w:t>
      </w:r>
      <w:r>
        <w:rPr>
          <w:sz w:val="24"/>
          <w:szCs w:val="24"/>
        </w:rPr>
        <w:t>——配置在同一截面内的水平分布钢筋的全部截面面积（mm</w:t>
      </w:r>
      <w:r>
        <w:rPr>
          <w:sz w:val="24"/>
          <w:szCs w:val="24"/>
          <w:vertAlign w:val="superscript"/>
        </w:rPr>
        <w:t>2</w:t>
      </w:r>
      <w:r>
        <w:rPr>
          <w:sz w:val="24"/>
          <w:szCs w:val="24"/>
        </w:rPr>
        <w:t>）；</w:t>
      </w:r>
    </w:p>
    <w:p>
      <w:pPr>
        <w:spacing w:line="360" w:lineRule="auto"/>
        <w:ind w:left="586" w:right="85" w:firstLine="122" w:firstLineChars="51"/>
        <w:rPr>
          <w:sz w:val="24"/>
          <w:szCs w:val="24"/>
        </w:rPr>
      </w:pPr>
      <w:r>
        <w:rPr>
          <w:i/>
          <w:iCs/>
          <w:sz w:val="24"/>
          <w:szCs w:val="24"/>
        </w:rPr>
        <w:t>s</w:t>
      </w:r>
      <w:r>
        <w:rPr>
          <w:sz w:val="24"/>
          <w:szCs w:val="24"/>
        </w:rPr>
        <w:t>——水平分布钢筋的竖向间距（mm）；</w:t>
      </w:r>
    </w:p>
    <w:p>
      <w:pPr>
        <w:spacing w:line="360" w:lineRule="auto"/>
        <w:ind w:left="586" w:firstLine="122" w:firstLineChars="51"/>
        <w:rPr>
          <w:sz w:val="24"/>
          <w:szCs w:val="24"/>
        </w:rPr>
      </w:pPr>
      <w:r>
        <w:rPr>
          <w:i/>
          <w:iCs/>
          <w:sz w:val="24"/>
          <w:szCs w:val="24"/>
        </w:rPr>
        <w:t>f</w:t>
      </w:r>
      <w:r>
        <w:rPr>
          <w:position w:val="-4"/>
          <w:sz w:val="24"/>
          <w:szCs w:val="24"/>
          <w:vertAlign w:val="subscript"/>
        </w:rPr>
        <w:t>yh</w:t>
      </w:r>
      <w:r>
        <w:rPr>
          <w:sz w:val="24"/>
          <w:szCs w:val="24"/>
        </w:rPr>
        <w:t>——水平钢筋的抗拉强度设计值（MPa）。</w:t>
      </w:r>
    </w:p>
    <w:p>
      <w:pPr>
        <w:spacing w:line="360" w:lineRule="auto"/>
        <w:outlineLvl w:val="2"/>
        <w:rPr>
          <w:rFonts w:eastAsiaTheme="minorEastAsia"/>
          <w:bCs/>
          <w:sz w:val="24"/>
          <w:szCs w:val="24"/>
        </w:rPr>
      </w:pPr>
      <w:r>
        <w:rPr>
          <w:rFonts w:hint="eastAsia" w:eastAsiaTheme="minorEastAsia"/>
          <w:b/>
          <w:sz w:val="24"/>
          <w:szCs w:val="24"/>
        </w:rPr>
        <w:t>5</w:t>
      </w:r>
      <w:r>
        <w:rPr>
          <w:rFonts w:eastAsiaTheme="minorEastAsia"/>
          <w:b/>
          <w:sz w:val="24"/>
          <w:szCs w:val="24"/>
        </w:rPr>
        <w:t>.3.10　</w:t>
      </w:r>
      <w:r>
        <w:rPr>
          <w:rFonts w:eastAsiaTheme="minorEastAsia"/>
          <w:bCs/>
          <w:sz w:val="24"/>
          <w:szCs w:val="24"/>
        </w:rPr>
        <w:t>模壳砌块砌体沿阶梯形截面破坏的抗震抗剪强度设计值，应按下式</w:t>
      </w:r>
      <w:r>
        <w:rPr>
          <w:rFonts w:hint="eastAsia" w:eastAsiaTheme="minorEastAsia"/>
          <w:bCs/>
          <w:sz w:val="24"/>
          <w:szCs w:val="24"/>
        </w:rPr>
        <w:t>计算</w:t>
      </w:r>
      <w:r>
        <w:rPr>
          <w:rFonts w:eastAsiaTheme="minorEastAsia"/>
          <w:bCs/>
          <w:sz w:val="24"/>
          <w:szCs w:val="24"/>
        </w:rPr>
        <w:t>：</w:t>
      </w:r>
    </w:p>
    <w:p>
      <w:pPr>
        <w:pStyle w:val="81"/>
        <w:tabs>
          <w:tab w:val="left" w:pos="3261"/>
          <w:tab w:val="left" w:pos="7088"/>
        </w:tabs>
        <w:spacing w:line="360" w:lineRule="auto"/>
        <w:ind w:firstLine="0" w:firstLineChars="0"/>
        <w:outlineLvl w:val="2"/>
        <w:rPr>
          <w:rFonts w:eastAsiaTheme="minorEastAsia"/>
          <w:bCs/>
          <w:sz w:val="24"/>
          <w:szCs w:val="24"/>
        </w:rPr>
      </w:pPr>
      <w:r>
        <w:tab/>
      </w:r>
      <w:r>
        <w:rPr>
          <w:position w:val="-12"/>
        </w:rPr>
        <w:object>
          <v:shape id="_x0000_i1036" o:spt="75" type="#_x0000_t75" style="height:21.55pt;width:50.45pt;" o:ole="t" filled="f" o:preferrelative="t" stroked="f" coordsize="21600,21600">
            <v:path/>
            <v:fill on="f" focussize="0,0"/>
            <v:stroke on="f" joinstyle="miter"/>
            <v:imagedata r:id="rId35" o:title=""/>
            <o:lock v:ext="edit" aspectratio="t"/>
            <w10:wrap type="none"/>
            <w10:anchorlock/>
          </v:shape>
          <o:OLEObject Type="Embed" ProgID="Equation.DSMT4" ShapeID="_x0000_i1036" DrawAspect="Content" ObjectID="_1468075736" r:id="rId34">
            <o:LockedField>false</o:LockedField>
          </o:OLEObject>
        </w:object>
      </w:r>
      <w:r>
        <w:tab/>
      </w:r>
      <w:r>
        <w:rPr>
          <w:rFonts w:hint="eastAsia" w:ascii="Times New Roman" w:hAnsi="Times New Roman"/>
          <w:sz w:val="24"/>
          <w:szCs w:val="24"/>
        </w:rPr>
        <w:t>（</w:t>
      </w:r>
      <w:r>
        <w:rPr>
          <w:rFonts w:ascii="Times New Roman" w:hAnsi="Times New Roman"/>
          <w:sz w:val="24"/>
          <w:szCs w:val="24"/>
        </w:rPr>
        <w:t>5.3.10</w:t>
      </w:r>
      <w:r>
        <w:rPr>
          <w:rFonts w:hint="eastAsia" w:ascii="Times New Roman" w:hAnsi="Times New Roman"/>
          <w:sz w:val="24"/>
          <w:szCs w:val="24"/>
        </w:rPr>
        <w:t>）</w:t>
      </w:r>
    </w:p>
    <w:p>
      <w:pPr>
        <w:snapToGrid w:val="0"/>
        <w:spacing w:line="360" w:lineRule="auto"/>
        <w:rPr>
          <w:bCs/>
          <w:sz w:val="24"/>
          <w:szCs w:val="24"/>
        </w:rPr>
      </w:pPr>
      <w:r>
        <w:rPr>
          <w:bCs/>
          <w:spacing w:val="7"/>
          <w:w w:val="95"/>
          <w:sz w:val="24"/>
          <w:szCs w:val="24"/>
        </w:rPr>
        <w:t>式中：</w:t>
      </w:r>
      <w:r>
        <w:rPr>
          <w:bCs/>
          <w:i/>
          <w:iCs/>
          <w:w w:val="95"/>
          <w:sz w:val="24"/>
          <w:szCs w:val="24"/>
        </w:rPr>
        <w:t>f</w:t>
      </w:r>
      <w:r>
        <w:rPr>
          <w:bCs/>
          <w:w w:val="95"/>
          <w:position w:val="-4"/>
          <w:sz w:val="24"/>
          <w:szCs w:val="24"/>
          <w:vertAlign w:val="subscript"/>
        </w:rPr>
        <w:t>vE</w:t>
      </w:r>
      <w:r>
        <w:rPr>
          <w:bCs/>
          <w:w w:val="95"/>
          <w:sz w:val="24"/>
          <w:szCs w:val="24"/>
        </w:rPr>
        <w:t>——</w:t>
      </w:r>
      <w:r>
        <w:rPr>
          <w:bCs/>
          <w:spacing w:val="11"/>
          <w:sz w:val="24"/>
          <w:szCs w:val="24"/>
        </w:rPr>
        <w:t>砌体沿阶梯形截面破坏的抗震抗剪强度设计值</w:t>
      </w:r>
      <w:r>
        <w:rPr>
          <w:bCs/>
          <w:sz w:val="24"/>
          <w:szCs w:val="24"/>
        </w:rPr>
        <w:t>（MPa）</w:t>
      </w:r>
      <w:r>
        <w:rPr>
          <w:bCs/>
          <w:w w:val="95"/>
          <w:sz w:val="24"/>
          <w:szCs w:val="24"/>
        </w:rPr>
        <w:t>；</w:t>
      </w:r>
    </w:p>
    <w:p>
      <w:pPr>
        <w:snapToGrid w:val="0"/>
        <w:spacing w:line="360" w:lineRule="auto"/>
        <w:ind w:firstLine="720" w:firstLineChars="300"/>
        <w:rPr>
          <w:bCs/>
          <w:sz w:val="24"/>
          <w:szCs w:val="24"/>
        </w:rPr>
      </w:pPr>
      <w:r>
        <w:rPr>
          <w:bCs/>
          <w:i/>
          <w:iCs/>
          <w:sz w:val="24"/>
          <w:szCs w:val="24"/>
        </w:rPr>
        <w:t>f</w:t>
      </w:r>
      <w:r>
        <w:rPr>
          <w:bCs/>
          <w:position w:val="-4"/>
          <w:sz w:val="24"/>
          <w:szCs w:val="24"/>
          <w:vertAlign w:val="subscript"/>
        </w:rPr>
        <w:t>v</w:t>
      </w:r>
      <w:r>
        <w:rPr>
          <w:bCs/>
          <w:sz w:val="24"/>
          <w:szCs w:val="24"/>
        </w:rPr>
        <w:t>——</w:t>
      </w:r>
      <w:r>
        <w:rPr>
          <w:bCs/>
          <w:spacing w:val="10"/>
          <w:sz w:val="24"/>
          <w:szCs w:val="24"/>
        </w:rPr>
        <w:t>非抗震设计的砌体抗剪强度设计值</w:t>
      </w:r>
      <w:r>
        <w:rPr>
          <w:bCs/>
          <w:w w:val="95"/>
          <w:sz w:val="24"/>
          <w:szCs w:val="24"/>
        </w:rPr>
        <w:t>（MPa）；</w:t>
      </w:r>
    </w:p>
    <w:p>
      <w:pPr>
        <w:snapToGrid w:val="0"/>
        <w:spacing w:line="360" w:lineRule="auto"/>
        <w:ind w:firstLine="684" w:firstLineChars="300"/>
        <w:rPr>
          <w:b/>
          <w:bCs/>
          <w:sz w:val="24"/>
          <w:szCs w:val="24"/>
        </w:rPr>
      </w:pPr>
      <w:r>
        <w:rPr>
          <w:i/>
          <w:iCs/>
          <w:w w:val="95"/>
          <w:sz w:val="24"/>
          <w:szCs w:val="24"/>
        </w:rPr>
        <w:t>ζ</w:t>
      </w:r>
      <w:r>
        <w:rPr>
          <w:w w:val="95"/>
          <w:position w:val="-4"/>
          <w:sz w:val="24"/>
          <w:szCs w:val="24"/>
          <w:vertAlign w:val="subscript"/>
        </w:rPr>
        <w:t>N</w:t>
      </w:r>
      <w:r>
        <w:rPr>
          <w:w w:val="95"/>
          <w:sz w:val="24"/>
          <w:szCs w:val="24"/>
        </w:rPr>
        <w:t>——</w:t>
      </w:r>
      <w:r>
        <w:rPr>
          <w:spacing w:val="11"/>
          <w:sz w:val="24"/>
          <w:szCs w:val="24"/>
        </w:rPr>
        <w:t>砌体抗震抗剪强度的正应力影响系数。</w:t>
      </w:r>
    </w:p>
    <w:p>
      <w:pPr>
        <w:spacing w:line="360" w:lineRule="auto"/>
        <w:outlineLvl w:val="2"/>
        <w:rPr>
          <w:rFonts w:eastAsiaTheme="minorEastAsia"/>
          <w:bCs/>
          <w:sz w:val="24"/>
          <w:szCs w:val="24"/>
        </w:rPr>
      </w:pPr>
      <w:bookmarkStart w:id="114" w:name="_Toc149766328"/>
      <w:bookmarkStart w:id="115" w:name="_Toc148994662"/>
      <w:bookmarkStart w:id="116" w:name="_Toc30769"/>
      <w:bookmarkStart w:id="117" w:name="_Toc149766386"/>
      <w:r>
        <w:rPr>
          <w:rFonts w:eastAsiaTheme="minorEastAsia"/>
          <w:b/>
          <w:sz w:val="24"/>
          <w:szCs w:val="24"/>
        </w:rPr>
        <w:t>5.3.11　</w:t>
      </w:r>
      <w:r>
        <w:rPr>
          <w:rFonts w:eastAsiaTheme="minorEastAsia"/>
          <w:bCs/>
          <w:sz w:val="24"/>
          <w:szCs w:val="24"/>
        </w:rPr>
        <w:t>模壳</w:t>
      </w:r>
      <w:r>
        <w:rPr>
          <w:rFonts w:hint="eastAsia" w:eastAsiaTheme="minorEastAsia"/>
          <w:bCs/>
          <w:sz w:val="24"/>
          <w:szCs w:val="24"/>
        </w:rPr>
        <w:t>砌块</w:t>
      </w:r>
      <w:r>
        <w:rPr>
          <w:rFonts w:eastAsiaTheme="minorEastAsia"/>
          <w:bCs/>
          <w:sz w:val="24"/>
          <w:szCs w:val="24"/>
        </w:rPr>
        <w:t>墙体截面抗震受剪承载力，应</w:t>
      </w:r>
      <w:r>
        <w:rPr>
          <w:rFonts w:hint="eastAsia" w:eastAsiaTheme="minorEastAsia"/>
          <w:bCs/>
          <w:sz w:val="24"/>
          <w:szCs w:val="24"/>
        </w:rPr>
        <w:t>满足</w:t>
      </w:r>
      <w:r>
        <w:rPr>
          <w:rFonts w:eastAsiaTheme="minorEastAsia"/>
          <w:bCs/>
          <w:sz w:val="24"/>
          <w:szCs w:val="24"/>
        </w:rPr>
        <w:t>下式要求：</w:t>
      </w:r>
    </w:p>
    <w:p>
      <w:pPr>
        <w:pStyle w:val="81"/>
        <w:tabs>
          <w:tab w:val="left" w:pos="1985"/>
          <w:tab w:val="left" w:pos="7088"/>
        </w:tabs>
        <w:spacing w:line="360" w:lineRule="auto"/>
        <w:ind w:firstLine="0" w:firstLineChars="0"/>
        <w:outlineLvl w:val="2"/>
        <w:rPr>
          <w:rFonts w:eastAsiaTheme="minorEastAsia"/>
          <w:bCs/>
          <w:sz w:val="24"/>
          <w:szCs w:val="24"/>
        </w:rPr>
      </w:pPr>
      <w:r>
        <w:rPr>
          <w:rFonts w:eastAsiaTheme="minorEastAsia"/>
          <w:bCs/>
          <w:sz w:val="24"/>
          <w:szCs w:val="24"/>
        </w:rPr>
        <w:tab/>
      </w:r>
      <w:r>
        <w:rPr>
          <w:position w:val="-30"/>
        </w:rPr>
        <w:object>
          <v:shape id="_x0000_i1037" o:spt="75" type="#_x0000_t75" style="height:33.9pt;width:191.35pt;" o:ole="t" filled="f" o:preferrelative="t" stroked="f" coordsize="21600,21600">
            <v:path/>
            <v:fill on="f" focussize="0,0"/>
            <v:stroke on="f" joinstyle="miter"/>
            <v:imagedata r:id="rId37" o:title=""/>
            <o:lock v:ext="edit" aspectratio="t"/>
            <w10:wrap type="none"/>
            <w10:anchorlock/>
          </v:shape>
          <o:OLEObject Type="Embed" ProgID="Equation.DSMT4" ShapeID="_x0000_i1037" DrawAspect="Content" ObjectID="_1468075737" r:id="rId36">
            <o:LockedField>false</o:LockedField>
          </o:OLEObject>
        </w:object>
      </w:r>
      <w:r>
        <w:tab/>
      </w:r>
      <w:r>
        <w:rPr>
          <w:rFonts w:hint="eastAsia" w:ascii="Times New Roman" w:hAnsi="Times New Roman"/>
          <w:sz w:val="24"/>
          <w:szCs w:val="24"/>
        </w:rPr>
        <w:t>（</w:t>
      </w:r>
      <w:r>
        <w:rPr>
          <w:rFonts w:ascii="Times New Roman" w:hAnsi="Times New Roman"/>
          <w:sz w:val="24"/>
          <w:szCs w:val="24"/>
        </w:rPr>
        <w:t>5.3.11</w:t>
      </w:r>
      <w:r>
        <w:rPr>
          <w:rFonts w:hint="eastAsia" w:ascii="Times New Roman" w:hAnsi="Times New Roman"/>
          <w:sz w:val="24"/>
          <w:szCs w:val="24"/>
        </w:rPr>
        <w:t>）</w:t>
      </w:r>
    </w:p>
    <w:p>
      <w:pPr>
        <w:snapToGrid w:val="0"/>
        <w:spacing w:line="360" w:lineRule="auto"/>
        <w:ind w:left="720" w:hanging="720" w:hangingChars="300"/>
        <w:rPr>
          <w:sz w:val="24"/>
          <w:szCs w:val="24"/>
        </w:rPr>
      </w:pPr>
      <w:r>
        <w:rPr>
          <w:sz w:val="24"/>
          <w:szCs w:val="24"/>
        </w:rPr>
        <w:t>式中：</w:t>
      </w:r>
      <w:r>
        <w:rPr>
          <w:i/>
          <w:iCs/>
          <w:sz w:val="24"/>
          <w:szCs w:val="24"/>
        </w:rPr>
        <w:t>f</w:t>
      </w:r>
      <w:r>
        <w:rPr>
          <w:position w:val="-4"/>
          <w:sz w:val="24"/>
          <w:szCs w:val="24"/>
          <w:vertAlign w:val="subscript"/>
        </w:rPr>
        <w:t>t</w:t>
      </w:r>
      <w:r>
        <w:rPr>
          <w:sz w:val="24"/>
          <w:szCs w:val="24"/>
        </w:rPr>
        <w:t>——灌孔混凝土的轴心抗拉强度设计值（MPa）；</w:t>
      </w:r>
    </w:p>
    <w:p>
      <w:pPr>
        <w:snapToGrid w:val="0"/>
        <w:spacing w:line="360" w:lineRule="auto"/>
        <w:ind w:firstLine="720" w:firstLineChars="300"/>
        <w:rPr>
          <w:sz w:val="24"/>
          <w:szCs w:val="24"/>
        </w:rPr>
      </w:pPr>
      <w:r>
        <w:rPr>
          <w:i/>
          <w:iCs/>
          <w:sz w:val="24"/>
          <w:szCs w:val="24"/>
        </w:rPr>
        <w:t>A</w:t>
      </w:r>
      <w:r>
        <w:rPr>
          <w:position w:val="-4"/>
          <w:sz w:val="24"/>
          <w:szCs w:val="24"/>
          <w:vertAlign w:val="subscript"/>
        </w:rPr>
        <w:t>c</w:t>
      </w:r>
      <w:r>
        <w:rPr>
          <w:sz w:val="24"/>
          <w:szCs w:val="24"/>
        </w:rPr>
        <w:t>——灌孔混凝土或芯柱截面总面积（mm</w:t>
      </w:r>
      <w:r>
        <w:rPr>
          <w:sz w:val="24"/>
          <w:szCs w:val="24"/>
          <w:vertAlign w:val="superscript"/>
        </w:rPr>
        <w:t>2</w:t>
      </w:r>
      <w:r>
        <w:rPr>
          <w:sz w:val="24"/>
          <w:szCs w:val="24"/>
        </w:rPr>
        <w:t>）；</w:t>
      </w:r>
    </w:p>
    <w:p>
      <w:pPr>
        <w:snapToGrid w:val="0"/>
        <w:spacing w:line="360" w:lineRule="auto"/>
        <w:ind w:firstLine="720" w:firstLineChars="300"/>
        <w:rPr>
          <w:sz w:val="24"/>
          <w:szCs w:val="24"/>
        </w:rPr>
      </w:pPr>
      <w:r>
        <w:rPr>
          <w:i/>
          <w:iCs/>
          <w:sz w:val="24"/>
          <w:szCs w:val="24"/>
        </w:rPr>
        <w:t>f</w:t>
      </w:r>
      <w:r>
        <w:rPr>
          <w:position w:val="-4"/>
          <w:sz w:val="24"/>
          <w:szCs w:val="24"/>
          <w:vertAlign w:val="subscript"/>
        </w:rPr>
        <w:t>y</w:t>
      </w:r>
      <w:r>
        <w:rPr>
          <w:sz w:val="24"/>
          <w:szCs w:val="24"/>
        </w:rPr>
        <w:t>——芯柱</w:t>
      </w:r>
      <w:r>
        <w:rPr>
          <w:rFonts w:hint="eastAsia"/>
          <w:sz w:val="24"/>
          <w:szCs w:val="24"/>
        </w:rPr>
        <w:t>或构造柱</w:t>
      </w:r>
      <w:r>
        <w:rPr>
          <w:sz w:val="24"/>
          <w:szCs w:val="24"/>
        </w:rPr>
        <w:t>钢筋的抗拉强度设计值（MPa）；</w:t>
      </w:r>
    </w:p>
    <w:p>
      <w:pPr>
        <w:snapToGrid w:val="0"/>
        <w:spacing w:line="360" w:lineRule="auto"/>
        <w:ind w:firstLine="720" w:firstLineChars="300"/>
        <w:rPr>
          <w:sz w:val="24"/>
          <w:szCs w:val="24"/>
        </w:rPr>
      </w:pPr>
      <w:r>
        <w:rPr>
          <w:i/>
          <w:iCs/>
          <w:sz w:val="24"/>
          <w:szCs w:val="24"/>
        </w:rPr>
        <w:t>A</w:t>
      </w:r>
      <w:r>
        <w:rPr>
          <w:position w:val="-4"/>
          <w:sz w:val="24"/>
          <w:szCs w:val="24"/>
          <w:vertAlign w:val="subscript"/>
        </w:rPr>
        <w:t>s</w:t>
      </w:r>
      <w:r>
        <w:rPr>
          <w:sz w:val="24"/>
          <w:szCs w:val="24"/>
        </w:rPr>
        <w:t>——芯柱</w:t>
      </w:r>
      <w:r>
        <w:rPr>
          <w:rFonts w:hint="eastAsia"/>
          <w:sz w:val="24"/>
          <w:szCs w:val="24"/>
        </w:rPr>
        <w:t>或构造柱</w:t>
      </w:r>
      <w:r>
        <w:rPr>
          <w:sz w:val="24"/>
          <w:szCs w:val="24"/>
        </w:rPr>
        <w:t>钢筋截面总面积</w:t>
      </w:r>
      <w:r>
        <w:rPr>
          <w:w w:val="95"/>
          <w:sz w:val="24"/>
          <w:szCs w:val="24"/>
        </w:rPr>
        <w:t>（MPa）</w:t>
      </w:r>
      <w:r>
        <w:rPr>
          <w:sz w:val="24"/>
          <w:szCs w:val="24"/>
        </w:rPr>
        <w:t>；</w:t>
      </w:r>
    </w:p>
    <w:p>
      <w:pPr>
        <w:snapToGrid w:val="0"/>
        <w:spacing w:line="360" w:lineRule="auto"/>
        <w:ind w:firstLine="720" w:firstLineChars="300"/>
        <w:rPr>
          <w:i/>
          <w:iCs/>
          <w:sz w:val="24"/>
          <w:szCs w:val="24"/>
        </w:rPr>
      </w:pPr>
      <w:r>
        <w:rPr>
          <w:i/>
          <w:iCs/>
          <w:sz w:val="24"/>
          <w:szCs w:val="24"/>
        </w:rPr>
        <w:sym w:font="Symbol" w:char="F067"/>
      </w:r>
      <w:r>
        <w:rPr>
          <w:sz w:val="24"/>
          <w:szCs w:val="24"/>
          <w:vertAlign w:val="subscript"/>
        </w:rPr>
        <w:t>RE</w:t>
      </w:r>
      <w:r>
        <w:rPr>
          <w:sz w:val="24"/>
          <w:szCs w:val="24"/>
        </w:rPr>
        <w:t>——承载力抗震调整系数</w:t>
      </w:r>
      <w:r>
        <w:rPr>
          <w:rFonts w:hint="eastAsia"/>
          <w:sz w:val="24"/>
          <w:szCs w:val="24"/>
        </w:rPr>
        <w:t>；</w:t>
      </w:r>
    </w:p>
    <w:p>
      <w:pPr>
        <w:snapToGrid w:val="0"/>
        <w:spacing w:line="360" w:lineRule="auto"/>
        <w:ind w:firstLine="720" w:firstLineChars="300"/>
        <w:rPr>
          <w:sz w:val="24"/>
          <w:szCs w:val="24"/>
        </w:rPr>
      </w:pPr>
      <w:r>
        <w:rPr>
          <w:i/>
          <w:iCs/>
          <w:sz w:val="24"/>
          <w:szCs w:val="24"/>
        </w:rPr>
        <w:t>ζ</w:t>
      </w:r>
      <w:r>
        <w:rPr>
          <w:position w:val="-4"/>
          <w:sz w:val="24"/>
          <w:szCs w:val="24"/>
          <w:vertAlign w:val="subscript"/>
        </w:rPr>
        <w:t>c</w:t>
      </w:r>
      <w:r>
        <w:rPr>
          <w:sz w:val="24"/>
          <w:szCs w:val="24"/>
        </w:rPr>
        <w:t>——芯柱</w:t>
      </w:r>
      <w:r>
        <w:rPr>
          <w:rFonts w:hint="eastAsia"/>
          <w:sz w:val="24"/>
          <w:szCs w:val="24"/>
        </w:rPr>
        <w:t>或构造柱</w:t>
      </w:r>
      <w:r>
        <w:rPr>
          <w:sz w:val="24"/>
          <w:szCs w:val="24"/>
        </w:rPr>
        <w:t>参与工作系数</w:t>
      </w:r>
      <w:r>
        <w:rPr>
          <w:rFonts w:hint="eastAsia"/>
          <w:sz w:val="24"/>
          <w:szCs w:val="24"/>
        </w:rPr>
        <w:t>。</w:t>
      </w:r>
    </w:p>
    <w:p>
      <w:pPr>
        <w:spacing w:line="360" w:lineRule="auto"/>
        <w:outlineLvl w:val="2"/>
        <w:rPr>
          <w:rFonts w:eastAsiaTheme="minorEastAsia"/>
          <w:bCs/>
          <w:sz w:val="24"/>
          <w:szCs w:val="24"/>
        </w:rPr>
      </w:pPr>
      <w:r>
        <w:rPr>
          <w:rFonts w:eastAsiaTheme="minorEastAsia"/>
          <w:b/>
          <w:sz w:val="24"/>
          <w:szCs w:val="24"/>
        </w:rPr>
        <w:t>5.3.1</w:t>
      </w:r>
      <w:r>
        <w:rPr>
          <w:rFonts w:hint="eastAsia" w:eastAsiaTheme="minorEastAsia"/>
          <w:b/>
          <w:sz w:val="24"/>
          <w:szCs w:val="24"/>
        </w:rPr>
        <w:t>2</w:t>
      </w:r>
      <w:r>
        <w:rPr>
          <w:rFonts w:eastAsiaTheme="minorEastAsia"/>
          <w:b/>
          <w:sz w:val="24"/>
          <w:szCs w:val="24"/>
        </w:rPr>
        <w:t>　</w:t>
      </w:r>
      <w:r>
        <w:rPr>
          <w:rFonts w:hint="eastAsia" w:eastAsiaTheme="minorEastAsia"/>
          <w:bCs/>
          <w:sz w:val="24"/>
          <w:szCs w:val="24"/>
        </w:rPr>
        <w:t>芯柱或构造柱参与工作系数</w:t>
      </w:r>
      <w:r>
        <w:rPr>
          <w:bCs/>
          <w:i/>
          <w:iCs/>
          <w:sz w:val="24"/>
          <w:szCs w:val="24"/>
        </w:rPr>
        <w:t>ζ</w:t>
      </w:r>
      <w:r>
        <w:rPr>
          <w:bCs/>
          <w:position w:val="-4"/>
          <w:sz w:val="24"/>
          <w:szCs w:val="24"/>
          <w:vertAlign w:val="subscript"/>
        </w:rPr>
        <w:t>c</w:t>
      </w:r>
      <w:r>
        <w:rPr>
          <w:sz w:val="24"/>
          <w:szCs w:val="24"/>
        </w:rPr>
        <w:t>可按表5.3.1</w:t>
      </w:r>
      <w:r>
        <w:rPr>
          <w:rFonts w:hint="eastAsia"/>
          <w:sz w:val="24"/>
          <w:szCs w:val="24"/>
        </w:rPr>
        <w:t>2取值</w:t>
      </w:r>
      <w:r>
        <w:rPr>
          <w:sz w:val="24"/>
          <w:szCs w:val="24"/>
        </w:rPr>
        <w:t>。</w:t>
      </w:r>
    </w:p>
    <w:p>
      <w:pPr>
        <w:spacing w:line="360" w:lineRule="auto"/>
        <w:jc w:val="center"/>
        <w:rPr>
          <w:b/>
          <w:szCs w:val="21"/>
        </w:rPr>
      </w:pPr>
      <w:r>
        <w:rPr>
          <w:b/>
          <w:szCs w:val="21"/>
        </w:rPr>
        <w:t>表5.3.</w:t>
      </w:r>
      <w:r>
        <w:rPr>
          <w:rFonts w:hint="eastAsia"/>
          <w:b/>
          <w:bCs/>
          <w:szCs w:val="21"/>
        </w:rPr>
        <w:t>1</w:t>
      </w:r>
      <w:r>
        <w:rPr>
          <w:rFonts w:hint="eastAsia"/>
          <w:b/>
          <w:szCs w:val="21"/>
        </w:rPr>
        <w:t>2</w:t>
      </w:r>
      <w:r>
        <w:rPr>
          <w:b/>
          <w:bCs/>
          <w:szCs w:val="21"/>
        </w:rPr>
        <w:t>　</w:t>
      </w:r>
      <w:r>
        <w:rPr>
          <w:b/>
          <w:szCs w:val="21"/>
        </w:rPr>
        <w:t>芯柱</w:t>
      </w:r>
      <w:r>
        <w:rPr>
          <w:rFonts w:hint="eastAsia"/>
          <w:b/>
          <w:szCs w:val="21"/>
        </w:rPr>
        <w:t>和构造柱</w:t>
      </w:r>
      <w:r>
        <w:rPr>
          <w:b/>
          <w:szCs w:val="21"/>
        </w:rPr>
        <w:t>参与工作系数</w:t>
      </w:r>
    </w:p>
    <w:tbl>
      <w:tblPr>
        <w:tblStyle w:val="146"/>
        <w:tblW w:w="0" w:type="auto"/>
        <w:tblInd w:w="121" w:type="dxa"/>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Layout w:type="fixed"/>
        <w:tblCellMar>
          <w:top w:w="0" w:type="dxa"/>
          <w:left w:w="0" w:type="dxa"/>
          <w:bottom w:w="0" w:type="dxa"/>
          <w:right w:w="0" w:type="dxa"/>
        </w:tblCellMar>
      </w:tblPr>
      <w:tblGrid>
        <w:gridCol w:w="1484"/>
        <w:gridCol w:w="1336"/>
        <w:gridCol w:w="2273"/>
        <w:gridCol w:w="2093"/>
        <w:gridCol w:w="963"/>
      </w:tblGrid>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516" w:hRule="atLeast"/>
        </w:trPr>
        <w:tc>
          <w:tcPr>
            <w:tcW w:w="1484" w:type="dxa"/>
            <w:vAlign w:val="center"/>
          </w:tcPr>
          <w:p>
            <w:pPr>
              <w:pStyle w:val="147"/>
              <w:spacing w:before="28"/>
              <w:ind w:left="278" w:right="258"/>
              <w:rPr>
                <w:rFonts w:eastAsia="宋体" w:asciiTheme="minorHAnsi" w:hAnsiTheme="minorHAnsi" w:cstheme="minorBidi"/>
                <w:sz w:val="21"/>
                <w:szCs w:val="18"/>
              </w:rPr>
            </w:pPr>
            <w:r>
              <w:rPr>
                <w:rFonts w:ascii="Times New Roman" w:hAnsi="Times New Roman" w:eastAsia="宋体" w:cs="Times New Roman"/>
                <w:sz w:val="21"/>
                <w:szCs w:val="18"/>
              </w:rPr>
              <w:t>灌孔率</w:t>
            </w:r>
            <w:r>
              <w:rPr>
                <w:rFonts w:ascii="Times New Roman" w:hAnsi="Times New Roman" w:eastAsia="宋体" w:cs="Times New Roman"/>
                <w:i/>
                <w:sz w:val="21"/>
                <w:szCs w:val="18"/>
              </w:rPr>
              <w:t>ρ</w:t>
            </w:r>
          </w:p>
        </w:tc>
        <w:tc>
          <w:tcPr>
            <w:tcW w:w="1336" w:type="dxa"/>
            <w:vAlign w:val="center"/>
          </w:tcPr>
          <w:p>
            <w:pPr>
              <w:pStyle w:val="147"/>
              <w:spacing w:before="28"/>
              <w:ind w:left="208" w:right="187"/>
              <w:rPr>
                <w:rFonts w:eastAsia="宋体" w:asciiTheme="minorHAnsi" w:hAnsiTheme="minorHAnsi" w:cstheme="minorBidi"/>
                <w:sz w:val="21"/>
                <w:szCs w:val="18"/>
              </w:rPr>
            </w:pPr>
            <w:r>
              <w:rPr>
                <w:rFonts w:ascii="Times New Roman" w:hAnsi="Times New Roman" w:eastAsia="宋体" w:cs="Times New Roman"/>
                <w:i/>
                <w:sz w:val="21"/>
                <w:szCs w:val="18"/>
              </w:rPr>
              <w:t>ρ</w:t>
            </w:r>
            <w:r>
              <w:rPr>
                <w:rFonts w:ascii="Times New Roman" w:hAnsi="Times New Roman" w:eastAsia="宋体" w:cs="Times New Roman"/>
                <w:sz w:val="21"/>
                <w:szCs w:val="18"/>
              </w:rPr>
              <w:t>＜0.15</w:t>
            </w:r>
          </w:p>
        </w:tc>
        <w:tc>
          <w:tcPr>
            <w:tcW w:w="2273" w:type="dxa"/>
            <w:vAlign w:val="center"/>
          </w:tcPr>
          <w:p>
            <w:pPr>
              <w:pStyle w:val="147"/>
              <w:spacing w:before="28"/>
              <w:ind w:left="356" w:right="335"/>
              <w:rPr>
                <w:rFonts w:eastAsia="宋体" w:asciiTheme="minorHAnsi" w:hAnsiTheme="minorHAnsi" w:cstheme="minorBidi"/>
                <w:sz w:val="21"/>
                <w:szCs w:val="18"/>
              </w:rPr>
            </w:pPr>
            <w:r>
              <w:rPr>
                <w:rFonts w:ascii="Times New Roman" w:hAnsi="Times New Roman" w:eastAsia="宋体" w:cs="Times New Roman"/>
                <w:sz w:val="21"/>
                <w:szCs w:val="18"/>
              </w:rPr>
              <w:t>0.15≤</w:t>
            </w:r>
            <w:r>
              <w:rPr>
                <w:rFonts w:ascii="Times New Roman" w:hAnsi="Times New Roman" w:eastAsia="宋体" w:cs="Times New Roman"/>
                <w:i/>
                <w:sz w:val="21"/>
                <w:szCs w:val="18"/>
              </w:rPr>
              <w:t>ρ</w:t>
            </w:r>
            <w:r>
              <w:rPr>
                <w:rFonts w:ascii="Times New Roman" w:hAnsi="Times New Roman" w:eastAsia="宋体" w:cs="Times New Roman"/>
                <w:sz w:val="21"/>
                <w:szCs w:val="18"/>
              </w:rPr>
              <w:t>＜0.25</w:t>
            </w:r>
          </w:p>
        </w:tc>
        <w:tc>
          <w:tcPr>
            <w:tcW w:w="2093" w:type="dxa"/>
            <w:vAlign w:val="center"/>
          </w:tcPr>
          <w:p>
            <w:pPr>
              <w:pStyle w:val="147"/>
              <w:spacing w:before="28"/>
              <w:ind w:left="334" w:right="312"/>
              <w:rPr>
                <w:rFonts w:eastAsia="宋体" w:asciiTheme="minorHAnsi" w:hAnsiTheme="minorHAnsi" w:cstheme="minorBidi"/>
                <w:sz w:val="21"/>
                <w:szCs w:val="18"/>
              </w:rPr>
            </w:pPr>
            <w:r>
              <w:rPr>
                <w:rFonts w:ascii="Times New Roman" w:hAnsi="Times New Roman" w:eastAsia="宋体" w:cs="Times New Roman"/>
                <w:sz w:val="21"/>
                <w:szCs w:val="18"/>
              </w:rPr>
              <w:t>0.25≤</w:t>
            </w:r>
            <w:r>
              <w:rPr>
                <w:rFonts w:ascii="Times New Roman" w:hAnsi="Times New Roman" w:eastAsia="宋体" w:cs="Times New Roman"/>
                <w:i/>
                <w:sz w:val="21"/>
                <w:szCs w:val="18"/>
              </w:rPr>
              <w:t>ρ</w:t>
            </w:r>
            <w:r>
              <w:rPr>
                <w:rFonts w:ascii="Times New Roman" w:hAnsi="Times New Roman" w:eastAsia="宋体" w:cs="Times New Roman"/>
                <w:sz w:val="21"/>
                <w:szCs w:val="18"/>
              </w:rPr>
              <w:t>＜0.5</w:t>
            </w:r>
          </w:p>
        </w:tc>
        <w:tc>
          <w:tcPr>
            <w:tcW w:w="963" w:type="dxa"/>
            <w:vAlign w:val="center"/>
          </w:tcPr>
          <w:p>
            <w:pPr>
              <w:pStyle w:val="147"/>
              <w:spacing w:before="28"/>
              <w:rPr>
                <w:rFonts w:eastAsia="宋体" w:asciiTheme="minorHAnsi" w:hAnsiTheme="minorHAnsi" w:cstheme="minorBidi"/>
                <w:sz w:val="21"/>
                <w:szCs w:val="18"/>
              </w:rPr>
            </w:pPr>
            <w:r>
              <w:rPr>
                <w:rFonts w:ascii="Times New Roman" w:hAnsi="Times New Roman" w:eastAsia="宋体" w:cs="Times New Roman"/>
                <w:i/>
                <w:sz w:val="21"/>
                <w:szCs w:val="18"/>
              </w:rPr>
              <w:t>ρ</w:t>
            </w:r>
            <w:r>
              <w:rPr>
                <w:rFonts w:ascii="Times New Roman" w:hAnsi="Times New Roman" w:eastAsia="宋体" w:cs="Times New Roman"/>
                <w:sz w:val="21"/>
                <w:szCs w:val="18"/>
              </w:rPr>
              <w:t>≥0.5</w:t>
            </w: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516" w:hRule="atLeast"/>
        </w:trPr>
        <w:tc>
          <w:tcPr>
            <w:tcW w:w="1484" w:type="dxa"/>
            <w:vAlign w:val="center"/>
          </w:tcPr>
          <w:p>
            <w:pPr>
              <w:pStyle w:val="147"/>
              <w:ind w:left="278" w:right="254"/>
              <w:rPr>
                <w:rFonts w:eastAsia="宋体" w:asciiTheme="minorHAnsi" w:hAnsiTheme="minorHAnsi" w:cstheme="minorBidi"/>
                <w:i/>
                <w:sz w:val="21"/>
                <w:szCs w:val="18"/>
              </w:rPr>
            </w:pPr>
            <w:r>
              <w:rPr>
                <w:rFonts w:ascii="Times New Roman" w:hAnsi="Times New Roman" w:eastAsia="宋体" w:cs="Times New Roman"/>
                <w:i/>
                <w:sz w:val="21"/>
                <w:szCs w:val="18"/>
              </w:rPr>
              <w:t>ζ</w:t>
            </w:r>
            <w:r>
              <w:rPr>
                <w:rFonts w:ascii="Times New Roman" w:hAnsi="Times New Roman" w:eastAsia="宋体" w:cs="Times New Roman"/>
                <w:i/>
                <w:position w:val="-4"/>
                <w:sz w:val="21"/>
                <w:szCs w:val="18"/>
              </w:rPr>
              <w:t>c</w:t>
            </w:r>
          </w:p>
        </w:tc>
        <w:tc>
          <w:tcPr>
            <w:tcW w:w="1336" w:type="dxa"/>
            <w:vAlign w:val="center"/>
          </w:tcPr>
          <w:p>
            <w:pPr>
              <w:pStyle w:val="147"/>
              <w:spacing w:before="52"/>
              <w:ind w:left="208" w:right="187"/>
              <w:rPr>
                <w:rFonts w:eastAsia="宋体" w:asciiTheme="minorHAnsi" w:hAnsiTheme="minorHAnsi" w:cstheme="minorBidi"/>
                <w:sz w:val="21"/>
                <w:szCs w:val="18"/>
              </w:rPr>
            </w:pPr>
            <w:r>
              <w:rPr>
                <w:rFonts w:ascii="Times New Roman" w:hAnsi="Times New Roman" w:eastAsia="宋体" w:cs="Times New Roman"/>
                <w:sz w:val="21"/>
                <w:szCs w:val="18"/>
              </w:rPr>
              <w:t>0.00</w:t>
            </w:r>
          </w:p>
        </w:tc>
        <w:tc>
          <w:tcPr>
            <w:tcW w:w="2273" w:type="dxa"/>
            <w:vAlign w:val="center"/>
          </w:tcPr>
          <w:p>
            <w:pPr>
              <w:pStyle w:val="147"/>
              <w:spacing w:before="52"/>
              <w:ind w:left="356" w:right="335"/>
              <w:rPr>
                <w:rFonts w:eastAsia="宋体" w:asciiTheme="minorHAnsi" w:hAnsiTheme="minorHAnsi" w:cstheme="minorBidi"/>
                <w:sz w:val="21"/>
                <w:szCs w:val="18"/>
              </w:rPr>
            </w:pPr>
            <w:r>
              <w:rPr>
                <w:rFonts w:ascii="Times New Roman" w:hAnsi="Times New Roman" w:eastAsia="宋体" w:cs="Times New Roman"/>
                <w:sz w:val="21"/>
                <w:szCs w:val="18"/>
              </w:rPr>
              <w:t>1.00</w:t>
            </w:r>
          </w:p>
        </w:tc>
        <w:tc>
          <w:tcPr>
            <w:tcW w:w="2093" w:type="dxa"/>
            <w:vAlign w:val="center"/>
          </w:tcPr>
          <w:p>
            <w:pPr>
              <w:pStyle w:val="147"/>
              <w:spacing w:before="52"/>
              <w:ind w:left="334" w:right="312"/>
              <w:rPr>
                <w:rFonts w:eastAsia="宋体" w:asciiTheme="minorHAnsi" w:hAnsiTheme="minorHAnsi" w:cstheme="minorBidi"/>
                <w:sz w:val="21"/>
                <w:szCs w:val="18"/>
              </w:rPr>
            </w:pPr>
            <w:r>
              <w:rPr>
                <w:rFonts w:ascii="Times New Roman" w:hAnsi="Times New Roman" w:eastAsia="宋体" w:cs="Times New Roman"/>
                <w:sz w:val="21"/>
                <w:szCs w:val="18"/>
              </w:rPr>
              <w:t>1.10</w:t>
            </w:r>
          </w:p>
        </w:tc>
        <w:tc>
          <w:tcPr>
            <w:tcW w:w="963" w:type="dxa"/>
            <w:vAlign w:val="center"/>
          </w:tcPr>
          <w:p>
            <w:pPr>
              <w:pStyle w:val="147"/>
              <w:spacing w:before="52"/>
              <w:rPr>
                <w:rFonts w:eastAsia="宋体" w:asciiTheme="minorHAnsi" w:hAnsiTheme="minorHAnsi" w:cstheme="minorBidi"/>
                <w:sz w:val="21"/>
                <w:szCs w:val="18"/>
              </w:rPr>
            </w:pPr>
            <w:r>
              <w:rPr>
                <w:rFonts w:ascii="Times New Roman" w:hAnsi="Times New Roman" w:eastAsia="宋体" w:cs="Times New Roman"/>
                <w:sz w:val="21"/>
                <w:szCs w:val="18"/>
              </w:rPr>
              <w:t>1.15</w:t>
            </w:r>
          </w:p>
        </w:tc>
      </w:tr>
    </w:tbl>
    <w:p>
      <w:pPr>
        <w:pStyle w:val="3"/>
        <w:ind w:firstLine="208" w:firstLineChars="100"/>
        <w:rPr>
          <w:szCs w:val="24"/>
        </w:rPr>
      </w:pPr>
      <w:r>
        <w:rPr>
          <w:spacing w:val="-1"/>
          <w:szCs w:val="24"/>
        </w:rPr>
        <w:t>注：灌孔率指芯柱根数</w:t>
      </w:r>
      <w:r>
        <w:rPr>
          <w:rFonts w:hint="eastAsia"/>
          <w:spacing w:val="-1"/>
          <w:szCs w:val="24"/>
        </w:rPr>
        <w:t>（</w:t>
      </w:r>
      <w:r>
        <w:rPr>
          <w:spacing w:val="-1"/>
          <w:szCs w:val="24"/>
        </w:rPr>
        <w:t>含构造柱和填实孔洞数</w:t>
      </w:r>
      <w:r>
        <w:rPr>
          <w:rFonts w:hint="eastAsia"/>
          <w:spacing w:val="-1"/>
          <w:szCs w:val="24"/>
        </w:rPr>
        <w:t>）</w:t>
      </w:r>
      <w:r>
        <w:rPr>
          <w:szCs w:val="24"/>
        </w:rPr>
        <w:t>与孔洞总数之比。</w:t>
      </w:r>
    </w:p>
    <w:p>
      <w:pPr>
        <w:spacing w:line="360" w:lineRule="auto"/>
        <w:outlineLvl w:val="2"/>
        <w:rPr>
          <w:rFonts w:eastAsiaTheme="minorEastAsia"/>
          <w:bCs/>
          <w:sz w:val="24"/>
          <w:szCs w:val="24"/>
        </w:rPr>
      </w:pPr>
      <w:r>
        <w:rPr>
          <w:rFonts w:eastAsiaTheme="minorEastAsia"/>
          <w:b/>
          <w:sz w:val="24"/>
          <w:szCs w:val="24"/>
        </w:rPr>
        <w:t>5.3.1</w:t>
      </w:r>
      <w:r>
        <w:rPr>
          <w:rFonts w:hint="eastAsia" w:eastAsiaTheme="minorEastAsia"/>
          <w:b/>
          <w:sz w:val="24"/>
          <w:szCs w:val="24"/>
        </w:rPr>
        <w:t>3</w:t>
      </w:r>
      <w:r>
        <w:rPr>
          <w:rFonts w:eastAsiaTheme="minorEastAsia"/>
          <w:b/>
          <w:sz w:val="24"/>
          <w:szCs w:val="24"/>
        </w:rPr>
        <w:t>　</w:t>
      </w:r>
      <w:r>
        <w:rPr>
          <w:rFonts w:eastAsiaTheme="minorEastAsia"/>
          <w:bCs/>
          <w:sz w:val="24"/>
          <w:szCs w:val="24"/>
        </w:rPr>
        <w:t>模壳</w:t>
      </w:r>
      <w:r>
        <w:rPr>
          <w:rFonts w:hint="eastAsia" w:eastAsiaTheme="minorEastAsia"/>
          <w:bCs/>
          <w:sz w:val="24"/>
          <w:szCs w:val="24"/>
        </w:rPr>
        <w:t>砌块</w:t>
      </w:r>
      <w:r>
        <w:rPr>
          <w:rFonts w:eastAsiaTheme="minorEastAsia"/>
          <w:bCs/>
          <w:sz w:val="24"/>
          <w:szCs w:val="24"/>
        </w:rPr>
        <w:t>砌体结构抗震墙承载力计算时，底部加强部位截面的组合剪力设计值应按</w:t>
      </w:r>
      <w:r>
        <w:rPr>
          <w:rFonts w:hint="eastAsia" w:eastAsiaTheme="minorEastAsia"/>
          <w:bCs/>
          <w:sz w:val="24"/>
          <w:szCs w:val="24"/>
        </w:rPr>
        <w:t>下式</w:t>
      </w:r>
      <w:r>
        <w:rPr>
          <w:rFonts w:eastAsiaTheme="minorEastAsia"/>
          <w:bCs/>
          <w:sz w:val="24"/>
          <w:szCs w:val="24"/>
        </w:rPr>
        <w:t>计算：</w:t>
      </w:r>
    </w:p>
    <w:p>
      <w:pPr>
        <w:pStyle w:val="81"/>
        <w:tabs>
          <w:tab w:val="left" w:pos="3402"/>
          <w:tab w:val="left" w:pos="7230"/>
        </w:tabs>
        <w:spacing w:line="360" w:lineRule="auto"/>
        <w:ind w:firstLine="0" w:firstLineChars="0"/>
        <w:outlineLvl w:val="2"/>
        <w:rPr>
          <w:rFonts w:eastAsiaTheme="minorEastAsia"/>
          <w:bCs/>
          <w:sz w:val="24"/>
          <w:szCs w:val="24"/>
        </w:rPr>
      </w:pPr>
      <w:r>
        <w:tab/>
      </w:r>
      <w:r>
        <w:rPr>
          <w:position w:val="-12"/>
        </w:rPr>
        <w:object>
          <v:shape id="_x0000_i1038" o:spt="75" type="#_x0000_t75" style="height:20.4pt;width:51.6pt;" o:ole="t" filled="f" o:preferrelative="t" stroked="f" coordsize="21600,21600">
            <v:path/>
            <v:fill on="f" focussize="0,0"/>
            <v:stroke on="f" joinstyle="miter"/>
            <v:imagedata r:id="rId39" o:title=""/>
            <o:lock v:ext="edit" aspectratio="t"/>
            <w10:wrap type="none"/>
            <w10:anchorlock/>
          </v:shape>
          <o:OLEObject Type="Embed" ProgID="Equation.DSMT4" ShapeID="_x0000_i1038" DrawAspect="Content" ObjectID="_1468075738" r:id="rId38">
            <o:LockedField>false</o:LockedField>
          </o:OLEObject>
        </w:object>
      </w:r>
      <w:r>
        <w:tab/>
      </w:r>
      <w:r>
        <w:rPr>
          <w:rFonts w:hint="eastAsia" w:ascii="Times New Roman" w:hAnsi="Times New Roman"/>
          <w:sz w:val="24"/>
          <w:szCs w:val="24"/>
        </w:rPr>
        <w:t>（</w:t>
      </w:r>
      <w:r>
        <w:rPr>
          <w:rFonts w:ascii="Times New Roman" w:hAnsi="Times New Roman"/>
          <w:sz w:val="24"/>
          <w:szCs w:val="24"/>
        </w:rPr>
        <w:t>5.3.1</w:t>
      </w:r>
      <w:r>
        <w:rPr>
          <w:rFonts w:hint="eastAsia" w:ascii="Times New Roman" w:hAnsi="Times New Roman"/>
          <w:sz w:val="24"/>
          <w:szCs w:val="24"/>
        </w:rPr>
        <w:t>3）</w:t>
      </w:r>
    </w:p>
    <w:p>
      <w:pPr>
        <w:snapToGrid w:val="0"/>
        <w:spacing w:line="360" w:lineRule="auto"/>
        <w:ind w:left="289" w:hanging="289"/>
        <w:rPr>
          <w:spacing w:val="1"/>
          <w:sz w:val="24"/>
          <w:szCs w:val="24"/>
        </w:rPr>
      </w:pPr>
      <w:r>
        <w:rPr>
          <w:sz w:val="24"/>
          <w:szCs w:val="24"/>
        </w:rPr>
        <w:t>式中：</w:t>
      </w:r>
      <w:r>
        <w:rPr>
          <w:i/>
          <w:iCs/>
          <w:sz w:val="24"/>
          <w:szCs w:val="24"/>
        </w:rPr>
        <w:t>V</w:t>
      </w:r>
      <w:r>
        <w:rPr>
          <w:sz w:val="24"/>
          <w:szCs w:val="24"/>
        </w:rPr>
        <w:t>——砌体抗震墙截面组合的剪力设计值（</w:t>
      </w:r>
      <w:r>
        <w:rPr>
          <w:rFonts w:hint="eastAsia"/>
          <w:sz w:val="24"/>
          <w:szCs w:val="24"/>
        </w:rPr>
        <w:t>k</w:t>
      </w:r>
      <w:r>
        <w:rPr>
          <w:sz w:val="24"/>
          <w:szCs w:val="24"/>
        </w:rPr>
        <w:t>N）；</w:t>
      </w:r>
    </w:p>
    <w:p>
      <w:pPr>
        <w:snapToGrid w:val="0"/>
        <w:spacing w:line="360" w:lineRule="auto"/>
        <w:ind w:left="105" w:leftChars="50" w:firstLine="595" w:firstLineChars="250"/>
        <w:rPr>
          <w:spacing w:val="-87"/>
          <w:sz w:val="24"/>
          <w:szCs w:val="24"/>
        </w:rPr>
      </w:pPr>
      <w:r>
        <w:rPr>
          <w:i/>
          <w:iCs/>
          <w:spacing w:val="-1"/>
          <w:sz w:val="24"/>
          <w:szCs w:val="24"/>
        </w:rPr>
        <w:t>V</w:t>
      </w:r>
      <w:r>
        <w:rPr>
          <w:spacing w:val="-1"/>
          <w:position w:val="-4"/>
          <w:sz w:val="24"/>
          <w:szCs w:val="24"/>
          <w:vertAlign w:val="subscript"/>
        </w:rPr>
        <w:t>w</w:t>
      </w:r>
      <w:r>
        <w:rPr>
          <w:spacing w:val="-1"/>
          <w:sz w:val="24"/>
          <w:szCs w:val="24"/>
        </w:rPr>
        <w:t>——</w:t>
      </w:r>
      <w:r>
        <w:rPr>
          <w:sz w:val="24"/>
          <w:szCs w:val="24"/>
        </w:rPr>
        <w:t>砌体抗震墙截面组合的剪力计算值</w:t>
      </w:r>
      <w:r>
        <w:rPr>
          <w:w w:val="95"/>
          <w:sz w:val="24"/>
          <w:szCs w:val="24"/>
        </w:rPr>
        <w:t>（</w:t>
      </w:r>
      <w:r>
        <w:rPr>
          <w:rFonts w:hint="eastAsia"/>
          <w:w w:val="95"/>
          <w:sz w:val="24"/>
          <w:szCs w:val="24"/>
        </w:rPr>
        <w:t>k</w:t>
      </w:r>
      <w:r>
        <w:rPr>
          <w:w w:val="95"/>
          <w:sz w:val="24"/>
          <w:szCs w:val="24"/>
        </w:rPr>
        <w:t>N）</w:t>
      </w:r>
      <w:r>
        <w:rPr>
          <w:sz w:val="24"/>
          <w:szCs w:val="24"/>
        </w:rPr>
        <w:t>；</w:t>
      </w:r>
    </w:p>
    <w:p>
      <w:pPr>
        <w:snapToGrid w:val="0"/>
        <w:spacing w:line="360" w:lineRule="auto"/>
        <w:ind w:left="105" w:leftChars="50" w:firstLine="600" w:firstLineChars="250"/>
        <w:rPr>
          <w:sz w:val="24"/>
          <w:szCs w:val="24"/>
        </w:rPr>
      </w:pPr>
      <w:r>
        <w:rPr>
          <w:i/>
          <w:sz w:val="24"/>
          <w:szCs w:val="24"/>
        </w:rPr>
        <w:t>η</w:t>
      </w:r>
      <w:r>
        <w:rPr>
          <w:position w:val="-4"/>
          <w:sz w:val="24"/>
          <w:szCs w:val="24"/>
          <w:vertAlign w:val="subscript"/>
        </w:rPr>
        <w:t>vw</w:t>
      </w:r>
      <w:r>
        <w:rPr>
          <w:sz w:val="24"/>
          <w:szCs w:val="24"/>
        </w:rPr>
        <w:t>——剪力增大系数</w:t>
      </w:r>
      <w:r>
        <w:rPr>
          <w:rFonts w:hint="eastAsia"/>
          <w:sz w:val="24"/>
          <w:szCs w:val="24"/>
        </w:rPr>
        <w:t>。</w:t>
      </w:r>
    </w:p>
    <w:p>
      <w:pPr>
        <w:spacing w:line="360" w:lineRule="auto"/>
        <w:outlineLvl w:val="2"/>
        <w:rPr>
          <w:rFonts w:eastAsiaTheme="minorEastAsia"/>
          <w:bCs/>
          <w:sz w:val="24"/>
          <w:szCs w:val="24"/>
        </w:rPr>
      </w:pPr>
      <w:r>
        <w:rPr>
          <w:rFonts w:eastAsiaTheme="minorEastAsia"/>
          <w:b/>
          <w:sz w:val="24"/>
          <w:szCs w:val="24"/>
        </w:rPr>
        <w:t>5.3.1</w:t>
      </w:r>
      <w:r>
        <w:rPr>
          <w:rFonts w:hint="eastAsia" w:eastAsiaTheme="minorEastAsia"/>
          <w:b/>
          <w:sz w:val="24"/>
          <w:szCs w:val="24"/>
        </w:rPr>
        <w:t>4</w:t>
      </w:r>
      <w:r>
        <w:rPr>
          <w:rFonts w:eastAsiaTheme="minorEastAsia"/>
          <w:b/>
          <w:sz w:val="24"/>
          <w:szCs w:val="24"/>
        </w:rPr>
        <w:t>　</w:t>
      </w:r>
      <w:r>
        <w:rPr>
          <w:sz w:val="24"/>
          <w:szCs w:val="24"/>
        </w:rPr>
        <w:t>剪力增大系数</w:t>
      </w:r>
      <w:r>
        <w:rPr>
          <w:i/>
          <w:sz w:val="24"/>
          <w:szCs w:val="24"/>
        </w:rPr>
        <w:t>η</w:t>
      </w:r>
      <w:r>
        <w:rPr>
          <w:position w:val="-4"/>
          <w:sz w:val="24"/>
          <w:szCs w:val="24"/>
          <w:vertAlign w:val="subscript"/>
        </w:rPr>
        <w:t>vw</w:t>
      </w:r>
      <w:r>
        <w:rPr>
          <w:sz w:val="24"/>
          <w:szCs w:val="24"/>
        </w:rPr>
        <w:t>可按表5.3.1</w:t>
      </w:r>
      <w:r>
        <w:rPr>
          <w:rFonts w:hint="eastAsia"/>
          <w:sz w:val="24"/>
          <w:szCs w:val="24"/>
        </w:rPr>
        <w:t>4</w:t>
      </w:r>
      <w:r>
        <w:rPr>
          <w:sz w:val="24"/>
          <w:szCs w:val="24"/>
        </w:rPr>
        <w:t>采用。</w:t>
      </w:r>
    </w:p>
    <w:p>
      <w:pPr>
        <w:spacing w:line="360" w:lineRule="auto"/>
        <w:jc w:val="center"/>
        <w:rPr>
          <w:b/>
          <w:szCs w:val="21"/>
        </w:rPr>
      </w:pPr>
      <w:r>
        <w:rPr>
          <w:b/>
          <w:szCs w:val="21"/>
        </w:rPr>
        <w:t>表5.3.</w:t>
      </w:r>
      <w:r>
        <w:rPr>
          <w:rFonts w:hint="eastAsia"/>
          <w:b/>
          <w:szCs w:val="21"/>
        </w:rPr>
        <w:t>14</w:t>
      </w:r>
      <w:r>
        <w:rPr>
          <w:b/>
          <w:szCs w:val="21"/>
        </w:rPr>
        <w:t>　剪力增大系数</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1417"/>
        <w:gridCol w:w="1134"/>
        <w:gridCol w:w="1276"/>
        <w:gridCol w:w="1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256" w:type="dxa"/>
            <w:vMerge w:val="restart"/>
            <w:vAlign w:val="center"/>
          </w:tcPr>
          <w:p>
            <w:pPr>
              <w:pStyle w:val="2"/>
              <w:ind w:firstLine="6"/>
              <w:rPr>
                <w:b w:val="0"/>
              </w:rPr>
            </w:pPr>
            <w:r>
              <w:rPr>
                <w:b w:val="0"/>
              </w:rPr>
              <w:t>结构部位</w:t>
            </w:r>
          </w:p>
        </w:tc>
        <w:tc>
          <w:tcPr>
            <w:tcW w:w="5041" w:type="dxa"/>
            <w:gridSpan w:val="4"/>
            <w:vAlign w:val="center"/>
          </w:tcPr>
          <w:p>
            <w:pPr>
              <w:pStyle w:val="2"/>
              <w:ind w:firstLine="7"/>
              <w:rPr>
                <w:b w:val="0"/>
              </w:rPr>
            </w:pPr>
            <w:r>
              <w:rPr>
                <w:b w:val="0"/>
              </w:rPr>
              <w:t>抗震等级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256" w:type="dxa"/>
            <w:vMerge w:val="continue"/>
            <w:vAlign w:val="center"/>
          </w:tcPr>
          <w:p>
            <w:pPr>
              <w:pStyle w:val="2"/>
              <w:ind w:firstLine="6"/>
              <w:rPr>
                <w:b w:val="0"/>
              </w:rPr>
            </w:pPr>
          </w:p>
        </w:tc>
        <w:tc>
          <w:tcPr>
            <w:tcW w:w="1417" w:type="dxa"/>
            <w:vAlign w:val="center"/>
          </w:tcPr>
          <w:p>
            <w:pPr>
              <w:pStyle w:val="2"/>
              <w:ind w:firstLine="6" w:firstLineChars="3"/>
              <w:rPr>
                <w:b w:val="0"/>
              </w:rPr>
            </w:pPr>
            <w:r>
              <w:rPr>
                <w:b w:val="0"/>
              </w:rPr>
              <w:t>一</w:t>
            </w:r>
          </w:p>
        </w:tc>
        <w:tc>
          <w:tcPr>
            <w:tcW w:w="1134" w:type="dxa"/>
            <w:vAlign w:val="center"/>
          </w:tcPr>
          <w:p>
            <w:pPr>
              <w:pStyle w:val="2"/>
              <w:ind w:firstLine="6"/>
              <w:rPr>
                <w:b w:val="0"/>
              </w:rPr>
            </w:pPr>
            <w:r>
              <w:rPr>
                <w:b w:val="0"/>
              </w:rPr>
              <w:t>二</w:t>
            </w:r>
          </w:p>
        </w:tc>
        <w:tc>
          <w:tcPr>
            <w:tcW w:w="1276" w:type="dxa"/>
            <w:vAlign w:val="center"/>
          </w:tcPr>
          <w:p>
            <w:pPr>
              <w:pStyle w:val="2"/>
              <w:ind w:firstLine="6"/>
              <w:rPr>
                <w:b w:val="0"/>
              </w:rPr>
            </w:pPr>
            <w:r>
              <w:rPr>
                <w:b w:val="0"/>
              </w:rPr>
              <w:t>三</w:t>
            </w:r>
          </w:p>
        </w:tc>
        <w:tc>
          <w:tcPr>
            <w:tcW w:w="1214" w:type="dxa"/>
            <w:vAlign w:val="center"/>
          </w:tcPr>
          <w:p>
            <w:pPr>
              <w:pStyle w:val="2"/>
              <w:ind w:firstLine="6"/>
              <w:rPr>
                <w:b w:val="0"/>
              </w:rPr>
            </w:pPr>
            <w:r>
              <w:rPr>
                <w:b w:val="0"/>
              </w:rPr>
              <w:t>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256" w:type="dxa"/>
            <w:vAlign w:val="center"/>
          </w:tcPr>
          <w:p>
            <w:pPr>
              <w:pStyle w:val="2"/>
              <w:ind w:firstLine="6"/>
              <w:rPr>
                <w:b w:val="0"/>
              </w:rPr>
            </w:pPr>
            <w:r>
              <w:rPr>
                <w:b w:val="0"/>
              </w:rPr>
              <w:t>底部加强部位抗震墙</w:t>
            </w:r>
          </w:p>
        </w:tc>
        <w:tc>
          <w:tcPr>
            <w:tcW w:w="1417" w:type="dxa"/>
            <w:vAlign w:val="center"/>
          </w:tcPr>
          <w:p>
            <w:pPr>
              <w:pStyle w:val="2"/>
              <w:ind w:firstLine="6" w:firstLineChars="3"/>
              <w:rPr>
                <w:b w:val="0"/>
              </w:rPr>
            </w:pPr>
            <w:r>
              <w:rPr>
                <w:b w:val="0"/>
              </w:rPr>
              <w:t>1.60</w:t>
            </w:r>
          </w:p>
        </w:tc>
        <w:tc>
          <w:tcPr>
            <w:tcW w:w="1134" w:type="dxa"/>
            <w:vAlign w:val="center"/>
          </w:tcPr>
          <w:p>
            <w:pPr>
              <w:pStyle w:val="2"/>
              <w:ind w:firstLine="6"/>
              <w:rPr>
                <w:b w:val="0"/>
              </w:rPr>
            </w:pPr>
            <w:r>
              <w:rPr>
                <w:b w:val="0"/>
              </w:rPr>
              <w:t>1.40</w:t>
            </w:r>
          </w:p>
        </w:tc>
        <w:tc>
          <w:tcPr>
            <w:tcW w:w="1276" w:type="dxa"/>
            <w:vAlign w:val="center"/>
          </w:tcPr>
          <w:p>
            <w:pPr>
              <w:pStyle w:val="2"/>
              <w:ind w:firstLine="6"/>
              <w:rPr>
                <w:b w:val="0"/>
              </w:rPr>
            </w:pPr>
            <w:r>
              <w:rPr>
                <w:b w:val="0"/>
              </w:rPr>
              <w:t>1.20</w:t>
            </w:r>
          </w:p>
        </w:tc>
        <w:tc>
          <w:tcPr>
            <w:tcW w:w="1214" w:type="dxa"/>
            <w:vAlign w:val="center"/>
          </w:tcPr>
          <w:p>
            <w:pPr>
              <w:pStyle w:val="2"/>
              <w:ind w:firstLine="6"/>
              <w:rPr>
                <w:b w:val="0"/>
              </w:rPr>
            </w:pPr>
            <w:r>
              <w:rPr>
                <w:b w:val="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256" w:type="dxa"/>
            <w:vAlign w:val="center"/>
          </w:tcPr>
          <w:p>
            <w:pPr>
              <w:pStyle w:val="2"/>
              <w:ind w:firstLine="6"/>
              <w:rPr>
                <w:b w:val="0"/>
              </w:rPr>
            </w:pPr>
            <w:r>
              <w:rPr>
                <w:b w:val="0"/>
              </w:rPr>
              <w:t>其他部位抗震墙</w:t>
            </w:r>
          </w:p>
        </w:tc>
        <w:tc>
          <w:tcPr>
            <w:tcW w:w="1417" w:type="dxa"/>
            <w:vAlign w:val="center"/>
          </w:tcPr>
          <w:p>
            <w:pPr>
              <w:pStyle w:val="2"/>
              <w:ind w:firstLine="6" w:firstLineChars="3"/>
              <w:rPr>
                <w:b w:val="0"/>
              </w:rPr>
            </w:pPr>
            <w:r>
              <w:rPr>
                <w:b w:val="0"/>
              </w:rPr>
              <w:t>1.00</w:t>
            </w:r>
          </w:p>
        </w:tc>
        <w:tc>
          <w:tcPr>
            <w:tcW w:w="1134" w:type="dxa"/>
            <w:vAlign w:val="center"/>
          </w:tcPr>
          <w:p>
            <w:pPr>
              <w:pStyle w:val="2"/>
              <w:ind w:firstLine="6"/>
              <w:rPr>
                <w:b w:val="0"/>
              </w:rPr>
            </w:pPr>
            <w:r>
              <w:rPr>
                <w:b w:val="0"/>
              </w:rPr>
              <w:t>1.00</w:t>
            </w:r>
          </w:p>
        </w:tc>
        <w:tc>
          <w:tcPr>
            <w:tcW w:w="1276" w:type="dxa"/>
            <w:vAlign w:val="center"/>
          </w:tcPr>
          <w:p>
            <w:pPr>
              <w:pStyle w:val="2"/>
              <w:ind w:firstLine="6"/>
              <w:rPr>
                <w:b w:val="0"/>
              </w:rPr>
            </w:pPr>
            <w:r>
              <w:rPr>
                <w:b w:val="0"/>
              </w:rPr>
              <w:t>1.00</w:t>
            </w:r>
          </w:p>
        </w:tc>
        <w:tc>
          <w:tcPr>
            <w:tcW w:w="1214" w:type="dxa"/>
            <w:vAlign w:val="center"/>
          </w:tcPr>
          <w:p>
            <w:pPr>
              <w:pStyle w:val="2"/>
              <w:ind w:firstLine="6"/>
              <w:rPr>
                <w:b w:val="0"/>
              </w:rPr>
            </w:pPr>
            <w:r>
              <w:rPr>
                <w:b w:val="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256" w:type="dxa"/>
            <w:vAlign w:val="center"/>
          </w:tcPr>
          <w:p>
            <w:pPr>
              <w:pStyle w:val="2"/>
              <w:ind w:firstLine="6"/>
              <w:rPr>
                <w:b w:val="0"/>
              </w:rPr>
            </w:pPr>
            <w:r>
              <w:rPr>
                <w:b w:val="0"/>
              </w:rPr>
              <w:t>底部加强部位的短肢抗震墙</w:t>
            </w:r>
          </w:p>
        </w:tc>
        <w:tc>
          <w:tcPr>
            <w:tcW w:w="1417" w:type="dxa"/>
            <w:vAlign w:val="center"/>
          </w:tcPr>
          <w:p>
            <w:pPr>
              <w:pStyle w:val="2"/>
              <w:ind w:firstLine="6" w:firstLineChars="3"/>
              <w:rPr>
                <w:b w:val="0"/>
              </w:rPr>
            </w:pPr>
            <w:r>
              <w:rPr>
                <w:b w:val="0"/>
              </w:rPr>
              <w:t>1.70</w:t>
            </w:r>
          </w:p>
        </w:tc>
        <w:tc>
          <w:tcPr>
            <w:tcW w:w="1134" w:type="dxa"/>
            <w:vAlign w:val="center"/>
          </w:tcPr>
          <w:p>
            <w:pPr>
              <w:pStyle w:val="2"/>
              <w:ind w:firstLine="6"/>
              <w:rPr>
                <w:b w:val="0"/>
              </w:rPr>
            </w:pPr>
            <w:r>
              <w:rPr>
                <w:b w:val="0"/>
              </w:rPr>
              <w:t>1.50</w:t>
            </w:r>
          </w:p>
        </w:tc>
        <w:tc>
          <w:tcPr>
            <w:tcW w:w="1276" w:type="dxa"/>
            <w:vAlign w:val="center"/>
          </w:tcPr>
          <w:p>
            <w:pPr>
              <w:pStyle w:val="2"/>
              <w:ind w:firstLine="6"/>
              <w:rPr>
                <w:b w:val="0"/>
              </w:rPr>
            </w:pPr>
            <w:r>
              <w:rPr>
                <w:b w:val="0"/>
              </w:rPr>
              <w:t>1.30</w:t>
            </w:r>
          </w:p>
        </w:tc>
        <w:tc>
          <w:tcPr>
            <w:tcW w:w="1214" w:type="dxa"/>
            <w:vAlign w:val="center"/>
          </w:tcPr>
          <w:p>
            <w:pPr>
              <w:pStyle w:val="2"/>
              <w:ind w:firstLine="6"/>
              <w:rPr>
                <w:b w:val="0"/>
              </w:rPr>
            </w:pPr>
            <w:r>
              <w:rPr>
                <w:b w:val="0"/>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256" w:type="dxa"/>
            <w:vAlign w:val="center"/>
          </w:tcPr>
          <w:p>
            <w:pPr>
              <w:pStyle w:val="2"/>
              <w:ind w:firstLine="6"/>
              <w:rPr>
                <w:b w:val="0"/>
              </w:rPr>
            </w:pPr>
            <w:r>
              <w:rPr>
                <w:b w:val="0"/>
              </w:rPr>
              <w:t>多层房屋其他部位的短肢抗震墙</w:t>
            </w:r>
          </w:p>
        </w:tc>
        <w:tc>
          <w:tcPr>
            <w:tcW w:w="1417" w:type="dxa"/>
            <w:vAlign w:val="center"/>
          </w:tcPr>
          <w:p>
            <w:pPr>
              <w:pStyle w:val="2"/>
              <w:ind w:firstLine="6" w:firstLineChars="3"/>
              <w:rPr>
                <w:b w:val="0"/>
              </w:rPr>
            </w:pPr>
            <w:r>
              <w:rPr>
                <w:b w:val="0"/>
              </w:rPr>
              <w:t>1.20</w:t>
            </w:r>
          </w:p>
        </w:tc>
        <w:tc>
          <w:tcPr>
            <w:tcW w:w="1134" w:type="dxa"/>
            <w:vAlign w:val="center"/>
          </w:tcPr>
          <w:p>
            <w:pPr>
              <w:pStyle w:val="2"/>
              <w:ind w:firstLine="6"/>
              <w:rPr>
                <w:b w:val="0"/>
              </w:rPr>
            </w:pPr>
            <w:r>
              <w:rPr>
                <w:b w:val="0"/>
              </w:rPr>
              <w:t>1.15</w:t>
            </w:r>
          </w:p>
        </w:tc>
        <w:tc>
          <w:tcPr>
            <w:tcW w:w="1276" w:type="dxa"/>
            <w:vAlign w:val="center"/>
          </w:tcPr>
          <w:p>
            <w:pPr>
              <w:pStyle w:val="2"/>
              <w:ind w:firstLine="6"/>
              <w:rPr>
                <w:b w:val="0"/>
              </w:rPr>
            </w:pPr>
            <w:r>
              <w:rPr>
                <w:b w:val="0"/>
              </w:rPr>
              <w:t>1.10</w:t>
            </w:r>
          </w:p>
        </w:tc>
        <w:tc>
          <w:tcPr>
            <w:tcW w:w="1214" w:type="dxa"/>
            <w:vAlign w:val="center"/>
          </w:tcPr>
          <w:p>
            <w:pPr>
              <w:pStyle w:val="2"/>
              <w:ind w:firstLine="6"/>
              <w:rPr>
                <w:b w:val="0"/>
              </w:rPr>
            </w:pPr>
            <w:r>
              <w:rPr>
                <w:b w:val="0"/>
              </w:rPr>
              <w:t>1.05</w:t>
            </w:r>
          </w:p>
        </w:tc>
      </w:tr>
    </w:tbl>
    <w:p>
      <w:pPr>
        <w:pStyle w:val="3"/>
        <w:ind w:left="630" w:leftChars="100" w:hanging="420" w:hangingChars="200"/>
        <w:rPr>
          <w:rFonts w:eastAsiaTheme="minorEastAsia"/>
          <w:bCs/>
          <w:szCs w:val="21"/>
        </w:rPr>
      </w:pPr>
      <w:r>
        <w:rPr>
          <w:rFonts w:eastAsiaTheme="minorEastAsia"/>
          <w:bCs/>
          <w:szCs w:val="21"/>
        </w:rPr>
        <w:t>注：底部加强部位指小于房屋高度的1/6且不小于底部二层的高度范围，房屋总高度小于18 m时取一层。</w:t>
      </w:r>
    </w:p>
    <w:p>
      <w:pPr>
        <w:spacing w:line="360" w:lineRule="auto"/>
        <w:outlineLvl w:val="2"/>
        <w:rPr>
          <w:rFonts w:eastAsiaTheme="minorEastAsia"/>
          <w:bCs/>
          <w:sz w:val="24"/>
          <w:szCs w:val="24"/>
        </w:rPr>
      </w:pPr>
      <w:r>
        <w:rPr>
          <w:rFonts w:eastAsiaTheme="minorEastAsia"/>
          <w:b/>
          <w:sz w:val="24"/>
          <w:szCs w:val="24"/>
        </w:rPr>
        <w:t>5.3.1</w:t>
      </w:r>
      <w:r>
        <w:rPr>
          <w:rFonts w:hint="eastAsia" w:eastAsiaTheme="minorEastAsia"/>
          <w:b/>
          <w:sz w:val="24"/>
          <w:szCs w:val="24"/>
        </w:rPr>
        <w:t>5</w:t>
      </w:r>
      <w:r>
        <w:rPr>
          <w:rFonts w:eastAsiaTheme="minorEastAsia"/>
          <w:b/>
          <w:sz w:val="24"/>
          <w:szCs w:val="24"/>
        </w:rPr>
        <w:t>　</w:t>
      </w:r>
      <w:r>
        <w:rPr>
          <w:sz w:val="24"/>
          <w:szCs w:val="24"/>
        </w:rPr>
        <w:t>模壳</w:t>
      </w:r>
      <w:r>
        <w:rPr>
          <w:rFonts w:hint="eastAsia"/>
          <w:sz w:val="24"/>
          <w:szCs w:val="24"/>
        </w:rPr>
        <w:t>砌块</w:t>
      </w:r>
      <w:r>
        <w:rPr>
          <w:sz w:val="24"/>
          <w:szCs w:val="24"/>
        </w:rPr>
        <w:t>砌体</w:t>
      </w:r>
      <w:r>
        <w:rPr>
          <w:rFonts w:hint="eastAsia"/>
          <w:sz w:val="24"/>
          <w:szCs w:val="24"/>
        </w:rPr>
        <w:t>结构</w:t>
      </w:r>
      <w:r>
        <w:rPr>
          <w:sz w:val="24"/>
          <w:szCs w:val="24"/>
        </w:rPr>
        <w:t>抗震墙的截面，应</w:t>
      </w:r>
      <w:r>
        <w:rPr>
          <w:rFonts w:hint="eastAsia"/>
          <w:sz w:val="24"/>
          <w:szCs w:val="24"/>
        </w:rPr>
        <w:t>符合</w:t>
      </w:r>
      <w:r>
        <w:rPr>
          <w:sz w:val="24"/>
          <w:szCs w:val="24"/>
        </w:rPr>
        <w:t>下列规定：</w:t>
      </w:r>
    </w:p>
    <w:p>
      <w:pPr>
        <w:pStyle w:val="3"/>
        <w:spacing w:after="0" w:line="360" w:lineRule="auto"/>
        <w:ind w:firstLine="480" w:firstLineChars="200"/>
        <w:rPr>
          <w:sz w:val="24"/>
          <w:szCs w:val="24"/>
        </w:rPr>
      </w:pPr>
      <w:r>
        <w:rPr>
          <w:rFonts w:hint="eastAsia"/>
          <w:sz w:val="24"/>
          <w:szCs w:val="24"/>
        </w:rPr>
        <w:t>1</w:t>
      </w:r>
      <w:r>
        <w:rPr>
          <w:rFonts w:eastAsiaTheme="minorEastAsia"/>
          <w:b/>
          <w:sz w:val="24"/>
          <w:szCs w:val="24"/>
        </w:rPr>
        <w:t>　</w:t>
      </w:r>
      <w:r>
        <w:rPr>
          <w:sz w:val="24"/>
          <w:szCs w:val="24"/>
        </w:rPr>
        <w:t>当剪跨比大于2时，应满足下式要求：</w:t>
      </w:r>
    </w:p>
    <w:p>
      <w:pPr>
        <w:pStyle w:val="3"/>
        <w:tabs>
          <w:tab w:val="left" w:pos="2977"/>
          <w:tab w:val="left" w:pos="6804"/>
        </w:tabs>
        <w:spacing w:after="0" w:line="360" w:lineRule="auto"/>
        <w:ind w:firstLine="480" w:firstLineChars="200"/>
        <w:rPr>
          <w:sz w:val="24"/>
          <w:szCs w:val="24"/>
        </w:rPr>
      </w:pPr>
      <w:r>
        <w:rPr>
          <w:sz w:val="24"/>
          <w:szCs w:val="24"/>
        </w:rPr>
        <w:tab/>
      </w:r>
      <w:r>
        <w:rPr>
          <w:position w:val="-14"/>
        </w:rPr>
        <w:object>
          <v:shape id="_x0000_i1039" o:spt="75" type="#_x0000_t75" style="height:18.5pt;width:87.8pt;" o:ole="t" filled="f" o:preferrelative="t" stroked="f" coordsize="21600,21600">
            <v:path/>
            <v:fill on="f" focussize="0,0"/>
            <v:stroke on="f" joinstyle="miter"/>
            <v:imagedata r:id="rId41" o:title=""/>
            <o:lock v:ext="edit" aspectratio="t"/>
            <w10:wrap type="none"/>
            <w10:anchorlock/>
          </v:shape>
          <o:OLEObject Type="Embed" ProgID="Equation.DSMT4" ShapeID="_x0000_i1039" DrawAspect="Content" ObjectID="_1468075739" r:id="rId40">
            <o:LockedField>false</o:LockedField>
          </o:OLEObject>
        </w:object>
      </w:r>
      <w:r>
        <w:tab/>
      </w:r>
      <w:r>
        <w:rPr>
          <w:sz w:val="24"/>
          <w:szCs w:val="24"/>
        </w:rPr>
        <w:t>（5.3.1</w:t>
      </w:r>
      <w:r>
        <w:rPr>
          <w:rFonts w:hint="eastAsia"/>
          <w:sz w:val="24"/>
          <w:szCs w:val="24"/>
        </w:rPr>
        <w:t>5</w:t>
      </w:r>
      <w:r>
        <w:rPr>
          <w:sz w:val="24"/>
          <w:szCs w:val="24"/>
        </w:rPr>
        <w:t>-</w:t>
      </w:r>
      <w:r>
        <w:rPr>
          <w:rFonts w:hint="eastAsia"/>
          <w:sz w:val="24"/>
          <w:szCs w:val="24"/>
        </w:rPr>
        <w:t>1</w:t>
      </w:r>
      <w:r>
        <w:rPr>
          <w:sz w:val="24"/>
          <w:szCs w:val="24"/>
        </w:rPr>
        <w:t>）</w:t>
      </w:r>
    </w:p>
    <w:p>
      <w:pPr>
        <w:pStyle w:val="3"/>
        <w:spacing w:after="0" w:line="360" w:lineRule="auto"/>
        <w:ind w:firstLine="480" w:firstLineChars="200"/>
        <w:rPr>
          <w:sz w:val="24"/>
          <w:szCs w:val="24"/>
        </w:rPr>
      </w:pPr>
      <w:r>
        <w:rPr>
          <w:rFonts w:hint="eastAsia"/>
          <w:sz w:val="24"/>
          <w:szCs w:val="24"/>
        </w:rPr>
        <w:t>2</w:t>
      </w:r>
      <w:r>
        <w:rPr>
          <w:rFonts w:eastAsiaTheme="minorEastAsia"/>
          <w:b/>
          <w:sz w:val="24"/>
          <w:szCs w:val="24"/>
        </w:rPr>
        <w:t>　</w:t>
      </w:r>
      <w:r>
        <w:rPr>
          <w:sz w:val="24"/>
          <w:szCs w:val="24"/>
        </w:rPr>
        <w:t>当剪跨比小于或等于2时，应满足下式要求：</w:t>
      </w:r>
    </w:p>
    <w:p>
      <w:pPr>
        <w:pStyle w:val="3"/>
        <w:tabs>
          <w:tab w:val="left" w:pos="2977"/>
          <w:tab w:val="left" w:pos="6804"/>
        </w:tabs>
        <w:spacing w:after="0" w:line="360" w:lineRule="auto"/>
        <w:ind w:firstLine="480" w:firstLineChars="200"/>
        <w:rPr>
          <w:sz w:val="24"/>
          <w:szCs w:val="24"/>
        </w:rPr>
      </w:pPr>
      <w:r>
        <w:rPr>
          <w:sz w:val="24"/>
          <w:szCs w:val="24"/>
        </w:rPr>
        <w:tab/>
      </w:r>
      <w:r>
        <w:rPr>
          <w:position w:val="-14"/>
        </w:rPr>
        <w:object>
          <v:shape id="_x0000_i1040" o:spt="75" type="#_x0000_t75" style="height:18.5pt;width:94.35pt;" o:ole="t" filled="f" o:preferrelative="t" stroked="f" coordsize="21600,21600">
            <v:path/>
            <v:fill on="f" focussize="0,0"/>
            <v:stroke on="f" joinstyle="miter"/>
            <v:imagedata r:id="rId43" o:title=""/>
            <o:lock v:ext="edit" aspectratio="t"/>
            <w10:wrap type="none"/>
            <w10:anchorlock/>
          </v:shape>
          <o:OLEObject Type="Embed" ProgID="Equation.DSMT4" ShapeID="_x0000_i1040" DrawAspect="Content" ObjectID="_1468075740" r:id="rId42">
            <o:LockedField>false</o:LockedField>
          </o:OLEObject>
        </w:object>
      </w:r>
      <w:r>
        <w:tab/>
      </w:r>
      <w:r>
        <w:rPr>
          <w:sz w:val="24"/>
          <w:szCs w:val="24"/>
        </w:rPr>
        <w:t>（5.3.1</w:t>
      </w:r>
      <w:r>
        <w:rPr>
          <w:rFonts w:hint="eastAsia"/>
          <w:sz w:val="24"/>
          <w:szCs w:val="24"/>
        </w:rPr>
        <w:t>5</w:t>
      </w:r>
      <w:r>
        <w:rPr>
          <w:sz w:val="24"/>
          <w:szCs w:val="24"/>
        </w:rPr>
        <w:t>-</w:t>
      </w:r>
      <w:r>
        <w:rPr>
          <w:rFonts w:hint="eastAsia"/>
          <w:sz w:val="24"/>
          <w:szCs w:val="24"/>
        </w:rPr>
        <w:t>2</w:t>
      </w:r>
      <w:r>
        <w:rPr>
          <w:sz w:val="24"/>
          <w:szCs w:val="24"/>
        </w:rPr>
        <w:t>）</w:t>
      </w:r>
    </w:p>
    <w:p>
      <w:pPr>
        <w:spacing w:line="360" w:lineRule="auto"/>
        <w:rPr>
          <w:sz w:val="24"/>
          <w:szCs w:val="24"/>
        </w:rPr>
      </w:pPr>
      <w:r>
        <w:rPr>
          <w:rFonts w:hint="eastAsia"/>
          <w:sz w:val="24"/>
          <w:szCs w:val="24"/>
        </w:rPr>
        <w:t>式中：</w:t>
      </w:r>
      <w:r>
        <w:rPr>
          <w:i/>
          <w:iCs/>
          <w:sz w:val="24"/>
          <w:szCs w:val="24"/>
        </w:rPr>
        <w:t>V</w:t>
      </w:r>
      <w:r>
        <w:rPr>
          <w:sz w:val="24"/>
          <w:szCs w:val="24"/>
        </w:rPr>
        <w:t>——砌体抗震墙截面组合的剪力设计值（</w:t>
      </w:r>
      <w:r>
        <w:rPr>
          <w:rFonts w:hint="eastAsia"/>
          <w:sz w:val="24"/>
          <w:szCs w:val="24"/>
        </w:rPr>
        <w:t>k</w:t>
      </w:r>
      <w:r>
        <w:rPr>
          <w:sz w:val="24"/>
          <w:szCs w:val="24"/>
        </w:rPr>
        <w:t>N）；</w:t>
      </w:r>
    </w:p>
    <w:p>
      <w:pPr>
        <w:spacing w:line="360" w:lineRule="auto"/>
        <w:ind w:firstLine="720" w:firstLineChars="300"/>
        <w:rPr>
          <w:sz w:val="24"/>
          <w:szCs w:val="24"/>
        </w:rPr>
      </w:pPr>
      <w:r>
        <w:rPr>
          <w:i/>
          <w:iCs/>
          <w:sz w:val="24"/>
          <w:szCs w:val="24"/>
        </w:rPr>
        <w:t>f</w:t>
      </w:r>
      <w:r>
        <w:rPr>
          <w:sz w:val="24"/>
          <w:szCs w:val="24"/>
          <w:vertAlign w:val="subscript"/>
        </w:rPr>
        <w:t>g</w:t>
      </w:r>
      <w:r>
        <w:rPr>
          <w:sz w:val="24"/>
          <w:szCs w:val="24"/>
        </w:rPr>
        <w:t>——灌孔砌块砌体的抗压强度设计值（MPa）；</w:t>
      </w:r>
    </w:p>
    <w:p>
      <w:pPr>
        <w:spacing w:line="360" w:lineRule="auto"/>
        <w:ind w:firstLine="720" w:firstLineChars="300"/>
        <w:rPr>
          <w:spacing w:val="1"/>
          <w:sz w:val="24"/>
          <w:szCs w:val="24"/>
        </w:rPr>
      </w:pPr>
      <w:r>
        <w:rPr>
          <w:i/>
          <w:iCs/>
          <w:sz w:val="24"/>
          <w:szCs w:val="24"/>
        </w:rPr>
        <w:t>b</w:t>
      </w:r>
      <w:r>
        <w:rPr>
          <w:sz w:val="24"/>
          <w:szCs w:val="24"/>
        </w:rPr>
        <w:t>——</w:t>
      </w:r>
      <w:r>
        <w:rPr>
          <w:rFonts w:hint="eastAsia"/>
          <w:sz w:val="24"/>
          <w:szCs w:val="24"/>
        </w:rPr>
        <w:t>模壳砌块墙体</w:t>
      </w:r>
      <w:r>
        <w:rPr>
          <w:sz w:val="24"/>
          <w:szCs w:val="24"/>
        </w:rPr>
        <w:t>截面宽度或T形、倒L形截面腹板宽度</w:t>
      </w:r>
      <w:r>
        <w:rPr>
          <w:rFonts w:hint="eastAsia"/>
          <w:sz w:val="24"/>
          <w:szCs w:val="24"/>
        </w:rPr>
        <w:t>（</w:t>
      </w:r>
      <w:r>
        <w:rPr>
          <w:sz w:val="24"/>
          <w:szCs w:val="24"/>
        </w:rPr>
        <w:t>mm</w:t>
      </w:r>
      <w:r>
        <w:rPr>
          <w:rFonts w:hint="eastAsia"/>
          <w:sz w:val="24"/>
          <w:szCs w:val="24"/>
        </w:rPr>
        <w:t>）</w:t>
      </w:r>
      <w:r>
        <w:rPr>
          <w:sz w:val="24"/>
          <w:szCs w:val="24"/>
        </w:rPr>
        <w:t>；</w:t>
      </w:r>
    </w:p>
    <w:p>
      <w:pPr>
        <w:spacing w:line="360" w:lineRule="auto"/>
        <w:ind w:firstLine="720" w:firstLineChars="300"/>
        <w:rPr>
          <w:sz w:val="24"/>
          <w:szCs w:val="24"/>
        </w:rPr>
      </w:pPr>
      <w:r>
        <w:rPr>
          <w:i/>
          <w:iCs/>
          <w:sz w:val="24"/>
          <w:szCs w:val="24"/>
        </w:rPr>
        <w:t>h</w:t>
      </w:r>
      <w:r>
        <w:rPr>
          <w:position w:val="-4"/>
          <w:sz w:val="24"/>
          <w:szCs w:val="24"/>
          <w:vertAlign w:val="subscript"/>
        </w:rPr>
        <w:t>0</w:t>
      </w:r>
      <w:r>
        <w:rPr>
          <w:sz w:val="24"/>
          <w:szCs w:val="24"/>
        </w:rPr>
        <w:t>——</w:t>
      </w:r>
      <w:r>
        <w:rPr>
          <w:rFonts w:hint="eastAsia"/>
          <w:sz w:val="24"/>
          <w:szCs w:val="24"/>
        </w:rPr>
        <w:t>模壳砌块墙体的</w:t>
      </w:r>
      <w:r>
        <w:rPr>
          <w:sz w:val="24"/>
          <w:szCs w:val="24"/>
        </w:rPr>
        <w:t>截面有效高度</w:t>
      </w:r>
      <w:r>
        <w:rPr>
          <w:rFonts w:hint="eastAsia"/>
          <w:sz w:val="24"/>
          <w:szCs w:val="24"/>
        </w:rPr>
        <w:t>（m</w:t>
      </w:r>
      <w:r>
        <w:rPr>
          <w:sz w:val="24"/>
          <w:szCs w:val="24"/>
        </w:rPr>
        <w:t>m</w:t>
      </w:r>
      <w:r>
        <w:rPr>
          <w:rFonts w:hint="eastAsia"/>
          <w:sz w:val="24"/>
          <w:szCs w:val="24"/>
        </w:rPr>
        <w:t>）；</w:t>
      </w:r>
    </w:p>
    <w:p>
      <w:pPr>
        <w:snapToGrid w:val="0"/>
        <w:spacing w:line="360" w:lineRule="auto"/>
        <w:ind w:firstLine="720" w:firstLineChars="300"/>
        <w:rPr>
          <w:i/>
          <w:iCs/>
          <w:sz w:val="24"/>
          <w:szCs w:val="24"/>
        </w:rPr>
      </w:pPr>
      <w:r>
        <w:rPr>
          <w:i/>
          <w:iCs/>
          <w:sz w:val="24"/>
          <w:szCs w:val="24"/>
        </w:rPr>
        <w:sym w:font="Symbol" w:char="F067"/>
      </w:r>
      <w:r>
        <w:rPr>
          <w:sz w:val="24"/>
          <w:szCs w:val="24"/>
          <w:vertAlign w:val="subscript"/>
        </w:rPr>
        <w:t>RE</w:t>
      </w:r>
      <w:r>
        <w:rPr>
          <w:sz w:val="24"/>
          <w:szCs w:val="24"/>
        </w:rPr>
        <w:t>——承载力抗震调整系数</w:t>
      </w:r>
      <w:r>
        <w:rPr>
          <w:rFonts w:hint="eastAsia"/>
          <w:sz w:val="24"/>
          <w:szCs w:val="24"/>
        </w:rPr>
        <w:t>。</w:t>
      </w:r>
    </w:p>
    <w:p>
      <w:pPr>
        <w:pStyle w:val="46"/>
      </w:pPr>
      <w:r>
        <w:t>5.4　构造设计</w:t>
      </w:r>
      <w:bookmarkEnd w:id="114"/>
      <w:bookmarkEnd w:id="115"/>
      <w:bookmarkEnd w:id="116"/>
      <w:bookmarkEnd w:id="117"/>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　</w:t>
      </w:r>
      <w:r>
        <w:rPr>
          <w:sz w:val="24"/>
        </w:rPr>
        <w:t>模壳砌块墙体的高厚比应按现行国家标准《砌体结构设计规范》GB 50003的有关规定进行验算，</w:t>
      </w:r>
      <w:r>
        <w:rPr>
          <w:rFonts w:hint="eastAsia"/>
          <w:sz w:val="24"/>
        </w:rPr>
        <w:t>模壳</w:t>
      </w:r>
      <w:r>
        <w:rPr>
          <w:sz w:val="24"/>
        </w:rPr>
        <w:t>砌块墙体的允许高厚比应</w:t>
      </w:r>
      <w:r>
        <w:rPr>
          <w:rFonts w:hint="eastAsia"/>
          <w:sz w:val="24"/>
        </w:rPr>
        <w:t>符合</w:t>
      </w:r>
      <w:r>
        <w:rPr>
          <w:sz w:val="24"/>
        </w:rPr>
        <w:t>下列规定：</w:t>
      </w:r>
    </w:p>
    <w:p>
      <w:pPr>
        <w:tabs>
          <w:tab w:val="left" w:pos="735"/>
        </w:tabs>
        <w:adjustRightInd w:val="0"/>
        <w:spacing w:line="360" w:lineRule="auto"/>
        <w:ind w:firstLine="480" w:firstLineChars="200"/>
        <w:rPr>
          <w:sz w:val="24"/>
        </w:rPr>
      </w:pPr>
      <w:r>
        <w:rPr>
          <w:sz w:val="24"/>
        </w:rPr>
        <w:t>1</w:t>
      </w:r>
      <w:r>
        <w:rPr>
          <w:rFonts w:eastAsiaTheme="minorEastAsia"/>
          <w:b/>
          <w:sz w:val="24"/>
          <w:szCs w:val="24"/>
        </w:rPr>
        <w:t>　</w:t>
      </w:r>
      <w:r>
        <w:rPr>
          <w:sz w:val="24"/>
        </w:rPr>
        <w:t>约束</w:t>
      </w:r>
      <w:r>
        <w:rPr>
          <w:rFonts w:hint="eastAsia"/>
          <w:sz w:val="24"/>
        </w:rPr>
        <w:t>模壳砌块</w:t>
      </w:r>
      <w:r>
        <w:rPr>
          <w:sz w:val="24"/>
        </w:rPr>
        <w:t>墙</w:t>
      </w:r>
      <w:r>
        <w:rPr>
          <w:rFonts w:hint="eastAsia"/>
          <w:sz w:val="24"/>
        </w:rPr>
        <w:t>体</w:t>
      </w:r>
      <w:r>
        <w:rPr>
          <w:sz w:val="24"/>
        </w:rPr>
        <w:t>的允许高厚比，不得大于28</w:t>
      </w:r>
      <w:r>
        <w:rPr>
          <w:rFonts w:hint="eastAsia"/>
          <w:sz w:val="24"/>
        </w:rPr>
        <w:t>；</w:t>
      </w:r>
    </w:p>
    <w:p>
      <w:pPr>
        <w:tabs>
          <w:tab w:val="left" w:pos="735"/>
        </w:tabs>
        <w:adjustRightInd w:val="0"/>
        <w:spacing w:line="360" w:lineRule="auto"/>
        <w:ind w:firstLine="480" w:firstLineChars="200"/>
        <w:rPr>
          <w:sz w:val="24"/>
        </w:rPr>
      </w:pPr>
      <w:r>
        <w:rPr>
          <w:sz w:val="24"/>
        </w:rPr>
        <w:t>2</w:t>
      </w:r>
      <w:r>
        <w:rPr>
          <w:rFonts w:eastAsiaTheme="minorEastAsia"/>
          <w:b/>
          <w:sz w:val="24"/>
          <w:szCs w:val="24"/>
        </w:rPr>
        <w:t>　</w:t>
      </w:r>
      <w:r>
        <w:rPr>
          <w:sz w:val="24"/>
        </w:rPr>
        <w:t>配筋</w:t>
      </w:r>
      <w:r>
        <w:rPr>
          <w:rFonts w:hint="eastAsia"/>
          <w:sz w:val="24"/>
        </w:rPr>
        <w:t>模壳</w:t>
      </w:r>
      <w:r>
        <w:rPr>
          <w:sz w:val="24"/>
        </w:rPr>
        <w:t>砌块墙</w:t>
      </w:r>
      <w:r>
        <w:rPr>
          <w:rFonts w:hint="eastAsia"/>
          <w:sz w:val="24"/>
        </w:rPr>
        <w:t>体</w:t>
      </w:r>
      <w:r>
        <w:rPr>
          <w:sz w:val="24"/>
        </w:rPr>
        <w:t>的允许高厚比，不得大于30</w:t>
      </w:r>
      <w:r>
        <w:rPr>
          <w:rFonts w:hint="eastAsia"/>
          <w:sz w:val="24"/>
        </w:rPr>
        <w:t>；</w:t>
      </w:r>
    </w:p>
    <w:p>
      <w:pPr>
        <w:tabs>
          <w:tab w:val="left" w:pos="735"/>
        </w:tabs>
        <w:adjustRightInd w:val="0"/>
        <w:spacing w:line="360" w:lineRule="auto"/>
        <w:ind w:firstLine="480" w:firstLineChars="200"/>
        <w:rPr>
          <w:sz w:val="24"/>
        </w:rPr>
      </w:pPr>
      <w:r>
        <w:rPr>
          <w:sz w:val="24"/>
        </w:rPr>
        <w:t>3</w:t>
      </w:r>
      <w:r>
        <w:rPr>
          <w:rFonts w:eastAsiaTheme="minorEastAsia"/>
          <w:b/>
          <w:sz w:val="24"/>
          <w:szCs w:val="24"/>
        </w:rPr>
        <w:t>　</w:t>
      </w:r>
      <w:r>
        <w:rPr>
          <w:sz w:val="24"/>
        </w:rPr>
        <w:t>验算施工阶段砂浆尚未硬化的新砌</w:t>
      </w:r>
      <w:r>
        <w:rPr>
          <w:rFonts w:hint="eastAsia"/>
          <w:sz w:val="24"/>
        </w:rPr>
        <w:t>模壳砌块</w:t>
      </w:r>
      <w:r>
        <w:rPr>
          <w:sz w:val="24"/>
        </w:rPr>
        <w:t>砌体构件高厚比时，允许高厚比宜取14。</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.4.2　</w:t>
      </w:r>
      <w:r>
        <w:rPr>
          <w:sz w:val="24"/>
        </w:rPr>
        <w:t>后砌隔墙应符合下列规定：</w:t>
      </w:r>
    </w:p>
    <w:p>
      <w:pPr>
        <w:tabs>
          <w:tab w:val="left" w:pos="735"/>
        </w:tabs>
        <w:adjustRightInd w:val="0"/>
        <w:spacing w:line="360" w:lineRule="auto"/>
        <w:ind w:firstLine="482" w:firstLineChars="200"/>
        <w:rPr>
          <w:sz w:val="24"/>
        </w:rPr>
      </w:pPr>
      <w:r>
        <w:rPr>
          <w:b/>
          <w:sz w:val="24"/>
        </w:rPr>
        <w:t>1</w:t>
      </w:r>
      <w:r>
        <w:rPr>
          <w:rFonts w:eastAsiaTheme="minorEastAsia"/>
          <w:b/>
          <w:sz w:val="24"/>
          <w:szCs w:val="24"/>
        </w:rPr>
        <w:t>　</w:t>
      </w:r>
      <w:r>
        <w:rPr>
          <w:sz w:val="24"/>
        </w:rPr>
        <w:t>后砌隔墙用材料宜与承重墙相同，其块材强度等级不应低于MU5，砌筑</w:t>
      </w:r>
      <w:r>
        <w:rPr>
          <w:rFonts w:hint="eastAsia"/>
          <w:sz w:val="24"/>
        </w:rPr>
        <w:t>胶凝材料</w:t>
      </w:r>
      <w:r>
        <w:rPr>
          <w:sz w:val="24"/>
        </w:rPr>
        <w:t>强度等级不应低于M5</w:t>
      </w:r>
      <w:r>
        <w:rPr>
          <w:rFonts w:hint="eastAsia"/>
          <w:sz w:val="24"/>
        </w:rPr>
        <w:t>；</w:t>
      </w:r>
    </w:p>
    <w:p>
      <w:pPr>
        <w:tabs>
          <w:tab w:val="left" w:pos="735"/>
        </w:tabs>
        <w:adjustRightInd w:val="0"/>
        <w:spacing w:line="360" w:lineRule="auto"/>
        <w:ind w:firstLine="482" w:firstLineChars="200"/>
        <w:rPr>
          <w:sz w:val="24"/>
        </w:rPr>
      </w:pPr>
      <w:r>
        <w:rPr>
          <w:b/>
          <w:sz w:val="24"/>
        </w:rPr>
        <w:t>2</w:t>
      </w:r>
      <w:r>
        <w:rPr>
          <w:rFonts w:eastAsiaTheme="minorEastAsia"/>
          <w:b/>
          <w:sz w:val="24"/>
          <w:szCs w:val="24"/>
        </w:rPr>
        <w:t>　</w:t>
      </w:r>
      <w:r>
        <w:rPr>
          <w:sz w:val="24"/>
        </w:rPr>
        <w:t>后砌隔墙的厚度，应符合现行国家标准《砌体结构设计规范》GB 50003</w:t>
      </w:r>
      <w:r>
        <w:rPr>
          <w:rFonts w:hint="eastAsia"/>
          <w:sz w:val="24"/>
        </w:rPr>
        <w:t>的</w:t>
      </w:r>
      <w:r>
        <w:rPr>
          <w:sz w:val="24"/>
        </w:rPr>
        <w:t>有关规定</w:t>
      </w:r>
      <w:r>
        <w:rPr>
          <w:rFonts w:hint="eastAsia"/>
          <w:sz w:val="24"/>
        </w:rPr>
        <w:t>；</w:t>
      </w:r>
    </w:p>
    <w:p>
      <w:pPr>
        <w:tabs>
          <w:tab w:val="left" w:pos="735"/>
        </w:tabs>
        <w:adjustRightInd w:val="0"/>
        <w:spacing w:line="360" w:lineRule="auto"/>
        <w:ind w:firstLine="482" w:firstLineChars="200"/>
        <w:rPr>
          <w:sz w:val="24"/>
        </w:rPr>
      </w:pPr>
      <w:r>
        <w:rPr>
          <w:b/>
          <w:sz w:val="24"/>
        </w:rPr>
        <w:t>3</w:t>
      </w:r>
      <w:r>
        <w:rPr>
          <w:rFonts w:eastAsiaTheme="minorEastAsia"/>
          <w:b/>
          <w:sz w:val="24"/>
          <w:szCs w:val="24"/>
        </w:rPr>
        <w:t>　</w:t>
      </w:r>
      <w:r>
        <w:rPr>
          <w:sz w:val="24"/>
        </w:rPr>
        <w:t>隔墙与周边主体结构构件应有可靠连接，连接构造和嵌缝材料应能满足传力、变形和防护要求。</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.4.3　</w:t>
      </w:r>
      <w:r>
        <w:rPr>
          <w:sz w:val="24"/>
        </w:rPr>
        <w:t>在</w:t>
      </w:r>
      <w:r>
        <w:rPr>
          <w:rFonts w:hint="eastAsia"/>
          <w:sz w:val="24"/>
        </w:rPr>
        <w:t>模壳</w:t>
      </w:r>
      <w:r>
        <w:rPr>
          <w:sz w:val="24"/>
        </w:rPr>
        <w:t>砌块墙体中留槽洞及埋设管道时，应符合下列规定：</w:t>
      </w:r>
    </w:p>
    <w:p>
      <w:pPr>
        <w:tabs>
          <w:tab w:val="left" w:pos="735"/>
        </w:tabs>
        <w:adjustRightInd w:val="0"/>
        <w:spacing w:line="360" w:lineRule="auto"/>
        <w:ind w:firstLine="482" w:firstLineChars="200"/>
        <w:rPr>
          <w:sz w:val="24"/>
        </w:rPr>
      </w:pPr>
      <w:r>
        <w:rPr>
          <w:b/>
          <w:sz w:val="24"/>
        </w:rPr>
        <w:t>1</w:t>
      </w:r>
      <w:r>
        <w:rPr>
          <w:rFonts w:eastAsiaTheme="minorEastAsia"/>
          <w:b/>
          <w:sz w:val="24"/>
          <w:szCs w:val="24"/>
        </w:rPr>
        <w:t>　</w:t>
      </w:r>
      <w:r>
        <w:rPr>
          <w:sz w:val="24"/>
        </w:rPr>
        <w:t>不应在截面长边小于500 mm的承重墙体、独立柱内埋设管线</w:t>
      </w:r>
      <w:r>
        <w:rPr>
          <w:rFonts w:hint="eastAsia"/>
          <w:sz w:val="24"/>
        </w:rPr>
        <w:t>；</w:t>
      </w:r>
    </w:p>
    <w:p>
      <w:pPr>
        <w:tabs>
          <w:tab w:val="left" w:pos="735"/>
        </w:tabs>
        <w:adjustRightInd w:val="0"/>
        <w:spacing w:line="360" w:lineRule="auto"/>
        <w:ind w:firstLine="482" w:firstLineChars="200"/>
        <w:rPr>
          <w:sz w:val="24"/>
        </w:rPr>
      </w:pPr>
      <w:r>
        <w:rPr>
          <w:b/>
          <w:sz w:val="24"/>
        </w:rPr>
        <w:t>2</w:t>
      </w:r>
      <w:r>
        <w:rPr>
          <w:rFonts w:eastAsiaTheme="minorEastAsia"/>
          <w:b/>
          <w:sz w:val="24"/>
          <w:szCs w:val="24"/>
        </w:rPr>
        <w:t>　</w:t>
      </w:r>
      <w:r>
        <w:rPr>
          <w:sz w:val="24"/>
        </w:rPr>
        <w:t>不宜在墙体中预留、开凿沟槽，当无法避免时应采取措施或按削弱后的截面验算墙体的承载力</w:t>
      </w:r>
      <w:r>
        <w:rPr>
          <w:rFonts w:hint="eastAsia"/>
          <w:sz w:val="24"/>
        </w:rPr>
        <w:t>。</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.4.4　</w:t>
      </w:r>
      <w:r>
        <w:rPr>
          <w:sz w:val="24"/>
        </w:rPr>
        <w:t>模壳</w:t>
      </w:r>
      <w:r>
        <w:rPr>
          <w:rFonts w:hint="eastAsia"/>
          <w:sz w:val="24"/>
        </w:rPr>
        <w:t>砌块墙体</w:t>
      </w:r>
      <w:r>
        <w:rPr>
          <w:sz w:val="24"/>
        </w:rPr>
        <w:t>应分皮错缝搭砌，上下皮搭砌长度不应小于90 mm。</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.4.5　</w:t>
      </w:r>
      <w:r>
        <w:rPr>
          <w:sz w:val="24"/>
        </w:rPr>
        <w:t>模壳</w:t>
      </w:r>
      <w:r>
        <w:rPr>
          <w:rFonts w:hint="eastAsia"/>
          <w:sz w:val="24"/>
        </w:rPr>
        <w:t>砌块</w:t>
      </w:r>
      <w:r>
        <w:rPr>
          <w:sz w:val="24"/>
        </w:rPr>
        <w:t>砌体</w:t>
      </w:r>
      <w:r>
        <w:rPr>
          <w:rFonts w:hint="eastAsia"/>
          <w:sz w:val="24"/>
        </w:rPr>
        <w:t>结构</w:t>
      </w:r>
      <w:r>
        <w:rPr>
          <w:sz w:val="24"/>
        </w:rPr>
        <w:t>宜将纵横墙交接处距中心线每边不小于300 mm范围内的孔洞，采用不低于Cb30混凝土沿墙高灌实。</w:t>
      </w:r>
    </w:p>
    <w:p>
      <w:pPr>
        <w:spacing w:line="360" w:lineRule="auto"/>
        <w:rPr>
          <w:sz w:val="24"/>
        </w:rPr>
      </w:pPr>
      <w:r>
        <w:rPr>
          <w:rFonts w:hint="eastAsia" w:eastAsiaTheme="minorEastAsia"/>
          <w:b/>
          <w:sz w:val="24"/>
          <w:szCs w:val="24"/>
        </w:rPr>
        <w:t>5</w:t>
      </w:r>
      <w:r>
        <w:rPr>
          <w:rFonts w:eastAsiaTheme="minorEastAsia"/>
          <w:b/>
          <w:sz w:val="24"/>
          <w:szCs w:val="24"/>
        </w:rPr>
        <w:t>.4.6　</w:t>
      </w:r>
      <w:r>
        <w:rPr>
          <w:sz w:val="24"/>
        </w:rPr>
        <w:t>模壳</w:t>
      </w:r>
      <w:r>
        <w:rPr>
          <w:rFonts w:hint="eastAsia"/>
          <w:sz w:val="24"/>
        </w:rPr>
        <w:t>砌块</w:t>
      </w:r>
      <w:r>
        <w:rPr>
          <w:sz w:val="24"/>
        </w:rPr>
        <w:t>砌体</w:t>
      </w:r>
      <w:r>
        <w:rPr>
          <w:rFonts w:hint="eastAsia"/>
          <w:sz w:val="24"/>
        </w:rPr>
        <w:t>结构</w:t>
      </w:r>
      <w:r>
        <w:rPr>
          <w:sz w:val="24"/>
        </w:rPr>
        <w:t>挑梁支承面下宜设混凝土垫块，当未设</w:t>
      </w:r>
      <w:r>
        <w:rPr>
          <w:rFonts w:hint="eastAsia"/>
          <w:sz w:val="24"/>
        </w:rPr>
        <w:t>置</w:t>
      </w:r>
      <w:r>
        <w:rPr>
          <w:sz w:val="24"/>
        </w:rPr>
        <w:t>垫块时，距挑梁中心线每边不小于300 mm</w:t>
      </w:r>
      <w:r>
        <w:rPr>
          <w:rFonts w:hint="eastAsia"/>
          <w:sz w:val="24"/>
        </w:rPr>
        <w:t>、</w:t>
      </w:r>
      <w:r>
        <w:rPr>
          <w:sz w:val="24"/>
        </w:rPr>
        <w:t>高度不小于600 mm的砌体，应采用不低于Cb30混凝土将孔洞灌实。</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.4.7　</w:t>
      </w:r>
      <w:r>
        <w:rPr>
          <w:sz w:val="24"/>
        </w:rPr>
        <w:t>模壳</w:t>
      </w:r>
      <w:r>
        <w:rPr>
          <w:rFonts w:hint="eastAsia"/>
          <w:sz w:val="24"/>
        </w:rPr>
        <w:t>砌块</w:t>
      </w:r>
      <w:r>
        <w:rPr>
          <w:sz w:val="24"/>
        </w:rPr>
        <w:t>砌体结构应在纵横墙交接处灌注</w:t>
      </w:r>
      <w:r>
        <w:rPr>
          <w:rFonts w:hint="eastAsia"/>
          <w:sz w:val="24"/>
        </w:rPr>
        <w:t>构造柱（含芯柱式构造柱）或</w:t>
      </w:r>
      <w:r>
        <w:rPr>
          <w:sz w:val="24"/>
        </w:rPr>
        <w:t>芯柱，在楼、屋面标高处应设置现浇钢筋混凝土圈梁，并应符合下列规定：</w:t>
      </w:r>
    </w:p>
    <w:p>
      <w:pPr>
        <w:tabs>
          <w:tab w:val="left" w:pos="735"/>
        </w:tabs>
        <w:adjustRightInd w:val="0"/>
        <w:spacing w:line="360" w:lineRule="auto"/>
        <w:ind w:firstLine="482" w:firstLineChars="200"/>
        <w:rPr>
          <w:sz w:val="24"/>
          <w:szCs w:val="24"/>
        </w:rPr>
      </w:pPr>
      <w:r>
        <w:rPr>
          <w:b/>
          <w:sz w:val="24"/>
          <w:szCs w:val="24"/>
        </w:rPr>
        <w:t>1</w:t>
      </w:r>
      <w:r>
        <w:rPr>
          <w:rFonts w:eastAsiaTheme="minorEastAsia"/>
          <w:b/>
          <w:sz w:val="24"/>
          <w:szCs w:val="24"/>
        </w:rPr>
        <w:t>　</w:t>
      </w:r>
      <w:r>
        <w:rPr>
          <w:sz w:val="24"/>
          <w:szCs w:val="24"/>
        </w:rPr>
        <w:t>墙段两端应按现行国家标准《建筑抗震设计规范》GB 50011的要求设置构造柱，且墙肢两端及中部构造柱的间距不宜大于层高或3.0 m，</w:t>
      </w:r>
      <w:r>
        <w:rPr>
          <w:rFonts w:hint="eastAsia"/>
          <w:sz w:val="24"/>
          <w:szCs w:val="24"/>
        </w:rPr>
        <w:t>宽度大于2</w:t>
      </w:r>
      <w:r>
        <w:rPr>
          <w:sz w:val="24"/>
          <w:szCs w:val="24"/>
        </w:rPr>
        <w:t xml:space="preserve">.4 </w:t>
      </w:r>
      <w:r>
        <w:rPr>
          <w:rFonts w:hint="eastAsia"/>
          <w:sz w:val="24"/>
          <w:szCs w:val="24"/>
        </w:rPr>
        <w:t>m的</w:t>
      </w:r>
      <w:r>
        <w:rPr>
          <w:sz w:val="24"/>
          <w:szCs w:val="24"/>
        </w:rPr>
        <w:t>洞口两侧应设置构造柱；构造柱最小截面尺寸应为190 mm</w:t>
      </w:r>
      <w:r>
        <w:rPr>
          <w:rFonts w:hint="eastAsia"/>
          <w:sz w:val="24"/>
          <w:szCs w:val="24"/>
        </w:rPr>
        <w:t>×</w:t>
      </w:r>
      <w:r>
        <w:rPr>
          <w:sz w:val="24"/>
          <w:szCs w:val="24"/>
        </w:rPr>
        <w:t>190 mm，边、角柱的截面宜加大。</w:t>
      </w:r>
    </w:p>
    <w:p>
      <w:pPr>
        <w:tabs>
          <w:tab w:val="left" w:pos="735"/>
        </w:tabs>
        <w:adjustRightInd w:val="0"/>
        <w:spacing w:line="360" w:lineRule="auto"/>
        <w:ind w:firstLine="482" w:firstLineChars="200"/>
      </w:pPr>
      <w:r>
        <w:rPr>
          <w:b/>
          <w:sz w:val="24"/>
          <w:szCs w:val="24"/>
        </w:rPr>
        <w:t>2</w:t>
      </w:r>
      <w:r>
        <w:rPr>
          <w:rFonts w:eastAsiaTheme="minorEastAsia"/>
          <w:b/>
          <w:sz w:val="24"/>
          <w:szCs w:val="24"/>
        </w:rPr>
        <w:t>　</w:t>
      </w:r>
      <w:r>
        <w:rPr>
          <w:rFonts w:hint="eastAsia"/>
          <w:sz w:val="24"/>
          <w:szCs w:val="24"/>
        </w:rPr>
        <w:t>采用芯柱时，应按表</w:t>
      </w:r>
      <w:r>
        <w:rPr>
          <w:sz w:val="24"/>
          <w:szCs w:val="24"/>
        </w:rPr>
        <w:t>5.4.7</w:t>
      </w:r>
      <w:r>
        <w:rPr>
          <w:rFonts w:hint="eastAsia"/>
          <w:sz w:val="24"/>
          <w:szCs w:val="24"/>
        </w:rPr>
        <w:t>的要求设置模壳砌块砌体结构的芯柱，在外墙转角、内外墙交接处、楼电梯间四角等部位，可采用构造柱替代部分芯柱。</w:t>
      </w:r>
    </w:p>
    <w:p>
      <w:pPr>
        <w:spacing w:line="360" w:lineRule="auto"/>
        <w:jc w:val="center"/>
        <w:rPr>
          <w:b/>
          <w:szCs w:val="21"/>
        </w:rPr>
      </w:pPr>
      <w:r>
        <w:rPr>
          <w:b/>
          <w:szCs w:val="21"/>
        </w:rPr>
        <w:t>表5.4.7</w:t>
      </w:r>
      <w:r>
        <w:rPr>
          <w:b/>
          <w:bCs/>
          <w:sz w:val="18"/>
          <w:szCs w:val="18"/>
        </w:rPr>
        <w:t>　</w:t>
      </w:r>
      <w:r>
        <w:rPr>
          <w:rFonts w:hint="eastAsia"/>
          <w:b/>
          <w:szCs w:val="21"/>
        </w:rPr>
        <w:t>模壳砌块砌体结构芯柱设置要求</w:t>
      </w:r>
    </w:p>
    <w:tbl>
      <w:tblPr>
        <w:tblStyle w:val="146"/>
        <w:tblW w:w="8135" w:type="dxa"/>
        <w:tblInd w:w="121" w:type="dxa"/>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Layout w:type="fixed"/>
        <w:tblCellMar>
          <w:top w:w="0" w:type="dxa"/>
          <w:left w:w="0" w:type="dxa"/>
          <w:bottom w:w="0" w:type="dxa"/>
          <w:right w:w="0" w:type="dxa"/>
        </w:tblCellMar>
      </w:tblPr>
      <w:tblGrid>
        <w:gridCol w:w="572"/>
        <w:gridCol w:w="566"/>
        <w:gridCol w:w="566"/>
        <w:gridCol w:w="3405"/>
        <w:gridCol w:w="3026"/>
      </w:tblGrid>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1704" w:type="dxa"/>
            <w:gridSpan w:val="3"/>
            <w:vAlign w:val="center"/>
          </w:tcPr>
          <w:p>
            <w:pPr>
              <w:pStyle w:val="147"/>
              <w:spacing w:before="0"/>
              <w:ind w:right="-3"/>
              <w:rPr>
                <w:rFonts w:eastAsia="宋体" w:asciiTheme="minorHAnsi" w:hAnsiTheme="minorHAnsi" w:cstheme="minorBidi"/>
                <w:bCs/>
                <w:spacing w:val="-1"/>
                <w:sz w:val="21"/>
                <w:szCs w:val="18"/>
              </w:rPr>
            </w:pPr>
            <w:r>
              <w:rPr>
                <w:rFonts w:eastAsia="宋体" w:asciiTheme="minorHAnsi" w:hAnsiTheme="minorHAnsi" w:cstheme="minorBidi"/>
                <w:bCs/>
                <w:spacing w:val="-1"/>
                <w:sz w:val="21"/>
                <w:szCs w:val="18"/>
                <w:lang w:eastAsia="zh-CN"/>
              </w:rPr>
              <w:t>房屋层数</w:t>
            </w:r>
          </w:p>
        </w:tc>
        <w:tc>
          <w:tcPr>
            <w:tcW w:w="3405" w:type="dxa"/>
            <w:vMerge w:val="restart"/>
            <w:vAlign w:val="center"/>
          </w:tcPr>
          <w:p>
            <w:pPr>
              <w:pStyle w:val="147"/>
              <w:spacing w:before="0"/>
              <w:ind w:left="-8"/>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设置部位</w:t>
            </w:r>
          </w:p>
        </w:tc>
        <w:tc>
          <w:tcPr>
            <w:tcW w:w="3026" w:type="dxa"/>
            <w:vMerge w:val="restart"/>
            <w:vAlign w:val="center"/>
          </w:tcPr>
          <w:p>
            <w:pPr>
              <w:pStyle w:val="147"/>
              <w:spacing w:before="0"/>
              <w:ind w:left="-8"/>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设置数量</w:t>
            </w: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572" w:type="dxa"/>
            <w:vAlign w:val="center"/>
          </w:tcPr>
          <w:p>
            <w:pPr>
              <w:pStyle w:val="147"/>
              <w:spacing w:before="0"/>
              <w:ind w:left="-8"/>
              <w:rPr>
                <w:rFonts w:eastAsia="宋体" w:asciiTheme="minorHAnsi" w:hAnsiTheme="minorHAnsi" w:cstheme="minorBidi"/>
                <w:sz w:val="18"/>
                <w:szCs w:val="18"/>
                <w:lang w:eastAsia="zh-CN"/>
              </w:rPr>
            </w:pPr>
            <w:r>
              <w:rPr>
                <w:rFonts w:eastAsia="宋体" w:asciiTheme="minorHAnsi" w:hAnsiTheme="minorHAnsi" w:cstheme="minorBidi"/>
                <w:sz w:val="18"/>
                <w:szCs w:val="18"/>
                <w:lang w:eastAsia="zh-CN"/>
              </w:rPr>
              <w:t>6度</w:t>
            </w:r>
          </w:p>
        </w:tc>
        <w:tc>
          <w:tcPr>
            <w:tcW w:w="566" w:type="dxa"/>
            <w:vAlign w:val="center"/>
          </w:tcPr>
          <w:p>
            <w:pPr>
              <w:pStyle w:val="147"/>
              <w:spacing w:before="0"/>
              <w:ind w:left="-8"/>
              <w:rPr>
                <w:rFonts w:eastAsia="宋体" w:asciiTheme="minorHAnsi" w:hAnsiTheme="minorHAnsi" w:cstheme="minorBidi"/>
                <w:sz w:val="18"/>
                <w:szCs w:val="18"/>
                <w:lang w:eastAsia="zh-CN"/>
              </w:rPr>
            </w:pPr>
            <w:r>
              <w:rPr>
                <w:rFonts w:eastAsia="宋体" w:asciiTheme="minorHAnsi" w:hAnsiTheme="minorHAnsi" w:cstheme="minorBidi"/>
                <w:sz w:val="18"/>
                <w:szCs w:val="18"/>
                <w:lang w:eastAsia="zh-CN"/>
              </w:rPr>
              <w:t>7度</w:t>
            </w:r>
          </w:p>
        </w:tc>
        <w:tc>
          <w:tcPr>
            <w:tcW w:w="566" w:type="dxa"/>
            <w:vAlign w:val="center"/>
          </w:tcPr>
          <w:p>
            <w:pPr>
              <w:pStyle w:val="147"/>
              <w:spacing w:before="0"/>
              <w:ind w:left="-8"/>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8度</w:t>
            </w:r>
          </w:p>
        </w:tc>
        <w:tc>
          <w:tcPr>
            <w:tcW w:w="3405" w:type="dxa"/>
            <w:vMerge w:val="continue"/>
            <w:vAlign w:val="center"/>
          </w:tcPr>
          <w:p>
            <w:pPr>
              <w:pStyle w:val="147"/>
              <w:spacing w:before="0"/>
              <w:ind w:left="-8"/>
              <w:rPr>
                <w:rFonts w:eastAsia="宋体" w:asciiTheme="minorHAnsi" w:hAnsiTheme="minorHAnsi" w:cstheme="minorBidi"/>
                <w:sz w:val="21"/>
                <w:szCs w:val="18"/>
                <w:lang w:eastAsia="zh-CN"/>
              </w:rPr>
            </w:pPr>
          </w:p>
        </w:tc>
        <w:tc>
          <w:tcPr>
            <w:tcW w:w="3026" w:type="dxa"/>
            <w:vMerge w:val="continue"/>
            <w:vAlign w:val="center"/>
          </w:tcPr>
          <w:p>
            <w:pPr>
              <w:pStyle w:val="147"/>
              <w:spacing w:before="0"/>
              <w:ind w:left="-8"/>
              <w:rPr>
                <w:rFonts w:eastAsia="宋体" w:asciiTheme="minorHAnsi" w:hAnsiTheme="minorHAnsi" w:cstheme="minorBidi"/>
                <w:sz w:val="21"/>
                <w:szCs w:val="18"/>
                <w:lang w:eastAsia="zh-CN"/>
              </w:rPr>
            </w:pP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760" w:hRule="atLeast"/>
        </w:trPr>
        <w:tc>
          <w:tcPr>
            <w:tcW w:w="572" w:type="dxa"/>
            <w:vAlign w:val="center"/>
          </w:tcPr>
          <w:p>
            <w:pPr>
              <w:pStyle w:val="147"/>
              <w:spacing w:before="0" w:line="300" w:lineRule="auto"/>
              <w:ind w:left="-8"/>
              <w:rPr>
                <w:rFonts w:eastAsia="宋体" w:asciiTheme="minorHAnsi" w:hAnsiTheme="minorHAnsi" w:cstheme="minorBidi"/>
                <w:sz w:val="18"/>
                <w:szCs w:val="18"/>
                <w:lang w:eastAsia="zh-CN"/>
              </w:rPr>
            </w:pPr>
            <w:r>
              <w:rPr>
                <w:rFonts w:eastAsia="宋体" w:asciiTheme="minorHAnsi" w:hAnsiTheme="minorHAnsi" w:cstheme="minorBidi"/>
                <w:sz w:val="18"/>
                <w:szCs w:val="18"/>
                <w:lang w:eastAsia="zh-CN"/>
              </w:rPr>
              <w:t>≤五</w:t>
            </w:r>
          </w:p>
        </w:tc>
        <w:tc>
          <w:tcPr>
            <w:tcW w:w="566" w:type="dxa"/>
            <w:vAlign w:val="center"/>
          </w:tcPr>
          <w:p>
            <w:pPr>
              <w:pStyle w:val="147"/>
              <w:spacing w:before="0" w:line="300" w:lineRule="auto"/>
              <w:ind w:left="-8"/>
              <w:rPr>
                <w:rFonts w:eastAsia="宋体" w:asciiTheme="minorHAnsi" w:hAnsiTheme="minorHAnsi" w:cstheme="minorBidi"/>
                <w:sz w:val="18"/>
                <w:szCs w:val="18"/>
                <w:lang w:eastAsia="zh-CN"/>
              </w:rPr>
            </w:pPr>
            <w:r>
              <w:rPr>
                <w:rFonts w:eastAsia="宋体" w:asciiTheme="minorHAnsi" w:hAnsiTheme="minorHAnsi" w:cstheme="minorBidi"/>
                <w:sz w:val="18"/>
                <w:szCs w:val="18"/>
                <w:lang w:eastAsia="zh-CN"/>
              </w:rPr>
              <w:t>≤四</w:t>
            </w:r>
          </w:p>
        </w:tc>
        <w:tc>
          <w:tcPr>
            <w:tcW w:w="566" w:type="dxa"/>
            <w:vAlign w:val="center"/>
          </w:tcPr>
          <w:p>
            <w:pPr>
              <w:pStyle w:val="147"/>
              <w:spacing w:before="0" w:line="300" w:lineRule="auto"/>
              <w:ind w:left="-8"/>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≤三</w:t>
            </w:r>
          </w:p>
        </w:tc>
        <w:tc>
          <w:tcPr>
            <w:tcW w:w="3405" w:type="dxa"/>
            <w:vAlign w:val="center"/>
          </w:tcPr>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外墙转角，楼、电梯间四角，楼梯斜梯段上下端对应的墙体处；</w:t>
            </w:r>
          </w:p>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大房间内外墙交接处；错层部位横墙与外纵墙交接处；</w:t>
            </w:r>
          </w:p>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隔12 m或单元横墙与外纵墙交接处。</w:t>
            </w:r>
          </w:p>
        </w:tc>
        <w:tc>
          <w:tcPr>
            <w:tcW w:w="3026" w:type="dxa"/>
            <w:vMerge w:val="restart"/>
            <w:vAlign w:val="center"/>
          </w:tcPr>
          <w:p>
            <w:pPr>
              <w:pStyle w:val="147"/>
              <w:spacing w:before="0" w:line="300" w:lineRule="auto"/>
              <w:ind w:left="53" w:leftChars="25" w:right="53" w:rightChars="25" w:firstLine="420" w:firstLineChars="20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外墙转角，灌实3个孔；</w:t>
            </w:r>
          </w:p>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内墙交接处，灌实4～5个孔；</w:t>
            </w:r>
          </w:p>
          <w:p>
            <w:pPr>
              <w:pStyle w:val="147"/>
              <w:spacing w:before="0" w:line="300" w:lineRule="auto"/>
              <w:ind w:left="53" w:leftChars="25" w:right="53" w:rightChars="25" w:firstLine="420" w:firstLineChars="20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楼梯斜段上下端对应的墙体处，灌实2个孔。</w:t>
            </w: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760" w:hRule="atLeast"/>
        </w:trPr>
        <w:tc>
          <w:tcPr>
            <w:tcW w:w="572" w:type="dxa"/>
            <w:vAlign w:val="center"/>
          </w:tcPr>
          <w:p>
            <w:pPr>
              <w:pStyle w:val="147"/>
              <w:spacing w:before="0" w:line="300" w:lineRule="auto"/>
              <w:ind w:left="-8"/>
              <w:rPr>
                <w:rFonts w:eastAsia="宋体" w:asciiTheme="minorHAnsi" w:hAnsiTheme="minorHAnsi" w:cstheme="minorBidi"/>
                <w:sz w:val="18"/>
                <w:szCs w:val="18"/>
                <w:lang w:eastAsia="zh-CN"/>
              </w:rPr>
            </w:pPr>
            <w:r>
              <w:rPr>
                <w:rFonts w:eastAsia="宋体" w:asciiTheme="minorHAnsi" w:hAnsiTheme="minorHAnsi" w:cstheme="minorBidi"/>
                <w:sz w:val="18"/>
                <w:szCs w:val="18"/>
                <w:lang w:eastAsia="zh-CN"/>
              </w:rPr>
              <w:t>六</w:t>
            </w:r>
          </w:p>
        </w:tc>
        <w:tc>
          <w:tcPr>
            <w:tcW w:w="566" w:type="dxa"/>
            <w:vAlign w:val="center"/>
          </w:tcPr>
          <w:p>
            <w:pPr>
              <w:pStyle w:val="147"/>
              <w:spacing w:before="0" w:line="300" w:lineRule="auto"/>
              <w:ind w:left="-8"/>
              <w:rPr>
                <w:rFonts w:eastAsia="宋体" w:asciiTheme="minorHAnsi" w:hAnsiTheme="minorHAnsi" w:cstheme="minorBidi"/>
                <w:sz w:val="18"/>
                <w:szCs w:val="18"/>
                <w:lang w:eastAsia="zh-CN"/>
              </w:rPr>
            </w:pPr>
            <w:r>
              <w:rPr>
                <w:rFonts w:eastAsia="宋体" w:asciiTheme="minorHAnsi" w:hAnsiTheme="minorHAnsi" w:cstheme="minorBidi"/>
                <w:sz w:val="18"/>
                <w:szCs w:val="18"/>
                <w:lang w:eastAsia="zh-CN"/>
              </w:rPr>
              <w:t>五</w:t>
            </w:r>
          </w:p>
        </w:tc>
        <w:tc>
          <w:tcPr>
            <w:tcW w:w="566" w:type="dxa"/>
            <w:vAlign w:val="center"/>
          </w:tcPr>
          <w:p>
            <w:pPr>
              <w:pStyle w:val="147"/>
              <w:spacing w:before="0" w:line="300" w:lineRule="auto"/>
              <w:ind w:left="-8"/>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四</w:t>
            </w:r>
          </w:p>
        </w:tc>
        <w:tc>
          <w:tcPr>
            <w:tcW w:w="3405" w:type="dxa"/>
            <w:vAlign w:val="center"/>
          </w:tcPr>
          <w:p>
            <w:pPr>
              <w:pStyle w:val="147"/>
              <w:spacing w:before="0" w:line="300" w:lineRule="auto"/>
              <w:ind w:left="0" w:leftChars="0"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同上；</w:t>
            </w:r>
          </w:p>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各开间横墙（轴线）与外纵墙交接处。</w:t>
            </w:r>
          </w:p>
        </w:tc>
        <w:tc>
          <w:tcPr>
            <w:tcW w:w="3026" w:type="dxa"/>
            <w:vMerge w:val="continue"/>
            <w:vAlign w:val="center"/>
          </w:tcPr>
          <w:p>
            <w:pPr>
              <w:pStyle w:val="147"/>
              <w:spacing w:before="0" w:line="300" w:lineRule="auto"/>
              <w:ind w:firstLine="420" w:firstLineChars="200"/>
              <w:jc w:val="left"/>
              <w:rPr>
                <w:rFonts w:eastAsia="宋体" w:asciiTheme="minorHAnsi" w:hAnsiTheme="minorHAnsi" w:cstheme="minorBidi"/>
                <w:sz w:val="21"/>
                <w:szCs w:val="18"/>
                <w:lang w:eastAsia="zh-CN"/>
              </w:rPr>
            </w:pPr>
          </w:p>
        </w:tc>
      </w:tr>
      <w:tr>
        <w:tblPrEx>
          <w:tblBorders>
            <w:top w:val="single" w:color="auto" w:sz="12" w:space="0"/>
            <w:left w:val="single" w:color="auto" w:sz="12" w:space="0"/>
            <w:bottom w:val="single" w:color="auto" w:sz="12" w:space="0"/>
            <w:right w:val="single" w:color="auto" w:sz="12" w:space="0"/>
            <w:insideH w:val="single" w:color="333333" w:sz="6" w:space="0"/>
            <w:insideV w:val="single" w:color="333333" w:sz="6" w:space="0"/>
          </w:tblBorders>
          <w:tblCellMar>
            <w:top w:w="0" w:type="dxa"/>
            <w:left w:w="0" w:type="dxa"/>
            <w:bottom w:w="0" w:type="dxa"/>
            <w:right w:w="0" w:type="dxa"/>
          </w:tblCellMar>
        </w:tblPrEx>
        <w:trPr>
          <w:trHeight w:val="760" w:hRule="atLeast"/>
        </w:trPr>
        <w:tc>
          <w:tcPr>
            <w:tcW w:w="572" w:type="dxa"/>
            <w:vAlign w:val="center"/>
          </w:tcPr>
          <w:p>
            <w:pPr>
              <w:pStyle w:val="147"/>
              <w:spacing w:before="0" w:line="300" w:lineRule="auto"/>
              <w:ind w:left="-8"/>
              <w:rPr>
                <w:rFonts w:eastAsia="宋体" w:asciiTheme="minorHAnsi" w:hAnsiTheme="minorHAnsi" w:cstheme="minorBidi"/>
                <w:sz w:val="18"/>
                <w:szCs w:val="18"/>
                <w:lang w:eastAsia="zh-CN"/>
              </w:rPr>
            </w:pPr>
          </w:p>
        </w:tc>
        <w:tc>
          <w:tcPr>
            <w:tcW w:w="566" w:type="dxa"/>
            <w:vAlign w:val="center"/>
          </w:tcPr>
          <w:p>
            <w:pPr>
              <w:pStyle w:val="147"/>
              <w:spacing w:before="0" w:line="300" w:lineRule="auto"/>
              <w:ind w:left="-8"/>
              <w:rPr>
                <w:rFonts w:eastAsia="宋体" w:asciiTheme="minorHAnsi" w:hAnsiTheme="minorHAnsi" w:cstheme="minorBidi"/>
                <w:sz w:val="18"/>
                <w:szCs w:val="18"/>
                <w:lang w:eastAsia="zh-CN"/>
              </w:rPr>
            </w:pPr>
            <w:r>
              <w:rPr>
                <w:rFonts w:eastAsia="宋体" w:asciiTheme="minorHAnsi" w:hAnsiTheme="minorHAnsi" w:cstheme="minorBidi"/>
                <w:sz w:val="18"/>
                <w:szCs w:val="18"/>
                <w:lang w:eastAsia="zh-CN"/>
              </w:rPr>
              <w:t>六</w:t>
            </w:r>
          </w:p>
        </w:tc>
        <w:tc>
          <w:tcPr>
            <w:tcW w:w="566" w:type="dxa"/>
            <w:vAlign w:val="center"/>
          </w:tcPr>
          <w:p>
            <w:pPr>
              <w:pStyle w:val="147"/>
              <w:spacing w:before="0" w:line="300" w:lineRule="auto"/>
              <w:ind w:left="-8"/>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五</w:t>
            </w:r>
          </w:p>
        </w:tc>
        <w:tc>
          <w:tcPr>
            <w:tcW w:w="3405" w:type="dxa"/>
            <w:vAlign w:val="center"/>
          </w:tcPr>
          <w:p>
            <w:pPr>
              <w:pStyle w:val="147"/>
              <w:spacing w:before="0" w:line="300" w:lineRule="auto"/>
              <w:ind w:left="0" w:leftChars="0"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同上；</w:t>
            </w:r>
          </w:p>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各内墙（轴线）与外纵墙交接处；</w:t>
            </w:r>
          </w:p>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内纵墙与横墙（轴线）交接处和</w:t>
            </w:r>
            <w:r>
              <w:rPr>
                <w:rFonts w:hint="eastAsia" w:eastAsia="宋体" w:asciiTheme="minorHAnsi" w:hAnsiTheme="minorHAnsi" w:cstheme="minorBidi"/>
                <w:sz w:val="21"/>
                <w:szCs w:val="18"/>
                <w:lang w:eastAsia="zh-CN"/>
              </w:rPr>
              <w:t>宽度大于1</w:t>
            </w:r>
            <w:r>
              <w:rPr>
                <w:rFonts w:eastAsia="宋体" w:asciiTheme="minorHAnsi" w:hAnsiTheme="minorHAnsi" w:cstheme="minorBidi"/>
                <w:sz w:val="21"/>
                <w:szCs w:val="18"/>
                <w:lang w:eastAsia="zh-CN"/>
              </w:rPr>
              <w:t>.2 m</w:t>
            </w:r>
            <w:r>
              <w:rPr>
                <w:rFonts w:hint="eastAsia" w:eastAsia="宋体" w:asciiTheme="minorHAnsi" w:hAnsiTheme="minorHAnsi" w:cstheme="minorBidi"/>
                <w:sz w:val="21"/>
                <w:szCs w:val="18"/>
                <w:lang w:eastAsia="zh-CN"/>
              </w:rPr>
              <w:t>的</w:t>
            </w:r>
            <w:r>
              <w:rPr>
                <w:rFonts w:eastAsia="宋体" w:asciiTheme="minorHAnsi" w:hAnsiTheme="minorHAnsi" w:cstheme="minorBidi"/>
                <w:sz w:val="21"/>
                <w:szCs w:val="18"/>
                <w:lang w:eastAsia="zh-CN"/>
              </w:rPr>
              <w:t>洞口两侧。</w:t>
            </w:r>
          </w:p>
        </w:tc>
        <w:tc>
          <w:tcPr>
            <w:tcW w:w="3026" w:type="dxa"/>
            <w:vAlign w:val="center"/>
          </w:tcPr>
          <w:p>
            <w:pPr>
              <w:pStyle w:val="147"/>
              <w:spacing w:before="0" w:line="300" w:lineRule="auto"/>
              <w:ind w:left="53" w:leftChars="25" w:right="53" w:rightChars="25" w:firstLine="420" w:firstLineChars="20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外墙转角，灌实5个孔；</w:t>
            </w:r>
          </w:p>
          <w:p>
            <w:pPr>
              <w:pStyle w:val="147"/>
              <w:spacing w:before="0" w:line="300" w:lineRule="auto"/>
              <w:ind w:left="53" w:leftChars="25" w:right="53" w:rightChars="25" w:firstLine="0" w:firstLineChars="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内墙交接处，灌实4～5个孔；</w:t>
            </w:r>
          </w:p>
          <w:p>
            <w:pPr>
              <w:pStyle w:val="147"/>
              <w:spacing w:before="0" w:line="300" w:lineRule="auto"/>
              <w:ind w:left="53" w:leftChars="25" w:right="53" w:rightChars="25" w:firstLine="420" w:firstLineChars="200"/>
              <w:jc w:val="both"/>
              <w:rPr>
                <w:rFonts w:eastAsia="宋体" w:asciiTheme="minorHAnsi" w:hAnsiTheme="minorHAnsi" w:cstheme="minorBidi"/>
                <w:sz w:val="21"/>
                <w:szCs w:val="18"/>
                <w:lang w:eastAsia="zh-CN"/>
              </w:rPr>
            </w:pPr>
            <w:r>
              <w:rPr>
                <w:rFonts w:eastAsia="宋体" w:asciiTheme="minorHAnsi" w:hAnsiTheme="minorHAnsi" w:cstheme="minorBidi"/>
                <w:sz w:val="21"/>
                <w:szCs w:val="18"/>
                <w:lang w:eastAsia="zh-CN"/>
              </w:rPr>
              <w:t>洞口两侧各灌实1个孔。</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.4.8　</w:t>
      </w:r>
      <w:r>
        <w:rPr>
          <w:sz w:val="24"/>
        </w:rPr>
        <w:t>模壳</w:t>
      </w:r>
      <w:r>
        <w:rPr>
          <w:rFonts w:hint="eastAsia"/>
          <w:sz w:val="24"/>
        </w:rPr>
        <w:t>砌块</w:t>
      </w:r>
      <w:r>
        <w:rPr>
          <w:sz w:val="24"/>
        </w:rPr>
        <w:t>砌体</w:t>
      </w:r>
      <w:r>
        <w:rPr>
          <w:rFonts w:hint="eastAsia"/>
          <w:sz w:val="24"/>
        </w:rPr>
        <w:t>结构</w:t>
      </w:r>
      <w:r>
        <w:rPr>
          <w:sz w:val="24"/>
        </w:rPr>
        <w:t>的芯柱，应符合下列构造</w:t>
      </w:r>
      <w:r>
        <w:rPr>
          <w:rFonts w:hint="eastAsia"/>
          <w:sz w:val="24"/>
        </w:rPr>
        <w:t>规定</w:t>
      </w:r>
      <w:r>
        <w:rPr>
          <w:sz w:val="24"/>
        </w:rPr>
        <w:t>：</w:t>
      </w:r>
    </w:p>
    <w:p>
      <w:pPr>
        <w:tabs>
          <w:tab w:val="left" w:pos="735"/>
        </w:tabs>
        <w:adjustRightInd w:val="0"/>
        <w:spacing w:line="360" w:lineRule="auto"/>
        <w:ind w:firstLine="482" w:firstLineChars="200"/>
        <w:rPr>
          <w:sz w:val="24"/>
        </w:rPr>
      </w:pPr>
      <w:r>
        <w:rPr>
          <w:b/>
          <w:sz w:val="24"/>
        </w:rPr>
        <w:t>1</w:t>
      </w:r>
      <w:r>
        <w:rPr>
          <w:rFonts w:eastAsiaTheme="minorEastAsia"/>
          <w:b/>
          <w:sz w:val="24"/>
          <w:szCs w:val="24"/>
        </w:rPr>
        <w:t>　</w:t>
      </w:r>
      <w:r>
        <w:rPr>
          <w:sz w:val="24"/>
        </w:rPr>
        <w:t>芯柱截面不宜小于120 mm</w:t>
      </w:r>
      <w:r>
        <w:rPr>
          <w:rFonts w:hint="eastAsia"/>
          <w:sz w:val="24"/>
        </w:rPr>
        <w:t>×</w:t>
      </w:r>
      <w:r>
        <w:rPr>
          <w:sz w:val="24"/>
        </w:rPr>
        <w:t>120 mm或按模壳</w:t>
      </w:r>
      <w:r>
        <w:rPr>
          <w:rFonts w:hint="eastAsia"/>
          <w:sz w:val="24"/>
        </w:rPr>
        <w:t>砌块</w:t>
      </w:r>
      <w:r>
        <w:rPr>
          <w:sz w:val="24"/>
        </w:rPr>
        <w:t>预留孔洞尺寸确定；</w:t>
      </w:r>
    </w:p>
    <w:p>
      <w:pPr>
        <w:tabs>
          <w:tab w:val="left" w:pos="735"/>
        </w:tabs>
        <w:adjustRightInd w:val="0"/>
        <w:spacing w:line="360" w:lineRule="auto"/>
        <w:ind w:firstLine="482" w:firstLineChars="200"/>
        <w:rPr>
          <w:sz w:val="24"/>
        </w:rPr>
      </w:pPr>
      <w:r>
        <w:rPr>
          <w:b/>
          <w:sz w:val="24"/>
        </w:rPr>
        <w:t>2</w:t>
      </w:r>
      <w:r>
        <w:rPr>
          <w:rFonts w:eastAsiaTheme="minorEastAsia"/>
          <w:b/>
          <w:sz w:val="24"/>
          <w:szCs w:val="24"/>
        </w:rPr>
        <w:t>　</w:t>
      </w:r>
      <w:r>
        <w:rPr>
          <w:sz w:val="24"/>
        </w:rPr>
        <w:t>芯柱的竖向插筋应贯通墙身且与圈梁绑扎连接；插筋直径不应小于12 mm，6度、7度时超过</w:t>
      </w:r>
      <w:r>
        <w:rPr>
          <w:rFonts w:hint="eastAsia"/>
          <w:sz w:val="24"/>
        </w:rPr>
        <w:t>五</w:t>
      </w:r>
      <w:r>
        <w:rPr>
          <w:sz w:val="24"/>
        </w:rPr>
        <w:t>层、8度时超过</w:t>
      </w:r>
      <w:r>
        <w:rPr>
          <w:rFonts w:hint="eastAsia"/>
          <w:sz w:val="24"/>
        </w:rPr>
        <w:t>四</w:t>
      </w:r>
      <w:r>
        <w:rPr>
          <w:sz w:val="24"/>
        </w:rPr>
        <w:t>层时，插筋直径不应小于14 mm；</w:t>
      </w:r>
    </w:p>
    <w:p>
      <w:pPr>
        <w:tabs>
          <w:tab w:val="left" w:pos="735"/>
        </w:tabs>
        <w:adjustRightInd w:val="0"/>
        <w:spacing w:line="360" w:lineRule="auto"/>
        <w:ind w:firstLine="482" w:firstLineChars="200"/>
        <w:rPr>
          <w:sz w:val="24"/>
        </w:rPr>
      </w:pPr>
      <w:r>
        <w:rPr>
          <w:b/>
          <w:sz w:val="24"/>
        </w:rPr>
        <w:t>3</w:t>
      </w:r>
      <w:r>
        <w:rPr>
          <w:rFonts w:eastAsiaTheme="minorEastAsia"/>
          <w:b/>
          <w:sz w:val="24"/>
          <w:szCs w:val="24"/>
        </w:rPr>
        <w:t>　</w:t>
      </w:r>
      <w:r>
        <w:rPr>
          <w:rFonts w:hint="eastAsia"/>
          <w:sz w:val="24"/>
        </w:rPr>
        <w:t>为提高墙体抗震受剪承载力而设置的芯柱，宜在墙体内均匀布置，三层及以上时不宜大于2.0m；</w:t>
      </w:r>
    </w:p>
    <w:p>
      <w:pPr>
        <w:tabs>
          <w:tab w:val="left" w:pos="735"/>
        </w:tabs>
        <w:adjustRightInd w:val="0"/>
        <w:spacing w:line="360" w:lineRule="auto"/>
        <w:ind w:firstLine="482" w:firstLineChars="200"/>
        <w:rPr>
          <w:sz w:val="24"/>
        </w:rPr>
      </w:pPr>
      <w:r>
        <w:rPr>
          <w:b/>
          <w:sz w:val="24"/>
        </w:rPr>
        <w:t>4</w:t>
      </w:r>
      <w:r>
        <w:rPr>
          <w:rFonts w:eastAsiaTheme="minorEastAsia"/>
          <w:b/>
          <w:sz w:val="24"/>
          <w:szCs w:val="24"/>
        </w:rPr>
        <w:t>　</w:t>
      </w:r>
      <w:r>
        <w:rPr>
          <w:sz w:val="24"/>
        </w:rPr>
        <w:t>墙体交接处或芯柱与墙体连接处应设置拉结钢筋，</w:t>
      </w:r>
      <w:r>
        <w:rPr>
          <w:rFonts w:hint="eastAsia"/>
          <w:sz w:val="24"/>
        </w:rPr>
        <w:t>应每隔4皮设置直径不小于6</w:t>
      </w:r>
      <w:r>
        <w:rPr>
          <w:sz w:val="24"/>
        </w:rPr>
        <w:t xml:space="preserve"> </w:t>
      </w:r>
      <w:r>
        <w:rPr>
          <w:rFonts w:hint="eastAsia"/>
          <w:sz w:val="24"/>
        </w:rPr>
        <w:t>mm的水平钢筋；</w:t>
      </w:r>
    </w:p>
    <w:p>
      <w:pPr>
        <w:tabs>
          <w:tab w:val="left" w:pos="735"/>
        </w:tabs>
        <w:adjustRightInd w:val="0"/>
        <w:spacing w:line="360" w:lineRule="auto"/>
        <w:ind w:firstLine="482" w:firstLineChars="200"/>
        <w:rPr>
          <w:sz w:val="24"/>
        </w:rPr>
      </w:pPr>
      <w:r>
        <w:rPr>
          <w:rFonts w:hint="eastAsia" w:eastAsiaTheme="minorEastAsia"/>
          <w:b/>
          <w:sz w:val="24"/>
          <w:szCs w:val="24"/>
        </w:rPr>
        <w:t>5</w:t>
      </w:r>
      <w:r>
        <w:rPr>
          <w:rFonts w:eastAsiaTheme="minorEastAsia"/>
          <w:b/>
          <w:sz w:val="24"/>
          <w:szCs w:val="24"/>
        </w:rPr>
        <w:t>　</w:t>
      </w:r>
      <w:r>
        <w:rPr>
          <w:rFonts w:hint="eastAsia"/>
          <w:sz w:val="24"/>
        </w:rPr>
        <w:t>有错层的多层房屋，错层部位应设置墙，墙中部的钢筋混凝土芯柱间距宜适当加密，在错层部位纵横墙交接处宜设置不少于4孔的芯柱；在错层部位的错层楼板位置应设置现浇钢筋混凝土圈梁；</w:t>
      </w:r>
    </w:p>
    <w:p>
      <w:pPr>
        <w:tabs>
          <w:tab w:val="left" w:pos="735"/>
        </w:tabs>
        <w:adjustRightInd w:val="0"/>
        <w:spacing w:line="360" w:lineRule="auto"/>
        <w:ind w:firstLine="482" w:firstLineChars="200"/>
        <w:rPr>
          <w:sz w:val="24"/>
        </w:rPr>
      </w:pPr>
      <w:r>
        <w:rPr>
          <w:b/>
          <w:sz w:val="24"/>
        </w:rPr>
        <w:t>6</w:t>
      </w:r>
      <w:r>
        <w:rPr>
          <w:rFonts w:eastAsiaTheme="minorEastAsia"/>
          <w:b/>
          <w:sz w:val="24"/>
          <w:szCs w:val="24"/>
        </w:rPr>
        <w:t>　</w:t>
      </w:r>
      <w:r>
        <w:rPr>
          <w:rFonts w:hint="eastAsia"/>
          <w:sz w:val="24"/>
        </w:rPr>
        <w:t>梁支座处墙内宜设置芯柱，芯柱灌实孔数不应少于3个。</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.4.9　</w:t>
      </w:r>
      <w:r>
        <w:rPr>
          <w:sz w:val="24"/>
        </w:rPr>
        <w:t>模壳</w:t>
      </w:r>
      <w:r>
        <w:rPr>
          <w:rFonts w:hint="eastAsia"/>
          <w:sz w:val="24"/>
        </w:rPr>
        <w:t>砌块</w:t>
      </w:r>
      <w:r>
        <w:rPr>
          <w:sz w:val="24"/>
        </w:rPr>
        <w:t>砌体结构中构造柱（图</w:t>
      </w:r>
      <w:r>
        <w:rPr>
          <w:sz w:val="24"/>
          <w:szCs w:val="24"/>
        </w:rPr>
        <w:t>5.4.9</w:t>
      </w:r>
      <w:r>
        <w:rPr>
          <w:sz w:val="24"/>
        </w:rPr>
        <w:t>）的设置应符合下列规定：</w:t>
      </w:r>
    </w:p>
    <w:p>
      <w:pPr>
        <w:tabs>
          <w:tab w:val="left" w:pos="735"/>
        </w:tabs>
        <w:adjustRightInd w:val="0"/>
        <w:spacing w:line="360" w:lineRule="auto"/>
        <w:ind w:firstLine="482" w:firstLineChars="200"/>
        <w:rPr>
          <w:sz w:val="24"/>
          <w:szCs w:val="24"/>
        </w:rPr>
      </w:pPr>
      <w:r>
        <w:rPr>
          <w:b/>
          <w:bCs/>
          <w:sz w:val="24"/>
          <w:szCs w:val="24"/>
        </w:rPr>
        <w:t>1</w:t>
      </w:r>
      <w:r>
        <w:rPr>
          <w:rFonts w:eastAsiaTheme="minorEastAsia"/>
          <w:b/>
          <w:sz w:val="24"/>
          <w:szCs w:val="24"/>
        </w:rPr>
        <w:t>　</w:t>
      </w:r>
      <w:r>
        <w:rPr>
          <w:sz w:val="24"/>
        </w:rPr>
        <w:t>纵横墙交接处应设置构造柱</w:t>
      </w:r>
      <w:r>
        <w:rPr>
          <w:rFonts w:hint="eastAsia"/>
          <w:sz w:val="24"/>
        </w:rPr>
        <w:t>（含芯柱式构造柱）</w:t>
      </w:r>
      <w:r>
        <w:rPr>
          <w:sz w:val="24"/>
        </w:rPr>
        <w:t>；</w:t>
      </w:r>
    </w:p>
    <w:p>
      <w:pPr>
        <w:tabs>
          <w:tab w:val="left" w:pos="735"/>
        </w:tabs>
        <w:adjustRightInd w:val="0"/>
        <w:spacing w:line="360" w:lineRule="auto"/>
        <w:ind w:firstLine="482" w:firstLineChars="200"/>
        <w:rPr>
          <w:sz w:val="24"/>
        </w:rPr>
      </w:pPr>
      <w:r>
        <w:rPr>
          <w:b/>
          <w:bCs/>
          <w:sz w:val="24"/>
          <w:szCs w:val="24"/>
        </w:rPr>
        <w:t>2</w:t>
      </w:r>
      <w:r>
        <w:rPr>
          <w:rFonts w:eastAsiaTheme="minorEastAsia"/>
          <w:b/>
          <w:sz w:val="24"/>
          <w:szCs w:val="24"/>
        </w:rPr>
        <w:t>　</w:t>
      </w:r>
      <w:r>
        <w:rPr>
          <w:sz w:val="24"/>
          <w:szCs w:val="24"/>
        </w:rPr>
        <w:t>同一</w:t>
      </w:r>
      <w:r>
        <w:rPr>
          <w:sz w:val="24"/>
        </w:rPr>
        <w:t>轴线</w:t>
      </w:r>
      <w:r>
        <w:rPr>
          <w:sz w:val="24"/>
          <w:szCs w:val="24"/>
        </w:rPr>
        <w:t>上构造柱</w:t>
      </w:r>
      <w:r>
        <w:rPr>
          <w:sz w:val="24"/>
        </w:rPr>
        <w:t>间距不宜大于层高或3 m；</w:t>
      </w:r>
    </w:p>
    <w:p>
      <w:pPr>
        <w:tabs>
          <w:tab w:val="left" w:pos="735"/>
        </w:tabs>
        <w:adjustRightInd w:val="0"/>
        <w:spacing w:line="360" w:lineRule="auto"/>
        <w:ind w:firstLine="482" w:firstLineChars="200"/>
        <w:rPr>
          <w:sz w:val="24"/>
          <w:szCs w:val="24"/>
        </w:rPr>
      </w:pPr>
      <w:r>
        <w:rPr>
          <w:rFonts w:hint="eastAsia" w:eastAsiaTheme="minorEastAsia"/>
          <w:b/>
          <w:bCs/>
          <w:sz w:val="24"/>
          <w:szCs w:val="24"/>
        </w:rPr>
        <w:t>3</w:t>
      </w:r>
      <w:r>
        <w:rPr>
          <w:rFonts w:eastAsiaTheme="minorEastAsia"/>
          <w:b/>
          <w:sz w:val="24"/>
          <w:szCs w:val="24"/>
        </w:rPr>
        <w:t>　</w:t>
      </w:r>
      <w:r>
        <w:rPr>
          <w:sz w:val="24"/>
          <w:szCs w:val="24"/>
        </w:rPr>
        <w:t>构造柱截面宽度应与</w:t>
      </w:r>
      <w:r>
        <w:rPr>
          <w:rFonts w:hint="eastAsia"/>
          <w:sz w:val="24"/>
          <w:szCs w:val="24"/>
        </w:rPr>
        <w:t>墙体</w:t>
      </w:r>
      <w:r>
        <w:rPr>
          <w:sz w:val="24"/>
          <w:szCs w:val="24"/>
        </w:rPr>
        <w:t>厚度相同，截面高度不应小于墙厚或200 mm</w:t>
      </w:r>
      <w:r>
        <w:rPr>
          <w:sz w:val="24"/>
        </w:rPr>
        <w:t>；</w:t>
      </w:r>
    </w:p>
    <w:p>
      <w:pPr>
        <w:tabs>
          <w:tab w:val="left" w:pos="735"/>
        </w:tabs>
        <w:adjustRightInd w:val="0"/>
        <w:spacing w:line="360" w:lineRule="auto"/>
        <w:ind w:firstLine="482" w:firstLineChars="200"/>
        <w:rPr>
          <w:sz w:val="24"/>
          <w:szCs w:val="24"/>
        </w:rPr>
      </w:pPr>
      <w:r>
        <w:rPr>
          <w:b/>
          <w:bCs/>
          <w:sz w:val="24"/>
          <w:szCs w:val="24"/>
        </w:rPr>
        <w:t>4</w:t>
      </w:r>
      <w:r>
        <w:rPr>
          <w:rFonts w:eastAsiaTheme="minorEastAsia"/>
          <w:b/>
          <w:sz w:val="24"/>
          <w:szCs w:val="24"/>
        </w:rPr>
        <w:t>　</w:t>
      </w:r>
      <w:r>
        <w:rPr>
          <w:sz w:val="24"/>
          <w:szCs w:val="24"/>
        </w:rPr>
        <w:t>构造柱配筋应符合表5.4.9的规定，构造柱顶、底部500 mm范围内宜设为箍筋加密区；</w:t>
      </w:r>
    </w:p>
    <w:p>
      <w:pPr>
        <w:tabs>
          <w:tab w:val="left" w:pos="735"/>
        </w:tabs>
        <w:adjustRightInd w:val="0"/>
        <w:spacing w:line="360" w:lineRule="auto"/>
        <w:ind w:firstLine="482" w:firstLineChars="200"/>
        <w:rPr>
          <w:sz w:val="24"/>
          <w:szCs w:val="24"/>
        </w:rPr>
      </w:pPr>
      <w:r>
        <w:rPr>
          <w:b/>
          <w:bCs/>
          <w:sz w:val="24"/>
          <w:szCs w:val="24"/>
        </w:rPr>
        <w:t>5</w:t>
      </w:r>
      <w:r>
        <w:rPr>
          <w:rFonts w:eastAsiaTheme="minorEastAsia"/>
          <w:b/>
          <w:sz w:val="24"/>
          <w:szCs w:val="24"/>
        </w:rPr>
        <w:t>　</w:t>
      </w:r>
      <w:r>
        <w:rPr>
          <w:rFonts w:hint="eastAsia"/>
          <w:sz w:val="24"/>
          <w:szCs w:val="24"/>
        </w:rPr>
        <w:t>构造柱</w:t>
      </w:r>
      <w:r>
        <w:rPr>
          <w:sz w:val="24"/>
          <w:szCs w:val="24"/>
        </w:rPr>
        <w:t>与圈梁连接处，构造柱的纵筋应在圈梁纵筋内侧穿过，构造柱纵筋应上下贯通；</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95"/>
        <w:gridCol w:w="4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pStyle w:val="2"/>
            </w:pPr>
            <w:r>
              <w:drawing>
                <wp:inline distT="0" distB="0" distL="0" distR="0">
                  <wp:extent cx="1623695" cy="1043305"/>
                  <wp:effectExtent l="0" t="0" r="0" b="4445"/>
                  <wp:docPr id="779256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5693" name="图片 12"/>
                          <pic:cNvPicPr>
                            <a:picLocks noChangeAspect="1" noChangeArrowheads="1"/>
                          </pic:cNvPicPr>
                        </pic:nvPicPr>
                        <pic:blipFill>
                          <a:blip r:embed="rId44" cstate="print"/>
                          <a:srcRect l="12541" t="21339" r="45940" b="23000"/>
                          <a:stretch>
                            <a:fillRect/>
                          </a:stretch>
                        </pic:blipFill>
                        <pic:spPr>
                          <a:xfrm>
                            <a:off x="0" y="0"/>
                            <a:ext cx="1698984" cy="1092063"/>
                          </a:xfrm>
                          <a:prstGeom prst="rect">
                            <a:avLst/>
                          </a:prstGeom>
                          <a:noFill/>
                          <a:ln>
                            <a:noFill/>
                          </a:ln>
                        </pic:spPr>
                      </pic:pic>
                    </a:graphicData>
                  </a:graphic>
                </wp:inline>
              </w:drawing>
            </w:r>
          </w:p>
        </w:tc>
        <w:tc>
          <w:tcPr>
            <w:tcW w:w="4805" w:type="dxa"/>
            <w:vAlign w:val="center"/>
          </w:tcPr>
          <w:p>
            <w:pPr>
              <w:pStyle w:val="2"/>
            </w:pPr>
            <w:r>
              <w:drawing>
                <wp:inline distT="0" distB="0" distL="0" distR="0">
                  <wp:extent cx="2653665" cy="826135"/>
                  <wp:effectExtent l="0" t="0" r="0" b="0"/>
                  <wp:docPr id="17577640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64061" name="图片 14"/>
                          <pic:cNvPicPr>
                            <a:picLocks noChangeAspect="1" noChangeArrowheads="1"/>
                          </pic:cNvPicPr>
                        </pic:nvPicPr>
                        <pic:blipFill>
                          <a:blip r:embed="rId45" cstate="print"/>
                          <a:srcRect l="22046" t="30451" r="24271" b="34659"/>
                          <a:stretch>
                            <a:fillRect/>
                          </a:stretch>
                        </pic:blipFill>
                        <pic:spPr>
                          <a:xfrm>
                            <a:off x="0" y="0"/>
                            <a:ext cx="2748235" cy="85591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a)一字</w:t>
            </w:r>
            <w:r>
              <w:rPr>
                <w:rFonts w:hint="eastAsia" w:asciiTheme="minorEastAsia" w:hAnsiTheme="minorEastAsia" w:eastAsiaTheme="minorEastAsia"/>
                <w:sz w:val="18"/>
                <w:szCs w:val="18"/>
              </w:rPr>
              <w:t>形节点</w:t>
            </w:r>
            <w:r>
              <w:rPr>
                <w:rFonts w:asciiTheme="minorEastAsia" w:hAnsiTheme="minorEastAsia" w:eastAsiaTheme="minorEastAsia"/>
                <w:sz w:val="18"/>
                <w:szCs w:val="18"/>
              </w:rPr>
              <w:t>(I)</w:t>
            </w:r>
          </w:p>
        </w:tc>
        <w:tc>
          <w:tcPr>
            <w:tcW w:w="4805" w:type="dxa"/>
            <w:vAlign w:val="center"/>
          </w:tcPr>
          <w:p>
            <w:pPr>
              <w:widowControl/>
              <w:jc w:val="center"/>
              <w:rPr>
                <w:sz w:val="18"/>
                <w:szCs w:val="18"/>
              </w:rPr>
            </w:pPr>
            <w:r>
              <w:rPr>
                <w:rFonts w:hint="eastAsia" w:asciiTheme="minorEastAsia" w:hAnsiTheme="minorEastAsia" w:eastAsiaTheme="minorEastAsia"/>
                <w:sz w:val="18"/>
                <w:szCs w:val="18"/>
              </w:rPr>
              <w:t>(</w:t>
            </w:r>
            <w:r>
              <w:rPr>
                <w:sz w:val="18"/>
                <w:szCs w:val="18"/>
              </w:rPr>
              <w:t>b</w:t>
            </w:r>
            <w:r>
              <w:rPr>
                <w:rFonts w:asciiTheme="minorEastAsia" w:hAnsiTheme="minorEastAsia" w:eastAsiaTheme="minorEastAsia"/>
                <w:sz w:val="18"/>
                <w:szCs w:val="18"/>
              </w:rPr>
              <w:t>)</w:t>
            </w:r>
            <w:r>
              <w:rPr>
                <w:sz w:val="18"/>
                <w:szCs w:val="18"/>
              </w:rPr>
              <w:t>一字</w:t>
            </w:r>
            <w:r>
              <w:rPr>
                <w:rFonts w:hint="eastAsia"/>
                <w:sz w:val="18"/>
                <w:szCs w:val="18"/>
              </w:rPr>
              <w:t>形节点</w:t>
            </w:r>
            <w:r>
              <w:rPr>
                <w:rFonts w:asciiTheme="minorEastAsia" w:hAnsiTheme="minorEastAsia" w:eastAsiaTheme="minorEastAsia"/>
                <w:sz w:val="18"/>
                <w:szCs w:val="18"/>
              </w:rPr>
              <w:t>(</w:t>
            </w:r>
            <w:r>
              <w:rPr>
                <w:kern w:val="0"/>
                <w:sz w:val="18"/>
                <w:szCs w:val="18"/>
              </w:rPr>
              <w:t>II</w:t>
            </w:r>
            <w:r>
              <w:rPr>
                <w:rFonts w:asciiTheme="minorEastAsia" w:hAnsiTheme="minorEastAsia" w:eastAsiaTheme="minorEastAsia"/>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pStyle w:val="2"/>
              <w:rPr>
                <w:rFonts w:asciiTheme="minorEastAsia" w:hAnsiTheme="minorEastAsia" w:eastAsiaTheme="minorEastAsia"/>
                <w:sz w:val="18"/>
                <w:szCs w:val="18"/>
              </w:rPr>
            </w:pPr>
            <w:r>
              <w:drawing>
                <wp:inline distT="0" distB="0" distL="0" distR="0">
                  <wp:extent cx="1788160" cy="1780540"/>
                  <wp:effectExtent l="0" t="0" r="2540" b="0"/>
                  <wp:docPr id="19665954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95480" name="图片 31"/>
                          <pic:cNvPicPr>
                            <a:picLocks noChangeAspect="1" noChangeArrowheads="1"/>
                          </pic:cNvPicPr>
                        </pic:nvPicPr>
                        <pic:blipFill>
                          <a:blip r:embed="rId46" cstate="print"/>
                          <a:srcRect l="33489" t="13987" r="34428" b="19294"/>
                          <a:stretch>
                            <a:fillRect/>
                          </a:stretch>
                        </pic:blipFill>
                        <pic:spPr>
                          <a:xfrm>
                            <a:off x="0" y="0"/>
                            <a:ext cx="1864204" cy="1856422"/>
                          </a:xfrm>
                          <a:prstGeom prst="rect">
                            <a:avLst/>
                          </a:prstGeom>
                          <a:noFill/>
                          <a:ln>
                            <a:noFill/>
                          </a:ln>
                        </pic:spPr>
                      </pic:pic>
                    </a:graphicData>
                  </a:graphic>
                </wp:inline>
              </w:drawing>
            </w:r>
          </w:p>
        </w:tc>
        <w:tc>
          <w:tcPr>
            <w:tcW w:w="4805" w:type="dxa"/>
            <w:vAlign w:val="center"/>
          </w:tcPr>
          <w:p>
            <w:pPr>
              <w:widowControl/>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2713355" cy="1755775"/>
                  <wp:effectExtent l="0" t="0" r="0" b="0"/>
                  <wp:docPr id="5058298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29884" name="图片 30"/>
                          <pic:cNvPicPr>
                            <a:picLocks noChangeAspect="1" noChangeArrowheads="1"/>
                          </pic:cNvPicPr>
                        </pic:nvPicPr>
                        <pic:blipFill>
                          <a:blip r:embed="rId47" cstate="print"/>
                          <a:srcRect l="18915" t="19748" r="30723" b="12201"/>
                          <a:stretch>
                            <a:fillRect/>
                          </a:stretch>
                        </pic:blipFill>
                        <pic:spPr>
                          <a:xfrm>
                            <a:off x="0" y="0"/>
                            <a:ext cx="2759346" cy="178565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c)L</w:t>
            </w:r>
            <w:r>
              <w:rPr>
                <w:rFonts w:hint="eastAsia" w:asciiTheme="minorEastAsia" w:hAnsiTheme="minorEastAsia" w:eastAsiaTheme="minorEastAsia"/>
                <w:sz w:val="18"/>
                <w:szCs w:val="18"/>
              </w:rPr>
              <w:t>形节点</w:t>
            </w:r>
          </w:p>
        </w:tc>
        <w:tc>
          <w:tcPr>
            <w:tcW w:w="4805" w:type="dxa"/>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d)T</w:t>
            </w:r>
            <w:r>
              <w:rPr>
                <w:rFonts w:hint="eastAsia" w:asciiTheme="minorEastAsia" w:hAnsiTheme="minorEastAsia" w:eastAsiaTheme="minorEastAsia"/>
                <w:sz w:val="18"/>
                <w:szCs w:val="18"/>
              </w:rPr>
              <w:t>形节点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100" w:type="dxa"/>
            <w:gridSpan w:val="2"/>
            <w:vAlign w:val="center"/>
          </w:tcPr>
          <w:p>
            <w:pPr>
              <w:widowControl/>
              <w:jc w:val="center"/>
              <w:rPr>
                <w:rFonts w:asciiTheme="minorEastAsia" w:hAnsiTheme="minorEastAsia" w:eastAsiaTheme="minorEastAsia"/>
                <w:sz w:val="18"/>
                <w:szCs w:val="18"/>
              </w:rPr>
            </w:pPr>
            <w:r>
              <w:rPr>
                <w:rFonts w:eastAsiaTheme="minorEastAsia"/>
                <w:sz w:val="18"/>
                <w:szCs w:val="18"/>
              </w:rPr>
              <w:t>1—标砖；2—</w:t>
            </w:r>
            <w:r>
              <w:rPr>
                <w:rFonts w:hint="eastAsia" w:eastAsiaTheme="minorEastAsia"/>
                <w:sz w:val="18"/>
                <w:szCs w:val="18"/>
              </w:rPr>
              <w:t>填充</w:t>
            </w:r>
            <w:r>
              <w:rPr>
                <w:rFonts w:eastAsiaTheme="minorEastAsia"/>
                <w:sz w:val="18"/>
                <w:szCs w:val="18"/>
              </w:rPr>
              <w:t>材料；3—标砖配砖；4—芯柱式构造柱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00" w:type="dxa"/>
            <w:gridSpan w:val="2"/>
            <w:vAlign w:val="center"/>
          </w:tcPr>
          <w:p>
            <w:pPr>
              <w:pStyle w:val="2"/>
            </w:pPr>
            <w:r>
              <w:t>图</w:t>
            </w:r>
            <w:r>
              <w:rPr>
                <w:bCs/>
              </w:rPr>
              <w:t>5.4.9</w:t>
            </w:r>
            <w:r>
              <w:t>　构造柱截面配筋示意图</w:t>
            </w:r>
          </w:p>
        </w:tc>
      </w:tr>
    </w:tbl>
    <w:p>
      <w:pPr>
        <w:tabs>
          <w:tab w:val="left" w:pos="735"/>
        </w:tabs>
        <w:adjustRightInd w:val="0"/>
        <w:spacing w:line="360" w:lineRule="auto"/>
        <w:ind w:firstLine="482" w:firstLineChars="200"/>
        <w:rPr>
          <w:sz w:val="24"/>
          <w:szCs w:val="24"/>
        </w:rPr>
      </w:pPr>
      <w:r>
        <w:rPr>
          <w:b/>
          <w:sz w:val="24"/>
          <w:szCs w:val="24"/>
        </w:rPr>
        <w:t>6</w:t>
      </w:r>
      <w:r>
        <w:rPr>
          <w:rFonts w:eastAsiaTheme="minorEastAsia"/>
          <w:b/>
          <w:sz w:val="24"/>
          <w:szCs w:val="24"/>
        </w:rPr>
        <w:t>　</w:t>
      </w:r>
      <w:r>
        <w:rPr>
          <w:sz w:val="24"/>
          <w:szCs w:val="24"/>
        </w:rPr>
        <w:t>构造柱可不单独设置基础，但应伸入室外地面下500 mm，或与埋深小于500 mm的基础圈梁相连</w:t>
      </w:r>
      <w:r>
        <w:rPr>
          <w:rFonts w:hint="eastAsia"/>
          <w:sz w:val="24"/>
          <w:szCs w:val="24"/>
        </w:rPr>
        <w:t>；</w:t>
      </w:r>
    </w:p>
    <w:p>
      <w:pPr>
        <w:tabs>
          <w:tab w:val="left" w:pos="735"/>
        </w:tabs>
        <w:adjustRightInd w:val="0"/>
        <w:spacing w:line="360" w:lineRule="auto"/>
        <w:ind w:firstLine="482" w:firstLineChars="200"/>
        <w:rPr>
          <w:sz w:val="24"/>
          <w:szCs w:val="24"/>
        </w:rPr>
      </w:pPr>
      <w:r>
        <w:rPr>
          <w:b/>
          <w:bCs/>
          <w:sz w:val="24"/>
          <w:szCs w:val="24"/>
        </w:rPr>
        <w:t>7</w:t>
      </w:r>
      <w:r>
        <w:rPr>
          <w:rFonts w:eastAsiaTheme="minorEastAsia"/>
          <w:b/>
          <w:sz w:val="24"/>
          <w:szCs w:val="24"/>
        </w:rPr>
        <w:t>　</w:t>
      </w:r>
      <w:r>
        <w:rPr>
          <w:sz w:val="24"/>
          <w:szCs w:val="24"/>
        </w:rPr>
        <w:t>构造柱截面与模壳砌块尺寸应保持一致，纵向钢筋宜采用4</w:t>
      </w:r>
      <w:r>
        <w:rPr>
          <w:rFonts w:hint="eastAsia" w:ascii="SJQY" w:hAnsi="SJQY" w:eastAsia="SJQY"/>
          <w:sz w:val="24"/>
        </w:rPr>
        <w:t>C</w:t>
      </w:r>
      <w:r>
        <w:rPr>
          <w:sz w:val="24"/>
          <w:szCs w:val="24"/>
        </w:rPr>
        <w:t>12，且在柱上下端应适当加密；6、7度时超过六层、8度时超过五层时，构造柱纵向钢筋宜采用4</w:t>
      </w:r>
      <w:r>
        <w:rPr>
          <w:rFonts w:ascii="SJQY" w:hAnsi="SJQY" w:eastAsia="SJQY"/>
          <w:sz w:val="24"/>
        </w:rPr>
        <w:t>C</w:t>
      </w:r>
      <w:r>
        <w:rPr>
          <w:sz w:val="24"/>
          <w:szCs w:val="24"/>
        </w:rPr>
        <w:t>14；房屋四角的构造柱应适当加大截面及配筋</w:t>
      </w:r>
      <w:r>
        <w:rPr>
          <w:rFonts w:hint="eastAsia"/>
          <w:sz w:val="24"/>
          <w:szCs w:val="24"/>
        </w:rPr>
        <w:t>；</w:t>
      </w:r>
    </w:p>
    <w:p>
      <w:pPr>
        <w:tabs>
          <w:tab w:val="left" w:pos="735"/>
        </w:tabs>
        <w:adjustRightInd w:val="0"/>
        <w:spacing w:line="360" w:lineRule="auto"/>
        <w:ind w:firstLine="482" w:firstLineChars="200"/>
        <w:rPr>
          <w:sz w:val="24"/>
          <w:szCs w:val="24"/>
        </w:rPr>
      </w:pPr>
      <w:r>
        <w:rPr>
          <w:b/>
          <w:bCs/>
          <w:sz w:val="24"/>
          <w:szCs w:val="24"/>
        </w:rPr>
        <w:t>8</w:t>
      </w:r>
      <w:r>
        <w:rPr>
          <w:rFonts w:eastAsiaTheme="minorEastAsia"/>
          <w:b/>
          <w:sz w:val="24"/>
          <w:szCs w:val="24"/>
        </w:rPr>
        <w:t>　</w:t>
      </w:r>
      <w:r>
        <w:rPr>
          <w:sz w:val="24"/>
          <w:szCs w:val="24"/>
        </w:rPr>
        <w:t>构造柱与墙连接处应</w:t>
      </w:r>
      <w:r>
        <w:rPr>
          <w:rFonts w:hint="eastAsia"/>
          <w:sz w:val="24"/>
          <w:szCs w:val="24"/>
        </w:rPr>
        <w:t>采取</w:t>
      </w:r>
      <w:r>
        <w:rPr>
          <w:sz w:val="24"/>
          <w:szCs w:val="24"/>
        </w:rPr>
        <w:t>马牙槎，由配砖</w:t>
      </w:r>
      <w:r>
        <w:rPr>
          <w:rFonts w:hint="eastAsia"/>
          <w:sz w:val="24"/>
          <w:szCs w:val="24"/>
        </w:rPr>
        <w:t>与标砖分层</w:t>
      </w:r>
      <w:r>
        <w:rPr>
          <w:sz w:val="24"/>
          <w:szCs w:val="24"/>
        </w:rPr>
        <w:t>交错布置构成，沿墙高每隔4匹砌块应设2</w:t>
      </w:r>
      <w:r>
        <w:rPr>
          <w:rFonts w:ascii="SJQY" w:hAnsi="SJQY" w:eastAsia="SJQY"/>
          <w:spacing w:val="1"/>
          <w:w w:val="95"/>
          <w:sz w:val="24"/>
          <w:szCs w:val="24"/>
        </w:rPr>
        <w:t>C</w:t>
      </w:r>
      <w:r>
        <w:rPr>
          <w:sz w:val="24"/>
          <w:szCs w:val="24"/>
        </w:rPr>
        <w:t>6水平钢筋</w:t>
      </w:r>
      <w:r>
        <w:rPr>
          <w:rFonts w:hint="eastAsia"/>
          <w:sz w:val="24"/>
          <w:szCs w:val="24"/>
        </w:rPr>
        <w:t>；</w:t>
      </w:r>
    </w:p>
    <w:p>
      <w:pPr>
        <w:tabs>
          <w:tab w:val="left" w:pos="735"/>
        </w:tabs>
        <w:adjustRightInd w:val="0"/>
        <w:spacing w:line="360" w:lineRule="auto"/>
        <w:ind w:firstLine="482" w:firstLineChars="200"/>
      </w:pPr>
      <w:r>
        <w:rPr>
          <w:b/>
          <w:bCs/>
          <w:sz w:val="24"/>
          <w:szCs w:val="24"/>
        </w:rPr>
        <w:t>9</w:t>
      </w:r>
      <w:r>
        <w:rPr>
          <w:rFonts w:eastAsiaTheme="minorEastAsia"/>
          <w:b/>
          <w:sz w:val="24"/>
          <w:szCs w:val="24"/>
        </w:rPr>
        <w:t>　</w:t>
      </w:r>
      <w:r>
        <w:rPr>
          <w:sz w:val="24"/>
          <w:szCs w:val="24"/>
        </w:rPr>
        <w:t>构造柱的竖向钢筋末端应做成弯钩，接头采用绑扎，其搭接长度宜为35</w:t>
      </w:r>
      <w:r>
        <w:rPr>
          <w:rFonts w:hint="eastAsia"/>
          <w:sz w:val="24"/>
          <w:szCs w:val="24"/>
        </w:rPr>
        <w:t>d</w:t>
      </w:r>
      <w:r>
        <w:rPr>
          <w:sz w:val="24"/>
          <w:szCs w:val="24"/>
        </w:rPr>
        <w:t>，在搭接</w:t>
      </w:r>
      <w:r>
        <w:rPr>
          <w:sz w:val="24"/>
        </w:rPr>
        <w:t>接头</w:t>
      </w:r>
      <w:r>
        <w:rPr>
          <w:sz w:val="24"/>
          <w:szCs w:val="24"/>
        </w:rPr>
        <w:t>长度范围内的箍筋间距不应大于100 mm。</w:t>
      </w:r>
    </w:p>
    <w:p>
      <w:pPr>
        <w:widowControl/>
        <w:spacing w:line="360" w:lineRule="auto"/>
        <w:jc w:val="center"/>
        <w:rPr>
          <w:b/>
          <w:bCs/>
          <w:szCs w:val="21"/>
        </w:rPr>
      </w:pPr>
    </w:p>
    <w:p>
      <w:pPr>
        <w:widowControl/>
        <w:spacing w:line="360" w:lineRule="auto"/>
        <w:jc w:val="center"/>
        <w:rPr>
          <w:b/>
          <w:bCs/>
          <w:szCs w:val="21"/>
        </w:rPr>
      </w:pPr>
    </w:p>
    <w:p>
      <w:pPr>
        <w:pStyle w:val="2"/>
      </w:pPr>
    </w:p>
    <w:p>
      <w:pPr>
        <w:pStyle w:val="2"/>
      </w:pPr>
    </w:p>
    <w:p>
      <w:pPr>
        <w:pStyle w:val="2"/>
      </w:pPr>
    </w:p>
    <w:p>
      <w:pPr>
        <w:widowControl/>
        <w:spacing w:line="360" w:lineRule="auto"/>
        <w:jc w:val="center"/>
        <w:rPr>
          <w:b/>
          <w:bCs/>
          <w:szCs w:val="21"/>
        </w:rPr>
      </w:pPr>
    </w:p>
    <w:p>
      <w:pPr>
        <w:widowControl/>
        <w:spacing w:line="360" w:lineRule="auto"/>
        <w:jc w:val="center"/>
        <w:rPr>
          <w:b/>
          <w:bCs/>
          <w:szCs w:val="21"/>
        </w:rPr>
      </w:pPr>
    </w:p>
    <w:p>
      <w:pPr>
        <w:widowControl/>
        <w:spacing w:line="360" w:lineRule="auto"/>
        <w:jc w:val="center"/>
        <w:rPr>
          <w:b/>
          <w:sz w:val="24"/>
          <w:szCs w:val="24"/>
        </w:rPr>
      </w:pPr>
      <w:r>
        <w:rPr>
          <w:b/>
          <w:bCs/>
          <w:szCs w:val="21"/>
        </w:rPr>
        <w:t>表5.4.9　构造柱配筋</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50"/>
        <w:gridCol w:w="991"/>
        <w:gridCol w:w="991"/>
        <w:gridCol w:w="999"/>
        <w:gridCol w:w="846"/>
        <w:gridCol w:w="991"/>
        <w:gridCol w:w="991"/>
        <w:gridCol w:w="1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5" w:type="dxa"/>
            <w:vMerge w:val="restart"/>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楼层数</w:t>
            </w:r>
          </w:p>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（层）</w:t>
            </w:r>
          </w:p>
        </w:tc>
        <w:tc>
          <w:tcPr>
            <w:tcW w:w="7482" w:type="dxa"/>
            <w:gridSpan w:val="8"/>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2" w:hRule="atLeast"/>
          <w:jc w:val="center"/>
        </w:trPr>
        <w:tc>
          <w:tcPr>
            <w:tcW w:w="795"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3720" w:type="dxa"/>
            <w:gridSpan w:val="4"/>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6度、7度</w:t>
            </w:r>
          </w:p>
        </w:tc>
        <w:tc>
          <w:tcPr>
            <w:tcW w:w="3762" w:type="dxa"/>
            <w:gridSpan w:val="4"/>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5"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826"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纵筋</w:t>
            </w:r>
          </w:p>
        </w:tc>
        <w:tc>
          <w:tcPr>
            <w:tcW w:w="2894" w:type="dxa"/>
            <w:gridSpan w:val="3"/>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箍筋</w:t>
            </w:r>
          </w:p>
        </w:tc>
        <w:tc>
          <w:tcPr>
            <w:tcW w:w="82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纵筋</w:t>
            </w:r>
          </w:p>
        </w:tc>
        <w:tc>
          <w:tcPr>
            <w:tcW w:w="2940" w:type="dxa"/>
            <w:gridSpan w:val="3"/>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箍筋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5"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826" w:type="dxa"/>
            <w:vMerge w:val="restart"/>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纵筋</w:t>
            </w:r>
          </w:p>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最小量</w:t>
            </w:r>
          </w:p>
        </w:tc>
        <w:tc>
          <w:tcPr>
            <w:tcW w:w="962" w:type="dxa"/>
            <w:vMerge w:val="restart"/>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最小直径</w:t>
            </w:r>
          </w:p>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（mm）</w:t>
            </w:r>
          </w:p>
        </w:tc>
        <w:tc>
          <w:tcPr>
            <w:tcW w:w="1932" w:type="dxa"/>
            <w:gridSpan w:val="2"/>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最大间距（mm）</w:t>
            </w:r>
          </w:p>
        </w:tc>
        <w:tc>
          <w:tcPr>
            <w:tcW w:w="822" w:type="dxa"/>
            <w:vMerge w:val="restart"/>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纵筋</w:t>
            </w:r>
          </w:p>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最小量</w:t>
            </w:r>
          </w:p>
        </w:tc>
        <w:tc>
          <w:tcPr>
            <w:tcW w:w="962" w:type="dxa"/>
            <w:vMerge w:val="restart"/>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最小直径</w:t>
            </w:r>
          </w:p>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（mm）</w:t>
            </w:r>
          </w:p>
        </w:tc>
        <w:tc>
          <w:tcPr>
            <w:tcW w:w="1978" w:type="dxa"/>
            <w:gridSpan w:val="2"/>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最大间距（mm）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5"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826"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962"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加密区</w:t>
            </w:r>
          </w:p>
        </w:tc>
        <w:tc>
          <w:tcPr>
            <w:tcW w:w="970"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非加密区</w:t>
            </w:r>
          </w:p>
        </w:tc>
        <w:tc>
          <w:tcPr>
            <w:tcW w:w="822"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962" w:type="dxa"/>
            <w:vMerge w:val="continue"/>
            <w:vAlign w:val="center"/>
          </w:tcPr>
          <w:p>
            <w:pPr>
              <w:pStyle w:val="81"/>
              <w:spacing w:line="240" w:lineRule="auto"/>
              <w:ind w:firstLine="0" w:firstLineChars="0"/>
              <w:jc w:val="center"/>
              <w:textAlignment w:val="center"/>
              <w:rPr>
                <w:rFonts w:ascii="Times New Roman" w:hAnsi="Times New Roman"/>
                <w:sz w:val="21"/>
                <w:szCs w:val="18"/>
              </w:rPr>
            </w:pP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加密区</w:t>
            </w:r>
          </w:p>
        </w:tc>
        <w:tc>
          <w:tcPr>
            <w:tcW w:w="1016"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非加密区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5"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eastAsiaTheme="minorEastAsia"/>
                <w:sz w:val="21"/>
                <w:szCs w:val="18"/>
              </w:rPr>
              <w:t>≤2</w:t>
            </w:r>
          </w:p>
        </w:tc>
        <w:tc>
          <w:tcPr>
            <w:tcW w:w="826"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4</w:t>
            </w:r>
            <w:r>
              <w:rPr>
                <w:rFonts w:hint="eastAsia" w:ascii="SJQY" w:hAnsi="SJQY" w:eastAsia="SJQY"/>
                <w:iCs/>
                <w:sz w:val="21"/>
                <w:szCs w:val="18"/>
              </w:rPr>
              <w:t>C</w:t>
            </w:r>
            <w:r>
              <w:rPr>
                <w:rFonts w:ascii="Times New Roman" w:hAnsi="Times New Roman"/>
                <w:sz w:val="21"/>
                <w:szCs w:val="18"/>
              </w:rPr>
              <w:t>12</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6</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200</w:t>
            </w:r>
          </w:p>
        </w:tc>
        <w:tc>
          <w:tcPr>
            <w:tcW w:w="970"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250</w:t>
            </w:r>
          </w:p>
        </w:tc>
        <w:tc>
          <w:tcPr>
            <w:tcW w:w="82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4</w:t>
            </w:r>
            <w:r>
              <w:rPr>
                <w:rFonts w:hint="eastAsia" w:ascii="SJQY" w:hAnsi="SJQY" w:eastAsia="SJQY"/>
                <w:iCs/>
                <w:sz w:val="21"/>
                <w:szCs w:val="18"/>
              </w:rPr>
              <w:t>C</w:t>
            </w:r>
            <w:r>
              <w:rPr>
                <w:rFonts w:ascii="Times New Roman" w:hAnsi="Times New Roman"/>
                <w:sz w:val="21"/>
                <w:szCs w:val="18"/>
              </w:rPr>
              <w:t>12</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6</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100</w:t>
            </w:r>
          </w:p>
        </w:tc>
        <w:tc>
          <w:tcPr>
            <w:tcW w:w="1016"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5"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eastAsiaTheme="minorEastAsia"/>
                <w:sz w:val="21"/>
                <w:szCs w:val="18"/>
              </w:rPr>
              <w:t>≥</w:t>
            </w:r>
            <w:r>
              <w:rPr>
                <w:rFonts w:ascii="Times New Roman" w:hAnsi="Times New Roman"/>
                <w:sz w:val="21"/>
                <w:szCs w:val="18"/>
              </w:rPr>
              <w:t>3</w:t>
            </w:r>
          </w:p>
        </w:tc>
        <w:tc>
          <w:tcPr>
            <w:tcW w:w="826"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4</w:t>
            </w:r>
            <w:r>
              <w:rPr>
                <w:rFonts w:hint="eastAsia" w:ascii="SJQY" w:hAnsi="SJQY" w:eastAsia="SJQY"/>
                <w:iCs/>
                <w:sz w:val="21"/>
                <w:szCs w:val="18"/>
              </w:rPr>
              <w:t>C</w:t>
            </w:r>
            <w:r>
              <w:rPr>
                <w:rFonts w:ascii="Times New Roman" w:hAnsi="Times New Roman"/>
                <w:sz w:val="21"/>
                <w:szCs w:val="18"/>
              </w:rPr>
              <w:t>14</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6</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150</w:t>
            </w:r>
          </w:p>
        </w:tc>
        <w:tc>
          <w:tcPr>
            <w:tcW w:w="970"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200</w:t>
            </w:r>
          </w:p>
        </w:tc>
        <w:tc>
          <w:tcPr>
            <w:tcW w:w="82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4</w:t>
            </w:r>
            <w:r>
              <w:rPr>
                <w:rFonts w:hint="eastAsia" w:ascii="SJQY" w:hAnsi="SJQY" w:eastAsia="SJQY"/>
                <w:iCs/>
                <w:sz w:val="21"/>
                <w:szCs w:val="18"/>
              </w:rPr>
              <w:t>C</w:t>
            </w:r>
            <w:r>
              <w:rPr>
                <w:rFonts w:ascii="Times New Roman" w:hAnsi="Times New Roman"/>
                <w:sz w:val="21"/>
                <w:szCs w:val="18"/>
              </w:rPr>
              <w:t>14</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6</w:t>
            </w:r>
          </w:p>
        </w:tc>
        <w:tc>
          <w:tcPr>
            <w:tcW w:w="962"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100</w:t>
            </w:r>
          </w:p>
        </w:tc>
        <w:tc>
          <w:tcPr>
            <w:tcW w:w="1016" w:type="dxa"/>
            <w:vAlign w:val="center"/>
          </w:tcPr>
          <w:p>
            <w:pPr>
              <w:pStyle w:val="81"/>
              <w:spacing w:line="240" w:lineRule="auto"/>
              <w:ind w:firstLine="0" w:firstLineChars="0"/>
              <w:jc w:val="center"/>
              <w:textAlignment w:val="center"/>
              <w:rPr>
                <w:rFonts w:ascii="Times New Roman" w:hAnsi="Times New Roman"/>
                <w:sz w:val="21"/>
                <w:szCs w:val="18"/>
              </w:rPr>
            </w:pPr>
            <w:r>
              <w:rPr>
                <w:rFonts w:ascii="Times New Roman" w:hAnsi="Times New Roman"/>
                <w:sz w:val="21"/>
                <w:szCs w:val="18"/>
              </w:rPr>
              <w:t>200</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.4.10　</w:t>
      </w:r>
      <w:r>
        <w:rPr>
          <w:sz w:val="24"/>
        </w:rPr>
        <w:t>模壳</w:t>
      </w:r>
      <w:r>
        <w:rPr>
          <w:rFonts w:hint="eastAsia"/>
          <w:sz w:val="24"/>
        </w:rPr>
        <w:t>砌块</w:t>
      </w:r>
      <w:r>
        <w:rPr>
          <w:sz w:val="24"/>
        </w:rPr>
        <w:t>墙</w:t>
      </w:r>
      <w:r>
        <w:rPr>
          <w:rFonts w:hint="eastAsia"/>
          <w:sz w:val="24"/>
        </w:rPr>
        <w:t>体</w:t>
      </w:r>
      <w:r>
        <w:rPr>
          <w:sz w:val="24"/>
        </w:rPr>
        <w:t>与构造柱</w:t>
      </w:r>
      <w:r>
        <w:rPr>
          <w:rFonts w:hint="eastAsia"/>
          <w:sz w:val="24"/>
        </w:rPr>
        <w:t>或芯柱之</w:t>
      </w:r>
      <w:r>
        <w:rPr>
          <w:sz w:val="24"/>
        </w:rPr>
        <w:t>间应设置水平拉结钢筋（图5.4.10），</w:t>
      </w:r>
      <w:r>
        <w:rPr>
          <w:rFonts w:hint="eastAsia"/>
          <w:sz w:val="24"/>
        </w:rPr>
        <w:t>且应</w:t>
      </w:r>
      <w:r>
        <w:rPr>
          <w:sz w:val="24"/>
        </w:rPr>
        <w:t>符合下列规定：</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26"/>
        <w:gridCol w:w="4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26" w:type="dxa"/>
            <w:vAlign w:val="center"/>
          </w:tcPr>
          <w:p>
            <w:pPr>
              <w:pStyle w:val="2"/>
              <w:ind w:firstLine="0"/>
            </w:pPr>
            <w:r>
              <w:drawing>
                <wp:inline distT="0" distB="0" distL="0" distR="0">
                  <wp:extent cx="1772285" cy="1167765"/>
                  <wp:effectExtent l="0" t="0" r="0" b="0"/>
                  <wp:docPr id="53440367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03672" name="图片 32"/>
                          <pic:cNvPicPr>
                            <a:picLocks noChangeAspect="1" noChangeArrowheads="1"/>
                          </pic:cNvPicPr>
                        </pic:nvPicPr>
                        <pic:blipFill>
                          <a:blip r:embed="rId48" cstate="print"/>
                          <a:srcRect l="23218" t="27781" r="44291" b="27536"/>
                          <a:stretch>
                            <a:fillRect/>
                          </a:stretch>
                        </pic:blipFill>
                        <pic:spPr>
                          <a:xfrm>
                            <a:off x="0" y="0"/>
                            <a:ext cx="1780477" cy="1173363"/>
                          </a:xfrm>
                          <a:prstGeom prst="rect">
                            <a:avLst/>
                          </a:prstGeom>
                          <a:noFill/>
                          <a:ln>
                            <a:noFill/>
                          </a:ln>
                        </pic:spPr>
                      </pic:pic>
                    </a:graphicData>
                  </a:graphic>
                </wp:inline>
              </w:drawing>
            </w:r>
          </w:p>
        </w:tc>
        <w:tc>
          <w:tcPr>
            <w:tcW w:w="4906" w:type="dxa"/>
            <w:vAlign w:val="center"/>
          </w:tcPr>
          <w:p>
            <w:pPr>
              <w:pStyle w:val="2"/>
              <w:ind w:firstLine="0"/>
            </w:pPr>
            <w:r>
              <w:drawing>
                <wp:inline distT="0" distB="0" distL="0" distR="0">
                  <wp:extent cx="2814955" cy="861060"/>
                  <wp:effectExtent l="0" t="0" r="4445" b="0"/>
                  <wp:docPr id="20052570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7029" name="图片 33"/>
                          <pic:cNvPicPr>
                            <a:picLocks noChangeAspect="1" noChangeArrowheads="1"/>
                          </pic:cNvPicPr>
                        </pic:nvPicPr>
                        <pic:blipFill>
                          <a:blip r:embed="rId49" cstate="print"/>
                          <a:srcRect l="7243" t="24225" r="20333" b="29546"/>
                          <a:stretch>
                            <a:fillRect/>
                          </a:stretch>
                        </pic:blipFill>
                        <pic:spPr>
                          <a:xfrm>
                            <a:off x="0" y="0"/>
                            <a:ext cx="2857462" cy="87404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26" w:type="dxa"/>
            <w:vAlign w:val="center"/>
          </w:tcPr>
          <w:p>
            <w:pPr>
              <w:widowControl/>
              <w:jc w:val="center"/>
              <w:rPr>
                <w:kern w:val="0"/>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a)一字</w:t>
            </w:r>
            <w:r>
              <w:rPr>
                <w:rFonts w:hint="eastAsia" w:asciiTheme="minorEastAsia" w:hAnsiTheme="minorEastAsia" w:eastAsiaTheme="minorEastAsia"/>
                <w:sz w:val="18"/>
                <w:szCs w:val="18"/>
              </w:rPr>
              <w:t>形节点</w:t>
            </w:r>
            <w:r>
              <w:rPr>
                <w:rFonts w:asciiTheme="minorEastAsia" w:hAnsiTheme="minorEastAsia" w:eastAsiaTheme="minorEastAsia"/>
                <w:sz w:val="18"/>
                <w:szCs w:val="18"/>
              </w:rPr>
              <w:t>(I)</w:t>
            </w:r>
          </w:p>
        </w:tc>
        <w:tc>
          <w:tcPr>
            <w:tcW w:w="4906" w:type="dxa"/>
            <w:vAlign w:val="center"/>
          </w:tcPr>
          <w:p>
            <w:pPr>
              <w:widowControl/>
              <w:jc w:val="center"/>
              <w:rPr>
                <w:sz w:val="18"/>
                <w:szCs w:val="18"/>
              </w:rPr>
            </w:pPr>
            <w:r>
              <w:rPr>
                <w:rFonts w:hint="eastAsia" w:asciiTheme="minorEastAsia" w:hAnsiTheme="minorEastAsia" w:eastAsiaTheme="minorEastAsia"/>
                <w:sz w:val="18"/>
                <w:szCs w:val="18"/>
              </w:rPr>
              <w:t>(</w:t>
            </w:r>
            <w:r>
              <w:rPr>
                <w:sz w:val="18"/>
                <w:szCs w:val="18"/>
              </w:rPr>
              <w:t>b</w:t>
            </w:r>
            <w:r>
              <w:rPr>
                <w:rFonts w:asciiTheme="minorEastAsia" w:hAnsiTheme="minorEastAsia" w:eastAsiaTheme="minorEastAsia"/>
                <w:sz w:val="18"/>
                <w:szCs w:val="18"/>
              </w:rPr>
              <w:t>)</w:t>
            </w:r>
            <w:r>
              <w:rPr>
                <w:sz w:val="18"/>
                <w:szCs w:val="18"/>
              </w:rPr>
              <w:t>一字</w:t>
            </w:r>
            <w:r>
              <w:rPr>
                <w:rFonts w:hint="eastAsia"/>
                <w:sz w:val="18"/>
                <w:szCs w:val="18"/>
              </w:rPr>
              <w:t>形节点</w:t>
            </w:r>
            <w:r>
              <w:rPr>
                <w:rFonts w:asciiTheme="minorEastAsia" w:hAnsiTheme="minorEastAsia" w:eastAsiaTheme="minorEastAsia"/>
                <w:sz w:val="18"/>
                <w:szCs w:val="18"/>
              </w:rPr>
              <w:t>(</w:t>
            </w:r>
            <w:r>
              <w:rPr>
                <w:kern w:val="0"/>
                <w:sz w:val="18"/>
                <w:szCs w:val="18"/>
              </w:rPr>
              <w:t>II</w:t>
            </w:r>
            <w:r>
              <w:rPr>
                <w:rFonts w:asciiTheme="minorEastAsia" w:hAnsiTheme="minorEastAsia" w:eastAsiaTheme="minorEastAsia"/>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26" w:type="dxa"/>
            <w:vAlign w:val="center"/>
          </w:tcPr>
          <w:p>
            <w:pPr>
              <w:pStyle w:val="2"/>
              <w:ind w:firstLine="0"/>
              <w:rPr>
                <w:rFonts w:asciiTheme="minorEastAsia" w:hAnsiTheme="minorEastAsia" w:eastAsiaTheme="minorEastAsia"/>
                <w:sz w:val="18"/>
                <w:szCs w:val="18"/>
              </w:rPr>
            </w:pPr>
            <w:r>
              <w:drawing>
                <wp:inline distT="0" distB="0" distL="0" distR="0">
                  <wp:extent cx="1776730" cy="1744345"/>
                  <wp:effectExtent l="0" t="0" r="0" b="8255"/>
                  <wp:docPr id="4087951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95172" name="图片 34"/>
                          <pic:cNvPicPr>
                            <a:picLocks noChangeAspect="1" noChangeArrowheads="1"/>
                          </pic:cNvPicPr>
                        </pic:nvPicPr>
                        <pic:blipFill>
                          <a:blip r:embed="rId50" cstate="print"/>
                          <a:srcRect l="27477" t="14228" r="42589" b="24435"/>
                          <a:stretch>
                            <a:fillRect/>
                          </a:stretch>
                        </pic:blipFill>
                        <pic:spPr>
                          <a:xfrm>
                            <a:off x="0" y="0"/>
                            <a:ext cx="1788480" cy="1756166"/>
                          </a:xfrm>
                          <a:prstGeom prst="rect">
                            <a:avLst/>
                          </a:prstGeom>
                          <a:noFill/>
                          <a:ln>
                            <a:noFill/>
                          </a:ln>
                        </pic:spPr>
                      </pic:pic>
                    </a:graphicData>
                  </a:graphic>
                </wp:inline>
              </w:drawing>
            </w:r>
          </w:p>
        </w:tc>
        <w:tc>
          <w:tcPr>
            <w:tcW w:w="4906" w:type="dxa"/>
            <w:vAlign w:val="center"/>
          </w:tcPr>
          <w:p>
            <w:pPr>
              <w:widowControl/>
              <w:jc w:val="center"/>
              <w:rPr>
                <w:rFonts w:asciiTheme="minorEastAsia" w:hAnsiTheme="minorEastAsia" w:eastAsiaTheme="minorEastAsia"/>
                <w:sz w:val="18"/>
                <w:szCs w:val="18"/>
              </w:rPr>
            </w:pPr>
            <w:r>
              <w:drawing>
                <wp:inline distT="0" distB="0" distL="0" distR="0">
                  <wp:extent cx="2766695" cy="1798955"/>
                  <wp:effectExtent l="0" t="0" r="0" b="0"/>
                  <wp:docPr id="185787391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73917" name="图片 35"/>
                          <pic:cNvPicPr>
                            <a:picLocks noChangeAspect="1" noChangeArrowheads="1"/>
                          </pic:cNvPicPr>
                        </pic:nvPicPr>
                        <pic:blipFill>
                          <a:blip r:embed="rId51" cstate="print"/>
                          <a:srcRect l="15869" t="16447" r="38437" b="21540"/>
                          <a:stretch>
                            <a:fillRect/>
                          </a:stretch>
                        </pic:blipFill>
                        <pic:spPr>
                          <a:xfrm>
                            <a:off x="0" y="0"/>
                            <a:ext cx="2793026" cy="181644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26" w:type="dxa"/>
            <w:vAlign w:val="center"/>
          </w:tcPr>
          <w:p>
            <w:pPr>
              <w:widowControl/>
              <w:jc w:val="center"/>
              <w:rPr>
                <w:kern w:val="0"/>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c)L</w:t>
            </w:r>
            <w:r>
              <w:rPr>
                <w:rFonts w:hint="eastAsia" w:asciiTheme="minorEastAsia" w:hAnsiTheme="minorEastAsia" w:eastAsiaTheme="minorEastAsia"/>
                <w:sz w:val="18"/>
                <w:szCs w:val="18"/>
              </w:rPr>
              <w:t>形节点</w:t>
            </w:r>
          </w:p>
        </w:tc>
        <w:tc>
          <w:tcPr>
            <w:tcW w:w="4906" w:type="dxa"/>
            <w:vAlign w:val="center"/>
          </w:tcPr>
          <w:p>
            <w:pPr>
              <w:widowControl/>
              <w:jc w:val="center"/>
              <w:rPr>
                <w:sz w:val="18"/>
                <w:szCs w:val="18"/>
              </w:rPr>
            </w:pPr>
            <w:r>
              <w:rPr>
                <w:rFonts w:hint="eastAsia" w:asciiTheme="minorEastAsia" w:hAnsiTheme="minorEastAsia" w:eastAsiaTheme="minorEastAsia"/>
                <w:sz w:val="18"/>
                <w:szCs w:val="18"/>
              </w:rPr>
              <w:t>(</w:t>
            </w:r>
            <w:r>
              <w:rPr>
                <w:rFonts w:eastAsiaTheme="minorEastAsia"/>
                <w:sz w:val="18"/>
                <w:szCs w:val="18"/>
              </w:rPr>
              <w:t>d</w:t>
            </w:r>
            <w:r>
              <w:rPr>
                <w:rFonts w:asciiTheme="minorEastAsia" w:hAnsiTheme="minorEastAsia" w:eastAsiaTheme="minorEastAsia"/>
                <w:sz w:val="18"/>
                <w:szCs w:val="18"/>
              </w:rPr>
              <w:t>)</w:t>
            </w:r>
            <w:r>
              <w:rPr>
                <w:sz w:val="18"/>
              </w:rPr>
              <w:t>T</w:t>
            </w:r>
            <w:r>
              <w:rPr>
                <w:rFonts w:hint="eastAsia"/>
                <w:sz w:val="18"/>
              </w:rPr>
              <w:t>形节点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32" w:type="dxa"/>
            <w:gridSpan w:val="2"/>
            <w:vAlign w:val="center"/>
          </w:tcPr>
          <w:p>
            <w:pPr>
              <w:widowControl/>
              <w:jc w:val="center"/>
              <w:rPr>
                <w:rFonts w:asciiTheme="minorEastAsia" w:hAnsiTheme="minorEastAsia" w:eastAsiaTheme="minorEastAsia"/>
                <w:sz w:val="18"/>
                <w:szCs w:val="18"/>
              </w:rPr>
            </w:pPr>
            <w:r>
              <w:rPr>
                <w:rFonts w:eastAsiaTheme="minorEastAsia"/>
                <w:sz w:val="18"/>
                <w:szCs w:val="18"/>
              </w:rPr>
              <w:t>1—标砖；2—</w:t>
            </w:r>
            <w:r>
              <w:rPr>
                <w:rFonts w:hint="eastAsia" w:eastAsiaTheme="minorEastAsia"/>
                <w:sz w:val="18"/>
                <w:szCs w:val="18"/>
              </w:rPr>
              <w:t>填充</w:t>
            </w:r>
            <w:r>
              <w:rPr>
                <w:rFonts w:eastAsiaTheme="minorEastAsia"/>
                <w:sz w:val="18"/>
                <w:szCs w:val="18"/>
              </w:rPr>
              <w:t>材料；3—标砖配砖；4—</w:t>
            </w:r>
            <w:r>
              <w:rPr>
                <w:rFonts w:hint="eastAsia" w:eastAsiaTheme="minorEastAsia"/>
                <w:sz w:val="18"/>
                <w:szCs w:val="18"/>
              </w:rPr>
              <w:t>水平分布钢筋；5</w:t>
            </w:r>
            <w:r>
              <w:rPr>
                <w:rFonts w:eastAsiaTheme="minorEastAsia"/>
                <w:sz w:val="18"/>
                <w:szCs w:val="18"/>
              </w:rPr>
              <w:t>—芯柱式构造柱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32" w:type="dxa"/>
            <w:gridSpan w:val="2"/>
            <w:vAlign w:val="center"/>
          </w:tcPr>
          <w:p>
            <w:pPr>
              <w:pStyle w:val="2"/>
              <w:ind w:firstLine="0"/>
            </w:pPr>
            <w:r>
              <w:rPr>
                <w:rFonts w:hint="eastAsia"/>
              </w:rPr>
              <w:t>图5.4.</w:t>
            </w:r>
            <w:r>
              <w:t>10</w:t>
            </w:r>
            <w:r>
              <w:rPr>
                <w:rFonts w:hint="eastAsia"/>
              </w:rPr>
              <w:t>　水平拉结钢筋示意图</w:t>
            </w:r>
          </w:p>
        </w:tc>
      </w:tr>
    </w:tbl>
    <w:p>
      <w:pPr>
        <w:autoSpaceDE w:val="0"/>
        <w:autoSpaceDN w:val="0"/>
        <w:adjustRightInd w:val="0"/>
        <w:spacing w:line="360" w:lineRule="auto"/>
        <w:ind w:firstLine="482" w:firstLineChars="200"/>
        <w:rPr>
          <w:rFonts w:eastAsiaTheme="minorEastAsia"/>
          <w:sz w:val="24"/>
          <w:szCs w:val="24"/>
        </w:rPr>
      </w:pPr>
      <w:bookmarkStart w:id="118" w:name="_Toc523844515"/>
      <w:bookmarkStart w:id="119" w:name="_Toc41895201"/>
      <w:r>
        <w:rPr>
          <w:rFonts w:eastAsiaTheme="minorEastAsia"/>
          <w:b/>
          <w:sz w:val="24"/>
          <w:szCs w:val="24"/>
        </w:rPr>
        <w:t>1　</w:t>
      </w:r>
      <w:r>
        <w:rPr>
          <w:rFonts w:eastAsiaTheme="minorEastAsia"/>
          <w:sz w:val="24"/>
          <w:szCs w:val="24"/>
        </w:rPr>
        <w:t>采用附加连接钢筋在模壳砌块凹槽间连接法，绑扎完成后，</w:t>
      </w:r>
      <w:r>
        <w:rPr>
          <w:rFonts w:hint="eastAsia" w:eastAsiaTheme="minorEastAsia"/>
          <w:sz w:val="24"/>
          <w:szCs w:val="24"/>
        </w:rPr>
        <w:t>块间</w:t>
      </w:r>
      <w:r>
        <w:rPr>
          <w:rFonts w:eastAsiaTheme="minorEastAsia"/>
          <w:sz w:val="24"/>
          <w:szCs w:val="24"/>
        </w:rPr>
        <w:t>凹槽应</w:t>
      </w:r>
      <w:r>
        <w:rPr>
          <w:sz w:val="24"/>
          <w:szCs w:val="24"/>
        </w:rPr>
        <w:t>采用粘结砂浆</w:t>
      </w:r>
      <w:r>
        <w:rPr>
          <w:rFonts w:hint="eastAsia"/>
          <w:sz w:val="24"/>
          <w:szCs w:val="24"/>
        </w:rPr>
        <w:t>挤浆满铺；</w:t>
      </w:r>
    </w:p>
    <w:p>
      <w:pPr>
        <w:autoSpaceDE w:val="0"/>
        <w:autoSpaceDN w:val="0"/>
        <w:adjustRightInd w:val="0"/>
        <w:spacing w:line="360" w:lineRule="auto"/>
        <w:ind w:firstLine="482" w:firstLineChars="200"/>
        <w:rPr>
          <w:rFonts w:eastAsiaTheme="minorEastAsia"/>
          <w:sz w:val="24"/>
          <w:szCs w:val="24"/>
        </w:rPr>
      </w:pPr>
      <w:r>
        <w:rPr>
          <w:rFonts w:eastAsiaTheme="minorEastAsia"/>
          <w:b/>
          <w:sz w:val="24"/>
          <w:szCs w:val="24"/>
        </w:rPr>
        <w:t>2　</w:t>
      </w:r>
      <w:r>
        <w:rPr>
          <w:rFonts w:eastAsiaTheme="minorEastAsia"/>
          <w:sz w:val="24"/>
          <w:szCs w:val="24"/>
        </w:rPr>
        <w:t>附加连接钢筋直径不应小于模壳砌块内水平钢筋直径，并应在构造柱内可靠锚固</w:t>
      </w:r>
      <w:r>
        <w:rPr>
          <w:rFonts w:hint="eastAsia" w:eastAsiaTheme="minorEastAsia"/>
          <w:sz w:val="24"/>
          <w:szCs w:val="24"/>
        </w:rPr>
        <w:t>；</w:t>
      </w:r>
    </w:p>
    <w:p>
      <w:pPr>
        <w:autoSpaceDE w:val="0"/>
        <w:autoSpaceDN w:val="0"/>
        <w:adjustRightInd w:val="0"/>
        <w:spacing w:line="360" w:lineRule="auto"/>
        <w:ind w:firstLine="482" w:firstLineChars="200"/>
        <w:rPr>
          <w:rFonts w:eastAsiaTheme="minorEastAsia"/>
          <w:sz w:val="24"/>
          <w:szCs w:val="24"/>
        </w:rPr>
      </w:pPr>
      <w:r>
        <w:rPr>
          <w:rFonts w:eastAsiaTheme="minorEastAsia"/>
          <w:b/>
          <w:sz w:val="24"/>
          <w:szCs w:val="24"/>
        </w:rPr>
        <w:t>3　</w:t>
      </w:r>
      <w:r>
        <w:rPr>
          <w:rFonts w:eastAsiaTheme="minorEastAsia"/>
          <w:sz w:val="24"/>
          <w:szCs w:val="24"/>
        </w:rPr>
        <w:t>绑扎搭接长度应符合现行行业标准《约束砌体与配筋砌体结构技术规程》JGJ 13的有关规定。</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.4.11　</w:t>
      </w:r>
      <w:r>
        <w:rPr>
          <w:rFonts w:eastAsiaTheme="minorEastAsia"/>
          <w:sz w:val="24"/>
        </w:rPr>
        <w:t>模壳</w:t>
      </w:r>
      <w:bookmarkEnd w:id="118"/>
      <w:bookmarkEnd w:id="119"/>
      <w:r>
        <w:rPr>
          <w:rFonts w:eastAsiaTheme="minorEastAsia"/>
          <w:sz w:val="24"/>
        </w:rPr>
        <w:t>砌块墙体接缝宜设置在楼面标高处，并应符合下列规定：</w:t>
      </w:r>
    </w:p>
    <w:p>
      <w:pPr>
        <w:autoSpaceDE w:val="0"/>
        <w:autoSpaceDN w:val="0"/>
        <w:adjustRightInd w:val="0"/>
        <w:spacing w:line="360" w:lineRule="auto"/>
        <w:ind w:firstLine="482" w:firstLineChars="200"/>
        <w:jc w:val="left"/>
        <w:rPr>
          <w:rFonts w:eastAsiaTheme="minorEastAsia"/>
          <w:sz w:val="24"/>
          <w:szCs w:val="24"/>
        </w:rPr>
      </w:pPr>
      <w:r>
        <w:rPr>
          <w:rFonts w:eastAsiaTheme="minorEastAsia"/>
          <w:b/>
          <w:sz w:val="24"/>
          <w:szCs w:val="24"/>
        </w:rPr>
        <w:t>1　</w:t>
      </w:r>
      <w:r>
        <w:rPr>
          <w:rFonts w:eastAsiaTheme="minorEastAsia"/>
          <w:sz w:val="24"/>
          <w:szCs w:val="24"/>
        </w:rPr>
        <w:t>接缝高度宜为10 mm</w:t>
      </w:r>
      <w:r>
        <w:rPr>
          <w:rFonts w:hint="eastAsia" w:ascii="宋体" w:hAnsi="宋体"/>
          <w:sz w:val="24"/>
          <w:szCs w:val="24"/>
        </w:rPr>
        <w:t>～</w:t>
      </w:r>
      <w:r>
        <w:rPr>
          <w:rFonts w:eastAsiaTheme="minorEastAsia"/>
          <w:sz w:val="24"/>
          <w:szCs w:val="24"/>
        </w:rPr>
        <w:t>20 mm，接缝应采用坐浆料填实；</w:t>
      </w:r>
    </w:p>
    <w:p>
      <w:pPr>
        <w:autoSpaceDE w:val="0"/>
        <w:autoSpaceDN w:val="0"/>
        <w:adjustRightInd w:val="0"/>
        <w:spacing w:line="360" w:lineRule="auto"/>
        <w:ind w:firstLine="482" w:firstLineChars="200"/>
        <w:jc w:val="left"/>
        <w:rPr>
          <w:rFonts w:eastAsiaTheme="minorEastAsia"/>
          <w:sz w:val="24"/>
          <w:szCs w:val="24"/>
        </w:rPr>
      </w:pPr>
      <w:r>
        <w:rPr>
          <w:rFonts w:eastAsiaTheme="minorEastAsia"/>
          <w:b/>
          <w:sz w:val="24"/>
          <w:szCs w:val="24"/>
        </w:rPr>
        <w:t>2　</w:t>
      </w:r>
      <w:r>
        <w:rPr>
          <w:rFonts w:eastAsiaTheme="minorEastAsia"/>
          <w:sz w:val="24"/>
          <w:szCs w:val="24"/>
        </w:rPr>
        <w:t>接缝位置楼板表面应设置粗糙面。</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.4.12　</w:t>
      </w:r>
      <w:r>
        <w:rPr>
          <w:sz w:val="24"/>
        </w:rPr>
        <w:t>圈梁的设置应符合下列规定：</w:t>
      </w:r>
    </w:p>
    <w:p>
      <w:pPr>
        <w:autoSpaceDE w:val="0"/>
        <w:autoSpaceDN w:val="0"/>
        <w:adjustRightInd w:val="0"/>
        <w:spacing w:line="360" w:lineRule="auto"/>
        <w:ind w:firstLine="482" w:firstLineChars="200"/>
        <w:jc w:val="left"/>
        <w:rPr>
          <w:rFonts w:eastAsiaTheme="minorEastAsia"/>
          <w:sz w:val="24"/>
          <w:szCs w:val="24"/>
        </w:rPr>
      </w:pPr>
      <w:r>
        <w:rPr>
          <w:rFonts w:eastAsiaTheme="minorEastAsia"/>
          <w:b/>
          <w:sz w:val="24"/>
          <w:szCs w:val="24"/>
        </w:rPr>
        <w:t>1　</w:t>
      </w:r>
      <w:r>
        <w:rPr>
          <w:rFonts w:eastAsiaTheme="minorEastAsia"/>
          <w:sz w:val="24"/>
          <w:szCs w:val="24"/>
        </w:rPr>
        <w:t>圈梁应连续设置在</w:t>
      </w:r>
      <w:r>
        <w:rPr>
          <w:sz w:val="24"/>
        </w:rPr>
        <w:t>各层楼面标高和基础顶面处，并应形成封闭状；</w:t>
      </w:r>
    </w:p>
    <w:p>
      <w:pPr>
        <w:autoSpaceDE w:val="0"/>
        <w:autoSpaceDN w:val="0"/>
        <w:adjustRightInd w:val="0"/>
        <w:spacing w:line="360" w:lineRule="auto"/>
        <w:ind w:firstLine="482" w:firstLineChars="200"/>
        <w:rPr>
          <w:rFonts w:eastAsiaTheme="minorEastAsia"/>
          <w:sz w:val="24"/>
          <w:szCs w:val="24"/>
        </w:rPr>
      </w:pPr>
      <w:r>
        <w:rPr>
          <w:rFonts w:eastAsiaTheme="minorEastAsia"/>
          <w:b/>
          <w:sz w:val="24"/>
          <w:szCs w:val="24"/>
        </w:rPr>
        <w:t>2　</w:t>
      </w:r>
      <w:r>
        <w:rPr>
          <w:sz w:val="24"/>
        </w:rPr>
        <w:t>每道模壳砌块墙体</w:t>
      </w:r>
      <w:r>
        <w:rPr>
          <w:rFonts w:hint="eastAsia"/>
          <w:sz w:val="24"/>
        </w:rPr>
        <w:t>宜</w:t>
      </w:r>
      <w:r>
        <w:rPr>
          <w:sz w:val="24"/>
        </w:rPr>
        <w:t>后浇混凝土圈梁（图5.4.12），并</w:t>
      </w:r>
      <w:r>
        <w:rPr>
          <w:rFonts w:hint="eastAsia"/>
          <w:sz w:val="24"/>
        </w:rPr>
        <w:t>宜</w:t>
      </w:r>
      <w:r>
        <w:rPr>
          <w:sz w:val="24"/>
        </w:rPr>
        <w:t>与叠合楼板后浇层或现浇楼板整体浇筑</w:t>
      </w:r>
      <w:r>
        <w:rPr>
          <w:rFonts w:eastAsiaTheme="minorEastAsia"/>
          <w:sz w:val="24"/>
          <w:szCs w:val="24"/>
        </w:rPr>
        <w:t>；</w:t>
      </w:r>
    </w:p>
    <w:tbl>
      <w:tblPr>
        <w:tblStyle w:val="3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8" w:hRule="atLeast"/>
          <w:jc w:val="center"/>
        </w:trPr>
        <w:tc>
          <w:tcPr>
            <w:tcW w:w="8523" w:type="dxa"/>
            <w:vAlign w:val="center"/>
          </w:tcPr>
          <w:p>
            <w:pPr>
              <w:pStyle w:val="2"/>
              <w:ind w:firstLine="0"/>
            </w:pPr>
            <w:r>
              <w:drawing>
                <wp:inline distT="0" distB="0" distL="0" distR="0">
                  <wp:extent cx="2157095" cy="1536700"/>
                  <wp:effectExtent l="0" t="0" r="0" b="6350"/>
                  <wp:docPr id="201090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04378" name="图片 1"/>
                          <pic:cNvPicPr>
                            <a:picLocks noChangeAspect="1"/>
                          </pic:cNvPicPr>
                        </pic:nvPicPr>
                        <pic:blipFill>
                          <a:blip r:embed="rId52"/>
                          <a:srcRect l="903" t="3298" r="-1"/>
                          <a:stretch>
                            <a:fillRect/>
                          </a:stretch>
                        </pic:blipFill>
                        <pic:spPr>
                          <a:xfrm>
                            <a:off x="0" y="0"/>
                            <a:ext cx="2252923" cy="160494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pStyle w:val="2"/>
              <w:ind w:firstLine="0"/>
            </w:pPr>
            <w:r>
              <w:t>图5.4.12　后浇圈梁示意图</w:t>
            </w:r>
          </w:p>
        </w:tc>
      </w:tr>
    </w:tbl>
    <w:p>
      <w:pPr>
        <w:autoSpaceDE w:val="0"/>
        <w:autoSpaceDN w:val="0"/>
        <w:adjustRightInd w:val="0"/>
        <w:spacing w:line="360" w:lineRule="auto"/>
        <w:ind w:firstLine="482" w:firstLineChars="200"/>
        <w:jc w:val="left"/>
        <w:rPr>
          <w:rFonts w:eastAsiaTheme="minorEastAsia"/>
          <w:sz w:val="24"/>
          <w:szCs w:val="24"/>
        </w:rPr>
      </w:pPr>
      <w:r>
        <w:rPr>
          <w:rFonts w:eastAsiaTheme="minorEastAsia"/>
          <w:b/>
          <w:sz w:val="24"/>
          <w:szCs w:val="24"/>
        </w:rPr>
        <w:t>3　</w:t>
      </w:r>
      <w:r>
        <w:rPr>
          <w:rFonts w:eastAsiaTheme="minorEastAsia"/>
          <w:sz w:val="24"/>
          <w:szCs w:val="24"/>
        </w:rPr>
        <w:t>纵横墙交接处的圈梁应可靠连接；</w:t>
      </w:r>
    </w:p>
    <w:p>
      <w:pPr>
        <w:autoSpaceDE w:val="0"/>
        <w:autoSpaceDN w:val="0"/>
        <w:adjustRightInd w:val="0"/>
        <w:spacing w:line="360" w:lineRule="auto"/>
        <w:ind w:firstLine="482" w:firstLineChars="200"/>
        <w:rPr>
          <w:sz w:val="24"/>
          <w:szCs w:val="24"/>
        </w:rPr>
      </w:pPr>
      <w:r>
        <w:rPr>
          <w:rFonts w:eastAsiaTheme="minorEastAsia"/>
          <w:b/>
          <w:sz w:val="24"/>
          <w:szCs w:val="24"/>
        </w:rPr>
        <w:t>4　</w:t>
      </w:r>
      <w:r>
        <w:rPr>
          <w:sz w:val="24"/>
        </w:rPr>
        <w:t>圈梁</w:t>
      </w:r>
      <w:r>
        <w:rPr>
          <w:sz w:val="24"/>
          <w:szCs w:val="24"/>
        </w:rPr>
        <w:t>截面宽度宜与模壳砌块墙</w:t>
      </w:r>
      <w:r>
        <w:rPr>
          <w:rFonts w:hint="eastAsia"/>
          <w:sz w:val="24"/>
          <w:szCs w:val="24"/>
        </w:rPr>
        <w:t>体</w:t>
      </w:r>
      <w:r>
        <w:rPr>
          <w:sz w:val="24"/>
          <w:szCs w:val="24"/>
        </w:rPr>
        <w:t>厚度相同，</w:t>
      </w:r>
      <w:r>
        <w:rPr>
          <w:sz w:val="24"/>
        </w:rPr>
        <w:t>截面高度和配筋应</w:t>
      </w:r>
      <w:r>
        <w:rPr>
          <w:rFonts w:hint="eastAsia"/>
          <w:sz w:val="24"/>
        </w:rPr>
        <w:t>符合</w:t>
      </w:r>
      <w:r>
        <w:rPr>
          <w:sz w:val="24"/>
          <w:szCs w:val="24"/>
        </w:rPr>
        <w:t>表5.4.12的规定；设置在基础顶面的基础圈梁，高度不应小于160 mm；</w:t>
      </w:r>
    </w:p>
    <w:p>
      <w:pPr>
        <w:widowControl/>
        <w:spacing w:line="360" w:lineRule="auto"/>
        <w:jc w:val="center"/>
        <w:rPr>
          <w:rFonts w:eastAsia="华文仿宋"/>
          <w:sz w:val="24"/>
          <w:szCs w:val="24"/>
        </w:rPr>
      </w:pPr>
      <w:r>
        <w:rPr>
          <w:b/>
          <w:bCs/>
          <w:szCs w:val="21"/>
        </w:rPr>
        <w:t>表5.4.12　圈梁截面高度和配筋</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249"/>
        <w:gridCol w:w="1191"/>
        <w:gridCol w:w="1216"/>
        <w:gridCol w:w="1228"/>
        <w:gridCol w:w="1193"/>
        <w:gridCol w:w="1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0" w:type="dxa"/>
            <w:vMerge w:val="restart"/>
            <w:tcBorders>
              <w:tl2br w:val="nil"/>
              <w:tr2bl w:val="nil"/>
            </w:tcBorders>
            <w:vAlign w:val="center"/>
          </w:tcPr>
          <w:p>
            <w:pPr>
              <w:adjustRightInd w:val="0"/>
              <w:jc w:val="center"/>
              <w:rPr>
                <w:sz w:val="21"/>
                <w:szCs w:val="18"/>
              </w:rPr>
            </w:pPr>
            <w:bookmarkStart w:id="120" w:name="_Hlk162780373"/>
            <w:r>
              <w:rPr>
                <w:sz w:val="21"/>
                <w:szCs w:val="18"/>
              </w:rPr>
              <w:t>楼层数</w:t>
            </w:r>
          </w:p>
          <w:p>
            <w:pPr>
              <w:pStyle w:val="2"/>
            </w:pPr>
            <w:r>
              <w:t>（层）</w:t>
            </w:r>
          </w:p>
        </w:tc>
        <w:tc>
          <w:tcPr>
            <w:tcW w:w="7087" w:type="dxa"/>
            <w:gridSpan w:val="6"/>
            <w:tcBorders>
              <w:tl2br w:val="nil"/>
              <w:tr2bl w:val="nil"/>
            </w:tcBorders>
            <w:vAlign w:val="center"/>
          </w:tcPr>
          <w:p>
            <w:pPr>
              <w:adjustRightInd w:val="0"/>
              <w:jc w:val="center"/>
              <w:rPr>
                <w:sz w:val="21"/>
                <w:szCs w:val="18"/>
              </w:rPr>
            </w:pPr>
            <w:r>
              <w:rPr>
                <w:sz w:val="21"/>
                <w:szCs w:val="18"/>
              </w:rPr>
              <w:t>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0" w:type="dxa"/>
            <w:vMerge w:val="continue"/>
            <w:tcBorders>
              <w:tl2br w:val="nil"/>
              <w:tr2bl w:val="nil"/>
            </w:tcBorders>
            <w:vAlign w:val="center"/>
          </w:tcPr>
          <w:p>
            <w:pPr>
              <w:adjustRightInd w:val="0"/>
              <w:jc w:val="center"/>
              <w:rPr>
                <w:sz w:val="21"/>
                <w:szCs w:val="18"/>
              </w:rPr>
            </w:pPr>
          </w:p>
        </w:tc>
        <w:tc>
          <w:tcPr>
            <w:tcW w:w="3551" w:type="dxa"/>
            <w:gridSpan w:val="3"/>
            <w:tcBorders>
              <w:tl2br w:val="nil"/>
              <w:tr2bl w:val="nil"/>
            </w:tcBorders>
            <w:vAlign w:val="center"/>
          </w:tcPr>
          <w:p>
            <w:pPr>
              <w:adjustRightInd w:val="0"/>
              <w:jc w:val="center"/>
              <w:rPr>
                <w:sz w:val="21"/>
                <w:szCs w:val="18"/>
              </w:rPr>
            </w:pPr>
            <w:r>
              <w:rPr>
                <w:sz w:val="21"/>
                <w:szCs w:val="18"/>
              </w:rPr>
              <w:t>6度、7度</w:t>
            </w:r>
          </w:p>
        </w:tc>
        <w:tc>
          <w:tcPr>
            <w:tcW w:w="3536" w:type="dxa"/>
            <w:gridSpan w:val="3"/>
            <w:tcBorders>
              <w:tl2br w:val="nil"/>
              <w:tr2bl w:val="nil"/>
            </w:tcBorders>
            <w:vAlign w:val="center"/>
          </w:tcPr>
          <w:p>
            <w:pPr>
              <w:adjustRightInd w:val="0"/>
              <w:jc w:val="center"/>
              <w:rPr>
                <w:sz w:val="21"/>
                <w:szCs w:val="18"/>
              </w:rPr>
            </w:pPr>
            <w:r>
              <w:rPr>
                <w:sz w:val="21"/>
                <w:szCs w:val="18"/>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0" w:type="dxa"/>
            <w:vMerge w:val="continue"/>
            <w:tcBorders>
              <w:tl2br w:val="nil"/>
              <w:tr2bl w:val="nil"/>
            </w:tcBorders>
            <w:vAlign w:val="center"/>
          </w:tcPr>
          <w:p>
            <w:pPr>
              <w:adjustRightInd w:val="0"/>
              <w:jc w:val="center"/>
              <w:rPr>
                <w:sz w:val="21"/>
                <w:szCs w:val="18"/>
              </w:rPr>
            </w:pPr>
          </w:p>
        </w:tc>
        <w:tc>
          <w:tcPr>
            <w:tcW w:w="1213" w:type="dxa"/>
            <w:vMerge w:val="restart"/>
            <w:tcBorders>
              <w:tl2br w:val="nil"/>
              <w:tr2bl w:val="nil"/>
            </w:tcBorders>
            <w:vAlign w:val="center"/>
          </w:tcPr>
          <w:p>
            <w:pPr>
              <w:adjustRightInd w:val="0"/>
              <w:jc w:val="center"/>
              <w:rPr>
                <w:sz w:val="21"/>
                <w:szCs w:val="18"/>
              </w:rPr>
            </w:pPr>
            <w:r>
              <w:rPr>
                <w:sz w:val="21"/>
                <w:szCs w:val="18"/>
              </w:rPr>
              <w:t>截面高度</w:t>
            </w:r>
          </w:p>
          <w:p>
            <w:pPr>
              <w:pStyle w:val="2"/>
            </w:pPr>
            <w:r>
              <w:t>（mm）</w:t>
            </w:r>
          </w:p>
        </w:tc>
        <w:tc>
          <w:tcPr>
            <w:tcW w:w="2338" w:type="dxa"/>
            <w:gridSpan w:val="2"/>
            <w:tcBorders>
              <w:tl2br w:val="nil"/>
              <w:tr2bl w:val="nil"/>
            </w:tcBorders>
            <w:vAlign w:val="center"/>
          </w:tcPr>
          <w:p>
            <w:pPr>
              <w:adjustRightInd w:val="0"/>
              <w:jc w:val="center"/>
              <w:rPr>
                <w:sz w:val="21"/>
                <w:szCs w:val="18"/>
              </w:rPr>
            </w:pPr>
            <w:r>
              <w:rPr>
                <w:sz w:val="21"/>
                <w:szCs w:val="18"/>
              </w:rPr>
              <w:t>配筋</w:t>
            </w:r>
          </w:p>
        </w:tc>
        <w:tc>
          <w:tcPr>
            <w:tcW w:w="1193" w:type="dxa"/>
            <w:vMerge w:val="restart"/>
            <w:tcBorders>
              <w:tl2br w:val="nil"/>
              <w:tr2bl w:val="nil"/>
            </w:tcBorders>
            <w:vAlign w:val="center"/>
          </w:tcPr>
          <w:p>
            <w:pPr>
              <w:adjustRightInd w:val="0"/>
              <w:jc w:val="center"/>
              <w:rPr>
                <w:sz w:val="21"/>
                <w:szCs w:val="18"/>
              </w:rPr>
            </w:pPr>
            <w:r>
              <w:rPr>
                <w:sz w:val="21"/>
                <w:szCs w:val="18"/>
              </w:rPr>
              <w:t>截面高度</w:t>
            </w:r>
          </w:p>
          <w:p>
            <w:pPr>
              <w:adjustRightInd w:val="0"/>
              <w:jc w:val="center"/>
              <w:rPr>
                <w:sz w:val="21"/>
                <w:szCs w:val="18"/>
              </w:rPr>
            </w:pPr>
            <w:r>
              <w:t>（mm）</w:t>
            </w:r>
          </w:p>
        </w:tc>
        <w:tc>
          <w:tcPr>
            <w:tcW w:w="2343" w:type="dxa"/>
            <w:gridSpan w:val="2"/>
            <w:tcBorders>
              <w:tl2br w:val="nil"/>
              <w:tr2bl w:val="nil"/>
            </w:tcBorders>
            <w:vAlign w:val="center"/>
          </w:tcPr>
          <w:p>
            <w:pPr>
              <w:adjustRightInd w:val="0"/>
              <w:jc w:val="center"/>
              <w:rPr>
                <w:sz w:val="21"/>
                <w:szCs w:val="18"/>
              </w:rPr>
            </w:pPr>
            <w:r>
              <w:rPr>
                <w:sz w:val="21"/>
                <w:szCs w:val="18"/>
              </w:rPr>
              <w:t>配筋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0" w:type="dxa"/>
            <w:vMerge w:val="continue"/>
            <w:tcBorders>
              <w:tl2br w:val="nil"/>
              <w:tr2bl w:val="nil"/>
            </w:tcBorders>
            <w:vAlign w:val="center"/>
          </w:tcPr>
          <w:p>
            <w:pPr>
              <w:adjustRightInd w:val="0"/>
              <w:jc w:val="center"/>
              <w:rPr>
                <w:sz w:val="21"/>
                <w:szCs w:val="18"/>
              </w:rPr>
            </w:pPr>
          </w:p>
        </w:tc>
        <w:tc>
          <w:tcPr>
            <w:tcW w:w="1213" w:type="dxa"/>
            <w:vMerge w:val="continue"/>
            <w:tcBorders>
              <w:tl2br w:val="nil"/>
              <w:tr2bl w:val="nil"/>
            </w:tcBorders>
            <w:vAlign w:val="center"/>
          </w:tcPr>
          <w:p>
            <w:pPr>
              <w:adjustRightInd w:val="0"/>
              <w:jc w:val="center"/>
              <w:rPr>
                <w:sz w:val="21"/>
                <w:szCs w:val="18"/>
              </w:rPr>
            </w:pPr>
          </w:p>
        </w:tc>
        <w:tc>
          <w:tcPr>
            <w:tcW w:w="1157" w:type="dxa"/>
            <w:tcBorders>
              <w:tl2br w:val="nil"/>
              <w:tr2bl w:val="nil"/>
            </w:tcBorders>
            <w:vAlign w:val="center"/>
          </w:tcPr>
          <w:p>
            <w:pPr>
              <w:adjustRightInd w:val="0"/>
              <w:jc w:val="center"/>
              <w:rPr>
                <w:sz w:val="21"/>
                <w:szCs w:val="18"/>
              </w:rPr>
            </w:pPr>
            <w:r>
              <w:rPr>
                <w:sz w:val="21"/>
                <w:szCs w:val="18"/>
              </w:rPr>
              <w:t>纵筋</w:t>
            </w:r>
          </w:p>
        </w:tc>
        <w:tc>
          <w:tcPr>
            <w:tcW w:w="1181" w:type="dxa"/>
            <w:tcBorders>
              <w:tl2br w:val="nil"/>
              <w:tr2bl w:val="nil"/>
            </w:tcBorders>
            <w:vAlign w:val="center"/>
          </w:tcPr>
          <w:p>
            <w:pPr>
              <w:adjustRightInd w:val="0"/>
              <w:jc w:val="center"/>
              <w:rPr>
                <w:sz w:val="21"/>
                <w:szCs w:val="18"/>
              </w:rPr>
            </w:pPr>
            <w:r>
              <w:rPr>
                <w:sz w:val="21"/>
                <w:szCs w:val="18"/>
              </w:rPr>
              <w:t>箍筋</w:t>
            </w:r>
          </w:p>
        </w:tc>
        <w:tc>
          <w:tcPr>
            <w:tcW w:w="1193" w:type="dxa"/>
            <w:vMerge w:val="continue"/>
            <w:tcBorders>
              <w:tl2br w:val="nil"/>
              <w:tr2bl w:val="nil"/>
            </w:tcBorders>
            <w:vAlign w:val="center"/>
          </w:tcPr>
          <w:p>
            <w:pPr>
              <w:adjustRightInd w:val="0"/>
              <w:jc w:val="center"/>
              <w:rPr>
                <w:sz w:val="21"/>
                <w:szCs w:val="18"/>
              </w:rPr>
            </w:pPr>
          </w:p>
        </w:tc>
        <w:tc>
          <w:tcPr>
            <w:tcW w:w="1158" w:type="dxa"/>
            <w:tcBorders>
              <w:tl2br w:val="nil"/>
              <w:tr2bl w:val="nil"/>
            </w:tcBorders>
            <w:vAlign w:val="center"/>
          </w:tcPr>
          <w:p>
            <w:pPr>
              <w:adjustRightInd w:val="0"/>
              <w:jc w:val="center"/>
              <w:rPr>
                <w:sz w:val="21"/>
                <w:szCs w:val="18"/>
              </w:rPr>
            </w:pPr>
            <w:r>
              <w:rPr>
                <w:sz w:val="21"/>
                <w:szCs w:val="18"/>
              </w:rPr>
              <w:t>纵筋</w:t>
            </w:r>
          </w:p>
        </w:tc>
        <w:tc>
          <w:tcPr>
            <w:tcW w:w="1185" w:type="dxa"/>
            <w:tcBorders>
              <w:tl2br w:val="nil"/>
              <w:tr2bl w:val="nil"/>
            </w:tcBorders>
            <w:vAlign w:val="center"/>
          </w:tcPr>
          <w:p>
            <w:pPr>
              <w:adjustRightInd w:val="0"/>
              <w:jc w:val="center"/>
              <w:rPr>
                <w:sz w:val="21"/>
                <w:szCs w:val="18"/>
              </w:rPr>
            </w:pPr>
            <w:r>
              <w:rPr>
                <w:sz w:val="21"/>
                <w:szCs w:val="18"/>
              </w:rPr>
              <w:t>箍筋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90" w:type="dxa"/>
            <w:tcBorders>
              <w:tl2br w:val="nil"/>
              <w:tr2bl w:val="nil"/>
            </w:tcBorders>
            <w:vAlign w:val="center"/>
          </w:tcPr>
          <w:p>
            <w:pPr>
              <w:adjustRightInd w:val="0"/>
              <w:jc w:val="center"/>
              <w:rPr>
                <w:sz w:val="21"/>
                <w:szCs w:val="18"/>
              </w:rPr>
            </w:pPr>
            <w:r>
              <w:rPr>
                <w:rFonts w:eastAsiaTheme="minorEastAsia"/>
                <w:sz w:val="21"/>
                <w:szCs w:val="18"/>
              </w:rPr>
              <w:t>≤6</w:t>
            </w:r>
          </w:p>
        </w:tc>
        <w:tc>
          <w:tcPr>
            <w:tcW w:w="1213" w:type="dxa"/>
            <w:tcBorders>
              <w:tl2br w:val="nil"/>
              <w:tr2bl w:val="nil"/>
            </w:tcBorders>
            <w:vAlign w:val="center"/>
          </w:tcPr>
          <w:p>
            <w:pPr>
              <w:adjustRightInd w:val="0"/>
              <w:jc w:val="center"/>
              <w:rPr>
                <w:sz w:val="21"/>
                <w:szCs w:val="18"/>
              </w:rPr>
            </w:pPr>
            <w:r>
              <w:rPr>
                <w:sz w:val="21"/>
                <w:szCs w:val="18"/>
              </w:rPr>
              <w:t>120</w:t>
            </w:r>
          </w:p>
        </w:tc>
        <w:tc>
          <w:tcPr>
            <w:tcW w:w="1157" w:type="dxa"/>
            <w:tcBorders>
              <w:tl2br w:val="nil"/>
              <w:tr2bl w:val="nil"/>
            </w:tcBorders>
            <w:vAlign w:val="center"/>
          </w:tcPr>
          <w:p>
            <w:pPr>
              <w:adjustRightInd w:val="0"/>
              <w:jc w:val="center"/>
              <w:rPr>
                <w:sz w:val="21"/>
                <w:szCs w:val="18"/>
              </w:rPr>
            </w:pPr>
            <w:r>
              <w:rPr>
                <w:sz w:val="21"/>
                <w:szCs w:val="18"/>
              </w:rPr>
              <w:t>4</w:t>
            </w:r>
            <w:r>
              <w:rPr>
                <w:rFonts w:hint="eastAsia" w:ascii="SJQY" w:hAnsi="SJQY" w:eastAsia="SJQY"/>
                <w:iCs/>
                <w:sz w:val="21"/>
                <w:szCs w:val="18"/>
              </w:rPr>
              <w:t>C</w:t>
            </w:r>
            <w:r>
              <w:rPr>
                <w:sz w:val="21"/>
                <w:szCs w:val="18"/>
              </w:rPr>
              <w:t>10</w:t>
            </w:r>
          </w:p>
        </w:tc>
        <w:tc>
          <w:tcPr>
            <w:tcW w:w="1181" w:type="dxa"/>
            <w:tcBorders>
              <w:tl2br w:val="nil"/>
              <w:tr2bl w:val="nil"/>
            </w:tcBorders>
            <w:vAlign w:val="center"/>
          </w:tcPr>
          <w:p>
            <w:pPr>
              <w:adjustRightInd w:val="0"/>
              <w:jc w:val="center"/>
              <w:rPr>
                <w:sz w:val="21"/>
                <w:szCs w:val="18"/>
              </w:rPr>
            </w:pPr>
            <w:r>
              <w:rPr>
                <w:rFonts w:hint="eastAsia" w:ascii="SJQY" w:hAnsi="SJQY" w:eastAsia="SJQY"/>
                <w:iCs/>
                <w:sz w:val="21"/>
                <w:szCs w:val="18"/>
              </w:rPr>
              <w:t>C</w:t>
            </w:r>
            <w:r>
              <w:rPr>
                <w:sz w:val="21"/>
                <w:szCs w:val="18"/>
              </w:rPr>
              <w:t>6@250</w:t>
            </w:r>
          </w:p>
        </w:tc>
        <w:tc>
          <w:tcPr>
            <w:tcW w:w="1193" w:type="dxa"/>
            <w:tcBorders>
              <w:tl2br w:val="nil"/>
              <w:tr2bl w:val="nil"/>
            </w:tcBorders>
            <w:vAlign w:val="center"/>
          </w:tcPr>
          <w:p>
            <w:pPr>
              <w:adjustRightInd w:val="0"/>
              <w:jc w:val="center"/>
              <w:rPr>
                <w:sz w:val="21"/>
                <w:szCs w:val="18"/>
              </w:rPr>
            </w:pPr>
            <w:r>
              <w:rPr>
                <w:sz w:val="21"/>
                <w:szCs w:val="18"/>
              </w:rPr>
              <w:t>120</w:t>
            </w:r>
          </w:p>
        </w:tc>
        <w:tc>
          <w:tcPr>
            <w:tcW w:w="1158" w:type="dxa"/>
            <w:tcBorders>
              <w:tl2br w:val="nil"/>
              <w:tr2bl w:val="nil"/>
            </w:tcBorders>
            <w:vAlign w:val="center"/>
          </w:tcPr>
          <w:p>
            <w:pPr>
              <w:adjustRightInd w:val="0"/>
              <w:jc w:val="center"/>
              <w:rPr>
                <w:sz w:val="21"/>
                <w:szCs w:val="18"/>
              </w:rPr>
            </w:pPr>
            <w:r>
              <w:rPr>
                <w:sz w:val="21"/>
                <w:szCs w:val="18"/>
              </w:rPr>
              <w:t>4</w:t>
            </w:r>
            <w:r>
              <w:rPr>
                <w:rFonts w:hint="eastAsia" w:ascii="SJQY" w:hAnsi="SJQY" w:eastAsia="SJQY"/>
                <w:iCs/>
                <w:sz w:val="21"/>
                <w:szCs w:val="18"/>
              </w:rPr>
              <w:t>C</w:t>
            </w:r>
            <w:r>
              <w:rPr>
                <w:sz w:val="21"/>
                <w:szCs w:val="18"/>
              </w:rPr>
              <w:t>12</w:t>
            </w:r>
          </w:p>
        </w:tc>
        <w:tc>
          <w:tcPr>
            <w:tcW w:w="1185" w:type="dxa"/>
            <w:tcBorders>
              <w:tl2br w:val="nil"/>
              <w:tr2bl w:val="nil"/>
            </w:tcBorders>
            <w:vAlign w:val="center"/>
          </w:tcPr>
          <w:p>
            <w:pPr>
              <w:adjustRightInd w:val="0"/>
              <w:jc w:val="center"/>
              <w:rPr>
                <w:sz w:val="21"/>
                <w:szCs w:val="18"/>
              </w:rPr>
            </w:pPr>
            <w:r>
              <w:rPr>
                <w:rFonts w:hint="eastAsia" w:ascii="SJQY" w:hAnsi="SJQY" w:eastAsia="SJQY"/>
                <w:iCs/>
                <w:sz w:val="21"/>
                <w:szCs w:val="18"/>
              </w:rPr>
              <w:t>C</w:t>
            </w:r>
            <w:r>
              <w:rPr>
                <w:sz w:val="21"/>
                <w:szCs w:val="18"/>
              </w:rPr>
              <w:t>6@200</w:t>
            </w:r>
          </w:p>
        </w:tc>
      </w:tr>
      <w:bookmarkEnd w:id="120"/>
    </w:tbl>
    <w:p>
      <w:pPr>
        <w:autoSpaceDE w:val="0"/>
        <w:autoSpaceDN w:val="0"/>
        <w:adjustRightInd w:val="0"/>
        <w:spacing w:line="360" w:lineRule="auto"/>
        <w:ind w:firstLine="482" w:firstLineChars="200"/>
        <w:jc w:val="left"/>
        <w:rPr>
          <w:rFonts w:eastAsiaTheme="minorEastAsia"/>
          <w:sz w:val="24"/>
          <w:szCs w:val="24"/>
        </w:rPr>
      </w:pPr>
      <w:r>
        <w:rPr>
          <w:rFonts w:eastAsiaTheme="minorEastAsia"/>
          <w:b/>
          <w:sz w:val="24"/>
          <w:szCs w:val="24"/>
        </w:rPr>
        <w:t>5　</w:t>
      </w:r>
      <w:r>
        <w:rPr>
          <w:sz w:val="24"/>
        </w:rPr>
        <w:t>圈梁兼作过梁时，过梁部分的钢筋应按计算面积另行增配</w:t>
      </w:r>
      <w:r>
        <w:rPr>
          <w:rFonts w:eastAsiaTheme="minorEastAsia"/>
          <w:sz w:val="24"/>
          <w:szCs w:val="24"/>
        </w:rPr>
        <w:t>；</w:t>
      </w:r>
    </w:p>
    <w:p>
      <w:pPr>
        <w:autoSpaceDE w:val="0"/>
        <w:autoSpaceDN w:val="0"/>
        <w:adjustRightInd w:val="0"/>
        <w:spacing w:line="360" w:lineRule="auto"/>
        <w:ind w:firstLine="482" w:firstLineChars="200"/>
        <w:jc w:val="left"/>
        <w:rPr>
          <w:rFonts w:eastAsiaTheme="minorEastAsia"/>
          <w:sz w:val="32"/>
          <w:szCs w:val="32"/>
        </w:rPr>
      </w:pPr>
      <w:r>
        <w:rPr>
          <w:b/>
          <w:bCs/>
          <w:sz w:val="24"/>
          <w:szCs w:val="22"/>
        </w:rPr>
        <w:t>6</w:t>
      </w:r>
      <w:r>
        <w:rPr>
          <w:rFonts w:eastAsiaTheme="minorEastAsia"/>
          <w:b/>
          <w:sz w:val="24"/>
          <w:szCs w:val="24"/>
        </w:rPr>
        <w:t>　</w:t>
      </w:r>
      <w:r>
        <w:rPr>
          <w:sz w:val="24"/>
          <w:szCs w:val="22"/>
        </w:rPr>
        <w:t>边缘叠合板叠合区宜与圈梁可靠连接。</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.4.13　</w:t>
      </w:r>
      <w:r>
        <w:rPr>
          <w:rFonts w:hint="eastAsia"/>
          <w:sz w:val="24"/>
        </w:rPr>
        <w:t>宜</w:t>
      </w:r>
      <w:r>
        <w:rPr>
          <w:sz w:val="24"/>
        </w:rPr>
        <w:t>采用现浇</w:t>
      </w:r>
      <w:r>
        <w:rPr>
          <w:rFonts w:hint="eastAsia"/>
          <w:sz w:val="24"/>
        </w:rPr>
        <w:t>钢筋</w:t>
      </w:r>
      <w:r>
        <w:rPr>
          <w:sz w:val="24"/>
        </w:rPr>
        <w:t>混凝土过梁，并应符合下列规定：</w:t>
      </w:r>
    </w:p>
    <w:p>
      <w:pPr>
        <w:adjustRightInd w:val="0"/>
        <w:spacing w:line="360" w:lineRule="auto"/>
        <w:ind w:firstLine="482" w:firstLineChars="200"/>
        <w:rPr>
          <w:sz w:val="24"/>
        </w:rPr>
      </w:pPr>
      <w:r>
        <w:rPr>
          <w:b/>
          <w:sz w:val="24"/>
          <w:szCs w:val="24"/>
        </w:rPr>
        <w:t>1</w:t>
      </w:r>
      <w:r>
        <w:rPr>
          <w:rFonts w:eastAsiaTheme="minorEastAsia"/>
          <w:b/>
          <w:sz w:val="24"/>
          <w:szCs w:val="24"/>
        </w:rPr>
        <w:t>　</w:t>
      </w:r>
      <w:r>
        <w:rPr>
          <w:sz w:val="24"/>
        </w:rPr>
        <w:t>过梁在单侧</w:t>
      </w:r>
      <w:r>
        <w:rPr>
          <w:rFonts w:hint="eastAsia"/>
          <w:sz w:val="24"/>
        </w:rPr>
        <w:t>模壳砌块墙体</w:t>
      </w:r>
      <w:r>
        <w:rPr>
          <w:sz w:val="24"/>
        </w:rPr>
        <w:t>上的支承长度不应小于200 mm；</w:t>
      </w:r>
    </w:p>
    <w:p>
      <w:pPr>
        <w:adjustRightInd w:val="0"/>
        <w:spacing w:line="360" w:lineRule="auto"/>
        <w:ind w:firstLine="482" w:firstLineChars="200"/>
        <w:rPr>
          <w:sz w:val="24"/>
          <w:szCs w:val="24"/>
        </w:rPr>
      </w:pPr>
      <w:r>
        <w:rPr>
          <w:b/>
          <w:sz w:val="24"/>
          <w:szCs w:val="24"/>
        </w:rPr>
        <w:t>2</w:t>
      </w:r>
      <w:r>
        <w:rPr>
          <w:rFonts w:eastAsiaTheme="minorEastAsia"/>
          <w:b/>
          <w:sz w:val="24"/>
          <w:szCs w:val="24"/>
        </w:rPr>
        <w:t>　</w:t>
      </w:r>
      <w:r>
        <w:rPr>
          <w:sz w:val="24"/>
          <w:szCs w:val="24"/>
        </w:rPr>
        <w:t>过梁应与两侧</w:t>
      </w:r>
      <w:r>
        <w:rPr>
          <w:rFonts w:hint="eastAsia"/>
          <w:sz w:val="24"/>
          <w:szCs w:val="24"/>
        </w:rPr>
        <w:t>模壳砌块墙体</w:t>
      </w:r>
      <w:r>
        <w:rPr>
          <w:sz w:val="24"/>
          <w:szCs w:val="24"/>
        </w:rPr>
        <w:t>或后浇圈梁拉结；</w:t>
      </w:r>
    </w:p>
    <w:p>
      <w:pPr>
        <w:adjustRightInd w:val="0"/>
        <w:spacing w:line="360" w:lineRule="auto"/>
        <w:ind w:firstLine="482" w:firstLineChars="200"/>
        <w:rPr>
          <w:sz w:val="24"/>
        </w:rPr>
      </w:pPr>
      <w:r>
        <w:rPr>
          <w:b/>
          <w:sz w:val="24"/>
          <w:szCs w:val="24"/>
        </w:rPr>
        <w:t>3</w:t>
      </w:r>
      <w:r>
        <w:rPr>
          <w:rFonts w:eastAsiaTheme="minorEastAsia"/>
          <w:b/>
          <w:sz w:val="24"/>
          <w:szCs w:val="24"/>
        </w:rPr>
        <w:t>　</w:t>
      </w:r>
      <w:r>
        <w:rPr>
          <w:sz w:val="24"/>
          <w:szCs w:val="24"/>
        </w:rPr>
        <w:t>过梁支承处模壳</w:t>
      </w:r>
      <w:r>
        <w:rPr>
          <w:rFonts w:hint="eastAsia"/>
          <w:sz w:val="24"/>
          <w:szCs w:val="24"/>
        </w:rPr>
        <w:t>砌块墙体</w:t>
      </w:r>
      <w:r>
        <w:rPr>
          <w:sz w:val="24"/>
          <w:szCs w:val="24"/>
        </w:rPr>
        <w:t>竖向预留孔应采用混凝土填实，填充的混凝土强度等级不应低于模壳</w:t>
      </w:r>
      <w:r>
        <w:rPr>
          <w:rFonts w:hint="eastAsia"/>
          <w:sz w:val="24"/>
          <w:szCs w:val="24"/>
        </w:rPr>
        <w:t>砌块墙体</w:t>
      </w:r>
      <w:r>
        <w:rPr>
          <w:sz w:val="24"/>
          <w:szCs w:val="24"/>
        </w:rPr>
        <w:t>的混凝土强度等级</w:t>
      </w:r>
      <w:r>
        <w:rPr>
          <w:rFonts w:hint="eastAsia"/>
          <w:sz w:val="24"/>
          <w:szCs w:val="24"/>
        </w:rPr>
        <w:t>。</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.4.14　</w:t>
      </w:r>
      <w:r>
        <w:rPr>
          <w:sz w:val="24"/>
        </w:rPr>
        <w:t>挑梁的构造措施与设计应符合现行国家标准《砌体结构设计规范》GB 50003的有关规定。</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.4.15　</w:t>
      </w:r>
      <w:r>
        <w:rPr>
          <w:sz w:val="24"/>
        </w:rPr>
        <w:t>女儿墙宜采用模壳砌块砌筑，并应符合现行国家标准《砌体结构设计规范》GB 50003的有关规定。</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.4.16　</w:t>
      </w:r>
      <w:r>
        <w:rPr>
          <w:rFonts w:hint="eastAsia"/>
          <w:sz w:val="24"/>
        </w:rPr>
        <w:t>模壳砌块砌体结构的其他抗震构造措施，应符合现行国家标准《建筑抗震设计规范》GB 50011有关要求。</w:t>
      </w:r>
    </w:p>
    <w:p>
      <w:pPr>
        <w:pStyle w:val="46"/>
      </w:pPr>
      <w:bookmarkStart w:id="121" w:name="_Toc41895202"/>
      <w:bookmarkStart w:id="122" w:name="_Toc148994664"/>
      <w:bookmarkStart w:id="123" w:name="_Toc149766329"/>
      <w:bookmarkStart w:id="124" w:name="_Toc9144"/>
      <w:bookmarkStart w:id="125" w:name="_Toc149766387"/>
      <w:r>
        <w:t>5.5　楼盖</w:t>
      </w:r>
      <w:bookmarkEnd w:id="112"/>
      <w:bookmarkEnd w:id="121"/>
      <w:r>
        <w:t>及楼梯</w:t>
      </w:r>
      <w:bookmarkEnd w:id="122"/>
      <w:bookmarkEnd w:id="123"/>
      <w:bookmarkEnd w:id="124"/>
      <w:bookmarkEnd w:id="125"/>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.5.1　</w:t>
      </w:r>
      <w:r>
        <w:rPr>
          <w:sz w:val="24"/>
        </w:rPr>
        <w:t>模壳</w:t>
      </w:r>
      <w:r>
        <w:rPr>
          <w:rFonts w:hint="eastAsia"/>
          <w:sz w:val="24"/>
        </w:rPr>
        <w:t>砌块砌体</w:t>
      </w:r>
      <w:r>
        <w:rPr>
          <w:sz w:val="24"/>
        </w:rPr>
        <w:t>结构的楼盖可采用现浇楼板、钢筋桁架叠合板或边缘叠合板，屋盖宜采用现浇楼板、钢筋桁架叠合板或整体式接缝的边缘叠合板。</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.5.2　</w:t>
      </w:r>
      <w:r>
        <w:rPr>
          <w:sz w:val="24"/>
        </w:rPr>
        <w:t>边缘叠合板可根据接缝构造、支座构造长宽比按单向板或双向板设计，并应符合现行行业标准《装配式混凝土结构技术规程》JGJ 1的有关规定。</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.5.3　</w:t>
      </w:r>
      <w:r>
        <w:rPr>
          <w:sz w:val="24"/>
        </w:rPr>
        <w:t>边缘叠合板（图5.5.3）应符合下列规定：</w:t>
      </w:r>
    </w:p>
    <w:p>
      <w:pPr>
        <w:tabs>
          <w:tab w:val="left" w:pos="735"/>
        </w:tabs>
        <w:adjustRightInd w:val="0"/>
        <w:spacing w:line="360" w:lineRule="auto"/>
        <w:ind w:firstLine="482" w:firstLineChars="200"/>
        <w:rPr>
          <w:sz w:val="24"/>
          <w:szCs w:val="24"/>
        </w:rPr>
      </w:pPr>
      <w:r>
        <w:rPr>
          <w:b/>
          <w:sz w:val="24"/>
          <w:szCs w:val="24"/>
        </w:rPr>
        <w:t>1</w:t>
      </w:r>
      <w:r>
        <w:rPr>
          <w:sz w:val="24"/>
          <w:szCs w:val="24"/>
        </w:rPr>
        <w:t>　叠合区预制边缘</w:t>
      </w:r>
      <w:r>
        <w:rPr>
          <w:sz w:val="24"/>
        </w:rPr>
        <w:t>厚度不应小于50 mm，后浇混凝土叠合层厚度不应小于60 mm；</w:t>
      </w:r>
    </w:p>
    <w:p>
      <w:pPr>
        <w:tabs>
          <w:tab w:val="left" w:pos="735"/>
        </w:tabs>
        <w:adjustRightInd w:val="0"/>
        <w:spacing w:line="360" w:lineRule="auto"/>
        <w:ind w:firstLine="482" w:firstLineChars="200"/>
        <w:rPr>
          <w:sz w:val="24"/>
        </w:rPr>
      </w:pPr>
      <w:r>
        <w:rPr>
          <w:b/>
          <w:sz w:val="24"/>
          <w:szCs w:val="24"/>
        </w:rPr>
        <w:t>2</w:t>
      </w:r>
      <w:r>
        <w:rPr>
          <w:sz w:val="24"/>
          <w:szCs w:val="24"/>
        </w:rPr>
        <w:t>　</w:t>
      </w:r>
      <w:r>
        <w:rPr>
          <w:sz w:val="24"/>
        </w:rPr>
        <w:t>叠合区宽度</w:t>
      </w:r>
      <w:r>
        <w:rPr>
          <w:i/>
          <w:iCs/>
          <w:sz w:val="24"/>
        </w:rPr>
        <w:t>b</w:t>
      </w:r>
      <w:r>
        <w:rPr>
          <w:sz w:val="24"/>
          <w:vertAlign w:val="subscript"/>
        </w:rPr>
        <w:t>e</w:t>
      </w:r>
      <w:r>
        <w:rPr>
          <w:sz w:val="24"/>
        </w:rPr>
        <w:t>不应小于100 mm，</w:t>
      </w:r>
      <w:r>
        <w:rPr>
          <w:rFonts w:hint="eastAsia"/>
          <w:sz w:val="24"/>
        </w:rPr>
        <w:t>并</w:t>
      </w:r>
      <w:r>
        <w:rPr>
          <w:sz w:val="24"/>
        </w:rPr>
        <w:t>应满足附加钢筋、板侧弯折钢筋、负弯矩钢筋的锚固长度的要求以及机电管线预留、预埋的要求</w:t>
      </w:r>
      <w:r>
        <w:rPr>
          <w:sz w:val="24"/>
          <w:szCs w:val="24"/>
        </w:rPr>
        <w:t>。</w:t>
      </w:r>
    </w:p>
    <w:tbl>
      <w:tblPr>
        <w:tblStyle w:val="3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jc w:val="center"/>
            </w:pPr>
            <w:r>
              <w:drawing>
                <wp:inline distT="0" distB="0" distL="0" distR="0">
                  <wp:extent cx="2204085" cy="962025"/>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20278" cy="96893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23" w:type="dxa"/>
            <w:vAlign w:val="center"/>
          </w:tcPr>
          <w:p>
            <w:pPr>
              <w:snapToGrid w:val="0"/>
              <w:jc w:val="center"/>
              <w:rPr>
                <w:kern w:val="0"/>
                <w:sz w:val="20"/>
              </w:rPr>
            </w:pPr>
            <w:r>
              <w:rPr>
                <w:rFonts w:eastAsiaTheme="minorEastAsia"/>
                <w:kern w:val="0"/>
                <w:sz w:val="18"/>
                <w:szCs w:val="21"/>
              </w:rPr>
              <w:t>1—边缘叠合板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pStyle w:val="2"/>
              <w:ind w:firstLine="0"/>
              <w:rPr>
                <w:sz w:val="18"/>
                <w:szCs w:val="21"/>
              </w:rPr>
            </w:pPr>
            <w:r>
              <w:t>图5.5.3　</w:t>
            </w:r>
            <w:r>
              <w:rPr>
                <w:szCs w:val="21"/>
              </w:rPr>
              <w:t>边缘</w:t>
            </w:r>
            <w:r>
              <w:t>叠合板叠合区示意图</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.5.4　</w:t>
      </w:r>
      <w:r>
        <w:rPr>
          <w:sz w:val="24"/>
        </w:rPr>
        <w:t>相邻边缘叠合板之间整体式接缝构造（图5.5.4）应符合下列规定：</w:t>
      </w:r>
    </w:p>
    <w:p>
      <w:pPr>
        <w:adjustRightInd w:val="0"/>
        <w:spacing w:line="360" w:lineRule="auto"/>
        <w:ind w:firstLine="482" w:firstLineChars="200"/>
        <w:rPr>
          <w:sz w:val="24"/>
          <w:szCs w:val="24"/>
        </w:rPr>
      </w:pPr>
      <w:r>
        <w:rPr>
          <w:b/>
          <w:sz w:val="24"/>
          <w:szCs w:val="24"/>
        </w:rPr>
        <w:t>1</w:t>
      </w:r>
      <w:r>
        <w:rPr>
          <w:sz w:val="24"/>
          <w:szCs w:val="24"/>
        </w:rPr>
        <w:t>　接缝应采用后浇带形式，后浇带宽度不宜小于200 mm</w:t>
      </w:r>
      <w:r>
        <w:rPr>
          <w:sz w:val="24"/>
        </w:rPr>
        <w:t>；</w:t>
      </w:r>
    </w:p>
    <w:p>
      <w:pPr>
        <w:adjustRightInd w:val="0"/>
        <w:spacing w:line="360" w:lineRule="auto"/>
        <w:ind w:firstLine="482" w:firstLineChars="200"/>
        <w:rPr>
          <w:sz w:val="24"/>
          <w:szCs w:val="24"/>
        </w:rPr>
      </w:pPr>
      <w:r>
        <w:rPr>
          <w:b/>
          <w:sz w:val="24"/>
          <w:szCs w:val="24"/>
        </w:rPr>
        <w:t>2</w:t>
      </w:r>
      <w:r>
        <w:rPr>
          <w:sz w:val="24"/>
          <w:szCs w:val="24"/>
        </w:rPr>
        <w:t>　</w:t>
      </w:r>
      <w:r>
        <w:rPr>
          <w:sz w:val="24"/>
        </w:rPr>
        <w:t>板内纵向受力钢筋宜在后浇带内采用弯钩搭接，直线段搭接</w:t>
      </w:r>
      <w:r>
        <w:rPr>
          <w:sz w:val="24"/>
          <w:szCs w:val="24"/>
        </w:rPr>
        <w:t>长度不应小于锚固长度</w:t>
      </w:r>
      <w:r>
        <w:rPr>
          <w:i/>
          <w:iCs/>
          <w:sz w:val="24"/>
          <w:szCs w:val="24"/>
        </w:rPr>
        <w:t>l</w:t>
      </w:r>
      <w:r>
        <w:rPr>
          <w:sz w:val="24"/>
          <w:szCs w:val="24"/>
          <w:vertAlign w:val="subscript"/>
        </w:rPr>
        <w:t>a</w:t>
      </w:r>
      <w:r>
        <w:rPr>
          <w:sz w:val="24"/>
          <w:szCs w:val="24"/>
        </w:rPr>
        <w:t>，且在确定</w:t>
      </w:r>
      <w:r>
        <w:rPr>
          <w:i/>
          <w:iCs/>
          <w:sz w:val="24"/>
          <w:szCs w:val="24"/>
        </w:rPr>
        <w:t>l</w:t>
      </w:r>
      <w:r>
        <w:rPr>
          <w:sz w:val="24"/>
          <w:szCs w:val="24"/>
          <w:vertAlign w:val="subscript"/>
        </w:rPr>
        <w:t>a</w:t>
      </w:r>
      <w:r>
        <w:rPr>
          <w:sz w:val="24"/>
          <w:szCs w:val="24"/>
        </w:rPr>
        <w:t>时，锚固长度修正系数不应小于1.0；</w:t>
      </w:r>
    </w:p>
    <w:p>
      <w:pPr>
        <w:adjustRightInd w:val="0"/>
        <w:spacing w:line="360" w:lineRule="auto"/>
        <w:ind w:firstLine="482" w:firstLineChars="200"/>
        <w:rPr>
          <w:sz w:val="24"/>
          <w:szCs w:val="24"/>
        </w:rPr>
      </w:pPr>
      <w:r>
        <w:rPr>
          <w:b/>
          <w:sz w:val="24"/>
          <w:szCs w:val="24"/>
        </w:rPr>
        <w:t>3</w:t>
      </w:r>
      <w:r>
        <w:rPr>
          <w:sz w:val="24"/>
          <w:szCs w:val="24"/>
        </w:rPr>
        <w:t>　</w:t>
      </w:r>
      <w:r>
        <w:rPr>
          <w:sz w:val="24"/>
        </w:rPr>
        <w:t>搭接</w:t>
      </w:r>
      <w:r>
        <w:rPr>
          <w:sz w:val="24"/>
          <w:szCs w:val="24"/>
        </w:rPr>
        <w:t>长度</w:t>
      </w:r>
      <w:r>
        <w:rPr>
          <w:i/>
          <w:iCs/>
          <w:sz w:val="24"/>
          <w:szCs w:val="24"/>
        </w:rPr>
        <w:t>l</w:t>
      </w:r>
      <w:r>
        <w:rPr>
          <w:sz w:val="24"/>
          <w:szCs w:val="24"/>
          <w:vertAlign w:val="subscript"/>
        </w:rPr>
        <w:t>a</w:t>
      </w:r>
      <w:r>
        <w:rPr>
          <w:sz w:val="24"/>
          <w:szCs w:val="24"/>
        </w:rPr>
        <w:t>和端部弯钩构造应符合现行国家标准《混凝土结构设计规范》GB 50010的有关规定；</w:t>
      </w:r>
    </w:p>
    <w:p>
      <w:pPr>
        <w:adjustRightInd w:val="0"/>
        <w:spacing w:line="360" w:lineRule="auto"/>
        <w:ind w:firstLine="482" w:firstLineChars="200"/>
        <w:rPr>
          <w:sz w:val="24"/>
          <w:szCs w:val="24"/>
        </w:rPr>
      </w:pPr>
      <w:r>
        <w:rPr>
          <w:b/>
          <w:sz w:val="24"/>
          <w:szCs w:val="24"/>
        </w:rPr>
        <w:t>4</w:t>
      </w:r>
      <w:r>
        <w:rPr>
          <w:sz w:val="24"/>
          <w:szCs w:val="24"/>
        </w:rPr>
        <w:t>　叠合层顺缝板顶纵筋的配筋率不应小于叠合层两侧边缘叠合板板顶配筋率的较大值，接缝处顺缝板底纵筋的配筋率不应小于板缝两侧边缘叠合板板底配筋率的较大值；</w:t>
      </w:r>
    </w:p>
    <w:p>
      <w:pPr>
        <w:adjustRightInd w:val="0"/>
        <w:spacing w:line="360" w:lineRule="auto"/>
        <w:ind w:firstLine="482" w:firstLineChars="200"/>
        <w:rPr>
          <w:sz w:val="24"/>
          <w:szCs w:val="24"/>
        </w:rPr>
      </w:pPr>
      <w:r>
        <w:rPr>
          <w:b/>
          <w:sz w:val="24"/>
          <w:szCs w:val="24"/>
        </w:rPr>
        <w:t>5</w:t>
      </w:r>
      <w:r>
        <w:rPr>
          <w:sz w:val="24"/>
          <w:szCs w:val="24"/>
        </w:rPr>
        <w:t>　</w:t>
      </w:r>
      <w:r>
        <w:rPr>
          <w:sz w:val="24"/>
        </w:rPr>
        <w:t>接缝处的受弯承载力应符合现行协会标准《钢筋桁架混凝土叠合板应用技术规程》T/CECS 715的有关规定</w:t>
      </w:r>
      <w:r>
        <w:rPr>
          <w:sz w:val="24"/>
          <w:szCs w:val="24"/>
        </w:rPr>
        <w:t>。</w:t>
      </w:r>
    </w:p>
    <w:tbl>
      <w:tblPr>
        <w:tblStyle w:val="3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jc w:val="center"/>
              <w:rPr>
                <w:kern w:val="0"/>
                <w:sz w:val="24"/>
                <w:szCs w:val="24"/>
              </w:rPr>
            </w:pPr>
            <w:r>
              <w:rPr>
                <w:kern w:val="0"/>
                <w:sz w:val="24"/>
                <w:szCs w:val="24"/>
              </w:rPr>
              <w:drawing>
                <wp:inline distT="0" distB="0" distL="0" distR="0">
                  <wp:extent cx="2807970" cy="107124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827727" cy="10789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23" w:type="dxa"/>
            <w:vAlign w:val="center"/>
          </w:tcPr>
          <w:p>
            <w:pPr>
              <w:snapToGrid w:val="0"/>
              <w:jc w:val="center"/>
              <w:rPr>
                <w:rFonts w:eastAsiaTheme="minorEastAsia"/>
                <w:kern w:val="0"/>
                <w:sz w:val="20"/>
              </w:rPr>
            </w:pPr>
            <w:r>
              <w:rPr>
                <w:rFonts w:eastAsiaTheme="minorEastAsia"/>
                <w:kern w:val="0"/>
                <w:sz w:val="18"/>
                <w:szCs w:val="21"/>
              </w:rPr>
              <w:t>1—边缘叠合板；2—后浇带；3—叠合层顺缝板顶纵筋；4—接缝处顺缝板底纵筋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pStyle w:val="2"/>
              <w:ind w:firstLine="0"/>
            </w:pPr>
            <w:r>
              <w:t>图5.5.4　整体式接缝构造示意图</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.5.5　</w:t>
      </w:r>
      <w:r>
        <w:rPr>
          <w:sz w:val="24"/>
        </w:rPr>
        <w:t>单向板的板侧节点可采用分离式接缝构造（图5.5.5），分离式接缝应符合下列规定：</w:t>
      </w:r>
    </w:p>
    <w:p>
      <w:pPr>
        <w:adjustRightInd w:val="0"/>
        <w:spacing w:line="360" w:lineRule="auto"/>
        <w:ind w:firstLine="482" w:firstLineChars="200"/>
        <w:rPr>
          <w:sz w:val="24"/>
          <w:szCs w:val="24"/>
        </w:rPr>
      </w:pPr>
      <w:r>
        <w:rPr>
          <w:b/>
          <w:sz w:val="24"/>
          <w:szCs w:val="24"/>
        </w:rPr>
        <w:t>1</w:t>
      </w:r>
      <w:r>
        <w:rPr>
          <w:sz w:val="24"/>
          <w:szCs w:val="24"/>
        </w:rPr>
        <w:t>　</w:t>
      </w:r>
      <w:r>
        <w:rPr>
          <w:sz w:val="24"/>
        </w:rPr>
        <w:t>板顶纵向受力钢筋宜在叠合层内采用弯钩搭接，搭接</w:t>
      </w:r>
      <w:r>
        <w:rPr>
          <w:sz w:val="24"/>
          <w:szCs w:val="24"/>
        </w:rPr>
        <w:t>长度应符合本规程5.5.4条第2款的规定</w:t>
      </w:r>
      <w:r>
        <w:rPr>
          <w:sz w:val="24"/>
        </w:rPr>
        <w:t>；</w:t>
      </w:r>
    </w:p>
    <w:p>
      <w:pPr>
        <w:adjustRightInd w:val="0"/>
        <w:spacing w:line="360" w:lineRule="auto"/>
        <w:ind w:firstLine="482" w:firstLineChars="200"/>
        <w:rPr>
          <w:sz w:val="24"/>
          <w:szCs w:val="24"/>
        </w:rPr>
      </w:pPr>
      <w:r>
        <w:rPr>
          <w:b/>
          <w:sz w:val="24"/>
          <w:szCs w:val="24"/>
        </w:rPr>
        <w:t>2</w:t>
      </w:r>
      <w:r>
        <w:rPr>
          <w:sz w:val="24"/>
          <w:szCs w:val="24"/>
        </w:rPr>
        <w:t>　接缝处边缘叠合板顶面宜设置垂直于板缝的附加钢筋，附加钢筋伸入两侧后浇混凝土叠合层的锚固长度不应小于</w:t>
      </w:r>
      <w:r>
        <w:rPr>
          <w:sz w:val="24"/>
        </w:rPr>
        <w:t>附加钢筋直径的</w:t>
      </w:r>
      <w:r>
        <w:rPr>
          <w:sz w:val="24"/>
          <w:szCs w:val="24"/>
        </w:rPr>
        <w:t>15倍</w:t>
      </w:r>
      <w:r>
        <w:rPr>
          <w:sz w:val="24"/>
        </w:rPr>
        <w:t>；</w:t>
      </w:r>
    </w:p>
    <w:p>
      <w:pPr>
        <w:adjustRightInd w:val="0"/>
        <w:spacing w:line="360" w:lineRule="auto"/>
        <w:ind w:firstLine="482" w:firstLineChars="200"/>
        <w:rPr>
          <w:sz w:val="24"/>
          <w:szCs w:val="24"/>
        </w:rPr>
      </w:pPr>
      <w:r>
        <w:rPr>
          <w:b/>
          <w:sz w:val="24"/>
          <w:szCs w:val="24"/>
        </w:rPr>
        <w:t>3</w:t>
      </w:r>
      <w:r>
        <w:rPr>
          <w:sz w:val="24"/>
          <w:szCs w:val="24"/>
        </w:rPr>
        <w:t>　</w:t>
      </w:r>
      <w:r>
        <w:rPr>
          <w:sz w:val="24"/>
        </w:rPr>
        <w:t>附加钢筋截面面积不宜小于预制板中该方向钢筋面积，钢筋直径不宜小于6 mm，间距不宜大于250 mm</w:t>
      </w:r>
      <w:r>
        <w:rPr>
          <w:sz w:val="24"/>
          <w:szCs w:val="24"/>
        </w:rPr>
        <w:t>；</w:t>
      </w:r>
    </w:p>
    <w:p>
      <w:pPr>
        <w:adjustRightInd w:val="0"/>
        <w:spacing w:line="360" w:lineRule="auto"/>
        <w:ind w:firstLine="482" w:firstLineChars="200"/>
        <w:rPr>
          <w:sz w:val="24"/>
          <w:szCs w:val="24"/>
        </w:rPr>
      </w:pPr>
      <w:r>
        <w:rPr>
          <w:b/>
          <w:sz w:val="24"/>
          <w:szCs w:val="24"/>
        </w:rPr>
        <w:t>4</w:t>
      </w:r>
      <w:r>
        <w:rPr>
          <w:sz w:val="24"/>
          <w:szCs w:val="24"/>
        </w:rPr>
        <w:t>　</w:t>
      </w:r>
      <w:r>
        <w:rPr>
          <w:sz w:val="24"/>
        </w:rPr>
        <w:t>垂直于附加钢筋的方向应布置横向分布钢筋，在搭接范围内不宜少于3根，横向分布钢筋直径不应小于6 mm，间距不宜大于250 mm</w:t>
      </w:r>
      <w:r>
        <w:rPr>
          <w:sz w:val="24"/>
          <w:szCs w:val="24"/>
        </w:rPr>
        <w:t>。</w:t>
      </w:r>
    </w:p>
    <w:tbl>
      <w:tblPr>
        <w:tblStyle w:val="3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jc w:val="center"/>
              <w:rPr>
                <w:rFonts w:eastAsiaTheme="minorEastAsia"/>
                <w:kern w:val="0"/>
                <w:sz w:val="18"/>
                <w:szCs w:val="21"/>
              </w:rPr>
            </w:pPr>
            <w:r>
              <w:rPr>
                <w:rFonts w:eastAsiaTheme="minorEastAsia"/>
                <w:kern w:val="0"/>
                <w:sz w:val="18"/>
                <w:szCs w:val="21"/>
              </w:rPr>
              <w:drawing>
                <wp:inline distT="0" distB="0" distL="0" distR="0">
                  <wp:extent cx="2397760" cy="110490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03923" cy="110752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23" w:type="dxa"/>
            <w:vAlign w:val="center"/>
          </w:tcPr>
          <w:p>
            <w:pPr>
              <w:snapToGrid w:val="0"/>
              <w:jc w:val="center"/>
              <w:rPr>
                <w:rFonts w:eastAsiaTheme="minorEastAsia"/>
                <w:kern w:val="0"/>
                <w:sz w:val="20"/>
              </w:rPr>
            </w:pPr>
            <w:r>
              <w:rPr>
                <w:rFonts w:eastAsiaTheme="minorEastAsia"/>
                <w:kern w:val="0"/>
                <w:sz w:val="18"/>
                <w:szCs w:val="21"/>
              </w:rPr>
              <w:t>1—边缘叠合板；2—附加钢筋；3—横向分布钢筋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pStyle w:val="2"/>
              <w:ind w:firstLine="0"/>
            </w:pPr>
            <w:r>
              <w:t>图5.5.5　分离式接缝构造示意图</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.5.6　</w:t>
      </w:r>
      <w:r>
        <w:rPr>
          <w:sz w:val="24"/>
        </w:rPr>
        <w:t>边缘叠合板板端支座构造（图5.5.6）应符合下列规定：</w:t>
      </w:r>
    </w:p>
    <w:p>
      <w:pPr>
        <w:adjustRightInd w:val="0"/>
        <w:spacing w:line="360" w:lineRule="auto"/>
        <w:ind w:firstLine="482" w:firstLineChars="200"/>
        <w:rPr>
          <w:sz w:val="24"/>
          <w:szCs w:val="24"/>
        </w:rPr>
      </w:pPr>
      <w:bookmarkStart w:id="126" w:name="_Hlk116592675"/>
      <w:r>
        <w:rPr>
          <w:b/>
          <w:sz w:val="24"/>
          <w:szCs w:val="24"/>
        </w:rPr>
        <w:t>1</w:t>
      </w:r>
      <w:r>
        <w:rPr>
          <w:sz w:val="24"/>
          <w:szCs w:val="24"/>
        </w:rPr>
        <w:t>　中节点支座，</w:t>
      </w:r>
      <w:r>
        <w:rPr>
          <w:sz w:val="24"/>
        </w:rPr>
        <w:t>板上部纵向受力钢筋宜在后浇叠合层内采用弯钩搭接，搭接</w:t>
      </w:r>
      <w:r>
        <w:rPr>
          <w:sz w:val="24"/>
          <w:szCs w:val="24"/>
        </w:rPr>
        <w:t>长度应符合本规程5.5.4条第2款的规定</w:t>
      </w:r>
      <w:r>
        <w:rPr>
          <w:sz w:val="24"/>
        </w:rPr>
        <w:t>；</w:t>
      </w:r>
    </w:p>
    <w:p>
      <w:pPr>
        <w:adjustRightInd w:val="0"/>
        <w:spacing w:line="360" w:lineRule="auto"/>
        <w:ind w:firstLine="482" w:firstLineChars="200"/>
        <w:rPr>
          <w:sz w:val="24"/>
          <w:szCs w:val="24"/>
        </w:rPr>
      </w:pPr>
      <w:r>
        <w:rPr>
          <w:b/>
          <w:sz w:val="24"/>
          <w:szCs w:val="24"/>
        </w:rPr>
        <w:t>2</w:t>
      </w:r>
      <w:r>
        <w:rPr>
          <w:sz w:val="24"/>
          <w:szCs w:val="24"/>
        </w:rPr>
        <w:t>　端节点支座，</w:t>
      </w:r>
      <w:r>
        <w:rPr>
          <w:sz w:val="24"/>
        </w:rPr>
        <w:t>板上部纵向受力钢筋的锚固</w:t>
      </w:r>
      <w:r>
        <w:rPr>
          <w:sz w:val="24"/>
          <w:szCs w:val="24"/>
        </w:rPr>
        <w:t>应符合现行</w:t>
      </w:r>
      <w:r>
        <w:rPr>
          <w:sz w:val="24"/>
        </w:rPr>
        <w:t>协会标准《钢筋桁架混凝土叠合板应用技术规程》T/CECS 715的有关规定；</w:t>
      </w:r>
    </w:p>
    <w:p>
      <w:pPr>
        <w:adjustRightInd w:val="0"/>
        <w:spacing w:line="360" w:lineRule="auto"/>
        <w:ind w:firstLine="482" w:firstLineChars="200"/>
        <w:rPr>
          <w:sz w:val="24"/>
        </w:rPr>
      </w:pPr>
      <w:r>
        <w:rPr>
          <w:b/>
          <w:bCs/>
          <w:sz w:val="24"/>
          <w:szCs w:val="24"/>
        </w:rPr>
        <w:t>3</w:t>
      </w:r>
      <w:r>
        <w:rPr>
          <w:sz w:val="24"/>
          <w:szCs w:val="24"/>
        </w:rPr>
        <w:t>　板下部纵向受力钢筋宜从板端伸出并锚入支座的混凝土中，锚固长度</w:t>
      </w:r>
      <w:r>
        <w:rPr>
          <w:i/>
          <w:iCs/>
          <w:sz w:val="24"/>
          <w:szCs w:val="24"/>
        </w:rPr>
        <w:t>l</w:t>
      </w:r>
      <w:r>
        <w:rPr>
          <w:sz w:val="24"/>
          <w:szCs w:val="24"/>
          <w:vertAlign w:val="subscript"/>
        </w:rPr>
        <w:t>s</w:t>
      </w:r>
      <w:r>
        <w:rPr>
          <w:sz w:val="24"/>
          <w:szCs w:val="24"/>
        </w:rPr>
        <w:t>应符合现行</w:t>
      </w:r>
      <w:r>
        <w:rPr>
          <w:sz w:val="24"/>
        </w:rPr>
        <w:t>协会标准《钢筋桁架混凝土叠合板应用技术规程》T/CECS 715的有关规定</w:t>
      </w:r>
      <w:r>
        <w:rPr>
          <w:sz w:val="24"/>
          <w:szCs w:val="24"/>
        </w:rPr>
        <w:t>。</w:t>
      </w:r>
    </w:p>
    <w:bookmarkEnd w:id="126"/>
    <w:tbl>
      <w:tblPr>
        <w:tblStyle w:val="3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jc w:val="center"/>
            </w:pPr>
            <w:r>
              <w:drawing>
                <wp:inline distT="0" distB="0" distL="0" distR="0">
                  <wp:extent cx="4274820" cy="14395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274859" cy="144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23" w:type="dxa"/>
            <w:vAlign w:val="center"/>
          </w:tcPr>
          <w:p>
            <w:pPr>
              <w:snapToGrid w:val="0"/>
              <w:jc w:val="center"/>
              <w:rPr>
                <w:rFonts w:eastAsiaTheme="minorEastAsia"/>
                <w:kern w:val="0"/>
                <w:sz w:val="20"/>
              </w:rPr>
            </w:pPr>
            <w:r>
              <w:rPr>
                <w:rFonts w:eastAsiaTheme="minorEastAsia"/>
                <w:kern w:val="0"/>
                <w:sz w:val="18"/>
                <w:szCs w:val="21"/>
              </w:rPr>
              <w:t>1—圈梁；2—边缘叠合板；3—支座中心线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pStyle w:val="2"/>
              <w:ind w:firstLine="0"/>
            </w:pPr>
            <w:r>
              <w:t>图5.5.6　板端支座构造示意图</w:t>
            </w:r>
          </w:p>
        </w:tc>
      </w:tr>
    </w:tbl>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.5.7　</w:t>
      </w:r>
      <w:r>
        <w:rPr>
          <w:sz w:val="24"/>
        </w:rPr>
        <w:t>边缘叠合板板侧支座（图5.5.7），板底部纵向受力钢筋可不伸入支座，不伸入支座时的构造应符合</w:t>
      </w:r>
      <w:r>
        <w:rPr>
          <w:sz w:val="24"/>
          <w:szCs w:val="24"/>
        </w:rPr>
        <w:t>现行</w:t>
      </w:r>
      <w:r>
        <w:rPr>
          <w:sz w:val="24"/>
        </w:rPr>
        <w:t>协会标准《钢筋桁架混凝土叠合板应用技术规程》T/CECS 715的有关规定</w:t>
      </w:r>
      <w:r>
        <w:rPr>
          <w:sz w:val="24"/>
          <w:szCs w:val="24"/>
        </w:rPr>
        <w:t>。</w:t>
      </w:r>
    </w:p>
    <w:tbl>
      <w:tblPr>
        <w:tblStyle w:val="3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jc w:val="center"/>
              <w:rPr>
                <w:rFonts w:eastAsiaTheme="minorEastAsia"/>
                <w:kern w:val="0"/>
                <w:sz w:val="18"/>
                <w:szCs w:val="21"/>
              </w:rPr>
            </w:pPr>
            <w:r>
              <w:rPr>
                <w:rFonts w:eastAsiaTheme="minorEastAsia"/>
                <w:kern w:val="0"/>
                <w:sz w:val="18"/>
                <w:szCs w:val="21"/>
              </w:rPr>
              <w:drawing>
                <wp:inline distT="0" distB="0" distL="0" distR="0">
                  <wp:extent cx="4568825" cy="143954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569293" cy="144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23" w:type="dxa"/>
            <w:vAlign w:val="center"/>
          </w:tcPr>
          <w:p>
            <w:pPr>
              <w:snapToGrid w:val="0"/>
              <w:jc w:val="center"/>
              <w:rPr>
                <w:rFonts w:eastAsiaTheme="minorEastAsia"/>
                <w:kern w:val="0"/>
                <w:sz w:val="20"/>
              </w:rPr>
            </w:pPr>
            <w:r>
              <w:rPr>
                <w:rFonts w:eastAsiaTheme="minorEastAsia"/>
                <w:kern w:val="0"/>
                <w:sz w:val="18"/>
                <w:szCs w:val="21"/>
              </w:rPr>
              <w:t>1—圈梁；2—边缘叠合板；3—附加钢筋；4—支座中心线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523" w:type="dxa"/>
            <w:vAlign w:val="center"/>
          </w:tcPr>
          <w:p>
            <w:pPr>
              <w:pStyle w:val="2"/>
              <w:ind w:firstLine="0"/>
            </w:pPr>
            <w:r>
              <w:t>图5.5.7　板侧支座构造示意图</w:t>
            </w:r>
          </w:p>
        </w:tc>
      </w:tr>
    </w:tbl>
    <w:p>
      <w:pPr>
        <w:tabs>
          <w:tab w:val="left" w:pos="425"/>
          <w:tab w:val="left" w:pos="735"/>
        </w:tabs>
        <w:adjustRightInd w:val="0"/>
        <w:spacing w:line="353" w:lineRule="auto"/>
        <w:outlineLvl w:val="2"/>
        <w:rPr>
          <w:sz w:val="24"/>
        </w:rPr>
      </w:pPr>
      <w:r>
        <w:rPr>
          <w:rFonts w:hint="eastAsia" w:eastAsiaTheme="minorEastAsia"/>
          <w:b/>
          <w:sz w:val="24"/>
          <w:szCs w:val="24"/>
        </w:rPr>
        <w:t>5</w:t>
      </w:r>
      <w:r>
        <w:rPr>
          <w:rFonts w:eastAsiaTheme="minorEastAsia"/>
          <w:b/>
          <w:sz w:val="24"/>
          <w:szCs w:val="24"/>
        </w:rPr>
        <w:t>.5.8　</w:t>
      </w:r>
      <w:r>
        <w:rPr>
          <w:sz w:val="24"/>
        </w:rPr>
        <w:t>预制楼梯与支承构件之间的连接应符合现行行业标准《装配式混凝土结构技术规程》JGJ 1的有关规定。</w:t>
      </w:r>
    </w:p>
    <w:p>
      <w:pPr>
        <w:tabs>
          <w:tab w:val="left" w:pos="425"/>
          <w:tab w:val="left" w:pos="735"/>
        </w:tabs>
        <w:adjustRightInd w:val="0"/>
        <w:spacing w:line="353" w:lineRule="auto"/>
        <w:outlineLvl w:val="2"/>
        <w:rPr>
          <w:sz w:val="24"/>
        </w:rPr>
      </w:pPr>
      <w:r>
        <w:rPr>
          <w:rFonts w:hint="eastAsia" w:eastAsiaTheme="minorEastAsia"/>
          <w:b/>
          <w:sz w:val="24"/>
          <w:szCs w:val="24"/>
        </w:rPr>
        <w:t>5</w:t>
      </w:r>
      <w:r>
        <w:rPr>
          <w:rFonts w:eastAsiaTheme="minorEastAsia"/>
          <w:b/>
          <w:sz w:val="24"/>
          <w:szCs w:val="24"/>
        </w:rPr>
        <w:t>.5.9　</w:t>
      </w:r>
      <w:r>
        <w:rPr>
          <w:sz w:val="24"/>
        </w:rPr>
        <w:t>空调板、阳台板内钢筋的锚固应符合现行国家标准《混凝土结构设计规范》GB 50010的有关</w:t>
      </w:r>
      <w:r>
        <w:rPr>
          <w:rFonts w:hint="eastAsia"/>
          <w:sz w:val="24"/>
        </w:rPr>
        <w:t>规定</w:t>
      </w:r>
      <w:r>
        <w:rPr>
          <w:sz w:val="24"/>
        </w:rPr>
        <w:t>。</w:t>
      </w:r>
    </w:p>
    <w:p>
      <w:pPr>
        <w:tabs>
          <w:tab w:val="left" w:pos="425"/>
          <w:tab w:val="left" w:pos="735"/>
        </w:tabs>
        <w:adjustRightInd w:val="0"/>
        <w:spacing w:line="353" w:lineRule="auto"/>
        <w:outlineLvl w:val="2"/>
        <w:rPr>
          <w:sz w:val="24"/>
        </w:rPr>
      </w:pPr>
      <w:r>
        <w:rPr>
          <w:rFonts w:hint="eastAsia" w:eastAsiaTheme="minorEastAsia"/>
          <w:b/>
          <w:sz w:val="24"/>
          <w:szCs w:val="24"/>
        </w:rPr>
        <w:t>5</w:t>
      </w:r>
      <w:r>
        <w:rPr>
          <w:rFonts w:eastAsiaTheme="minorEastAsia"/>
          <w:b/>
          <w:sz w:val="24"/>
          <w:szCs w:val="24"/>
        </w:rPr>
        <w:t>.5.10　</w:t>
      </w:r>
      <w:r>
        <w:rPr>
          <w:sz w:val="24"/>
        </w:rPr>
        <w:t>楼梯间应符合下列规定：</w:t>
      </w:r>
    </w:p>
    <w:p>
      <w:pPr>
        <w:tabs>
          <w:tab w:val="left" w:pos="735"/>
        </w:tabs>
        <w:adjustRightInd w:val="0"/>
        <w:spacing w:line="353" w:lineRule="auto"/>
        <w:ind w:firstLine="482" w:firstLineChars="200"/>
        <w:rPr>
          <w:sz w:val="24"/>
        </w:rPr>
      </w:pPr>
      <w:r>
        <w:rPr>
          <w:b/>
          <w:sz w:val="24"/>
        </w:rPr>
        <w:t>1</w:t>
      </w:r>
      <w:r>
        <w:rPr>
          <w:rFonts w:eastAsiaTheme="minorEastAsia"/>
          <w:b/>
          <w:sz w:val="24"/>
          <w:szCs w:val="24"/>
        </w:rPr>
        <w:t>　</w:t>
      </w:r>
      <w:r>
        <w:rPr>
          <w:sz w:val="24"/>
        </w:rPr>
        <w:t>楼梯间四角、楼梯斜段上下端对应的墙体处，应设构造柱</w:t>
      </w:r>
      <w:r>
        <w:rPr>
          <w:rFonts w:hint="eastAsia"/>
          <w:sz w:val="24"/>
        </w:rPr>
        <w:t>或芯柱式构造柱</w:t>
      </w:r>
      <w:r>
        <w:rPr>
          <w:sz w:val="24"/>
        </w:rPr>
        <w:t>；</w:t>
      </w:r>
    </w:p>
    <w:p>
      <w:pPr>
        <w:tabs>
          <w:tab w:val="left" w:pos="735"/>
        </w:tabs>
        <w:adjustRightInd w:val="0"/>
        <w:snapToGrid w:val="0"/>
        <w:spacing w:line="353" w:lineRule="auto"/>
        <w:ind w:firstLine="482" w:firstLineChars="200"/>
        <w:rPr>
          <w:sz w:val="24"/>
        </w:rPr>
      </w:pPr>
      <w:r>
        <w:rPr>
          <w:b/>
          <w:sz w:val="24"/>
        </w:rPr>
        <w:t>2</w:t>
      </w:r>
      <w:r>
        <w:rPr>
          <w:rFonts w:eastAsiaTheme="minorEastAsia"/>
          <w:b/>
          <w:sz w:val="24"/>
          <w:szCs w:val="24"/>
        </w:rPr>
        <w:t>　</w:t>
      </w:r>
      <w:r>
        <w:rPr>
          <w:sz w:val="24"/>
        </w:rPr>
        <w:t>顶层楼梯间模壳砌块墙体应沿墙高每隔2</w:t>
      </w:r>
      <w:r>
        <w:rPr>
          <w:rFonts w:hint="eastAsia"/>
          <w:sz w:val="24"/>
        </w:rPr>
        <w:t>皮</w:t>
      </w:r>
      <w:r>
        <w:rPr>
          <w:sz w:val="24"/>
        </w:rPr>
        <w:t>设2</w:t>
      </w:r>
      <w:r>
        <w:rPr>
          <w:rFonts w:ascii="SJQY" w:hAnsi="SJQY" w:eastAsia="SJQY"/>
          <w:sz w:val="24"/>
        </w:rPr>
        <w:t>C</w:t>
      </w:r>
      <w:r>
        <w:rPr>
          <w:sz w:val="24"/>
        </w:rPr>
        <w:t>6通长钢筋；其他各层楼梯间墙体应在休息平台或楼层半高处设置60 mm厚的现浇钢筋混凝土带，纵向钢筋不应小于2</w:t>
      </w:r>
      <w:r>
        <w:rPr>
          <w:rFonts w:hint="eastAsia" w:ascii="SJQY" w:hAnsi="SJQY" w:eastAsia="SJQY"/>
          <w:sz w:val="24"/>
        </w:rPr>
        <w:t>C</w:t>
      </w:r>
      <w:r>
        <w:rPr>
          <w:sz w:val="24"/>
        </w:rPr>
        <w:t>10，并应有分布拉结钢筋，其混凝土强度等级不应低于C30；</w:t>
      </w:r>
    </w:p>
    <w:p>
      <w:pPr>
        <w:tabs>
          <w:tab w:val="left" w:pos="735"/>
        </w:tabs>
        <w:adjustRightInd w:val="0"/>
        <w:snapToGrid w:val="0"/>
        <w:spacing w:line="353" w:lineRule="auto"/>
        <w:ind w:firstLine="482" w:firstLineChars="200"/>
        <w:rPr>
          <w:sz w:val="24"/>
        </w:rPr>
      </w:pPr>
      <w:r>
        <w:rPr>
          <w:b/>
          <w:sz w:val="24"/>
        </w:rPr>
        <w:t>3</w:t>
      </w:r>
      <w:r>
        <w:rPr>
          <w:rFonts w:eastAsiaTheme="minorEastAsia"/>
          <w:b/>
          <w:sz w:val="24"/>
          <w:szCs w:val="24"/>
        </w:rPr>
        <w:t>　</w:t>
      </w:r>
      <w:r>
        <w:rPr>
          <w:sz w:val="24"/>
        </w:rPr>
        <w:t>楼梯间及门厅内墙阳角处的大梁支承长度不应小于500 mm，并应与圈梁连接；</w:t>
      </w:r>
    </w:p>
    <w:p>
      <w:pPr>
        <w:tabs>
          <w:tab w:val="left" w:pos="735"/>
        </w:tabs>
        <w:adjustRightInd w:val="0"/>
        <w:snapToGrid w:val="0"/>
        <w:spacing w:line="353" w:lineRule="auto"/>
        <w:ind w:firstLine="482" w:firstLineChars="200"/>
        <w:rPr>
          <w:sz w:val="24"/>
        </w:rPr>
      </w:pPr>
      <w:r>
        <w:rPr>
          <w:b/>
          <w:sz w:val="24"/>
        </w:rPr>
        <w:t>4</w:t>
      </w:r>
      <w:r>
        <w:rPr>
          <w:rFonts w:eastAsiaTheme="minorEastAsia"/>
          <w:b/>
          <w:sz w:val="24"/>
          <w:szCs w:val="24"/>
        </w:rPr>
        <w:t>　</w:t>
      </w:r>
      <w:r>
        <w:rPr>
          <w:sz w:val="24"/>
        </w:rPr>
        <w:t>楼梯</w:t>
      </w:r>
      <w:r>
        <w:rPr>
          <w:rFonts w:hint="eastAsia"/>
          <w:sz w:val="24"/>
        </w:rPr>
        <w:t>宜</w:t>
      </w:r>
      <w:r>
        <w:rPr>
          <w:sz w:val="24"/>
        </w:rPr>
        <w:t>现浇，并应与主体结构牢固连接；</w:t>
      </w:r>
    </w:p>
    <w:p>
      <w:pPr>
        <w:tabs>
          <w:tab w:val="left" w:pos="735"/>
        </w:tabs>
        <w:adjustRightInd w:val="0"/>
        <w:snapToGrid w:val="0"/>
        <w:spacing w:line="353" w:lineRule="auto"/>
        <w:ind w:firstLine="482" w:firstLineChars="200"/>
        <w:rPr>
          <w:spacing w:val="4"/>
          <w:kern w:val="0"/>
          <w:sz w:val="24"/>
          <w:szCs w:val="21"/>
        </w:rPr>
      </w:pPr>
      <w:r>
        <w:rPr>
          <w:b/>
          <w:sz w:val="24"/>
        </w:rPr>
        <w:t>5</w:t>
      </w:r>
      <w:r>
        <w:rPr>
          <w:rFonts w:eastAsiaTheme="minorEastAsia"/>
          <w:b/>
          <w:sz w:val="24"/>
          <w:szCs w:val="24"/>
        </w:rPr>
        <w:t>　</w:t>
      </w:r>
      <w:r>
        <w:rPr>
          <w:sz w:val="24"/>
        </w:rPr>
        <w:t>突出屋顶的楼、电梯间，构造柱</w:t>
      </w:r>
      <w:r>
        <w:rPr>
          <w:rFonts w:hint="eastAsia"/>
          <w:sz w:val="24"/>
        </w:rPr>
        <w:t>（含芯柱式构造柱）</w:t>
      </w:r>
      <w:r>
        <w:rPr>
          <w:sz w:val="24"/>
        </w:rPr>
        <w:t>应伸到顶部，并与顶部圈梁连接，所有模壳砌块墙体应沿墙高每隔2</w:t>
      </w:r>
      <w:r>
        <w:rPr>
          <w:rFonts w:hint="eastAsia"/>
          <w:sz w:val="24"/>
        </w:rPr>
        <w:t>皮</w:t>
      </w:r>
      <w:r>
        <w:rPr>
          <w:sz w:val="24"/>
        </w:rPr>
        <w:t>设2</w:t>
      </w:r>
      <w:r>
        <w:rPr>
          <w:rFonts w:ascii="SJQY" w:hAnsi="SJQY" w:eastAsia="SJQY"/>
          <w:sz w:val="24"/>
        </w:rPr>
        <w:t>C</w:t>
      </w:r>
      <w:r>
        <w:rPr>
          <w:sz w:val="24"/>
        </w:rPr>
        <w:t>6通长钢筋。</w:t>
      </w:r>
    </w:p>
    <w:p>
      <w:pPr>
        <w:widowControl/>
        <w:adjustRightInd w:val="0"/>
        <w:snapToGrid w:val="0"/>
        <w:spacing w:line="360" w:lineRule="auto"/>
        <w:ind w:firstLine="496" w:firstLineChars="200"/>
        <w:jc w:val="left"/>
        <w:rPr>
          <w:spacing w:val="4"/>
          <w:kern w:val="0"/>
          <w:sz w:val="24"/>
          <w:szCs w:val="21"/>
        </w:rPr>
        <w:sectPr>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127" w:name="_Toc41895209"/>
      <w:bookmarkStart w:id="128" w:name="_Toc20240118"/>
      <w:bookmarkStart w:id="129" w:name="_Toc18033"/>
      <w:bookmarkStart w:id="130" w:name="_Toc148994665"/>
      <w:bookmarkStart w:id="131" w:name="_Toc149766388"/>
      <w:bookmarkStart w:id="132" w:name="_Toc149766330"/>
      <w:r>
        <w:rPr>
          <w:rFonts w:eastAsiaTheme="minorEastAsia"/>
          <w:sz w:val="32"/>
        </w:rPr>
        <w:t>6</w:t>
      </w:r>
      <w:r>
        <w:rPr>
          <w:rFonts w:hint="eastAsia" w:eastAsiaTheme="minorEastAsia"/>
          <w:sz w:val="32"/>
        </w:rPr>
        <w:t>　模壳砌块制作与运输</w:t>
      </w:r>
    </w:p>
    <w:p>
      <w:pPr>
        <w:pStyle w:val="81"/>
        <w:numPr>
          <w:ilvl w:val="0"/>
          <w:numId w:val="1"/>
        </w:numPr>
        <w:tabs>
          <w:tab w:val="left" w:pos="0"/>
        </w:tabs>
        <w:adjustRightInd w:val="0"/>
        <w:spacing w:line="360" w:lineRule="auto"/>
        <w:ind w:left="0" w:firstLine="0" w:firstLineChars="0"/>
        <w:outlineLvl w:val="2"/>
        <w:rPr>
          <w:rFonts w:ascii="Times New Roman" w:hAnsi="Times New Roman" w:eastAsiaTheme="minorEastAsia"/>
          <w:bCs/>
          <w:sz w:val="24"/>
        </w:rPr>
      </w:pPr>
      <w:r>
        <w:rPr>
          <w:rFonts w:eastAsiaTheme="minorEastAsia"/>
          <w:b/>
          <w:sz w:val="24"/>
          <w:szCs w:val="24"/>
        </w:rPr>
        <w:t>　</w:t>
      </w:r>
      <w:r>
        <w:rPr>
          <w:rFonts w:hint="eastAsia" w:ascii="Times New Roman" w:hAnsi="Times New Roman" w:eastAsiaTheme="minorEastAsia"/>
          <w:bCs/>
          <w:sz w:val="24"/>
          <w:szCs w:val="24"/>
        </w:rPr>
        <w:t>制作加工模壳砌块可按照表</w:t>
      </w:r>
      <w:r>
        <w:rPr>
          <w:rFonts w:ascii="Times New Roman" w:hAnsi="Times New Roman" w:eastAsiaTheme="minorEastAsia"/>
          <w:bCs/>
          <w:sz w:val="24"/>
          <w:szCs w:val="24"/>
        </w:rPr>
        <w:t>6.0.1</w:t>
      </w:r>
      <w:r>
        <w:rPr>
          <w:rFonts w:hint="eastAsia" w:ascii="Times New Roman" w:hAnsi="Times New Roman" w:eastAsiaTheme="minorEastAsia"/>
          <w:bCs/>
          <w:sz w:val="24"/>
          <w:szCs w:val="24"/>
        </w:rPr>
        <w:t>提供的典型类型及尺寸确定，</w:t>
      </w:r>
      <w:r>
        <w:rPr>
          <w:rFonts w:hint="eastAsia" w:ascii="Times New Roman" w:hAnsi="Times New Roman"/>
          <w:sz w:val="24"/>
        </w:rPr>
        <w:t>模壳砌块</w:t>
      </w:r>
      <w:r>
        <w:rPr>
          <w:rFonts w:ascii="Times New Roman" w:hAnsi="Times New Roman"/>
          <w:sz w:val="24"/>
        </w:rPr>
        <w:t>详细构造</w:t>
      </w:r>
      <w:r>
        <w:rPr>
          <w:rFonts w:hint="eastAsia" w:ascii="Times New Roman" w:hAnsi="Times New Roman"/>
          <w:sz w:val="24"/>
        </w:rPr>
        <w:t>及尺寸应</w:t>
      </w:r>
      <w:r>
        <w:rPr>
          <w:rFonts w:ascii="Times New Roman" w:hAnsi="Times New Roman"/>
          <w:sz w:val="24"/>
        </w:rPr>
        <w:t>符合本规程附录A的规定。</w:t>
      </w:r>
    </w:p>
    <w:p>
      <w:pPr>
        <w:spacing w:line="360" w:lineRule="auto"/>
        <w:jc w:val="center"/>
        <w:rPr>
          <w:b/>
          <w:spacing w:val="17"/>
          <w:szCs w:val="21"/>
        </w:rPr>
      </w:pPr>
      <w:r>
        <w:rPr>
          <w:rFonts w:hint="eastAsia"/>
          <w:b/>
          <w:spacing w:val="17"/>
          <w:szCs w:val="21"/>
        </w:rPr>
        <w:t>表</w:t>
      </w:r>
      <w:r>
        <w:rPr>
          <w:b/>
          <w:spacing w:val="17"/>
          <w:szCs w:val="21"/>
        </w:rPr>
        <w:t>6.0.1</w:t>
      </w:r>
      <w:r>
        <w:rPr>
          <w:b/>
          <w:bCs/>
          <w:sz w:val="18"/>
          <w:szCs w:val="18"/>
        </w:rPr>
        <w:t>　</w:t>
      </w:r>
      <w:r>
        <w:rPr>
          <w:rFonts w:hint="eastAsia"/>
          <w:b/>
          <w:spacing w:val="17"/>
          <w:szCs w:val="21"/>
        </w:rPr>
        <w:t>模壳砌块典型类型及尺寸</w:t>
      </w:r>
    </w:p>
    <w:tbl>
      <w:tblPr>
        <w:tblStyle w:val="31"/>
        <w:tblW w:w="85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388"/>
        <w:gridCol w:w="2268"/>
        <w:gridCol w:w="29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8" w:type="dxa"/>
            <w:vAlign w:val="center"/>
          </w:tcPr>
          <w:p>
            <w:pPr>
              <w:spacing w:before="78" w:beforeLines="25" w:after="78" w:afterLines="25"/>
              <w:jc w:val="center"/>
              <w:rPr>
                <w:sz w:val="18"/>
                <w:szCs w:val="21"/>
              </w:rPr>
            </w:pPr>
            <w:r>
              <w:rPr>
                <w:sz w:val="18"/>
                <w:szCs w:val="21"/>
              </w:rPr>
              <w:t>序号</w:t>
            </w:r>
          </w:p>
        </w:tc>
        <w:tc>
          <w:tcPr>
            <w:tcW w:w="2388" w:type="dxa"/>
            <w:vAlign w:val="center"/>
          </w:tcPr>
          <w:p>
            <w:pPr>
              <w:spacing w:before="78" w:beforeLines="25" w:after="78" w:afterLines="25"/>
              <w:jc w:val="center"/>
              <w:rPr>
                <w:sz w:val="18"/>
                <w:szCs w:val="21"/>
              </w:rPr>
            </w:pPr>
            <w:r>
              <w:rPr>
                <w:sz w:val="18"/>
                <w:szCs w:val="21"/>
              </w:rPr>
              <w:t>砌块类型</w:t>
            </w:r>
          </w:p>
        </w:tc>
        <w:tc>
          <w:tcPr>
            <w:tcW w:w="2268" w:type="dxa"/>
            <w:vAlign w:val="center"/>
          </w:tcPr>
          <w:p>
            <w:pPr>
              <w:spacing w:before="78" w:beforeLines="25" w:after="78" w:afterLines="25"/>
              <w:jc w:val="center"/>
              <w:rPr>
                <w:sz w:val="18"/>
                <w:szCs w:val="21"/>
              </w:rPr>
            </w:pPr>
            <w:r>
              <w:rPr>
                <w:sz w:val="18"/>
                <w:szCs w:val="21"/>
              </w:rPr>
              <w:t>标准尺寸/mm</w:t>
            </w:r>
          </w:p>
        </w:tc>
        <w:tc>
          <w:tcPr>
            <w:tcW w:w="2976" w:type="dxa"/>
            <w:vAlign w:val="center"/>
          </w:tcPr>
          <w:p>
            <w:pPr>
              <w:spacing w:before="78" w:beforeLines="25" w:after="78" w:afterLines="25"/>
              <w:jc w:val="center"/>
              <w:rPr>
                <w:sz w:val="18"/>
                <w:szCs w:val="21"/>
              </w:rPr>
            </w:pPr>
            <w:r>
              <w:rPr>
                <w:sz w:val="18"/>
                <w:szCs w:val="21"/>
              </w:rPr>
              <w:t>砌块样式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68" w:type="dxa"/>
            <w:vAlign w:val="center"/>
          </w:tcPr>
          <w:p>
            <w:pPr>
              <w:spacing w:before="78" w:beforeLines="25" w:after="78" w:afterLines="25"/>
              <w:jc w:val="center"/>
              <w:rPr>
                <w:sz w:val="18"/>
                <w:szCs w:val="21"/>
              </w:rPr>
            </w:pPr>
            <w:r>
              <w:rPr>
                <w:sz w:val="18"/>
                <w:szCs w:val="21"/>
              </w:rPr>
              <w:t>1</w:t>
            </w:r>
          </w:p>
        </w:tc>
        <w:tc>
          <w:tcPr>
            <w:tcW w:w="2388" w:type="dxa"/>
            <w:vAlign w:val="center"/>
          </w:tcPr>
          <w:p>
            <w:pPr>
              <w:spacing w:before="78" w:beforeLines="25" w:after="78" w:afterLines="25"/>
              <w:jc w:val="center"/>
              <w:rPr>
                <w:sz w:val="18"/>
                <w:szCs w:val="21"/>
              </w:rPr>
            </w:pPr>
            <w:r>
              <w:rPr>
                <w:sz w:val="18"/>
                <w:szCs w:val="21"/>
              </w:rPr>
              <w:t>标砖（填充）</w:t>
            </w:r>
          </w:p>
        </w:tc>
        <w:tc>
          <w:tcPr>
            <w:tcW w:w="2268" w:type="dxa"/>
            <w:vAlign w:val="center"/>
          </w:tcPr>
          <w:p>
            <w:pPr>
              <w:spacing w:before="78" w:beforeLines="25" w:after="78" w:afterLines="25"/>
              <w:jc w:val="center"/>
              <w:rPr>
                <w:sz w:val="18"/>
                <w:szCs w:val="21"/>
              </w:rPr>
            </w:pPr>
            <w:r>
              <w:rPr>
                <w:sz w:val="18"/>
                <w:szCs w:val="21"/>
              </w:rPr>
              <w:t>398</w:t>
            </w:r>
            <w:r>
              <w:rPr>
                <w:rFonts w:hint="eastAsia"/>
                <w:sz w:val="18"/>
                <w:szCs w:val="21"/>
              </w:rPr>
              <w:t>×</w:t>
            </w:r>
            <w:r>
              <w:rPr>
                <w:sz w:val="18"/>
                <w:szCs w:val="21"/>
              </w:rPr>
              <w:t>200</w:t>
            </w:r>
            <w:r>
              <w:rPr>
                <w:rFonts w:hint="eastAsia"/>
                <w:sz w:val="18"/>
                <w:szCs w:val="21"/>
              </w:rPr>
              <w:t>×</w:t>
            </w:r>
            <w:r>
              <w:rPr>
                <w:sz w:val="18"/>
                <w:szCs w:val="21"/>
              </w:rPr>
              <w:t>158</w:t>
            </w:r>
          </w:p>
        </w:tc>
        <w:tc>
          <w:tcPr>
            <w:tcW w:w="2976" w:type="dxa"/>
            <w:vAlign w:val="center"/>
          </w:tcPr>
          <w:p>
            <w:pPr>
              <w:spacing w:before="78" w:beforeLines="25" w:after="78" w:afterLines="25"/>
              <w:jc w:val="center"/>
              <w:rPr>
                <w:sz w:val="18"/>
                <w:szCs w:val="21"/>
              </w:rPr>
            </w:pPr>
            <w:r>
              <w:rPr>
                <w:sz w:val="18"/>
                <w:szCs w:val="21"/>
              </w:rPr>
              <w:drawing>
                <wp:inline distT="0" distB="0" distL="0" distR="0">
                  <wp:extent cx="1079500" cy="958850"/>
                  <wp:effectExtent l="0" t="0" r="6350" b="0"/>
                  <wp:docPr id="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6"/>
                          <pic:cNvPicPr>
                            <a:picLocks noChangeAspect="1"/>
                          </pic:cNvPicPr>
                        </pic:nvPicPr>
                        <pic:blipFill>
                          <a:blip r:embed="rId58"/>
                          <a:stretch>
                            <a:fillRect/>
                          </a:stretch>
                        </pic:blipFill>
                        <pic:spPr>
                          <a:xfrm>
                            <a:off x="0" y="0"/>
                            <a:ext cx="1080000" cy="959143"/>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68" w:type="dxa"/>
            <w:vAlign w:val="center"/>
          </w:tcPr>
          <w:p>
            <w:pPr>
              <w:spacing w:before="78" w:beforeLines="25" w:after="78" w:afterLines="25"/>
              <w:jc w:val="center"/>
              <w:rPr>
                <w:sz w:val="18"/>
                <w:szCs w:val="21"/>
              </w:rPr>
            </w:pPr>
            <w:r>
              <w:rPr>
                <w:sz w:val="18"/>
                <w:szCs w:val="21"/>
              </w:rPr>
              <w:t>2</w:t>
            </w:r>
          </w:p>
        </w:tc>
        <w:tc>
          <w:tcPr>
            <w:tcW w:w="2388" w:type="dxa"/>
            <w:vAlign w:val="center"/>
          </w:tcPr>
          <w:p>
            <w:pPr>
              <w:spacing w:before="78" w:beforeLines="25" w:after="78" w:afterLines="25"/>
              <w:jc w:val="center"/>
              <w:rPr>
                <w:sz w:val="18"/>
                <w:szCs w:val="21"/>
              </w:rPr>
            </w:pPr>
            <w:r>
              <w:rPr>
                <w:sz w:val="18"/>
                <w:szCs w:val="21"/>
              </w:rPr>
              <w:t>标砖</w:t>
            </w:r>
          </w:p>
        </w:tc>
        <w:tc>
          <w:tcPr>
            <w:tcW w:w="2268" w:type="dxa"/>
            <w:vAlign w:val="center"/>
          </w:tcPr>
          <w:p>
            <w:pPr>
              <w:spacing w:before="78" w:beforeLines="25" w:after="78" w:afterLines="25"/>
              <w:jc w:val="center"/>
              <w:rPr>
                <w:sz w:val="18"/>
                <w:szCs w:val="21"/>
              </w:rPr>
            </w:pPr>
            <w:r>
              <w:rPr>
                <w:sz w:val="18"/>
                <w:szCs w:val="21"/>
              </w:rPr>
              <w:t>398</w:t>
            </w:r>
            <w:r>
              <w:rPr>
                <w:rFonts w:hint="eastAsia"/>
                <w:sz w:val="18"/>
                <w:szCs w:val="21"/>
              </w:rPr>
              <w:t>×</w:t>
            </w:r>
            <w:r>
              <w:rPr>
                <w:sz w:val="18"/>
                <w:szCs w:val="21"/>
              </w:rPr>
              <w:t>200</w:t>
            </w:r>
            <w:r>
              <w:rPr>
                <w:rFonts w:hint="eastAsia"/>
                <w:sz w:val="18"/>
                <w:szCs w:val="21"/>
              </w:rPr>
              <w:t>×</w:t>
            </w:r>
            <w:r>
              <w:rPr>
                <w:sz w:val="18"/>
                <w:szCs w:val="21"/>
              </w:rPr>
              <w:t>158</w:t>
            </w:r>
          </w:p>
        </w:tc>
        <w:tc>
          <w:tcPr>
            <w:tcW w:w="2976" w:type="dxa"/>
            <w:vAlign w:val="center"/>
          </w:tcPr>
          <w:p>
            <w:pPr>
              <w:spacing w:before="78" w:beforeLines="25" w:after="78" w:afterLines="25"/>
              <w:jc w:val="center"/>
              <w:rPr>
                <w:sz w:val="18"/>
                <w:szCs w:val="21"/>
              </w:rPr>
            </w:pPr>
            <w:r>
              <w:rPr>
                <w:sz w:val="18"/>
                <w:szCs w:val="21"/>
              </w:rPr>
              <w:drawing>
                <wp:inline distT="0" distB="0" distL="0" distR="0">
                  <wp:extent cx="1079500" cy="956310"/>
                  <wp:effectExtent l="0" t="0" r="6350" b="0"/>
                  <wp:docPr id="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9"/>
                          <pic:cNvPicPr>
                            <a:picLocks noChangeAspect="1"/>
                          </pic:cNvPicPr>
                        </pic:nvPicPr>
                        <pic:blipFill>
                          <a:blip r:embed="rId59"/>
                          <a:stretch>
                            <a:fillRect/>
                          </a:stretch>
                        </pic:blipFill>
                        <pic:spPr>
                          <a:xfrm>
                            <a:off x="0" y="0"/>
                            <a:ext cx="1080000" cy="956313"/>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868" w:type="dxa"/>
            <w:vAlign w:val="center"/>
          </w:tcPr>
          <w:p>
            <w:pPr>
              <w:spacing w:before="78" w:beforeLines="25" w:after="78" w:afterLines="25"/>
              <w:jc w:val="center"/>
              <w:rPr>
                <w:sz w:val="18"/>
                <w:szCs w:val="21"/>
              </w:rPr>
            </w:pPr>
            <w:r>
              <w:rPr>
                <w:sz w:val="18"/>
                <w:szCs w:val="21"/>
              </w:rPr>
              <w:t>3</w:t>
            </w:r>
          </w:p>
        </w:tc>
        <w:tc>
          <w:tcPr>
            <w:tcW w:w="2388" w:type="dxa"/>
            <w:vAlign w:val="center"/>
          </w:tcPr>
          <w:p>
            <w:pPr>
              <w:spacing w:before="78" w:beforeLines="25" w:after="78" w:afterLines="25"/>
              <w:jc w:val="center"/>
              <w:rPr>
                <w:sz w:val="18"/>
                <w:szCs w:val="21"/>
              </w:rPr>
            </w:pPr>
            <w:r>
              <w:rPr>
                <w:rFonts w:hint="eastAsia"/>
                <w:sz w:val="18"/>
                <w:szCs w:val="21"/>
              </w:rPr>
              <w:t>半砖</w:t>
            </w:r>
            <w:r>
              <w:rPr>
                <w:sz w:val="18"/>
                <w:szCs w:val="21"/>
              </w:rPr>
              <w:t>配砖（填充）</w:t>
            </w:r>
          </w:p>
        </w:tc>
        <w:tc>
          <w:tcPr>
            <w:tcW w:w="2268" w:type="dxa"/>
            <w:vAlign w:val="center"/>
          </w:tcPr>
          <w:p>
            <w:pPr>
              <w:spacing w:before="78" w:beforeLines="25" w:after="78" w:afterLines="25"/>
              <w:jc w:val="center"/>
              <w:rPr>
                <w:sz w:val="18"/>
                <w:szCs w:val="21"/>
              </w:rPr>
            </w:pPr>
            <w:r>
              <w:rPr>
                <w:sz w:val="18"/>
                <w:szCs w:val="21"/>
              </w:rPr>
              <w:t>199</w:t>
            </w:r>
            <w:r>
              <w:rPr>
                <w:rFonts w:hint="eastAsia"/>
                <w:sz w:val="18"/>
                <w:szCs w:val="21"/>
              </w:rPr>
              <w:t>×</w:t>
            </w:r>
            <w:r>
              <w:rPr>
                <w:sz w:val="18"/>
                <w:szCs w:val="21"/>
              </w:rPr>
              <w:t>200</w:t>
            </w:r>
            <w:r>
              <w:rPr>
                <w:rFonts w:hint="eastAsia"/>
                <w:sz w:val="18"/>
                <w:szCs w:val="21"/>
              </w:rPr>
              <w:t>×</w:t>
            </w:r>
            <w:r>
              <w:rPr>
                <w:sz w:val="18"/>
                <w:szCs w:val="21"/>
              </w:rPr>
              <w:t>158</w:t>
            </w:r>
          </w:p>
        </w:tc>
        <w:tc>
          <w:tcPr>
            <w:tcW w:w="2976" w:type="dxa"/>
            <w:vAlign w:val="center"/>
          </w:tcPr>
          <w:p>
            <w:pPr>
              <w:spacing w:before="78" w:beforeLines="25" w:after="78" w:afterLines="25"/>
              <w:jc w:val="center"/>
              <w:rPr>
                <w:sz w:val="18"/>
                <w:szCs w:val="21"/>
              </w:rPr>
            </w:pPr>
            <w:r>
              <w:rPr>
                <w:sz w:val="18"/>
                <w:szCs w:val="21"/>
              </w:rPr>
              <w:drawing>
                <wp:inline distT="0" distB="0" distL="0" distR="0">
                  <wp:extent cx="899795" cy="880745"/>
                  <wp:effectExtent l="0" t="0" r="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60"/>
                          <a:stretch>
                            <a:fillRect/>
                          </a:stretch>
                        </pic:blipFill>
                        <pic:spPr>
                          <a:xfrm>
                            <a:off x="0" y="0"/>
                            <a:ext cx="900000" cy="880961"/>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868" w:type="dxa"/>
            <w:vAlign w:val="center"/>
          </w:tcPr>
          <w:p>
            <w:pPr>
              <w:spacing w:before="78" w:beforeLines="25" w:after="78" w:afterLines="25"/>
              <w:jc w:val="center"/>
              <w:rPr>
                <w:sz w:val="18"/>
                <w:szCs w:val="21"/>
              </w:rPr>
            </w:pPr>
            <w:r>
              <w:rPr>
                <w:sz w:val="18"/>
                <w:szCs w:val="21"/>
              </w:rPr>
              <w:t>4</w:t>
            </w:r>
          </w:p>
        </w:tc>
        <w:tc>
          <w:tcPr>
            <w:tcW w:w="2388" w:type="dxa"/>
            <w:vAlign w:val="center"/>
          </w:tcPr>
          <w:p>
            <w:pPr>
              <w:spacing w:before="78" w:beforeLines="25" w:after="78" w:afterLines="25"/>
              <w:jc w:val="center"/>
              <w:rPr>
                <w:sz w:val="18"/>
                <w:szCs w:val="21"/>
              </w:rPr>
            </w:pPr>
            <w:r>
              <w:rPr>
                <w:sz w:val="18"/>
                <w:szCs w:val="21"/>
              </w:rPr>
              <w:t>半砖配砖</w:t>
            </w:r>
          </w:p>
        </w:tc>
        <w:tc>
          <w:tcPr>
            <w:tcW w:w="2268" w:type="dxa"/>
            <w:vAlign w:val="center"/>
          </w:tcPr>
          <w:p>
            <w:pPr>
              <w:spacing w:before="78" w:beforeLines="25" w:after="78" w:afterLines="25"/>
              <w:jc w:val="center"/>
              <w:rPr>
                <w:sz w:val="18"/>
                <w:szCs w:val="21"/>
              </w:rPr>
            </w:pPr>
            <w:r>
              <w:rPr>
                <w:sz w:val="18"/>
                <w:szCs w:val="21"/>
              </w:rPr>
              <w:t>199</w:t>
            </w:r>
            <w:r>
              <w:rPr>
                <w:rFonts w:hint="eastAsia"/>
                <w:sz w:val="18"/>
                <w:szCs w:val="21"/>
              </w:rPr>
              <w:t>×</w:t>
            </w:r>
            <w:r>
              <w:rPr>
                <w:sz w:val="18"/>
                <w:szCs w:val="21"/>
              </w:rPr>
              <w:t>200</w:t>
            </w:r>
            <w:r>
              <w:rPr>
                <w:rFonts w:hint="eastAsia"/>
                <w:sz w:val="18"/>
                <w:szCs w:val="21"/>
              </w:rPr>
              <w:t>×</w:t>
            </w:r>
            <w:r>
              <w:rPr>
                <w:sz w:val="18"/>
                <w:szCs w:val="21"/>
              </w:rPr>
              <w:t>158</w:t>
            </w:r>
          </w:p>
        </w:tc>
        <w:tc>
          <w:tcPr>
            <w:tcW w:w="2976" w:type="dxa"/>
            <w:vAlign w:val="center"/>
          </w:tcPr>
          <w:p>
            <w:pPr>
              <w:spacing w:before="78" w:beforeLines="25" w:after="78" w:afterLines="25"/>
              <w:jc w:val="center"/>
              <w:rPr>
                <w:sz w:val="18"/>
                <w:szCs w:val="21"/>
              </w:rPr>
            </w:pPr>
            <w:r>
              <w:rPr>
                <w:sz w:val="18"/>
                <w:szCs w:val="21"/>
              </w:rPr>
              <w:drawing>
                <wp:inline distT="0" distB="0" distL="0" distR="0">
                  <wp:extent cx="899795" cy="869950"/>
                  <wp:effectExtent l="0" t="0" r="0" b="635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61"/>
                          <a:stretch>
                            <a:fillRect/>
                          </a:stretch>
                        </pic:blipFill>
                        <pic:spPr>
                          <a:xfrm>
                            <a:off x="0" y="0"/>
                            <a:ext cx="900000" cy="870431"/>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868" w:type="dxa"/>
            <w:vAlign w:val="center"/>
          </w:tcPr>
          <w:p>
            <w:pPr>
              <w:spacing w:before="78" w:beforeLines="25" w:after="78" w:afterLines="25"/>
              <w:jc w:val="center"/>
              <w:rPr>
                <w:sz w:val="18"/>
                <w:szCs w:val="21"/>
              </w:rPr>
            </w:pPr>
            <w:r>
              <w:rPr>
                <w:sz w:val="18"/>
                <w:szCs w:val="21"/>
              </w:rPr>
              <w:t>5</w:t>
            </w:r>
          </w:p>
        </w:tc>
        <w:tc>
          <w:tcPr>
            <w:tcW w:w="2388" w:type="dxa"/>
            <w:vAlign w:val="center"/>
          </w:tcPr>
          <w:p>
            <w:pPr>
              <w:spacing w:before="78" w:beforeLines="25" w:after="78" w:afterLines="25"/>
              <w:jc w:val="center"/>
              <w:rPr>
                <w:sz w:val="18"/>
                <w:szCs w:val="21"/>
              </w:rPr>
            </w:pPr>
            <w:r>
              <w:rPr>
                <w:rFonts w:hint="eastAsia"/>
                <w:sz w:val="18"/>
                <w:szCs w:val="21"/>
              </w:rPr>
              <w:t>标砖</w:t>
            </w:r>
            <w:r>
              <w:rPr>
                <w:sz w:val="18"/>
                <w:szCs w:val="21"/>
              </w:rPr>
              <w:t>配砖（填充）</w:t>
            </w:r>
          </w:p>
        </w:tc>
        <w:tc>
          <w:tcPr>
            <w:tcW w:w="2268" w:type="dxa"/>
            <w:vAlign w:val="center"/>
          </w:tcPr>
          <w:p>
            <w:pPr>
              <w:spacing w:before="78" w:beforeLines="25" w:after="78" w:afterLines="25"/>
              <w:jc w:val="center"/>
              <w:rPr>
                <w:sz w:val="18"/>
                <w:szCs w:val="21"/>
              </w:rPr>
            </w:pPr>
            <w:r>
              <w:rPr>
                <w:sz w:val="18"/>
                <w:szCs w:val="21"/>
              </w:rPr>
              <w:t>398</w:t>
            </w:r>
            <w:r>
              <w:rPr>
                <w:rFonts w:hint="eastAsia"/>
                <w:sz w:val="18"/>
                <w:szCs w:val="21"/>
              </w:rPr>
              <w:t>×</w:t>
            </w:r>
            <w:r>
              <w:rPr>
                <w:sz w:val="18"/>
                <w:szCs w:val="21"/>
              </w:rPr>
              <w:t>200</w:t>
            </w:r>
            <w:r>
              <w:rPr>
                <w:rFonts w:hint="eastAsia"/>
                <w:sz w:val="18"/>
                <w:szCs w:val="21"/>
              </w:rPr>
              <w:t>×</w:t>
            </w:r>
            <w:r>
              <w:rPr>
                <w:sz w:val="18"/>
                <w:szCs w:val="21"/>
              </w:rPr>
              <w:t>158</w:t>
            </w:r>
          </w:p>
        </w:tc>
        <w:tc>
          <w:tcPr>
            <w:tcW w:w="2976" w:type="dxa"/>
            <w:vAlign w:val="center"/>
          </w:tcPr>
          <w:p>
            <w:pPr>
              <w:spacing w:before="78" w:beforeLines="25" w:after="78" w:afterLines="25"/>
              <w:jc w:val="center"/>
              <w:rPr>
                <w:sz w:val="18"/>
                <w:szCs w:val="21"/>
              </w:rPr>
            </w:pPr>
            <w:r>
              <w:rPr>
                <w:sz w:val="18"/>
                <w:szCs w:val="21"/>
              </w:rPr>
              <w:drawing>
                <wp:inline distT="0" distB="0" distL="0" distR="0">
                  <wp:extent cx="1079500" cy="877570"/>
                  <wp:effectExtent l="0" t="0" r="635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62"/>
                          <a:stretch>
                            <a:fillRect/>
                          </a:stretch>
                        </pic:blipFill>
                        <pic:spPr>
                          <a:xfrm>
                            <a:off x="0" y="0"/>
                            <a:ext cx="1080000" cy="877696"/>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68" w:type="dxa"/>
            <w:vAlign w:val="center"/>
          </w:tcPr>
          <w:p>
            <w:pPr>
              <w:spacing w:before="78" w:beforeLines="25" w:after="78" w:afterLines="25"/>
              <w:jc w:val="center"/>
              <w:rPr>
                <w:sz w:val="18"/>
                <w:szCs w:val="21"/>
              </w:rPr>
            </w:pPr>
            <w:r>
              <w:rPr>
                <w:sz w:val="18"/>
                <w:szCs w:val="21"/>
              </w:rPr>
              <w:t>6</w:t>
            </w:r>
          </w:p>
        </w:tc>
        <w:tc>
          <w:tcPr>
            <w:tcW w:w="2388" w:type="dxa"/>
            <w:vAlign w:val="center"/>
          </w:tcPr>
          <w:p>
            <w:pPr>
              <w:spacing w:before="78" w:beforeLines="25" w:after="78" w:afterLines="25"/>
              <w:jc w:val="center"/>
              <w:rPr>
                <w:sz w:val="18"/>
                <w:szCs w:val="21"/>
              </w:rPr>
            </w:pPr>
            <w:r>
              <w:rPr>
                <w:rFonts w:hint="eastAsia"/>
                <w:sz w:val="18"/>
                <w:szCs w:val="21"/>
              </w:rPr>
              <w:t>标砖</w:t>
            </w:r>
            <w:r>
              <w:rPr>
                <w:sz w:val="18"/>
                <w:szCs w:val="21"/>
              </w:rPr>
              <w:t>配砖</w:t>
            </w:r>
          </w:p>
        </w:tc>
        <w:tc>
          <w:tcPr>
            <w:tcW w:w="2268" w:type="dxa"/>
            <w:vAlign w:val="center"/>
          </w:tcPr>
          <w:p>
            <w:pPr>
              <w:spacing w:before="78" w:beforeLines="25" w:after="78" w:afterLines="25"/>
              <w:jc w:val="center"/>
              <w:rPr>
                <w:sz w:val="18"/>
                <w:szCs w:val="21"/>
              </w:rPr>
            </w:pPr>
            <w:r>
              <w:rPr>
                <w:sz w:val="18"/>
                <w:szCs w:val="21"/>
              </w:rPr>
              <w:t>398</w:t>
            </w:r>
            <w:r>
              <w:rPr>
                <w:rFonts w:hint="eastAsia"/>
                <w:sz w:val="18"/>
                <w:szCs w:val="21"/>
              </w:rPr>
              <w:t>×</w:t>
            </w:r>
            <w:r>
              <w:rPr>
                <w:sz w:val="18"/>
                <w:szCs w:val="21"/>
              </w:rPr>
              <w:t>200</w:t>
            </w:r>
            <w:r>
              <w:rPr>
                <w:rFonts w:hint="eastAsia"/>
                <w:sz w:val="18"/>
                <w:szCs w:val="21"/>
              </w:rPr>
              <w:t>×</w:t>
            </w:r>
            <w:r>
              <w:rPr>
                <w:sz w:val="18"/>
                <w:szCs w:val="21"/>
              </w:rPr>
              <w:t>158</w:t>
            </w:r>
          </w:p>
        </w:tc>
        <w:tc>
          <w:tcPr>
            <w:tcW w:w="2976" w:type="dxa"/>
            <w:vAlign w:val="center"/>
          </w:tcPr>
          <w:p>
            <w:pPr>
              <w:spacing w:before="78" w:beforeLines="25" w:after="78" w:afterLines="25"/>
              <w:jc w:val="center"/>
              <w:rPr>
                <w:sz w:val="18"/>
                <w:szCs w:val="21"/>
              </w:rPr>
            </w:pPr>
            <w:r>
              <w:rPr>
                <w:sz w:val="18"/>
                <w:szCs w:val="21"/>
              </w:rPr>
              <w:drawing>
                <wp:inline distT="0" distB="0" distL="0" distR="0">
                  <wp:extent cx="1079500" cy="930910"/>
                  <wp:effectExtent l="0" t="0" r="6350" b="2540"/>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pic:cNvPicPr>
                            <a:picLocks noChangeAspect="1"/>
                          </pic:cNvPicPr>
                        </pic:nvPicPr>
                        <pic:blipFill>
                          <a:blip r:embed="rId63"/>
                          <a:stretch>
                            <a:fillRect/>
                          </a:stretch>
                        </pic:blipFill>
                        <pic:spPr>
                          <a:xfrm>
                            <a:off x="0" y="0"/>
                            <a:ext cx="1080000" cy="931539"/>
                          </a:xfrm>
                          <a:prstGeom prst="rect">
                            <a:avLst/>
                          </a:prstGeom>
                        </pic:spPr>
                      </pic:pic>
                    </a:graphicData>
                  </a:graphic>
                </wp:inline>
              </w:drawing>
            </w:r>
          </w:p>
        </w:tc>
      </w:tr>
    </w:tbl>
    <w:p>
      <w:pPr>
        <w:pStyle w:val="81"/>
        <w:numPr>
          <w:ilvl w:val="0"/>
          <w:numId w:val="1"/>
        </w:numPr>
        <w:tabs>
          <w:tab w:val="left" w:pos="0"/>
        </w:tabs>
        <w:adjustRightInd w:val="0"/>
        <w:spacing w:line="360" w:lineRule="auto"/>
        <w:ind w:left="0" w:firstLine="0" w:firstLineChars="0"/>
        <w:outlineLvl w:val="2"/>
        <w:rPr>
          <w:rFonts w:eastAsiaTheme="minorEastAsia"/>
          <w:bCs/>
          <w:sz w:val="24"/>
        </w:rPr>
      </w:pPr>
      <w:r>
        <w:rPr>
          <w:rFonts w:eastAsiaTheme="minorEastAsia"/>
          <w:b/>
          <w:sz w:val="24"/>
          <w:szCs w:val="24"/>
        </w:rPr>
        <w:t>　</w:t>
      </w:r>
      <w:r>
        <w:rPr>
          <w:rFonts w:hint="eastAsia" w:eastAsiaTheme="minorEastAsia"/>
          <w:bCs/>
          <w:sz w:val="24"/>
        </w:rPr>
        <w:t>模壳砌块的技术要求，应符合设计要求及现行国家标准《普通混凝土小型砌块》</w:t>
      </w:r>
      <w:r>
        <w:rPr>
          <w:rFonts w:ascii="Times New Roman" w:hAnsi="Times New Roman" w:eastAsiaTheme="minorEastAsia"/>
          <w:bCs/>
          <w:sz w:val="24"/>
        </w:rPr>
        <w:t>GB/T 8239</w:t>
      </w:r>
      <w:r>
        <w:rPr>
          <w:rFonts w:hint="eastAsia" w:eastAsiaTheme="minorEastAsia"/>
          <w:bCs/>
          <w:sz w:val="24"/>
        </w:rPr>
        <w:t>的有关规定。</w:t>
      </w:r>
    </w:p>
    <w:p>
      <w:pPr>
        <w:pStyle w:val="81"/>
        <w:numPr>
          <w:ilvl w:val="0"/>
          <w:numId w:val="1"/>
        </w:numPr>
        <w:tabs>
          <w:tab w:val="left" w:pos="0"/>
        </w:tabs>
        <w:adjustRightInd w:val="0"/>
        <w:spacing w:line="360" w:lineRule="auto"/>
        <w:ind w:left="0" w:firstLine="0" w:firstLineChars="0"/>
        <w:outlineLvl w:val="2"/>
        <w:rPr>
          <w:rFonts w:eastAsiaTheme="minorEastAsia"/>
          <w:bCs/>
          <w:sz w:val="24"/>
        </w:rPr>
      </w:pPr>
      <w:r>
        <w:rPr>
          <w:rFonts w:eastAsiaTheme="minorEastAsia"/>
          <w:b/>
          <w:sz w:val="24"/>
          <w:szCs w:val="24"/>
        </w:rPr>
        <w:t>　</w:t>
      </w:r>
      <w:r>
        <w:rPr>
          <w:rFonts w:hint="eastAsia" w:ascii="Times New Roman" w:hAnsi="Times New Roman"/>
          <w:kern w:val="0"/>
          <w:sz w:val="24"/>
          <w:szCs w:val="24"/>
        </w:rPr>
        <w:t>模壳砌块砌体应采用专用粘接砂浆薄层挤出工艺砌筑。</w:t>
      </w:r>
    </w:p>
    <w:p>
      <w:pPr>
        <w:pStyle w:val="81"/>
        <w:numPr>
          <w:ilvl w:val="0"/>
          <w:numId w:val="1"/>
        </w:numPr>
        <w:tabs>
          <w:tab w:val="left" w:pos="0"/>
        </w:tabs>
        <w:adjustRightInd w:val="0"/>
        <w:spacing w:line="360" w:lineRule="auto"/>
        <w:ind w:left="0" w:firstLine="0" w:firstLineChars="0"/>
        <w:outlineLvl w:val="2"/>
        <w:rPr>
          <w:rFonts w:eastAsiaTheme="minorEastAsia"/>
          <w:bCs/>
          <w:sz w:val="24"/>
        </w:rPr>
      </w:pPr>
      <w:r>
        <w:rPr>
          <w:rFonts w:eastAsiaTheme="minorEastAsia"/>
          <w:b/>
          <w:sz w:val="24"/>
          <w:szCs w:val="24"/>
        </w:rPr>
        <w:t>　</w:t>
      </w:r>
      <w:r>
        <w:rPr>
          <w:rFonts w:hint="eastAsia" w:ascii="Times New Roman" w:hAnsi="Times New Roman"/>
          <w:kern w:val="0"/>
          <w:sz w:val="24"/>
          <w:szCs w:val="24"/>
        </w:rPr>
        <w:t>预制模壳砌块制作前，应详细掌握构件平、立面排块图，并应检查选用砌块的指标和种类。</w:t>
      </w:r>
    </w:p>
    <w:p>
      <w:pPr>
        <w:pStyle w:val="81"/>
        <w:numPr>
          <w:ilvl w:val="0"/>
          <w:numId w:val="1"/>
        </w:numPr>
        <w:tabs>
          <w:tab w:val="left" w:pos="0"/>
        </w:tabs>
        <w:adjustRightInd w:val="0"/>
        <w:spacing w:line="360" w:lineRule="auto"/>
        <w:ind w:left="0" w:firstLine="0" w:firstLineChars="0"/>
        <w:outlineLvl w:val="2"/>
        <w:rPr>
          <w:rFonts w:eastAsiaTheme="minorEastAsia"/>
          <w:bCs/>
          <w:sz w:val="24"/>
        </w:rPr>
      </w:pPr>
      <w:r>
        <w:rPr>
          <w:rFonts w:eastAsiaTheme="minorEastAsia"/>
          <w:b/>
          <w:sz w:val="24"/>
          <w:szCs w:val="24"/>
        </w:rPr>
        <w:t>　</w:t>
      </w:r>
      <w:r>
        <w:rPr>
          <w:rFonts w:hint="eastAsia" w:ascii="Times New Roman" w:hAnsi="Times New Roman"/>
          <w:kern w:val="0"/>
          <w:sz w:val="24"/>
          <w:szCs w:val="24"/>
        </w:rPr>
        <w:t>预制模壳砌块墙体施工砌筑过程中，应满足抗倾覆验算要求，并应采取临时支撑措施。</w:t>
      </w:r>
    </w:p>
    <w:p>
      <w:pPr>
        <w:pStyle w:val="81"/>
        <w:numPr>
          <w:ilvl w:val="0"/>
          <w:numId w:val="1"/>
        </w:numPr>
        <w:tabs>
          <w:tab w:val="left" w:pos="0"/>
        </w:tabs>
        <w:adjustRightInd w:val="0"/>
        <w:spacing w:line="360" w:lineRule="auto"/>
        <w:ind w:left="0" w:firstLine="0" w:firstLineChars="0"/>
        <w:outlineLvl w:val="2"/>
        <w:rPr>
          <w:rFonts w:ascii="Times New Roman" w:hAnsi="Times New Roman" w:eastAsiaTheme="minorEastAsia"/>
          <w:bCs/>
          <w:sz w:val="24"/>
          <w:szCs w:val="24"/>
        </w:rPr>
      </w:pPr>
      <w:r>
        <w:rPr>
          <w:rFonts w:hint="eastAsia" w:ascii="Times New Roman" w:hAnsi="Times New Roman" w:eastAsiaTheme="minorEastAsia"/>
          <w:bCs/>
          <w:sz w:val="24"/>
          <w:szCs w:val="24"/>
        </w:rPr>
        <w:t>　制作模壳砌块前应将模具内腔和上表面残留混凝土清理干净。</w:t>
      </w:r>
    </w:p>
    <w:p>
      <w:pPr>
        <w:pStyle w:val="81"/>
        <w:numPr>
          <w:ilvl w:val="0"/>
          <w:numId w:val="1"/>
        </w:numPr>
        <w:tabs>
          <w:tab w:val="left" w:pos="0"/>
        </w:tabs>
        <w:adjustRightInd w:val="0"/>
        <w:spacing w:line="360" w:lineRule="auto"/>
        <w:ind w:left="0" w:firstLine="0" w:firstLineChars="0"/>
        <w:outlineLvl w:val="2"/>
        <w:rPr>
          <w:rFonts w:ascii="Times New Roman" w:hAnsi="Times New Roman" w:eastAsiaTheme="minorEastAsia"/>
          <w:bCs/>
          <w:sz w:val="24"/>
          <w:szCs w:val="24"/>
        </w:rPr>
      </w:pPr>
      <w:r>
        <w:rPr>
          <w:rFonts w:hint="eastAsia" w:ascii="Times New Roman" w:hAnsi="Times New Roman" w:eastAsiaTheme="minorEastAsia"/>
          <w:bCs/>
          <w:sz w:val="24"/>
          <w:szCs w:val="24"/>
        </w:rPr>
        <w:t>　清理模具后，应在模具内腔和模具上表面喷涂脱模剂，使模壳砌块能够顺利脱模。</w:t>
      </w:r>
    </w:p>
    <w:p>
      <w:pPr>
        <w:pStyle w:val="81"/>
        <w:numPr>
          <w:ilvl w:val="0"/>
          <w:numId w:val="1"/>
        </w:numPr>
        <w:tabs>
          <w:tab w:val="left" w:pos="0"/>
        </w:tabs>
        <w:adjustRightInd w:val="0"/>
        <w:spacing w:line="360" w:lineRule="auto"/>
        <w:ind w:left="0" w:firstLine="0" w:firstLineChars="0"/>
        <w:outlineLvl w:val="2"/>
        <w:rPr>
          <w:rFonts w:ascii="Times New Roman" w:hAnsi="Times New Roman" w:eastAsiaTheme="minorEastAsia"/>
          <w:bCs/>
          <w:sz w:val="24"/>
          <w:szCs w:val="24"/>
        </w:rPr>
      </w:pPr>
      <w:r>
        <w:rPr>
          <w:rFonts w:hint="eastAsia" w:ascii="Times New Roman" w:hAnsi="Times New Roman" w:eastAsiaTheme="minorEastAsia"/>
          <w:bCs/>
          <w:sz w:val="24"/>
          <w:szCs w:val="24"/>
        </w:rPr>
        <w:t>　模壳砌块模具应按顺序放入生产线皮带上部，由皮带线自动送到布料机下部，布料机应把拌好的混凝土浇筑在模腔内，皮带机应自动振捣，模具内混凝土振捣密实后应跟随皮带前行，浇筑振捣完成的模壳砌块模具应送到下线处，模具和模壳砌块下线，应把模具和模壳砌块一起送进蒸养窑蒸养，蒸养温度应控制在</w:t>
      </w:r>
      <w:r>
        <w:rPr>
          <w:rFonts w:ascii="Times New Roman" w:hAnsi="Times New Roman" w:eastAsiaTheme="minorEastAsia"/>
          <w:bCs/>
          <w:sz w:val="24"/>
          <w:szCs w:val="24"/>
        </w:rPr>
        <w:t>50℃</w:t>
      </w:r>
      <w:r>
        <w:rPr>
          <w:rFonts w:hint="eastAsia" w:ascii="宋体" w:hAnsi="宋体"/>
          <w:bCs/>
          <w:sz w:val="24"/>
          <w:szCs w:val="24"/>
        </w:rPr>
        <w:t>～</w:t>
      </w:r>
      <w:r>
        <w:rPr>
          <w:rFonts w:ascii="Times New Roman" w:hAnsi="Times New Roman" w:eastAsiaTheme="minorEastAsia"/>
          <w:bCs/>
          <w:sz w:val="24"/>
          <w:szCs w:val="24"/>
        </w:rPr>
        <w:t>60 ℃</w:t>
      </w:r>
      <w:r>
        <w:rPr>
          <w:rFonts w:hint="eastAsia" w:ascii="Times New Roman" w:hAnsi="Times New Roman" w:eastAsiaTheme="minorEastAsia"/>
          <w:bCs/>
          <w:sz w:val="24"/>
          <w:szCs w:val="24"/>
        </w:rPr>
        <w:t>，湿度控制在</w:t>
      </w:r>
      <w:r>
        <w:rPr>
          <w:rFonts w:ascii="Times New Roman" w:hAnsi="Times New Roman" w:eastAsiaTheme="minorEastAsia"/>
          <w:bCs/>
          <w:sz w:val="24"/>
          <w:szCs w:val="24"/>
        </w:rPr>
        <w:t>95%</w:t>
      </w:r>
      <w:r>
        <w:rPr>
          <w:rFonts w:hint="eastAsia" w:ascii="Times New Roman" w:hAnsi="Times New Roman" w:eastAsiaTheme="minorEastAsia"/>
          <w:bCs/>
          <w:sz w:val="24"/>
          <w:szCs w:val="24"/>
        </w:rPr>
        <w:t>左右，并应蒸养</w:t>
      </w:r>
      <w:r>
        <w:rPr>
          <w:rFonts w:ascii="Times New Roman" w:hAnsi="Times New Roman" w:eastAsiaTheme="minorEastAsia"/>
          <w:bCs/>
          <w:sz w:val="24"/>
          <w:szCs w:val="24"/>
        </w:rPr>
        <w:t>8</w:t>
      </w:r>
      <w:r>
        <w:rPr>
          <w:rFonts w:hint="eastAsia" w:ascii="Times New Roman" w:hAnsi="Times New Roman" w:eastAsiaTheme="minorEastAsia"/>
          <w:bCs/>
          <w:sz w:val="24"/>
          <w:szCs w:val="24"/>
        </w:rPr>
        <w:t>小时。</w:t>
      </w:r>
    </w:p>
    <w:p>
      <w:pPr>
        <w:pStyle w:val="81"/>
        <w:numPr>
          <w:ilvl w:val="0"/>
          <w:numId w:val="1"/>
        </w:numPr>
        <w:tabs>
          <w:tab w:val="left" w:pos="0"/>
        </w:tabs>
        <w:adjustRightInd w:val="0"/>
        <w:spacing w:line="360" w:lineRule="auto"/>
        <w:ind w:left="0" w:firstLine="0" w:firstLineChars="0"/>
        <w:outlineLvl w:val="2"/>
        <w:rPr>
          <w:rFonts w:ascii="Times New Roman" w:hAnsi="Times New Roman" w:eastAsiaTheme="minorEastAsia"/>
          <w:bCs/>
          <w:sz w:val="24"/>
          <w:szCs w:val="24"/>
        </w:rPr>
      </w:pPr>
      <w:r>
        <w:rPr>
          <w:rFonts w:hint="eastAsia" w:ascii="Times New Roman" w:hAnsi="Times New Roman" w:eastAsiaTheme="minorEastAsia"/>
          <w:bCs/>
          <w:sz w:val="24"/>
          <w:szCs w:val="24"/>
        </w:rPr>
        <w:t>　模壳砌块养护完毕后应从养护窑取出并进行拆模，拆除模具四周螺栓后应打开模具，取出模壳砌块，模壳砌块码垛打包后应用叉车转运至堆场。</w:t>
      </w:r>
    </w:p>
    <w:p>
      <w:pPr>
        <w:pStyle w:val="81"/>
        <w:numPr>
          <w:ilvl w:val="0"/>
          <w:numId w:val="1"/>
        </w:numPr>
        <w:tabs>
          <w:tab w:val="left" w:pos="0"/>
        </w:tabs>
        <w:adjustRightInd w:val="0"/>
        <w:spacing w:line="360" w:lineRule="auto"/>
        <w:ind w:left="0" w:firstLine="0" w:firstLineChars="0"/>
        <w:outlineLvl w:val="2"/>
        <w:rPr>
          <w:rFonts w:ascii="Times New Roman" w:hAnsi="Times New Roman"/>
          <w:kern w:val="0"/>
          <w:sz w:val="24"/>
          <w:szCs w:val="24"/>
        </w:rPr>
      </w:pPr>
      <w:r>
        <w:rPr>
          <w:rFonts w:ascii="Times New Roman" w:hAnsi="Times New Roman" w:eastAsiaTheme="minorEastAsia"/>
          <w:bCs/>
          <w:sz w:val="24"/>
          <w:szCs w:val="24"/>
        </w:rPr>
        <w:t>　</w:t>
      </w:r>
      <w:r>
        <w:rPr>
          <w:rFonts w:hint="eastAsia" w:ascii="Times New Roman" w:hAnsi="Times New Roman" w:eastAsiaTheme="minorEastAsia"/>
          <w:bCs/>
          <w:sz w:val="24"/>
          <w:szCs w:val="24"/>
        </w:rPr>
        <w:t>模壳砌块的混凝土强度达到设计强度时方可进行打包、运输，将模壳砌块摆放在托盘上，高度不应超过1.2</w:t>
      </w:r>
      <w:r>
        <w:rPr>
          <w:rFonts w:ascii="Times New Roman" w:hAnsi="Times New Roman" w:eastAsiaTheme="minorEastAsia"/>
          <w:bCs/>
          <w:sz w:val="24"/>
          <w:szCs w:val="24"/>
        </w:rPr>
        <w:t xml:space="preserve"> </w:t>
      </w:r>
      <w:r>
        <w:rPr>
          <w:rFonts w:hint="eastAsia" w:ascii="Times New Roman" w:hAnsi="Times New Roman" w:eastAsiaTheme="minorEastAsia"/>
          <w:bCs/>
          <w:sz w:val="24"/>
          <w:szCs w:val="24"/>
        </w:rPr>
        <w:t>m，应用专用打包工具打包。不同托盘之间应有限位措施并应绑扎牢固，同时应做好易碰部位的边角保护。</w:t>
      </w:r>
    </w:p>
    <w:p>
      <w:pPr>
        <w:pStyle w:val="81"/>
        <w:numPr>
          <w:ilvl w:val="0"/>
          <w:numId w:val="1"/>
        </w:numPr>
        <w:tabs>
          <w:tab w:val="left" w:pos="0"/>
        </w:tabs>
        <w:adjustRightInd w:val="0"/>
        <w:spacing w:line="360" w:lineRule="auto"/>
        <w:ind w:left="0" w:firstLine="0" w:firstLineChars="0"/>
        <w:outlineLvl w:val="2"/>
        <w:rPr>
          <w:rFonts w:ascii="Times New Roman" w:hAnsi="Times New Roman"/>
          <w:kern w:val="0"/>
          <w:sz w:val="24"/>
          <w:szCs w:val="24"/>
        </w:rPr>
      </w:pPr>
      <w:r>
        <w:rPr>
          <w:rFonts w:ascii="Times New Roman" w:hAnsi="Times New Roman" w:eastAsiaTheme="minorEastAsia"/>
          <w:bCs/>
          <w:sz w:val="24"/>
          <w:szCs w:val="24"/>
        </w:rPr>
        <w:t>　</w:t>
      </w:r>
      <w:r>
        <w:rPr>
          <w:rFonts w:hint="eastAsia" w:ascii="Times New Roman" w:hAnsi="Times New Roman"/>
          <w:kern w:val="0"/>
          <w:sz w:val="24"/>
          <w:szCs w:val="24"/>
        </w:rPr>
        <w:t>预制模壳砌块运输应采取措施，</w:t>
      </w:r>
      <w:r>
        <w:rPr>
          <w:rFonts w:hint="eastAsia" w:ascii="Times New Roman" w:hAnsi="Times New Roman" w:eastAsiaTheme="minorEastAsia"/>
          <w:bCs/>
          <w:sz w:val="24"/>
          <w:szCs w:val="24"/>
        </w:rPr>
        <w:t>对砖块的四角等薄弱部位，应采用定型保护垫块或专用式附套件加强保护，</w:t>
      </w:r>
      <w:r>
        <w:rPr>
          <w:rFonts w:hint="eastAsia" w:ascii="Times New Roman" w:hAnsi="Times New Roman"/>
          <w:kern w:val="0"/>
          <w:sz w:val="24"/>
          <w:szCs w:val="24"/>
        </w:rPr>
        <w:t>保证运输期间模壳砌块的完整性。</w:t>
      </w:r>
    </w:p>
    <w:p>
      <w:pPr>
        <w:pStyle w:val="81"/>
        <w:numPr>
          <w:ilvl w:val="0"/>
          <w:numId w:val="1"/>
        </w:numPr>
        <w:tabs>
          <w:tab w:val="left" w:pos="0"/>
        </w:tabs>
        <w:adjustRightInd w:val="0"/>
        <w:spacing w:line="360" w:lineRule="auto"/>
        <w:ind w:left="0" w:firstLine="0" w:firstLineChars="0"/>
        <w:outlineLvl w:val="2"/>
        <w:rPr>
          <w:rFonts w:ascii="宋体" w:hAnsi="宋体"/>
          <w:bCs/>
          <w:sz w:val="24"/>
          <w:szCs w:val="24"/>
        </w:rPr>
      </w:pPr>
      <w:r>
        <w:rPr>
          <w:rFonts w:ascii="宋体" w:hAnsi="宋体"/>
          <w:bCs/>
          <w:sz w:val="24"/>
          <w:szCs w:val="24"/>
        </w:rPr>
        <w:t>　</w:t>
      </w:r>
      <w:r>
        <w:rPr>
          <w:rStyle w:val="36"/>
          <w:rFonts w:hint="eastAsia" w:ascii="宋体" w:hAnsi="宋体"/>
          <w:i w:val="0"/>
          <w:iCs w:val="0"/>
          <w:sz w:val="24"/>
          <w:szCs w:val="24"/>
          <w:shd w:val="clear" w:color="auto" w:fill="FFFFFF"/>
        </w:rPr>
        <w:t>模壳砌块进场时</w:t>
      </w:r>
      <w:r>
        <w:rPr>
          <w:rStyle w:val="36"/>
          <w:rFonts w:ascii="宋体" w:hAnsi="宋体"/>
          <w:i w:val="0"/>
          <w:iCs w:val="0"/>
          <w:sz w:val="24"/>
          <w:szCs w:val="24"/>
          <w:shd w:val="clear" w:color="auto" w:fill="FFFFFF"/>
        </w:rPr>
        <w:t>应</w:t>
      </w:r>
      <w:r>
        <w:rPr>
          <w:rStyle w:val="36"/>
          <w:rFonts w:hint="eastAsia" w:ascii="宋体" w:hAnsi="宋体"/>
          <w:i w:val="0"/>
          <w:iCs w:val="0"/>
          <w:sz w:val="24"/>
          <w:szCs w:val="24"/>
          <w:shd w:val="clear" w:color="auto" w:fill="FFFFFF"/>
        </w:rPr>
        <w:t>检验</w:t>
      </w:r>
      <w:r>
        <w:rPr>
          <w:rStyle w:val="36"/>
          <w:rFonts w:ascii="宋体" w:hAnsi="宋体"/>
          <w:i w:val="0"/>
          <w:iCs w:val="0"/>
          <w:sz w:val="24"/>
          <w:szCs w:val="24"/>
          <w:shd w:val="clear" w:color="auto" w:fill="FFFFFF"/>
        </w:rPr>
        <w:t>产品出厂合格证，经外观检查验收，整体观感良好</w:t>
      </w:r>
      <w:r>
        <w:rPr>
          <w:rStyle w:val="36"/>
          <w:rFonts w:hint="eastAsia" w:ascii="宋体" w:hAnsi="宋体"/>
          <w:i w:val="0"/>
          <w:iCs w:val="0"/>
          <w:sz w:val="24"/>
          <w:szCs w:val="24"/>
          <w:shd w:val="clear" w:color="auto" w:fill="FFFFFF"/>
        </w:rPr>
        <w:t>、表面</w:t>
      </w:r>
      <w:r>
        <w:rPr>
          <w:rStyle w:val="36"/>
          <w:rFonts w:ascii="宋体" w:hAnsi="宋体"/>
          <w:i w:val="0"/>
          <w:iCs w:val="0"/>
          <w:sz w:val="24"/>
          <w:szCs w:val="24"/>
          <w:shd w:val="clear" w:color="auto" w:fill="FFFFFF"/>
        </w:rPr>
        <w:t>整洁</w:t>
      </w:r>
      <w:r>
        <w:rPr>
          <w:rStyle w:val="36"/>
          <w:rFonts w:hint="eastAsia" w:ascii="宋体" w:hAnsi="宋体"/>
          <w:i w:val="0"/>
          <w:iCs w:val="0"/>
          <w:sz w:val="24"/>
          <w:szCs w:val="24"/>
          <w:shd w:val="clear" w:color="auto" w:fill="FFFFFF"/>
        </w:rPr>
        <w:t>，</w:t>
      </w:r>
      <w:r>
        <w:rPr>
          <w:rStyle w:val="36"/>
          <w:rFonts w:ascii="宋体" w:hAnsi="宋体"/>
          <w:i w:val="0"/>
          <w:iCs w:val="0"/>
          <w:sz w:val="24"/>
          <w:szCs w:val="24"/>
          <w:shd w:val="clear" w:color="auto" w:fill="FFFFFF"/>
        </w:rPr>
        <w:t>且不得有污染、缺角、少棱等质量缺陷</w:t>
      </w:r>
      <w:r>
        <w:rPr>
          <w:rStyle w:val="36"/>
          <w:rFonts w:hint="eastAsia" w:ascii="宋体" w:hAnsi="宋体"/>
          <w:i w:val="0"/>
          <w:iCs w:val="0"/>
          <w:sz w:val="24"/>
          <w:szCs w:val="24"/>
          <w:shd w:val="clear" w:color="auto" w:fill="FFFFFF"/>
        </w:rPr>
        <w:t>。</w:t>
      </w:r>
    </w:p>
    <w:p>
      <w:pPr>
        <w:pStyle w:val="81"/>
        <w:numPr>
          <w:ilvl w:val="0"/>
          <w:numId w:val="1"/>
        </w:numPr>
        <w:tabs>
          <w:tab w:val="left" w:pos="0"/>
        </w:tabs>
        <w:adjustRightInd w:val="0"/>
        <w:spacing w:line="360" w:lineRule="auto"/>
        <w:ind w:left="0" w:firstLine="0" w:firstLineChars="0"/>
        <w:outlineLvl w:val="2"/>
        <w:rPr>
          <w:rFonts w:ascii="Times New Roman" w:hAnsi="Times New Roman"/>
          <w:kern w:val="0"/>
          <w:sz w:val="24"/>
          <w:szCs w:val="24"/>
        </w:rPr>
      </w:pPr>
      <w:r>
        <w:rPr>
          <w:rFonts w:ascii="Times New Roman" w:hAnsi="Times New Roman" w:eastAsiaTheme="minorEastAsia"/>
          <w:bCs/>
          <w:sz w:val="24"/>
          <w:szCs w:val="24"/>
        </w:rPr>
        <w:t>　</w:t>
      </w:r>
      <w:r>
        <w:rPr>
          <w:rFonts w:hint="eastAsia" w:ascii="Times New Roman" w:hAnsi="Times New Roman" w:eastAsiaTheme="minorEastAsia"/>
          <w:bCs/>
          <w:sz w:val="24"/>
          <w:szCs w:val="24"/>
        </w:rPr>
        <w:t>模壳砌块存放场地应坚实平整，应有排水措施。运输车进入现场的道路，应满足砖块的运输要求，卸放吊装作业范围内，不得有障碍物，并应有满足砖块周转使用的场地，现场堆置宜按一托盘为单位。</w:t>
      </w:r>
    </w:p>
    <w:p>
      <w:pPr>
        <w:pStyle w:val="81"/>
        <w:numPr>
          <w:ilvl w:val="0"/>
          <w:numId w:val="1"/>
        </w:numPr>
        <w:tabs>
          <w:tab w:val="left" w:pos="0"/>
        </w:tabs>
        <w:adjustRightInd w:val="0"/>
        <w:spacing w:line="360" w:lineRule="auto"/>
        <w:ind w:left="0" w:firstLine="0" w:firstLineChars="0"/>
        <w:outlineLvl w:val="2"/>
        <w:rPr>
          <w:rFonts w:ascii="Times New Roman" w:hAnsi="Times New Roman"/>
          <w:kern w:val="0"/>
          <w:sz w:val="24"/>
          <w:szCs w:val="24"/>
        </w:rPr>
      </w:pPr>
      <w:r>
        <w:rPr>
          <w:rFonts w:hint="eastAsia" w:ascii="Times New Roman" w:hAnsi="Times New Roman" w:eastAsiaTheme="minorEastAsia"/>
          <w:bCs/>
          <w:sz w:val="24"/>
          <w:szCs w:val="24"/>
        </w:rPr>
        <w:t>　</w:t>
      </w:r>
      <w:r>
        <w:rPr>
          <w:rFonts w:hint="eastAsia" w:ascii="Times New Roman" w:hAnsi="Times New Roman"/>
          <w:kern w:val="0"/>
          <w:sz w:val="24"/>
          <w:szCs w:val="24"/>
        </w:rPr>
        <w:t>预制模壳砌块</w:t>
      </w:r>
      <w:r>
        <w:rPr>
          <w:rFonts w:hint="eastAsia" w:ascii="Times New Roman" w:hAnsi="Times New Roman"/>
          <w:kern w:val="0"/>
          <w:sz w:val="24"/>
        </w:rPr>
        <w:t>存放时标识信息应完整，</w:t>
      </w:r>
      <w:r>
        <w:rPr>
          <w:rFonts w:hint="eastAsia" w:ascii="Times New Roman" w:hAnsi="Times New Roman"/>
          <w:kern w:val="0"/>
          <w:sz w:val="24"/>
          <w:szCs w:val="24"/>
        </w:rPr>
        <w:t>不同强度等级砌块产品应分类堆放，并应设置明显标识。</w:t>
      </w:r>
    </w:p>
    <w:p>
      <w:pPr>
        <w:pStyle w:val="81"/>
        <w:numPr>
          <w:ilvl w:val="0"/>
          <w:numId w:val="1"/>
        </w:numPr>
        <w:tabs>
          <w:tab w:val="left" w:pos="0"/>
        </w:tabs>
        <w:adjustRightInd w:val="0"/>
        <w:spacing w:line="360" w:lineRule="auto"/>
        <w:ind w:left="0" w:firstLine="0" w:firstLineChars="0"/>
        <w:outlineLvl w:val="2"/>
        <w:rPr>
          <w:rFonts w:ascii="Times New Roman" w:hAnsi="Times New Roman" w:eastAsiaTheme="minorEastAsia"/>
          <w:bCs/>
          <w:sz w:val="24"/>
          <w:szCs w:val="24"/>
        </w:rPr>
      </w:pPr>
      <w:r>
        <w:rPr>
          <w:rFonts w:ascii="Times New Roman" w:hAnsi="Times New Roman" w:eastAsiaTheme="minorEastAsia"/>
          <w:bCs/>
          <w:sz w:val="24"/>
          <w:szCs w:val="24"/>
        </w:rPr>
        <w:t>　</w:t>
      </w:r>
      <w:r>
        <w:rPr>
          <w:rFonts w:hint="eastAsia" w:ascii="Times New Roman" w:hAnsi="Times New Roman" w:eastAsiaTheme="minorEastAsia"/>
          <w:bCs/>
          <w:sz w:val="24"/>
          <w:szCs w:val="24"/>
        </w:rPr>
        <w:t>堆放在现场的模壳砌块，堆置高度在硬化场地不宜超过</w:t>
      </w:r>
      <w:r>
        <w:rPr>
          <w:rFonts w:ascii="Times New Roman" w:hAnsi="Times New Roman" w:eastAsiaTheme="minorEastAsia"/>
          <w:bCs/>
          <w:sz w:val="24"/>
          <w:szCs w:val="24"/>
        </w:rPr>
        <w:t>2.4 m</w:t>
      </w:r>
      <w:r>
        <w:rPr>
          <w:rFonts w:hint="eastAsia" w:ascii="Times New Roman" w:hAnsi="Times New Roman" w:eastAsiaTheme="minorEastAsia"/>
          <w:bCs/>
          <w:sz w:val="24"/>
          <w:szCs w:val="24"/>
        </w:rPr>
        <w:t>，在非硬化场地不宜超过</w:t>
      </w:r>
      <w:r>
        <w:rPr>
          <w:rFonts w:ascii="Times New Roman" w:hAnsi="Times New Roman" w:eastAsiaTheme="minorEastAsia"/>
          <w:bCs/>
          <w:sz w:val="24"/>
          <w:szCs w:val="24"/>
        </w:rPr>
        <w:t>1.2 m</w:t>
      </w:r>
      <w:r>
        <w:rPr>
          <w:rFonts w:hint="eastAsia" w:ascii="Times New Roman" w:hAnsi="Times New Roman" w:eastAsiaTheme="minorEastAsia"/>
          <w:bCs/>
          <w:sz w:val="24"/>
          <w:szCs w:val="24"/>
        </w:rPr>
        <w:t>；垛间宜留适当宽度的通道，并宜设置防雨设施。</w:t>
      </w:r>
    </w:p>
    <w:p>
      <w:pPr>
        <w:pStyle w:val="81"/>
        <w:numPr>
          <w:ilvl w:val="0"/>
          <w:numId w:val="1"/>
        </w:numPr>
        <w:tabs>
          <w:tab w:val="left" w:pos="0"/>
        </w:tabs>
        <w:adjustRightInd w:val="0"/>
        <w:spacing w:line="360" w:lineRule="auto"/>
        <w:ind w:left="0" w:firstLine="0" w:firstLineChars="0"/>
        <w:outlineLvl w:val="2"/>
        <w:rPr>
          <w:rFonts w:eastAsiaTheme="minorEastAsia"/>
          <w:b/>
          <w:sz w:val="32"/>
        </w:rPr>
      </w:pPr>
      <w:r>
        <w:rPr>
          <w:rFonts w:hint="eastAsia" w:ascii="Times New Roman" w:hAnsi="Times New Roman" w:eastAsiaTheme="minorEastAsia"/>
          <w:bCs/>
          <w:sz w:val="24"/>
          <w:szCs w:val="24"/>
        </w:rPr>
        <w:t>　</w:t>
      </w:r>
      <w:r>
        <w:rPr>
          <w:rFonts w:hint="eastAsia" w:eastAsiaTheme="minorEastAsia"/>
          <w:bCs/>
          <w:sz w:val="24"/>
          <w:szCs w:val="24"/>
        </w:rPr>
        <w:t>模壳砌块堆放场地不宜免选择地下室顶板，如若选择地下室顶板，施工总承包单位应拿出完整的施工方案，经设计单位复核确认后，方可堆放。</w:t>
      </w:r>
      <w:r>
        <w:rPr>
          <w:rFonts w:eastAsiaTheme="minorEastAsia"/>
          <w:sz w:val="32"/>
        </w:rPr>
        <w:br w:type="page"/>
      </w:r>
    </w:p>
    <w:p>
      <w:pPr>
        <w:pStyle w:val="45"/>
        <w:spacing w:before="312" w:after="312"/>
        <w:ind w:left="420" w:hanging="420"/>
        <w:rPr>
          <w:rFonts w:eastAsiaTheme="minorEastAsia"/>
          <w:sz w:val="32"/>
        </w:rPr>
      </w:pPr>
      <w:r>
        <w:rPr>
          <w:rFonts w:eastAsiaTheme="minorEastAsia"/>
          <w:sz w:val="32"/>
        </w:rPr>
        <w:t>7　施工与验收</w:t>
      </w:r>
      <w:bookmarkEnd w:id="127"/>
      <w:bookmarkEnd w:id="128"/>
      <w:bookmarkEnd w:id="129"/>
      <w:bookmarkEnd w:id="130"/>
      <w:bookmarkEnd w:id="131"/>
      <w:bookmarkEnd w:id="132"/>
    </w:p>
    <w:p>
      <w:pPr>
        <w:pStyle w:val="46"/>
      </w:pPr>
      <w:bookmarkStart w:id="133" w:name="_Toc491939397"/>
      <w:bookmarkStart w:id="134" w:name="_Toc498503078"/>
      <w:bookmarkStart w:id="135" w:name="_Toc41895210"/>
      <w:bookmarkStart w:id="136" w:name="_Toc492029353"/>
      <w:bookmarkStart w:id="137" w:name="_Toc149766331"/>
      <w:bookmarkStart w:id="138" w:name="_Toc492037690"/>
      <w:bookmarkStart w:id="139" w:name="_Toc149766389"/>
      <w:bookmarkStart w:id="140" w:name="_Toc11429"/>
      <w:bookmarkStart w:id="141" w:name="_Toc148994666"/>
      <w:bookmarkStart w:id="142" w:name="_Toc20240119"/>
      <w:r>
        <w:t>7.1　</w:t>
      </w:r>
      <w:bookmarkEnd w:id="133"/>
      <w:r>
        <w:t>一般规定</w:t>
      </w:r>
      <w:bookmarkEnd w:id="134"/>
      <w:bookmarkEnd w:id="135"/>
      <w:bookmarkEnd w:id="136"/>
      <w:bookmarkEnd w:id="137"/>
      <w:bookmarkEnd w:id="138"/>
      <w:bookmarkEnd w:id="139"/>
      <w:bookmarkEnd w:id="140"/>
      <w:bookmarkEnd w:id="141"/>
      <w:bookmarkEnd w:id="142"/>
    </w:p>
    <w:bookmarkEnd w:id="42"/>
    <w:p>
      <w:pPr>
        <w:tabs>
          <w:tab w:val="left" w:pos="425"/>
          <w:tab w:val="left" w:pos="735"/>
        </w:tabs>
        <w:adjustRightInd w:val="0"/>
        <w:spacing w:line="360" w:lineRule="auto"/>
        <w:outlineLvl w:val="2"/>
        <w:rPr>
          <w:sz w:val="24"/>
        </w:rPr>
      </w:pPr>
      <w:bookmarkStart w:id="143" w:name="_Toc20240120"/>
      <w:bookmarkStart w:id="144" w:name="_Toc10138"/>
      <w:bookmarkStart w:id="145" w:name="_Toc14352238"/>
      <w:bookmarkStart w:id="146" w:name="_Toc41895211"/>
      <w:r>
        <w:rPr>
          <w:rFonts w:eastAsiaTheme="minorEastAsia"/>
          <w:b/>
          <w:sz w:val="24"/>
          <w:szCs w:val="24"/>
        </w:rPr>
        <w:t>7.1.1　</w:t>
      </w:r>
      <w:r>
        <w:rPr>
          <w:sz w:val="24"/>
        </w:rPr>
        <w:t>模壳砌块砌体结构的施工安装应符合现行国家标准《混凝土结构工程施工规范》GB 50666</w:t>
      </w:r>
      <w:r>
        <w:rPr>
          <w:rFonts w:hint="eastAsia"/>
          <w:sz w:val="24"/>
        </w:rPr>
        <w:t>和</w:t>
      </w:r>
      <w:r>
        <w:rPr>
          <w:sz w:val="24"/>
        </w:rPr>
        <w:t>《砌体结构工程施工规范》GB 50924的有关规定。预制模壳砌块制作</w:t>
      </w:r>
      <w:r>
        <w:rPr>
          <w:rFonts w:hint="eastAsia"/>
          <w:sz w:val="24"/>
        </w:rPr>
        <w:t>应</w:t>
      </w:r>
      <w:r>
        <w:rPr>
          <w:sz w:val="24"/>
        </w:rPr>
        <w:t>在工厂完成质量检验，合格后方可出厂。</w:t>
      </w:r>
    </w:p>
    <w:p>
      <w:pPr>
        <w:tabs>
          <w:tab w:val="left" w:pos="425"/>
          <w:tab w:val="left" w:pos="735"/>
        </w:tabs>
        <w:adjustRightInd w:val="0"/>
        <w:spacing w:line="360" w:lineRule="auto"/>
        <w:outlineLvl w:val="2"/>
        <w:rPr>
          <w:sz w:val="24"/>
        </w:rPr>
      </w:pPr>
      <w:r>
        <w:rPr>
          <w:rFonts w:eastAsiaTheme="minorEastAsia"/>
          <w:b/>
          <w:sz w:val="24"/>
          <w:szCs w:val="24"/>
        </w:rPr>
        <w:t>7.1.2　</w:t>
      </w:r>
      <w:r>
        <w:rPr>
          <w:rFonts w:hint="eastAsia"/>
          <w:sz w:val="24"/>
        </w:rPr>
        <w:t>模壳砌块砌体结构</w:t>
      </w:r>
      <w:r>
        <w:rPr>
          <w:sz w:val="24"/>
        </w:rPr>
        <w:t>所用材料应有产品合格证书、产品性能型式检验报告，质量应符合国家现行有关标准的规定。模壳砌块、水泥、</w:t>
      </w:r>
      <w:r>
        <w:rPr>
          <w:rFonts w:hint="eastAsia"/>
          <w:sz w:val="24"/>
        </w:rPr>
        <w:t>钢材</w:t>
      </w:r>
      <w:r>
        <w:rPr>
          <w:sz w:val="24"/>
        </w:rPr>
        <w:t>、外加剂应有材料主要性能的进场复验报告，并应满足设计要求。</w:t>
      </w:r>
    </w:p>
    <w:p>
      <w:pPr>
        <w:tabs>
          <w:tab w:val="left" w:pos="425"/>
          <w:tab w:val="left" w:pos="735"/>
        </w:tabs>
        <w:adjustRightInd w:val="0"/>
        <w:spacing w:line="360" w:lineRule="auto"/>
        <w:outlineLvl w:val="2"/>
        <w:rPr>
          <w:sz w:val="24"/>
        </w:rPr>
      </w:pPr>
      <w:r>
        <w:rPr>
          <w:rFonts w:eastAsiaTheme="minorEastAsia"/>
          <w:b/>
          <w:sz w:val="24"/>
          <w:szCs w:val="24"/>
        </w:rPr>
        <w:t>7.1.3　</w:t>
      </w:r>
      <w:r>
        <w:rPr>
          <w:sz w:val="24"/>
        </w:rPr>
        <w:t>砌筑</w:t>
      </w:r>
      <w:r>
        <w:rPr>
          <w:rFonts w:hint="eastAsia"/>
          <w:sz w:val="24"/>
        </w:rPr>
        <w:t>材料应采用专用粘接材料；</w:t>
      </w:r>
      <w:r>
        <w:rPr>
          <w:sz w:val="24"/>
        </w:rPr>
        <w:t>砂浆和混凝土应进行配合比设计，当组成材料有变更时，其配合比应重新确定。</w:t>
      </w:r>
    </w:p>
    <w:p>
      <w:pPr>
        <w:tabs>
          <w:tab w:val="left" w:pos="425"/>
          <w:tab w:val="left" w:pos="735"/>
        </w:tabs>
        <w:adjustRightInd w:val="0"/>
        <w:spacing w:line="360" w:lineRule="auto"/>
        <w:outlineLvl w:val="2"/>
        <w:rPr>
          <w:sz w:val="24"/>
        </w:rPr>
      </w:pPr>
      <w:r>
        <w:rPr>
          <w:rFonts w:eastAsiaTheme="minorEastAsia"/>
          <w:b/>
          <w:sz w:val="24"/>
          <w:szCs w:val="24"/>
        </w:rPr>
        <w:t>7.1.4　</w:t>
      </w:r>
      <w:r>
        <w:rPr>
          <w:sz w:val="24"/>
        </w:rPr>
        <w:t>砌体施工质量控制等级不应低于B级。</w:t>
      </w:r>
    </w:p>
    <w:p>
      <w:pPr>
        <w:tabs>
          <w:tab w:val="left" w:pos="425"/>
          <w:tab w:val="left" w:pos="735"/>
        </w:tabs>
        <w:adjustRightInd w:val="0"/>
        <w:spacing w:line="360" w:lineRule="auto"/>
        <w:outlineLvl w:val="2"/>
        <w:rPr>
          <w:sz w:val="24"/>
        </w:rPr>
      </w:pPr>
      <w:r>
        <w:rPr>
          <w:rFonts w:eastAsiaTheme="minorEastAsia"/>
          <w:b/>
          <w:sz w:val="24"/>
          <w:szCs w:val="24"/>
        </w:rPr>
        <w:t>7.1.5　</w:t>
      </w:r>
      <w:r>
        <w:rPr>
          <w:sz w:val="24"/>
        </w:rPr>
        <w:t>冬期施工时应有完整的冬期施工方案，并应符合现行行业标准《建筑工程冬期施工规程》JGJ</w:t>
      </w:r>
      <w:r>
        <w:rPr>
          <w:rFonts w:hint="eastAsia"/>
          <w:sz w:val="24"/>
        </w:rPr>
        <w:t>/</w:t>
      </w:r>
      <w:r>
        <w:rPr>
          <w:sz w:val="24"/>
        </w:rPr>
        <w:t>T 104的有关规定。</w:t>
      </w:r>
    </w:p>
    <w:p>
      <w:pPr>
        <w:tabs>
          <w:tab w:val="left" w:pos="425"/>
          <w:tab w:val="left" w:pos="735"/>
        </w:tabs>
        <w:adjustRightInd w:val="0"/>
        <w:spacing w:line="360" w:lineRule="auto"/>
        <w:outlineLvl w:val="2"/>
        <w:rPr>
          <w:sz w:val="24"/>
        </w:rPr>
      </w:pPr>
      <w:r>
        <w:rPr>
          <w:rFonts w:eastAsiaTheme="minorEastAsia"/>
          <w:b/>
          <w:sz w:val="24"/>
          <w:szCs w:val="24"/>
        </w:rPr>
        <w:t>7.1.6　</w:t>
      </w:r>
      <w:r>
        <w:rPr>
          <w:sz w:val="24"/>
        </w:rPr>
        <w:t>设有钢筋混凝土构造柱、芯柱的模壳砌块墙体的施工程序，应为先砌墙后浇混凝土柱，构造柱与墙体连接处应</w:t>
      </w:r>
      <w:r>
        <w:rPr>
          <w:rFonts w:hint="eastAsia"/>
          <w:sz w:val="24"/>
        </w:rPr>
        <w:t>采用横肋为拱形可流淌混凝土的模壳砌块以形成</w:t>
      </w:r>
      <w:r>
        <w:rPr>
          <w:sz w:val="24"/>
        </w:rPr>
        <w:t>马牙槎，</w:t>
      </w:r>
      <w:r>
        <w:rPr>
          <w:rFonts w:hint="eastAsia"/>
          <w:sz w:val="24"/>
        </w:rPr>
        <w:t>块间水平钢筋应与构造柱、芯柱可靠拉结。</w:t>
      </w:r>
    </w:p>
    <w:p>
      <w:pPr>
        <w:tabs>
          <w:tab w:val="left" w:pos="425"/>
          <w:tab w:val="left" w:pos="735"/>
        </w:tabs>
        <w:adjustRightInd w:val="0"/>
        <w:spacing w:line="360" w:lineRule="auto"/>
        <w:outlineLvl w:val="2"/>
        <w:rPr>
          <w:sz w:val="24"/>
        </w:rPr>
      </w:pPr>
      <w:r>
        <w:rPr>
          <w:rFonts w:eastAsiaTheme="minorEastAsia"/>
          <w:b/>
          <w:sz w:val="24"/>
          <w:szCs w:val="24"/>
        </w:rPr>
        <w:t>7.1.7　</w:t>
      </w:r>
      <w:r>
        <w:rPr>
          <w:sz w:val="24"/>
        </w:rPr>
        <w:t>基础或每一楼层施工完后，应校核模壳砌块砌体</w:t>
      </w:r>
      <w:r>
        <w:rPr>
          <w:rFonts w:hint="eastAsia"/>
          <w:sz w:val="24"/>
        </w:rPr>
        <w:t>结构</w:t>
      </w:r>
      <w:r>
        <w:rPr>
          <w:sz w:val="24"/>
        </w:rPr>
        <w:t>的轴线和标高，轴线偏差应以基础顶面或圈梁顶面轴线为基准校正，标高偏差应通过调整上部灰缝厚度逐步调整。</w:t>
      </w:r>
    </w:p>
    <w:p>
      <w:pPr>
        <w:tabs>
          <w:tab w:val="left" w:pos="425"/>
          <w:tab w:val="left" w:pos="735"/>
        </w:tabs>
        <w:adjustRightInd w:val="0"/>
        <w:spacing w:line="360" w:lineRule="auto"/>
        <w:outlineLvl w:val="2"/>
        <w:rPr>
          <w:sz w:val="24"/>
        </w:rPr>
      </w:pPr>
      <w:r>
        <w:rPr>
          <w:rFonts w:eastAsiaTheme="minorEastAsia"/>
          <w:b/>
          <w:sz w:val="24"/>
          <w:szCs w:val="24"/>
        </w:rPr>
        <w:t>7.1.8　</w:t>
      </w:r>
      <w:r>
        <w:rPr>
          <w:sz w:val="24"/>
        </w:rPr>
        <w:t>砌筑</w:t>
      </w:r>
      <w:r>
        <w:rPr>
          <w:rFonts w:hint="eastAsia"/>
          <w:sz w:val="24"/>
        </w:rPr>
        <w:t>砂浆材料</w:t>
      </w:r>
      <w:r>
        <w:rPr>
          <w:sz w:val="24"/>
        </w:rPr>
        <w:t>应采用机械搅拌并随拌随用，拌制的</w:t>
      </w:r>
      <w:r>
        <w:rPr>
          <w:rFonts w:hint="eastAsia"/>
          <w:sz w:val="24"/>
        </w:rPr>
        <w:t>材料</w:t>
      </w:r>
      <w:r>
        <w:rPr>
          <w:sz w:val="24"/>
        </w:rPr>
        <w:t>应在2h内使用完毕</w:t>
      </w:r>
      <w:r>
        <w:rPr>
          <w:rFonts w:hint="eastAsia"/>
          <w:sz w:val="24"/>
        </w:rPr>
        <w:t>，</w:t>
      </w:r>
      <w:r>
        <w:rPr>
          <w:sz w:val="24"/>
        </w:rPr>
        <w:t>当施工期间最高气温超过30℃时，应在1h内使用完毕。砌体灰缝应饱满，</w:t>
      </w:r>
      <w:r>
        <w:rPr>
          <w:rFonts w:hint="eastAsia"/>
          <w:sz w:val="24"/>
        </w:rPr>
        <w:t>模壳砌块墙体</w:t>
      </w:r>
      <w:r>
        <w:rPr>
          <w:sz w:val="24"/>
        </w:rPr>
        <w:t>水平灰缝的饱满度不应低于85%，竖向灰缝的饱满度不应低于80%；配筋砌体的水平及竖向灰缝的饱满度不应低于90%。</w:t>
      </w:r>
    </w:p>
    <w:p>
      <w:pPr>
        <w:tabs>
          <w:tab w:val="left" w:pos="425"/>
          <w:tab w:val="left" w:pos="735"/>
        </w:tabs>
        <w:adjustRightInd w:val="0"/>
        <w:spacing w:line="360" w:lineRule="auto"/>
        <w:outlineLvl w:val="2"/>
        <w:rPr>
          <w:sz w:val="24"/>
        </w:rPr>
      </w:pPr>
      <w:r>
        <w:rPr>
          <w:rFonts w:eastAsiaTheme="minorEastAsia"/>
          <w:b/>
          <w:sz w:val="24"/>
          <w:szCs w:val="24"/>
        </w:rPr>
        <w:t>7.1.9　</w:t>
      </w:r>
      <w:r>
        <w:rPr>
          <w:sz w:val="24"/>
        </w:rPr>
        <w:t>浇筑构造柱混凝土前，应将模壳砌块</w:t>
      </w:r>
      <w:r>
        <w:rPr>
          <w:rFonts w:hint="eastAsia"/>
          <w:sz w:val="24"/>
        </w:rPr>
        <w:t>墙体</w:t>
      </w:r>
      <w:r>
        <w:rPr>
          <w:sz w:val="24"/>
        </w:rPr>
        <w:t>浇水湿润，模壳</w:t>
      </w:r>
      <w:r>
        <w:rPr>
          <w:rFonts w:hint="eastAsia"/>
          <w:sz w:val="24"/>
        </w:rPr>
        <w:t>空腔</w:t>
      </w:r>
      <w:r>
        <w:rPr>
          <w:sz w:val="24"/>
        </w:rPr>
        <w:t>内的落地灰、碎渣和杂物应清理干净。</w:t>
      </w:r>
    </w:p>
    <w:p>
      <w:pPr>
        <w:tabs>
          <w:tab w:val="left" w:pos="425"/>
          <w:tab w:val="left" w:pos="735"/>
        </w:tabs>
        <w:adjustRightInd w:val="0"/>
        <w:spacing w:line="360" w:lineRule="auto"/>
        <w:outlineLvl w:val="2"/>
        <w:rPr>
          <w:sz w:val="24"/>
        </w:rPr>
      </w:pPr>
      <w:r>
        <w:rPr>
          <w:rFonts w:eastAsiaTheme="minorEastAsia"/>
          <w:b/>
          <w:sz w:val="24"/>
          <w:szCs w:val="24"/>
        </w:rPr>
        <w:t>7.1.10　</w:t>
      </w:r>
      <w:r>
        <w:rPr>
          <w:sz w:val="24"/>
        </w:rPr>
        <w:t>构造柱</w:t>
      </w:r>
      <w:r>
        <w:rPr>
          <w:rFonts w:hint="eastAsia"/>
          <w:sz w:val="24"/>
        </w:rPr>
        <w:t>、芯柱的</w:t>
      </w:r>
      <w:r>
        <w:rPr>
          <w:sz w:val="24"/>
        </w:rPr>
        <w:t>混凝土浇筑可分段进行，亦可按层一次浇筑。柱混凝土应分层振捣密实，每次振捣的分层厚度不宜超过振捣棒长的1.25倍，应避免振捣棒直接碰触墙壁，</w:t>
      </w:r>
      <w:r>
        <w:rPr>
          <w:rFonts w:hint="eastAsia"/>
          <w:sz w:val="24"/>
        </w:rPr>
        <w:t>不得</w:t>
      </w:r>
      <w:r>
        <w:rPr>
          <w:sz w:val="24"/>
        </w:rPr>
        <w:t>通过墙体传振。混凝土的坍落度宜为</w:t>
      </w:r>
      <w:r>
        <w:rPr>
          <w:rFonts w:hint="eastAsia"/>
          <w:sz w:val="24"/>
        </w:rPr>
        <w:t>1</w:t>
      </w:r>
      <w:r>
        <w:rPr>
          <w:sz w:val="24"/>
        </w:rPr>
        <w:t>50 mm～170 mm。</w:t>
      </w:r>
    </w:p>
    <w:p>
      <w:pPr>
        <w:tabs>
          <w:tab w:val="left" w:pos="425"/>
          <w:tab w:val="left" w:pos="735"/>
        </w:tabs>
        <w:adjustRightInd w:val="0"/>
        <w:spacing w:line="360" w:lineRule="auto"/>
        <w:outlineLvl w:val="2"/>
        <w:rPr>
          <w:sz w:val="24"/>
        </w:rPr>
      </w:pPr>
      <w:r>
        <w:rPr>
          <w:rFonts w:eastAsiaTheme="minorEastAsia"/>
          <w:b/>
          <w:sz w:val="24"/>
          <w:szCs w:val="24"/>
        </w:rPr>
        <w:t>7.1.11　</w:t>
      </w:r>
      <w:r>
        <w:rPr>
          <w:sz w:val="24"/>
        </w:rPr>
        <w:t>门窗过梁应与</w:t>
      </w:r>
      <w:r>
        <w:rPr>
          <w:rFonts w:hint="eastAsia"/>
          <w:sz w:val="24"/>
        </w:rPr>
        <w:t>模壳砌块</w:t>
      </w:r>
      <w:r>
        <w:rPr>
          <w:sz w:val="24"/>
        </w:rPr>
        <w:t>砌体同时施工，不得预留洞口后安装。</w:t>
      </w:r>
      <w:r>
        <w:rPr>
          <w:rFonts w:hint="eastAsia"/>
          <w:sz w:val="24"/>
        </w:rPr>
        <w:t>模壳砌块砌体结构砌筑施工时，应满足“横平竖直、接槎可靠、错缝搭接、砂浆饱满”的要求。</w:t>
      </w:r>
    </w:p>
    <w:p>
      <w:pPr>
        <w:tabs>
          <w:tab w:val="left" w:pos="425"/>
          <w:tab w:val="left" w:pos="735"/>
        </w:tabs>
        <w:adjustRightInd w:val="0"/>
        <w:spacing w:line="360" w:lineRule="auto"/>
        <w:outlineLvl w:val="2"/>
        <w:rPr>
          <w:sz w:val="24"/>
        </w:rPr>
      </w:pPr>
      <w:r>
        <w:rPr>
          <w:rFonts w:eastAsiaTheme="minorEastAsia"/>
          <w:b/>
          <w:sz w:val="24"/>
          <w:szCs w:val="24"/>
        </w:rPr>
        <w:t>7.1.12　</w:t>
      </w:r>
      <w:r>
        <w:rPr>
          <w:sz w:val="24"/>
        </w:rPr>
        <w:t>当在横墙上留置施工洞口时，应留设在横墙中间1/3的范围内。洞口的高度不得超过2/3墙高，并应设置洞口过梁和拉结筋，拉结筋沿洞口高度方向间距不应大于</w:t>
      </w:r>
      <w:r>
        <w:rPr>
          <w:rFonts w:hint="eastAsia"/>
          <w:sz w:val="24"/>
        </w:rPr>
        <w:t>3皮</w:t>
      </w:r>
      <w:r>
        <w:rPr>
          <w:sz w:val="24"/>
        </w:rPr>
        <w:t>，伸入两侧墙内长度不应小于500 mm。</w:t>
      </w:r>
    </w:p>
    <w:p>
      <w:pPr>
        <w:tabs>
          <w:tab w:val="left" w:pos="425"/>
          <w:tab w:val="left" w:pos="735"/>
        </w:tabs>
        <w:adjustRightInd w:val="0"/>
        <w:spacing w:line="360" w:lineRule="auto"/>
        <w:outlineLvl w:val="2"/>
        <w:rPr>
          <w:sz w:val="24"/>
        </w:rPr>
      </w:pPr>
      <w:r>
        <w:rPr>
          <w:rFonts w:eastAsiaTheme="minorEastAsia"/>
          <w:b/>
          <w:sz w:val="24"/>
          <w:szCs w:val="24"/>
        </w:rPr>
        <w:t>7.1.13　</w:t>
      </w:r>
      <w:r>
        <w:rPr>
          <w:sz w:val="24"/>
          <w:szCs w:val="24"/>
        </w:rPr>
        <w:t>防水施工</w:t>
      </w:r>
      <w:r>
        <w:rPr>
          <w:rFonts w:hint="eastAsia"/>
          <w:sz w:val="24"/>
          <w:szCs w:val="24"/>
        </w:rPr>
        <w:t>宜</w:t>
      </w:r>
      <w:r>
        <w:rPr>
          <w:sz w:val="24"/>
          <w:szCs w:val="24"/>
        </w:rPr>
        <w:t>根据构造措施的不同</w:t>
      </w:r>
      <w:r>
        <w:rPr>
          <w:rFonts w:hint="eastAsia"/>
          <w:sz w:val="24"/>
          <w:szCs w:val="24"/>
        </w:rPr>
        <w:t>制定</w:t>
      </w:r>
      <w:r>
        <w:rPr>
          <w:sz w:val="24"/>
          <w:szCs w:val="24"/>
        </w:rPr>
        <w:t>对应的施工方案，</w:t>
      </w:r>
      <w:r>
        <w:rPr>
          <w:rFonts w:hint="eastAsia"/>
          <w:sz w:val="24"/>
          <w:szCs w:val="24"/>
        </w:rPr>
        <w:t>并应</w:t>
      </w:r>
      <w:r>
        <w:rPr>
          <w:sz w:val="24"/>
          <w:szCs w:val="24"/>
        </w:rPr>
        <w:t>符合现行行业标准《装配式混凝土结构技术规程》JGJ 1</w:t>
      </w:r>
      <w:r>
        <w:rPr>
          <w:rFonts w:hint="eastAsia"/>
          <w:sz w:val="24"/>
          <w:szCs w:val="24"/>
        </w:rPr>
        <w:t>和</w:t>
      </w:r>
      <w:r>
        <w:rPr>
          <w:sz w:val="24"/>
          <w:szCs w:val="24"/>
        </w:rPr>
        <w:t>《建筑防水工程现场检测技术规范》JGJ/T 299以及砂浆、密封胶等材料指标、应用等标准。</w:t>
      </w:r>
    </w:p>
    <w:bookmarkEnd w:id="143"/>
    <w:bookmarkEnd w:id="144"/>
    <w:bookmarkEnd w:id="145"/>
    <w:bookmarkEnd w:id="146"/>
    <w:p>
      <w:pPr>
        <w:pStyle w:val="46"/>
      </w:pPr>
      <w:bookmarkStart w:id="147" w:name="_Toc148994667"/>
      <w:bookmarkStart w:id="148" w:name="_Toc11523"/>
      <w:bookmarkStart w:id="149" w:name="_Toc149766390"/>
      <w:bookmarkStart w:id="150" w:name="_Toc149766332"/>
      <w:r>
        <w:t>7.2　施工</w:t>
      </w:r>
      <w:bookmarkEnd w:id="147"/>
      <w:bookmarkEnd w:id="148"/>
      <w:r>
        <w:rPr>
          <w:rFonts w:hint="eastAsia"/>
        </w:rPr>
        <w:t>质量检验</w:t>
      </w:r>
      <w:bookmarkEnd w:id="149"/>
      <w:bookmarkEnd w:id="150"/>
    </w:p>
    <w:p>
      <w:pPr>
        <w:tabs>
          <w:tab w:val="left" w:pos="425"/>
          <w:tab w:val="left" w:pos="735"/>
        </w:tabs>
        <w:adjustRightInd w:val="0"/>
        <w:spacing w:line="360" w:lineRule="auto"/>
        <w:outlineLvl w:val="2"/>
        <w:rPr>
          <w:sz w:val="24"/>
        </w:rPr>
      </w:pPr>
      <w:bookmarkStart w:id="151" w:name="_Toc20240121"/>
      <w:bookmarkStart w:id="152" w:name="_Toc41895212"/>
      <w:bookmarkStart w:id="153" w:name="_Toc523844529"/>
      <w:bookmarkStart w:id="154" w:name="_Toc41895213"/>
      <w:bookmarkStart w:id="155" w:name="_Toc20240122"/>
      <w:bookmarkStart w:id="156" w:name="_Toc28140"/>
      <w:bookmarkStart w:id="157" w:name="_Toc148994668"/>
      <w:bookmarkStart w:id="158" w:name="_Toc149766333"/>
      <w:bookmarkStart w:id="159" w:name="_Toc149766391"/>
      <w:r>
        <w:rPr>
          <w:rFonts w:eastAsiaTheme="minorEastAsia"/>
          <w:b/>
          <w:sz w:val="24"/>
          <w:szCs w:val="24"/>
        </w:rPr>
        <w:t>7.2.1　</w:t>
      </w:r>
      <w:r>
        <w:rPr>
          <w:rFonts w:hint="eastAsia"/>
          <w:sz w:val="24"/>
        </w:rPr>
        <w:t>模壳砌块砌体结构所用材料在进场使用前，应对材料的主要性能指标进行复验，合格后方可使用。</w:t>
      </w:r>
    </w:p>
    <w:p>
      <w:pPr>
        <w:tabs>
          <w:tab w:val="left" w:pos="425"/>
          <w:tab w:val="left" w:pos="735"/>
        </w:tabs>
        <w:adjustRightInd w:val="0"/>
        <w:spacing w:line="360" w:lineRule="auto"/>
        <w:outlineLvl w:val="2"/>
        <w:rPr>
          <w:sz w:val="24"/>
        </w:rPr>
      </w:pPr>
      <w:r>
        <w:rPr>
          <w:rFonts w:eastAsiaTheme="minorEastAsia"/>
          <w:b/>
          <w:sz w:val="24"/>
          <w:szCs w:val="24"/>
        </w:rPr>
        <w:t>7.2.2　</w:t>
      </w:r>
      <w:r>
        <w:rPr>
          <w:rFonts w:hint="eastAsia"/>
          <w:sz w:val="24"/>
        </w:rPr>
        <w:t>模壳砌块砌体结构构件内的钢筋保护层应符合设计要求，并不应露筋。</w:t>
      </w:r>
    </w:p>
    <w:p>
      <w:pPr>
        <w:tabs>
          <w:tab w:val="left" w:pos="425"/>
          <w:tab w:val="left" w:pos="735"/>
        </w:tabs>
        <w:adjustRightInd w:val="0"/>
        <w:spacing w:line="360" w:lineRule="auto"/>
        <w:outlineLvl w:val="2"/>
        <w:rPr>
          <w:sz w:val="24"/>
        </w:rPr>
      </w:pPr>
      <w:r>
        <w:rPr>
          <w:rFonts w:eastAsiaTheme="minorEastAsia"/>
          <w:b/>
          <w:sz w:val="24"/>
          <w:szCs w:val="24"/>
        </w:rPr>
        <w:t>7.2.3　</w:t>
      </w:r>
      <w:r>
        <w:rPr>
          <w:rFonts w:hint="eastAsia"/>
          <w:sz w:val="24"/>
        </w:rPr>
        <w:t>模壳砌块砌体结构构件内的钢筋锚固、搭接、放置间距应符合设计规定，并应做好钢筋隐蔽工程验收记录。</w:t>
      </w:r>
    </w:p>
    <w:p>
      <w:pPr>
        <w:tabs>
          <w:tab w:val="left" w:pos="425"/>
          <w:tab w:val="left" w:pos="735"/>
        </w:tabs>
        <w:adjustRightInd w:val="0"/>
        <w:spacing w:line="360" w:lineRule="auto"/>
        <w:outlineLvl w:val="2"/>
        <w:rPr>
          <w:sz w:val="24"/>
        </w:rPr>
      </w:pPr>
      <w:r>
        <w:rPr>
          <w:rFonts w:eastAsiaTheme="minorEastAsia"/>
          <w:b/>
          <w:sz w:val="24"/>
          <w:szCs w:val="24"/>
        </w:rPr>
        <w:t>7.2.4　</w:t>
      </w:r>
      <w:r>
        <w:rPr>
          <w:rFonts w:hint="eastAsia"/>
          <w:sz w:val="24"/>
        </w:rPr>
        <w:t>模壳砌块墙体组砌方法应正确，上下应错缝搭砌，搭砌长度应符合现行国家标准《砌体结构工程施工质量验收规范》GB 50203有关规定，不得竖向通缝。</w:t>
      </w:r>
    </w:p>
    <w:p>
      <w:pPr>
        <w:tabs>
          <w:tab w:val="left" w:pos="425"/>
          <w:tab w:val="left" w:pos="735"/>
        </w:tabs>
        <w:adjustRightInd w:val="0"/>
        <w:spacing w:line="360" w:lineRule="auto"/>
        <w:outlineLvl w:val="2"/>
        <w:rPr>
          <w:sz w:val="24"/>
        </w:rPr>
      </w:pPr>
      <w:r>
        <w:rPr>
          <w:rFonts w:eastAsiaTheme="minorEastAsia"/>
          <w:b/>
          <w:sz w:val="24"/>
          <w:szCs w:val="24"/>
        </w:rPr>
        <w:t>7.2.5　</w:t>
      </w:r>
      <w:r>
        <w:rPr>
          <w:rFonts w:hint="eastAsia"/>
          <w:sz w:val="24"/>
        </w:rPr>
        <w:t>模壳砌块砌体结构混凝土强度的检验和评定应按现行国家标准《混凝土强度检验评定标准》GB/T 50107的规定执行，砂浆强度的检验应按现行行业标准《建筑砂浆基本性能试验方法标准》JGJ/T 70的规定执行。</w:t>
      </w:r>
    </w:p>
    <w:p>
      <w:pPr>
        <w:tabs>
          <w:tab w:val="left" w:pos="425"/>
          <w:tab w:val="left" w:pos="735"/>
        </w:tabs>
        <w:adjustRightInd w:val="0"/>
        <w:spacing w:line="360" w:lineRule="auto"/>
        <w:outlineLvl w:val="2"/>
        <w:rPr>
          <w:sz w:val="24"/>
        </w:rPr>
      </w:pPr>
      <w:r>
        <w:rPr>
          <w:rFonts w:eastAsiaTheme="minorEastAsia"/>
          <w:b/>
          <w:sz w:val="24"/>
          <w:szCs w:val="24"/>
        </w:rPr>
        <w:t>7.2.6　</w:t>
      </w:r>
      <w:r>
        <w:rPr>
          <w:rFonts w:hint="eastAsia"/>
          <w:sz w:val="24"/>
        </w:rPr>
        <w:t>模壳砌块墙体的尺寸、位置的允许偏差及检验应符合表</w:t>
      </w:r>
      <w:r>
        <w:rPr>
          <w:sz w:val="24"/>
        </w:rPr>
        <w:t>7.2.6</w:t>
      </w:r>
      <w:r>
        <w:rPr>
          <w:rFonts w:hint="eastAsia"/>
          <w:sz w:val="24"/>
        </w:rPr>
        <w:t>的规定。</w:t>
      </w:r>
    </w:p>
    <w:p>
      <w:pPr>
        <w:adjustRightInd w:val="0"/>
        <w:snapToGrid w:val="0"/>
        <w:spacing w:line="360" w:lineRule="auto"/>
        <w:jc w:val="center"/>
        <w:rPr>
          <w:b/>
          <w:szCs w:val="21"/>
        </w:rPr>
      </w:pPr>
      <w:r>
        <w:rPr>
          <w:b/>
          <w:szCs w:val="21"/>
        </w:rPr>
        <w:t>表7.2.6</w:t>
      </w:r>
      <w:r>
        <w:rPr>
          <w:rFonts w:eastAsiaTheme="minorEastAsia"/>
          <w:b/>
          <w:sz w:val="24"/>
          <w:szCs w:val="24"/>
        </w:rPr>
        <w:t>　</w:t>
      </w:r>
      <w:r>
        <w:rPr>
          <w:rFonts w:hint="eastAsia"/>
          <w:b/>
          <w:szCs w:val="21"/>
        </w:rPr>
        <w:t>允许偏差及检验要求</w:t>
      </w:r>
    </w:p>
    <w:tbl>
      <w:tblPr>
        <w:tblStyle w:val="30"/>
        <w:tblW w:w="48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1"/>
        <w:gridCol w:w="637"/>
        <w:gridCol w:w="480"/>
        <w:gridCol w:w="976"/>
        <w:gridCol w:w="792"/>
        <w:gridCol w:w="801"/>
        <w:gridCol w:w="4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Merge w:val="restart"/>
            <w:vAlign w:val="center"/>
          </w:tcPr>
          <w:p>
            <w:pPr>
              <w:jc w:val="center"/>
              <w:rPr>
                <w:sz w:val="21"/>
                <w:szCs w:val="16"/>
              </w:rPr>
            </w:pPr>
            <w:r>
              <w:rPr>
                <w:rFonts w:hint="eastAsia"/>
                <w:sz w:val="21"/>
                <w:szCs w:val="16"/>
              </w:rPr>
              <w:t>序号</w:t>
            </w:r>
          </w:p>
        </w:tc>
        <w:tc>
          <w:tcPr>
            <w:tcW w:w="2033" w:type="dxa"/>
            <w:gridSpan w:val="3"/>
            <w:vMerge w:val="restart"/>
            <w:vAlign w:val="center"/>
          </w:tcPr>
          <w:p>
            <w:pPr>
              <w:jc w:val="center"/>
              <w:rPr>
                <w:sz w:val="21"/>
                <w:szCs w:val="16"/>
              </w:rPr>
            </w:pPr>
            <w:r>
              <w:rPr>
                <w:rFonts w:hint="eastAsia"/>
                <w:sz w:val="21"/>
                <w:szCs w:val="16"/>
              </w:rPr>
              <w:t>项目</w:t>
            </w:r>
          </w:p>
        </w:tc>
        <w:tc>
          <w:tcPr>
            <w:tcW w:w="1547" w:type="dxa"/>
            <w:gridSpan w:val="2"/>
            <w:vAlign w:val="center"/>
          </w:tcPr>
          <w:p>
            <w:pPr>
              <w:jc w:val="center"/>
              <w:rPr>
                <w:sz w:val="21"/>
                <w:szCs w:val="16"/>
              </w:rPr>
            </w:pPr>
            <w:r>
              <w:rPr>
                <w:rFonts w:hint="eastAsia"/>
                <w:sz w:val="21"/>
                <w:szCs w:val="16"/>
              </w:rPr>
              <w:t>允许偏差/mm</w:t>
            </w:r>
          </w:p>
        </w:tc>
        <w:tc>
          <w:tcPr>
            <w:tcW w:w="3890" w:type="dxa"/>
            <w:vMerge w:val="restart"/>
            <w:vAlign w:val="center"/>
          </w:tcPr>
          <w:p>
            <w:pPr>
              <w:jc w:val="center"/>
              <w:rPr>
                <w:sz w:val="21"/>
                <w:szCs w:val="16"/>
              </w:rPr>
            </w:pPr>
            <w:r>
              <w:rPr>
                <w:rFonts w:hint="eastAsia"/>
                <w:sz w:val="21"/>
                <w:szCs w:val="16"/>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Merge w:val="continue"/>
            <w:vAlign w:val="center"/>
          </w:tcPr>
          <w:p>
            <w:pPr>
              <w:jc w:val="center"/>
              <w:rPr>
                <w:sz w:val="21"/>
                <w:szCs w:val="16"/>
              </w:rPr>
            </w:pPr>
          </w:p>
        </w:tc>
        <w:tc>
          <w:tcPr>
            <w:tcW w:w="2033" w:type="dxa"/>
            <w:gridSpan w:val="3"/>
            <w:vMerge w:val="continue"/>
            <w:vAlign w:val="center"/>
          </w:tcPr>
          <w:p>
            <w:pPr>
              <w:jc w:val="center"/>
              <w:rPr>
                <w:sz w:val="21"/>
                <w:szCs w:val="16"/>
              </w:rPr>
            </w:pPr>
          </w:p>
        </w:tc>
        <w:tc>
          <w:tcPr>
            <w:tcW w:w="769" w:type="dxa"/>
            <w:vAlign w:val="center"/>
          </w:tcPr>
          <w:p>
            <w:pPr>
              <w:jc w:val="center"/>
              <w:rPr>
                <w:sz w:val="21"/>
                <w:szCs w:val="16"/>
              </w:rPr>
            </w:pPr>
            <w:r>
              <w:rPr>
                <w:rFonts w:hint="eastAsia"/>
                <w:sz w:val="21"/>
                <w:szCs w:val="16"/>
              </w:rPr>
              <w:t>墙</w:t>
            </w:r>
          </w:p>
        </w:tc>
        <w:tc>
          <w:tcPr>
            <w:tcW w:w="777" w:type="dxa"/>
            <w:vAlign w:val="center"/>
          </w:tcPr>
          <w:p>
            <w:pPr>
              <w:jc w:val="center"/>
              <w:rPr>
                <w:sz w:val="21"/>
                <w:szCs w:val="16"/>
              </w:rPr>
            </w:pPr>
            <w:r>
              <w:rPr>
                <w:rFonts w:hint="eastAsia"/>
                <w:sz w:val="21"/>
                <w:szCs w:val="16"/>
              </w:rPr>
              <w:t>柱</w:t>
            </w:r>
          </w:p>
        </w:tc>
        <w:tc>
          <w:tcPr>
            <w:tcW w:w="3890" w:type="dxa"/>
            <w:vMerge w:val="continue"/>
            <w:vAlign w:val="center"/>
          </w:tcPr>
          <w:p>
            <w:pPr>
              <w:jc w:val="center"/>
              <w:rPr>
                <w:sz w:val="21"/>
                <w:szCs w:val="16"/>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Align w:val="center"/>
          </w:tcPr>
          <w:p>
            <w:pPr>
              <w:jc w:val="center"/>
              <w:rPr>
                <w:sz w:val="21"/>
                <w:szCs w:val="16"/>
              </w:rPr>
            </w:pPr>
            <w:r>
              <w:rPr>
                <w:rFonts w:hint="eastAsia"/>
                <w:sz w:val="21"/>
                <w:szCs w:val="16"/>
              </w:rPr>
              <w:t>1</w:t>
            </w:r>
          </w:p>
        </w:tc>
        <w:tc>
          <w:tcPr>
            <w:tcW w:w="2033" w:type="dxa"/>
            <w:gridSpan w:val="3"/>
            <w:vAlign w:val="center"/>
          </w:tcPr>
          <w:p>
            <w:pPr>
              <w:jc w:val="center"/>
              <w:rPr>
                <w:sz w:val="21"/>
                <w:szCs w:val="16"/>
              </w:rPr>
            </w:pPr>
            <w:r>
              <w:rPr>
                <w:rFonts w:hint="eastAsia"/>
                <w:sz w:val="21"/>
                <w:szCs w:val="16"/>
              </w:rPr>
              <w:t>轴线位置偏移</w:t>
            </w:r>
          </w:p>
        </w:tc>
        <w:tc>
          <w:tcPr>
            <w:tcW w:w="769" w:type="dxa"/>
            <w:vAlign w:val="center"/>
          </w:tcPr>
          <w:p>
            <w:pPr>
              <w:jc w:val="center"/>
              <w:rPr>
                <w:sz w:val="21"/>
                <w:szCs w:val="16"/>
              </w:rPr>
            </w:pPr>
            <w:r>
              <w:rPr>
                <w:rFonts w:hint="eastAsia"/>
                <w:sz w:val="21"/>
                <w:szCs w:val="16"/>
              </w:rPr>
              <w:t>1</w:t>
            </w:r>
            <w:r>
              <w:rPr>
                <w:sz w:val="21"/>
                <w:szCs w:val="16"/>
              </w:rPr>
              <w:t>0</w:t>
            </w:r>
          </w:p>
        </w:tc>
        <w:tc>
          <w:tcPr>
            <w:tcW w:w="777" w:type="dxa"/>
            <w:vAlign w:val="center"/>
          </w:tcPr>
          <w:p>
            <w:pPr>
              <w:jc w:val="center"/>
              <w:rPr>
                <w:sz w:val="21"/>
                <w:szCs w:val="16"/>
              </w:rPr>
            </w:pPr>
            <w:r>
              <w:rPr>
                <w:rFonts w:hint="eastAsia"/>
                <w:sz w:val="21"/>
                <w:szCs w:val="16"/>
              </w:rPr>
              <w:t>1</w:t>
            </w:r>
            <w:r>
              <w:rPr>
                <w:sz w:val="21"/>
                <w:szCs w:val="16"/>
              </w:rPr>
              <w:t>0</w:t>
            </w:r>
          </w:p>
        </w:tc>
        <w:tc>
          <w:tcPr>
            <w:tcW w:w="3890" w:type="dxa"/>
            <w:vAlign w:val="center"/>
          </w:tcPr>
          <w:p>
            <w:pPr>
              <w:jc w:val="center"/>
              <w:rPr>
                <w:sz w:val="21"/>
                <w:szCs w:val="16"/>
              </w:rPr>
            </w:pPr>
            <w:r>
              <w:rPr>
                <w:rFonts w:hint="eastAsia"/>
                <w:sz w:val="21"/>
                <w:szCs w:val="16"/>
              </w:rPr>
              <w:t>用经纬仪、尺检查或用其他测量仪器检查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Align w:val="center"/>
          </w:tcPr>
          <w:p>
            <w:pPr>
              <w:jc w:val="center"/>
              <w:rPr>
                <w:sz w:val="21"/>
                <w:szCs w:val="16"/>
              </w:rPr>
            </w:pPr>
            <w:r>
              <w:rPr>
                <w:rFonts w:hint="eastAsia"/>
                <w:sz w:val="21"/>
                <w:szCs w:val="16"/>
              </w:rPr>
              <w:t>2</w:t>
            </w:r>
          </w:p>
        </w:tc>
        <w:tc>
          <w:tcPr>
            <w:tcW w:w="2033" w:type="dxa"/>
            <w:gridSpan w:val="3"/>
            <w:vAlign w:val="center"/>
          </w:tcPr>
          <w:p>
            <w:pPr>
              <w:jc w:val="center"/>
              <w:rPr>
                <w:sz w:val="21"/>
                <w:szCs w:val="16"/>
              </w:rPr>
            </w:pPr>
            <w:r>
              <w:rPr>
                <w:rFonts w:hint="eastAsia"/>
                <w:sz w:val="21"/>
                <w:szCs w:val="16"/>
              </w:rPr>
              <w:t>基础顶面和楼面标高</w:t>
            </w:r>
          </w:p>
        </w:tc>
        <w:tc>
          <w:tcPr>
            <w:tcW w:w="769" w:type="dxa"/>
            <w:vAlign w:val="center"/>
          </w:tcPr>
          <w:p>
            <w:pPr>
              <w:jc w:val="center"/>
              <w:rPr>
                <w:sz w:val="21"/>
                <w:szCs w:val="16"/>
              </w:rPr>
            </w:pPr>
            <w:r>
              <w:rPr>
                <w:rFonts w:hint="eastAsia"/>
                <w:sz w:val="21"/>
                <w:szCs w:val="16"/>
              </w:rPr>
              <w:t>±</w:t>
            </w:r>
            <w:r>
              <w:rPr>
                <w:sz w:val="21"/>
                <w:szCs w:val="16"/>
              </w:rPr>
              <w:t>15</w:t>
            </w:r>
          </w:p>
        </w:tc>
        <w:tc>
          <w:tcPr>
            <w:tcW w:w="777" w:type="dxa"/>
            <w:vAlign w:val="center"/>
          </w:tcPr>
          <w:p>
            <w:pPr>
              <w:jc w:val="center"/>
              <w:rPr>
                <w:sz w:val="21"/>
                <w:szCs w:val="16"/>
              </w:rPr>
            </w:pPr>
            <w:r>
              <w:rPr>
                <w:rFonts w:hint="eastAsia"/>
                <w:sz w:val="21"/>
                <w:szCs w:val="16"/>
              </w:rPr>
              <w:t>±</w:t>
            </w:r>
            <w:r>
              <w:rPr>
                <w:sz w:val="21"/>
                <w:szCs w:val="16"/>
              </w:rPr>
              <w:t>15</w:t>
            </w:r>
          </w:p>
        </w:tc>
        <w:tc>
          <w:tcPr>
            <w:tcW w:w="3890" w:type="dxa"/>
            <w:vAlign w:val="center"/>
          </w:tcPr>
          <w:p>
            <w:pPr>
              <w:jc w:val="center"/>
              <w:rPr>
                <w:sz w:val="21"/>
                <w:szCs w:val="16"/>
              </w:rPr>
            </w:pPr>
            <w:r>
              <w:rPr>
                <w:rFonts w:hint="eastAsia"/>
                <w:sz w:val="21"/>
                <w:szCs w:val="16"/>
              </w:rPr>
              <w:t>用水平仪、尺检查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Merge w:val="restart"/>
            <w:vAlign w:val="center"/>
          </w:tcPr>
          <w:p>
            <w:pPr>
              <w:jc w:val="center"/>
              <w:rPr>
                <w:sz w:val="21"/>
                <w:szCs w:val="16"/>
              </w:rPr>
            </w:pPr>
            <w:r>
              <w:rPr>
                <w:rFonts w:hint="eastAsia"/>
                <w:sz w:val="21"/>
                <w:szCs w:val="16"/>
              </w:rPr>
              <w:t>3</w:t>
            </w:r>
          </w:p>
        </w:tc>
        <w:tc>
          <w:tcPr>
            <w:tcW w:w="619" w:type="dxa"/>
            <w:vMerge w:val="restart"/>
            <w:vAlign w:val="center"/>
          </w:tcPr>
          <w:p>
            <w:pPr>
              <w:jc w:val="center"/>
              <w:rPr>
                <w:sz w:val="21"/>
                <w:szCs w:val="16"/>
              </w:rPr>
            </w:pPr>
            <w:r>
              <w:rPr>
                <w:rFonts w:hint="eastAsia"/>
                <w:sz w:val="21"/>
                <w:szCs w:val="16"/>
              </w:rPr>
              <w:t>垂直度</w:t>
            </w:r>
          </w:p>
        </w:tc>
        <w:tc>
          <w:tcPr>
            <w:tcW w:w="1413" w:type="dxa"/>
            <w:gridSpan w:val="2"/>
            <w:vAlign w:val="center"/>
          </w:tcPr>
          <w:p>
            <w:pPr>
              <w:jc w:val="center"/>
              <w:rPr>
                <w:sz w:val="21"/>
                <w:szCs w:val="16"/>
              </w:rPr>
            </w:pPr>
            <w:r>
              <w:rPr>
                <w:rFonts w:hint="eastAsia"/>
                <w:sz w:val="21"/>
                <w:szCs w:val="16"/>
              </w:rPr>
              <w:t>每层</w:t>
            </w:r>
          </w:p>
        </w:tc>
        <w:tc>
          <w:tcPr>
            <w:tcW w:w="769" w:type="dxa"/>
            <w:vAlign w:val="center"/>
          </w:tcPr>
          <w:p>
            <w:pPr>
              <w:jc w:val="center"/>
              <w:rPr>
                <w:sz w:val="21"/>
                <w:szCs w:val="16"/>
              </w:rPr>
            </w:pPr>
            <w:r>
              <w:rPr>
                <w:rFonts w:hint="eastAsia"/>
                <w:sz w:val="21"/>
                <w:szCs w:val="16"/>
              </w:rPr>
              <w:t>5</w:t>
            </w:r>
          </w:p>
        </w:tc>
        <w:tc>
          <w:tcPr>
            <w:tcW w:w="777" w:type="dxa"/>
            <w:vAlign w:val="center"/>
          </w:tcPr>
          <w:p>
            <w:pPr>
              <w:jc w:val="center"/>
              <w:rPr>
                <w:sz w:val="21"/>
                <w:szCs w:val="16"/>
              </w:rPr>
            </w:pPr>
            <w:r>
              <w:rPr>
                <w:rFonts w:hint="eastAsia"/>
                <w:sz w:val="21"/>
                <w:szCs w:val="16"/>
              </w:rPr>
              <w:t>1</w:t>
            </w:r>
            <w:r>
              <w:rPr>
                <w:sz w:val="21"/>
                <w:szCs w:val="16"/>
              </w:rPr>
              <w:t>0</w:t>
            </w:r>
          </w:p>
        </w:tc>
        <w:tc>
          <w:tcPr>
            <w:tcW w:w="3890" w:type="dxa"/>
            <w:vMerge w:val="restart"/>
            <w:vAlign w:val="center"/>
          </w:tcPr>
          <w:p>
            <w:pPr>
              <w:jc w:val="center"/>
              <w:rPr>
                <w:sz w:val="21"/>
                <w:szCs w:val="16"/>
              </w:rPr>
            </w:pPr>
            <w:r>
              <w:rPr>
                <w:rFonts w:hint="eastAsia"/>
                <w:sz w:val="21"/>
                <w:szCs w:val="16"/>
              </w:rPr>
              <w:t>用</w:t>
            </w:r>
            <w:r>
              <w:rPr>
                <w:sz w:val="21"/>
                <w:szCs w:val="16"/>
              </w:rPr>
              <w:t>2 m</w:t>
            </w:r>
            <w:r>
              <w:rPr>
                <w:rFonts w:hint="eastAsia"/>
                <w:sz w:val="21"/>
                <w:szCs w:val="16"/>
              </w:rPr>
              <w:t>托线板或垂直检测尺检查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Merge w:val="continue"/>
            <w:vAlign w:val="center"/>
          </w:tcPr>
          <w:p>
            <w:pPr>
              <w:jc w:val="center"/>
              <w:rPr>
                <w:sz w:val="21"/>
                <w:szCs w:val="16"/>
              </w:rPr>
            </w:pPr>
          </w:p>
        </w:tc>
        <w:tc>
          <w:tcPr>
            <w:tcW w:w="619" w:type="dxa"/>
            <w:vMerge w:val="continue"/>
            <w:vAlign w:val="center"/>
          </w:tcPr>
          <w:p>
            <w:pPr>
              <w:jc w:val="center"/>
              <w:rPr>
                <w:sz w:val="21"/>
                <w:szCs w:val="16"/>
              </w:rPr>
            </w:pPr>
          </w:p>
        </w:tc>
        <w:tc>
          <w:tcPr>
            <w:tcW w:w="466" w:type="dxa"/>
            <w:vMerge w:val="restart"/>
            <w:vAlign w:val="center"/>
          </w:tcPr>
          <w:p>
            <w:pPr>
              <w:jc w:val="center"/>
              <w:rPr>
                <w:sz w:val="21"/>
                <w:szCs w:val="16"/>
              </w:rPr>
            </w:pPr>
            <w:r>
              <w:rPr>
                <w:rFonts w:hint="eastAsia"/>
                <w:sz w:val="21"/>
                <w:szCs w:val="16"/>
              </w:rPr>
              <w:t>全高</w:t>
            </w:r>
          </w:p>
        </w:tc>
        <w:tc>
          <w:tcPr>
            <w:tcW w:w="946" w:type="dxa"/>
            <w:vAlign w:val="center"/>
          </w:tcPr>
          <w:p>
            <w:pPr>
              <w:jc w:val="center"/>
              <w:rPr>
                <w:sz w:val="21"/>
                <w:szCs w:val="16"/>
              </w:rPr>
            </w:pPr>
            <w:r>
              <w:rPr>
                <w:rFonts w:hint="eastAsia"/>
                <w:sz w:val="21"/>
                <w:szCs w:val="16"/>
              </w:rPr>
              <w:t>≤1</w:t>
            </w:r>
            <w:r>
              <w:rPr>
                <w:sz w:val="21"/>
                <w:szCs w:val="16"/>
              </w:rPr>
              <w:t>0 m</w:t>
            </w:r>
          </w:p>
        </w:tc>
        <w:tc>
          <w:tcPr>
            <w:tcW w:w="769" w:type="dxa"/>
            <w:vAlign w:val="center"/>
          </w:tcPr>
          <w:p>
            <w:pPr>
              <w:jc w:val="center"/>
              <w:rPr>
                <w:sz w:val="21"/>
                <w:szCs w:val="16"/>
              </w:rPr>
            </w:pPr>
            <w:r>
              <w:rPr>
                <w:rFonts w:hint="eastAsia"/>
                <w:sz w:val="21"/>
                <w:szCs w:val="16"/>
              </w:rPr>
              <w:t>1</w:t>
            </w:r>
            <w:r>
              <w:rPr>
                <w:sz w:val="21"/>
                <w:szCs w:val="16"/>
              </w:rPr>
              <w:t>0</w:t>
            </w:r>
          </w:p>
        </w:tc>
        <w:tc>
          <w:tcPr>
            <w:tcW w:w="777" w:type="dxa"/>
            <w:vAlign w:val="center"/>
          </w:tcPr>
          <w:p>
            <w:pPr>
              <w:jc w:val="center"/>
              <w:rPr>
                <w:sz w:val="21"/>
                <w:szCs w:val="16"/>
              </w:rPr>
            </w:pPr>
            <w:r>
              <w:rPr>
                <w:rFonts w:hint="eastAsia"/>
                <w:sz w:val="21"/>
                <w:szCs w:val="16"/>
              </w:rPr>
              <w:t>1</w:t>
            </w:r>
            <w:r>
              <w:rPr>
                <w:sz w:val="21"/>
                <w:szCs w:val="16"/>
              </w:rPr>
              <w:t>5</w:t>
            </w:r>
          </w:p>
        </w:tc>
        <w:tc>
          <w:tcPr>
            <w:tcW w:w="3890" w:type="dxa"/>
            <w:vMerge w:val="continue"/>
            <w:vAlign w:val="center"/>
          </w:tcPr>
          <w:p>
            <w:pPr>
              <w:jc w:val="center"/>
              <w:rPr>
                <w:sz w:val="21"/>
                <w:szCs w:val="16"/>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Merge w:val="continue"/>
            <w:vAlign w:val="center"/>
          </w:tcPr>
          <w:p>
            <w:pPr>
              <w:jc w:val="center"/>
              <w:rPr>
                <w:sz w:val="21"/>
                <w:szCs w:val="16"/>
              </w:rPr>
            </w:pPr>
          </w:p>
        </w:tc>
        <w:tc>
          <w:tcPr>
            <w:tcW w:w="619" w:type="dxa"/>
            <w:vMerge w:val="continue"/>
            <w:vAlign w:val="center"/>
          </w:tcPr>
          <w:p>
            <w:pPr>
              <w:jc w:val="center"/>
              <w:rPr>
                <w:sz w:val="21"/>
                <w:szCs w:val="16"/>
              </w:rPr>
            </w:pPr>
          </w:p>
        </w:tc>
        <w:tc>
          <w:tcPr>
            <w:tcW w:w="466" w:type="dxa"/>
            <w:vMerge w:val="continue"/>
            <w:vAlign w:val="center"/>
          </w:tcPr>
          <w:p>
            <w:pPr>
              <w:jc w:val="center"/>
              <w:rPr>
                <w:sz w:val="21"/>
                <w:szCs w:val="16"/>
              </w:rPr>
            </w:pPr>
          </w:p>
        </w:tc>
        <w:tc>
          <w:tcPr>
            <w:tcW w:w="946" w:type="dxa"/>
            <w:vAlign w:val="center"/>
          </w:tcPr>
          <w:p>
            <w:pPr>
              <w:jc w:val="center"/>
              <w:rPr>
                <w:sz w:val="21"/>
                <w:szCs w:val="16"/>
              </w:rPr>
            </w:pPr>
            <w:r>
              <w:rPr>
                <w:rFonts w:hint="eastAsia"/>
                <w:sz w:val="21"/>
                <w:szCs w:val="16"/>
              </w:rPr>
              <w:t>＞1</w:t>
            </w:r>
            <w:r>
              <w:rPr>
                <w:sz w:val="21"/>
                <w:szCs w:val="16"/>
              </w:rPr>
              <w:t xml:space="preserve">0 </w:t>
            </w:r>
            <w:r>
              <w:rPr>
                <w:rFonts w:hint="eastAsia"/>
                <w:sz w:val="21"/>
                <w:szCs w:val="16"/>
              </w:rPr>
              <w:t>m</w:t>
            </w:r>
          </w:p>
        </w:tc>
        <w:tc>
          <w:tcPr>
            <w:tcW w:w="769" w:type="dxa"/>
            <w:vAlign w:val="center"/>
          </w:tcPr>
          <w:p>
            <w:pPr>
              <w:jc w:val="center"/>
              <w:rPr>
                <w:sz w:val="21"/>
                <w:szCs w:val="16"/>
              </w:rPr>
            </w:pPr>
            <w:r>
              <w:rPr>
                <w:rFonts w:hint="eastAsia"/>
                <w:sz w:val="21"/>
                <w:szCs w:val="16"/>
              </w:rPr>
              <w:t>2</w:t>
            </w:r>
            <w:r>
              <w:rPr>
                <w:sz w:val="21"/>
                <w:szCs w:val="16"/>
              </w:rPr>
              <w:t>0</w:t>
            </w:r>
          </w:p>
        </w:tc>
        <w:tc>
          <w:tcPr>
            <w:tcW w:w="777" w:type="dxa"/>
            <w:vAlign w:val="center"/>
          </w:tcPr>
          <w:p>
            <w:pPr>
              <w:jc w:val="center"/>
              <w:rPr>
                <w:sz w:val="21"/>
                <w:szCs w:val="16"/>
              </w:rPr>
            </w:pPr>
            <w:r>
              <w:rPr>
                <w:rFonts w:hint="eastAsia"/>
                <w:sz w:val="21"/>
                <w:szCs w:val="16"/>
              </w:rPr>
              <w:t>2</w:t>
            </w:r>
            <w:r>
              <w:rPr>
                <w:sz w:val="21"/>
                <w:szCs w:val="16"/>
              </w:rPr>
              <w:t>0</w:t>
            </w:r>
          </w:p>
        </w:tc>
        <w:tc>
          <w:tcPr>
            <w:tcW w:w="3890" w:type="dxa"/>
            <w:vMerge w:val="continue"/>
            <w:vAlign w:val="center"/>
          </w:tcPr>
          <w:p>
            <w:pPr>
              <w:jc w:val="center"/>
              <w:rPr>
                <w:sz w:val="21"/>
                <w:szCs w:val="16"/>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Align w:val="center"/>
          </w:tcPr>
          <w:p>
            <w:pPr>
              <w:jc w:val="center"/>
              <w:rPr>
                <w:sz w:val="21"/>
                <w:szCs w:val="16"/>
              </w:rPr>
            </w:pPr>
            <w:r>
              <w:rPr>
                <w:rFonts w:hint="eastAsia"/>
                <w:sz w:val="21"/>
                <w:szCs w:val="16"/>
              </w:rPr>
              <w:t>4</w:t>
            </w:r>
          </w:p>
        </w:tc>
        <w:tc>
          <w:tcPr>
            <w:tcW w:w="2033" w:type="dxa"/>
            <w:gridSpan w:val="3"/>
            <w:vAlign w:val="center"/>
          </w:tcPr>
          <w:p>
            <w:pPr>
              <w:jc w:val="center"/>
              <w:rPr>
                <w:sz w:val="21"/>
                <w:szCs w:val="16"/>
              </w:rPr>
            </w:pPr>
            <w:r>
              <w:rPr>
                <w:rFonts w:hint="eastAsia"/>
                <w:sz w:val="21"/>
                <w:szCs w:val="16"/>
              </w:rPr>
              <w:t>层间错位</w:t>
            </w:r>
          </w:p>
        </w:tc>
        <w:tc>
          <w:tcPr>
            <w:tcW w:w="769" w:type="dxa"/>
            <w:vAlign w:val="center"/>
          </w:tcPr>
          <w:p>
            <w:pPr>
              <w:jc w:val="center"/>
              <w:rPr>
                <w:sz w:val="21"/>
                <w:szCs w:val="16"/>
              </w:rPr>
            </w:pPr>
            <w:r>
              <w:rPr>
                <w:rFonts w:hint="eastAsia"/>
                <w:sz w:val="21"/>
                <w:szCs w:val="16"/>
              </w:rPr>
              <w:t>5</w:t>
            </w:r>
          </w:p>
        </w:tc>
        <w:tc>
          <w:tcPr>
            <w:tcW w:w="777" w:type="dxa"/>
            <w:vAlign w:val="center"/>
          </w:tcPr>
          <w:p>
            <w:pPr>
              <w:jc w:val="center"/>
              <w:rPr>
                <w:sz w:val="21"/>
                <w:szCs w:val="16"/>
              </w:rPr>
            </w:pPr>
            <w:r>
              <w:rPr>
                <w:rFonts w:hint="eastAsia"/>
                <w:sz w:val="21"/>
                <w:szCs w:val="16"/>
              </w:rPr>
              <w:t>8</w:t>
            </w:r>
          </w:p>
        </w:tc>
        <w:tc>
          <w:tcPr>
            <w:tcW w:w="3890" w:type="dxa"/>
            <w:vAlign w:val="center"/>
          </w:tcPr>
          <w:p>
            <w:pPr>
              <w:jc w:val="center"/>
              <w:rPr>
                <w:sz w:val="21"/>
                <w:szCs w:val="16"/>
              </w:rPr>
            </w:pPr>
            <w:r>
              <w:rPr>
                <w:rFonts w:hint="eastAsia"/>
                <w:sz w:val="21"/>
                <w:szCs w:val="16"/>
              </w:rPr>
              <w:t>用经纬仪、尺检查或用其他测量仪器检查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Align w:val="center"/>
          </w:tcPr>
          <w:p>
            <w:pPr>
              <w:jc w:val="center"/>
              <w:rPr>
                <w:sz w:val="21"/>
                <w:szCs w:val="16"/>
              </w:rPr>
            </w:pPr>
            <w:r>
              <w:rPr>
                <w:rFonts w:hint="eastAsia"/>
                <w:sz w:val="21"/>
                <w:szCs w:val="16"/>
              </w:rPr>
              <w:t>5</w:t>
            </w:r>
          </w:p>
        </w:tc>
        <w:tc>
          <w:tcPr>
            <w:tcW w:w="2033" w:type="dxa"/>
            <w:gridSpan w:val="3"/>
            <w:vAlign w:val="center"/>
          </w:tcPr>
          <w:p>
            <w:pPr>
              <w:jc w:val="center"/>
              <w:rPr>
                <w:sz w:val="21"/>
                <w:szCs w:val="16"/>
              </w:rPr>
            </w:pPr>
            <w:r>
              <w:rPr>
                <w:rFonts w:hint="eastAsia"/>
                <w:sz w:val="21"/>
                <w:szCs w:val="16"/>
              </w:rPr>
              <w:t>表面平整度</w:t>
            </w:r>
          </w:p>
        </w:tc>
        <w:tc>
          <w:tcPr>
            <w:tcW w:w="769" w:type="dxa"/>
            <w:vAlign w:val="center"/>
          </w:tcPr>
          <w:p>
            <w:pPr>
              <w:jc w:val="center"/>
              <w:rPr>
                <w:sz w:val="21"/>
                <w:szCs w:val="16"/>
              </w:rPr>
            </w:pPr>
            <w:r>
              <w:rPr>
                <w:rFonts w:hint="eastAsia"/>
                <w:sz w:val="21"/>
                <w:szCs w:val="16"/>
              </w:rPr>
              <w:t>8</w:t>
            </w:r>
          </w:p>
        </w:tc>
        <w:tc>
          <w:tcPr>
            <w:tcW w:w="777" w:type="dxa"/>
            <w:vAlign w:val="center"/>
          </w:tcPr>
          <w:p>
            <w:pPr>
              <w:jc w:val="center"/>
              <w:rPr>
                <w:sz w:val="21"/>
                <w:szCs w:val="16"/>
              </w:rPr>
            </w:pPr>
            <w:r>
              <w:rPr>
                <w:rFonts w:hint="eastAsia"/>
                <w:sz w:val="21"/>
                <w:szCs w:val="16"/>
              </w:rPr>
              <w:t>8</w:t>
            </w:r>
          </w:p>
        </w:tc>
        <w:tc>
          <w:tcPr>
            <w:tcW w:w="3890" w:type="dxa"/>
            <w:vAlign w:val="center"/>
          </w:tcPr>
          <w:p>
            <w:pPr>
              <w:jc w:val="center"/>
              <w:rPr>
                <w:sz w:val="21"/>
                <w:szCs w:val="16"/>
              </w:rPr>
            </w:pPr>
            <w:r>
              <w:rPr>
                <w:rFonts w:hint="eastAsia"/>
                <w:sz w:val="21"/>
                <w:szCs w:val="16"/>
              </w:rPr>
              <w:t>用</w:t>
            </w:r>
            <w:r>
              <w:rPr>
                <w:sz w:val="21"/>
                <w:szCs w:val="16"/>
              </w:rPr>
              <w:t xml:space="preserve">2 </w:t>
            </w:r>
            <w:r>
              <w:rPr>
                <w:rFonts w:hint="eastAsia"/>
                <w:sz w:val="21"/>
                <w:szCs w:val="16"/>
              </w:rPr>
              <w:t>m直尺和楔形塞尺检查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Align w:val="center"/>
          </w:tcPr>
          <w:p>
            <w:pPr>
              <w:jc w:val="center"/>
              <w:rPr>
                <w:sz w:val="21"/>
                <w:szCs w:val="16"/>
              </w:rPr>
            </w:pPr>
            <w:r>
              <w:rPr>
                <w:rFonts w:hint="eastAsia"/>
                <w:sz w:val="21"/>
                <w:szCs w:val="16"/>
              </w:rPr>
              <w:t>6</w:t>
            </w:r>
          </w:p>
        </w:tc>
        <w:tc>
          <w:tcPr>
            <w:tcW w:w="2033" w:type="dxa"/>
            <w:gridSpan w:val="3"/>
            <w:vAlign w:val="center"/>
          </w:tcPr>
          <w:p>
            <w:pPr>
              <w:jc w:val="center"/>
              <w:rPr>
                <w:sz w:val="21"/>
                <w:szCs w:val="16"/>
              </w:rPr>
            </w:pPr>
            <w:r>
              <w:rPr>
                <w:rFonts w:hint="eastAsia"/>
                <w:sz w:val="21"/>
                <w:szCs w:val="16"/>
              </w:rPr>
              <w:t>外墙上下窗口偏移</w:t>
            </w:r>
          </w:p>
        </w:tc>
        <w:tc>
          <w:tcPr>
            <w:tcW w:w="769" w:type="dxa"/>
            <w:vAlign w:val="center"/>
          </w:tcPr>
          <w:p>
            <w:pPr>
              <w:jc w:val="center"/>
              <w:rPr>
                <w:sz w:val="21"/>
                <w:szCs w:val="16"/>
              </w:rPr>
            </w:pPr>
            <w:r>
              <w:rPr>
                <w:rFonts w:hint="eastAsia"/>
                <w:sz w:val="21"/>
                <w:szCs w:val="16"/>
              </w:rPr>
              <w:t>2</w:t>
            </w:r>
            <w:r>
              <w:rPr>
                <w:sz w:val="21"/>
                <w:szCs w:val="16"/>
              </w:rPr>
              <w:t>0</w:t>
            </w:r>
          </w:p>
        </w:tc>
        <w:tc>
          <w:tcPr>
            <w:tcW w:w="777" w:type="dxa"/>
            <w:vAlign w:val="center"/>
          </w:tcPr>
          <w:p>
            <w:pPr>
              <w:jc w:val="center"/>
              <w:rPr>
                <w:sz w:val="21"/>
                <w:szCs w:val="16"/>
              </w:rPr>
            </w:pPr>
            <w:r>
              <w:rPr>
                <w:rFonts w:hint="eastAsia"/>
                <w:sz w:val="21"/>
                <w:szCs w:val="16"/>
              </w:rPr>
              <w:t>-</w:t>
            </w:r>
          </w:p>
        </w:tc>
        <w:tc>
          <w:tcPr>
            <w:tcW w:w="3890" w:type="dxa"/>
            <w:vAlign w:val="center"/>
          </w:tcPr>
          <w:p>
            <w:pPr>
              <w:jc w:val="center"/>
              <w:rPr>
                <w:sz w:val="21"/>
                <w:szCs w:val="16"/>
              </w:rPr>
            </w:pPr>
            <w:r>
              <w:rPr>
                <w:rFonts w:hint="eastAsia"/>
                <w:sz w:val="21"/>
                <w:szCs w:val="16"/>
              </w:rPr>
              <w:t>用经纬仪或吊线检查，以底层窗口为准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Align w:val="center"/>
          </w:tcPr>
          <w:p>
            <w:pPr>
              <w:jc w:val="center"/>
              <w:rPr>
                <w:sz w:val="21"/>
                <w:szCs w:val="16"/>
              </w:rPr>
            </w:pPr>
            <w:r>
              <w:rPr>
                <w:rFonts w:hint="eastAsia"/>
                <w:sz w:val="21"/>
                <w:szCs w:val="16"/>
              </w:rPr>
              <w:t>7</w:t>
            </w:r>
          </w:p>
        </w:tc>
        <w:tc>
          <w:tcPr>
            <w:tcW w:w="2033" w:type="dxa"/>
            <w:gridSpan w:val="3"/>
            <w:vAlign w:val="center"/>
          </w:tcPr>
          <w:p>
            <w:pPr>
              <w:jc w:val="center"/>
              <w:rPr>
                <w:sz w:val="21"/>
                <w:szCs w:val="16"/>
              </w:rPr>
            </w:pPr>
            <w:r>
              <w:rPr>
                <w:rFonts w:hint="eastAsia"/>
                <w:sz w:val="21"/>
                <w:szCs w:val="16"/>
              </w:rPr>
              <w:t>门窗洞口宽度</w:t>
            </w:r>
          </w:p>
        </w:tc>
        <w:tc>
          <w:tcPr>
            <w:tcW w:w="769" w:type="dxa"/>
            <w:vAlign w:val="center"/>
          </w:tcPr>
          <w:p>
            <w:pPr>
              <w:jc w:val="center"/>
              <w:rPr>
                <w:sz w:val="21"/>
                <w:szCs w:val="16"/>
              </w:rPr>
            </w:pPr>
            <w:r>
              <w:rPr>
                <w:rFonts w:hint="eastAsia"/>
                <w:sz w:val="21"/>
                <w:szCs w:val="16"/>
              </w:rPr>
              <w:t>±</w:t>
            </w:r>
            <w:r>
              <w:rPr>
                <w:sz w:val="21"/>
                <w:szCs w:val="16"/>
              </w:rPr>
              <w:t>5</w:t>
            </w:r>
          </w:p>
        </w:tc>
        <w:tc>
          <w:tcPr>
            <w:tcW w:w="777" w:type="dxa"/>
            <w:vAlign w:val="center"/>
          </w:tcPr>
          <w:p>
            <w:pPr>
              <w:jc w:val="center"/>
              <w:rPr>
                <w:sz w:val="21"/>
                <w:szCs w:val="16"/>
              </w:rPr>
            </w:pPr>
            <w:r>
              <w:rPr>
                <w:rFonts w:hint="eastAsia"/>
                <w:sz w:val="21"/>
                <w:szCs w:val="16"/>
              </w:rPr>
              <w:t>-</w:t>
            </w:r>
          </w:p>
        </w:tc>
        <w:tc>
          <w:tcPr>
            <w:tcW w:w="3890" w:type="dxa"/>
            <w:vAlign w:val="center"/>
          </w:tcPr>
          <w:p>
            <w:pPr>
              <w:jc w:val="center"/>
              <w:rPr>
                <w:sz w:val="21"/>
                <w:szCs w:val="16"/>
              </w:rPr>
            </w:pPr>
            <w:r>
              <w:rPr>
                <w:rFonts w:hint="eastAsia"/>
                <w:sz w:val="21"/>
                <w:szCs w:val="16"/>
              </w:rPr>
              <w:t>用尺检查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03" w:type="dxa"/>
            <w:vAlign w:val="center"/>
          </w:tcPr>
          <w:p>
            <w:pPr>
              <w:jc w:val="center"/>
              <w:rPr>
                <w:sz w:val="21"/>
                <w:szCs w:val="16"/>
              </w:rPr>
            </w:pPr>
            <w:r>
              <w:rPr>
                <w:rFonts w:hint="eastAsia"/>
                <w:sz w:val="21"/>
                <w:szCs w:val="16"/>
              </w:rPr>
              <w:t>8</w:t>
            </w:r>
          </w:p>
        </w:tc>
        <w:tc>
          <w:tcPr>
            <w:tcW w:w="2033" w:type="dxa"/>
            <w:gridSpan w:val="3"/>
            <w:vAlign w:val="center"/>
          </w:tcPr>
          <w:p>
            <w:pPr>
              <w:jc w:val="center"/>
              <w:rPr>
                <w:sz w:val="21"/>
                <w:szCs w:val="16"/>
              </w:rPr>
            </w:pPr>
            <w:r>
              <w:rPr>
                <w:rFonts w:hint="eastAsia"/>
                <w:sz w:val="21"/>
                <w:szCs w:val="16"/>
              </w:rPr>
              <w:t>水平灰缝平直度</w:t>
            </w:r>
          </w:p>
        </w:tc>
        <w:tc>
          <w:tcPr>
            <w:tcW w:w="769" w:type="dxa"/>
            <w:vAlign w:val="center"/>
          </w:tcPr>
          <w:p>
            <w:pPr>
              <w:jc w:val="center"/>
              <w:rPr>
                <w:sz w:val="21"/>
                <w:szCs w:val="16"/>
              </w:rPr>
            </w:pPr>
            <w:r>
              <w:rPr>
                <w:sz w:val="21"/>
                <w:szCs w:val="16"/>
              </w:rPr>
              <w:t>5</w:t>
            </w:r>
          </w:p>
        </w:tc>
        <w:tc>
          <w:tcPr>
            <w:tcW w:w="777" w:type="dxa"/>
            <w:vAlign w:val="center"/>
          </w:tcPr>
          <w:p>
            <w:pPr>
              <w:jc w:val="center"/>
              <w:rPr>
                <w:sz w:val="21"/>
                <w:szCs w:val="16"/>
              </w:rPr>
            </w:pPr>
            <w:r>
              <w:rPr>
                <w:sz w:val="21"/>
                <w:szCs w:val="16"/>
              </w:rPr>
              <w:t>5</w:t>
            </w:r>
          </w:p>
        </w:tc>
        <w:tc>
          <w:tcPr>
            <w:tcW w:w="3890" w:type="dxa"/>
            <w:vAlign w:val="center"/>
          </w:tcPr>
          <w:p>
            <w:pPr>
              <w:jc w:val="center"/>
              <w:rPr>
                <w:sz w:val="21"/>
                <w:szCs w:val="16"/>
              </w:rPr>
            </w:pPr>
            <w:r>
              <w:rPr>
                <w:rFonts w:hint="eastAsia"/>
                <w:sz w:val="21"/>
                <w:szCs w:val="16"/>
              </w:rPr>
              <w:t>拉1</w:t>
            </w:r>
            <w:r>
              <w:rPr>
                <w:sz w:val="21"/>
                <w:szCs w:val="16"/>
              </w:rPr>
              <w:t>0 m</w:t>
            </w:r>
            <w:r>
              <w:rPr>
                <w:rFonts w:hint="eastAsia"/>
                <w:sz w:val="21"/>
                <w:szCs w:val="16"/>
              </w:rPr>
              <w:t>线和直尺检查</w:t>
            </w:r>
          </w:p>
        </w:tc>
      </w:tr>
    </w:tbl>
    <w:p>
      <w:pPr>
        <w:rPr>
          <w:sz w:val="24"/>
        </w:rPr>
      </w:pPr>
    </w:p>
    <w:bookmarkEnd w:id="151"/>
    <w:bookmarkEnd w:id="152"/>
    <w:p>
      <w:pPr>
        <w:tabs>
          <w:tab w:val="left" w:pos="425"/>
          <w:tab w:val="left" w:pos="735"/>
        </w:tabs>
        <w:adjustRightInd w:val="0"/>
        <w:spacing w:line="360" w:lineRule="auto"/>
        <w:outlineLvl w:val="2"/>
        <w:rPr>
          <w:sz w:val="24"/>
        </w:rPr>
      </w:pPr>
      <w:r>
        <w:rPr>
          <w:rFonts w:eastAsiaTheme="minorEastAsia"/>
          <w:b/>
          <w:sz w:val="24"/>
          <w:szCs w:val="24"/>
        </w:rPr>
        <w:t>7.2.7　</w:t>
      </w:r>
      <w:r>
        <w:rPr>
          <w:sz w:val="24"/>
        </w:rPr>
        <w:t>构造柱、圈梁钢筋的绑扎应符合现行国家标准《混凝土结构工程施工规范》GB 50666的有关规定。</w:t>
      </w:r>
    </w:p>
    <w:p>
      <w:pPr>
        <w:tabs>
          <w:tab w:val="left" w:pos="425"/>
          <w:tab w:val="left" w:pos="735"/>
        </w:tabs>
        <w:adjustRightInd w:val="0"/>
        <w:spacing w:line="360" w:lineRule="auto"/>
        <w:outlineLvl w:val="2"/>
        <w:rPr>
          <w:sz w:val="24"/>
        </w:rPr>
      </w:pPr>
      <w:r>
        <w:rPr>
          <w:rFonts w:eastAsiaTheme="minorEastAsia"/>
          <w:b/>
          <w:sz w:val="24"/>
          <w:szCs w:val="24"/>
        </w:rPr>
        <w:t>7.2.8　</w:t>
      </w:r>
      <w:r>
        <w:rPr>
          <w:sz w:val="24"/>
          <w:szCs w:val="24"/>
        </w:rPr>
        <w:t>叠合</w:t>
      </w:r>
      <w:r>
        <w:rPr>
          <w:sz w:val="24"/>
        </w:rPr>
        <w:t>板</w:t>
      </w:r>
      <w:r>
        <w:rPr>
          <w:sz w:val="24"/>
          <w:szCs w:val="24"/>
        </w:rPr>
        <w:t>安装应符合现行国家标准《装配式混凝土建筑技术规程》GB/T 51231的有关规定。</w:t>
      </w:r>
    </w:p>
    <w:p>
      <w:pPr>
        <w:pStyle w:val="46"/>
      </w:pPr>
      <w:r>
        <w:t>7.3　</w:t>
      </w:r>
      <w:bookmarkEnd w:id="153"/>
      <w:bookmarkEnd w:id="154"/>
      <w:bookmarkEnd w:id="155"/>
      <w:bookmarkEnd w:id="156"/>
      <w:bookmarkEnd w:id="157"/>
      <w:r>
        <w:rPr>
          <w:rFonts w:hint="eastAsia"/>
        </w:rPr>
        <w:t>施工验收要点</w:t>
      </w:r>
      <w:bookmarkEnd w:id="158"/>
      <w:bookmarkEnd w:id="159"/>
    </w:p>
    <w:p>
      <w:pPr>
        <w:tabs>
          <w:tab w:val="left" w:pos="425"/>
        </w:tabs>
        <w:adjustRightInd w:val="0"/>
        <w:spacing w:line="360" w:lineRule="auto"/>
        <w:outlineLvl w:val="2"/>
        <w:rPr>
          <w:sz w:val="24"/>
        </w:rPr>
      </w:pPr>
      <w:r>
        <w:rPr>
          <w:rFonts w:eastAsiaTheme="minorEastAsia"/>
          <w:b/>
          <w:sz w:val="24"/>
          <w:szCs w:val="24"/>
        </w:rPr>
        <w:t>7.3.1　</w:t>
      </w:r>
      <w:r>
        <w:rPr>
          <w:sz w:val="24"/>
          <w:szCs w:val="24"/>
        </w:rPr>
        <w:t>钢筋牌号和规格应符合设计文件的要求。</w:t>
      </w:r>
    </w:p>
    <w:p>
      <w:pPr>
        <w:tabs>
          <w:tab w:val="left" w:pos="425"/>
        </w:tabs>
        <w:adjustRightInd w:val="0"/>
        <w:spacing w:line="360" w:lineRule="auto"/>
        <w:outlineLvl w:val="2"/>
        <w:rPr>
          <w:sz w:val="24"/>
        </w:rPr>
      </w:pPr>
      <w:r>
        <w:rPr>
          <w:rFonts w:eastAsiaTheme="minorEastAsia"/>
          <w:b/>
          <w:sz w:val="24"/>
          <w:szCs w:val="24"/>
        </w:rPr>
        <w:t>7.3.2　</w:t>
      </w:r>
      <w:r>
        <w:rPr>
          <w:sz w:val="24"/>
          <w:szCs w:val="24"/>
        </w:rPr>
        <w:t>混凝土配合比设计应符合国家现行标准《混凝土结构工程施工规范》GB 50666和《普通混凝土配合比设计规程》JGJ 55的有关规定。</w:t>
      </w:r>
    </w:p>
    <w:p>
      <w:pPr>
        <w:tabs>
          <w:tab w:val="left" w:pos="425"/>
        </w:tabs>
        <w:adjustRightInd w:val="0"/>
        <w:spacing w:line="360" w:lineRule="auto"/>
        <w:outlineLvl w:val="2"/>
        <w:rPr>
          <w:sz w:val="24"/>
        </w:rPr>
      </w:pPr>
      <w:r>
        <w:rPr>
          <w:rFonts w:eastAsiaTheme="minorEastAsia"/>
          <w:b/>
          <w:sz w:val="24"/>
          <w:szCs w:val="24"/>
        </w:rPr>
        <w:t>7.3.3　</w:t>
      </w:r>
      <w:r>
        <w:rPr>
          <w:sz w:val="24"/>
          <w:szCs w:val="24"/>
        </w:rPr>
        <w:t>混凝土浇筑应符合下列规定：</w:t>
      </w:r>
    </w:p>
    <w:p>
      <w:pPr>
        <w:adjustRightInd w:val="0"/>
        <w:spacing w:line="360" w:lineRule="auto"/>
        <w:ind w:firstLine="482" w:firstLineChars="200"/>
        <w:rPr>
          <w:sz w:val="24"/>
        </w:rPr>
      </w:pPr>
      <w:r>
        <w:rPr>
          <w:b/>
          <w:sz w:val="24"/>
        </w:rPr>
        <w:t>1</w:t>
      </w:r>
      <w:r>
        <w:rPr>
          <w:sz w:val="24"/>
        </w:rPr>
        <w:t>　应将模板</w:t>
      </w:r>
      <w:r>
        <w:rPr>
          <w:rFonts w:hint="eastAsia"/>
          <w:sz w:val="24"/>
        </w:rPr>
        <w:t>或模壳砌块空腔</w:t>
      </w:r>
      <w:r>
        <w:rPr>
          <w:sz w:val="24"/>
        </w:rPr>
        <w:t>内部清扫干净并清除积水，经检验合格后封闭清扫口，满足浇筑要求后方可浇筑混凝土；</w:t>
      </w:r>
    </w:p>
    <w:p>
      <w:pPr>
        <w:adjustRightInd w:val="0"/>
        <w:spacing w:line="360" w:lineRule="auto"/>
        <w:ind w:firstLine="482" w:firstLineChars="200"/>
        <w:rPr>
          <w:sz w:val="24"/>
        </w:rPr>
      </w:pPr>
      <w:r>
        <w:rPr>
          <w:b/>
          <w:sz w:val="24"/>
        </w:rPr>
        <w:t>2</w:t>
      </w:r>
      <w:r>
        <w:rPr>
          <w:sz w:val="24"/>
        </w:rPr>
        <w:t>　混凝土浇筑时应布料均衡；</w:t>
      </w:r>
    </w:p>
    <w:p>
      <w:pPr>
        <w:adjustRightInd w:val="0"/>
        <w:spacing w:line="360" w:lineRule="auto"/>
        <w:ind w:firstLine="482" w:firstLineChars="200"/>
        <w:rPr>
          <w:sz w:val="24"/>
        </w:rPr>
      </w:pPr>
      <w:r>
        <w:rPr>
          <w:b/>
          <w:sz w:val="24"/>
        </w:rPr>
        <w:t>3</w:t>
      </w:r>
      <w:r>
        <w:rPr>
          <w:sz w:val="24"/>
        </w:rPr>
        <w:t>　普通混凝土浇筑时应采用振动器振捣，并应采取措施保证混凝土浇筑密实；</w:t>
      </w:r>
    </w:p>
    <w:p>
      <w:pPr>
        <w:adjustRightInd w:val="0"/>
        <w:spacing w:line="360" w:lineRule="auto"/>
        <w:ind w:firstLine="482" w:firstLineChars="200"/>
        <w:rPr>
          <w:sz w:val="24"/>
        </w:rPr>
      </w:pPr>
      <w:r>
        <w:rPr>
          <w:b/>
          <w:sz w:val="24"/>
        </w:rPr>
        <w:t>4</w:t>
      </w:r>
      <w:r>
        <w:rPr>
          <w:sz w:val="24"/>
        </w:rPr>
        <w:t>　浇筑和振捣时，应有专人对模板及支架进行观察和维护，发生异常情况应立即处理</w:t>
      </w:r>
      <w:r>
        <w:rPr>
          <w:rFonts w:hint="eastAsia"/>
          <w:sz w:val="24"/>
        </w:rPr>
        <w:t>；</w:t>
      </w:r>
    </w:p>
    <w:p>
      <w:pPr>
        <w:adjustRightInd w:val="0"/>
        <w:spacing w:line="360" w:lineRule="auto"/>
        <w:ind w:firstLine="482" w:firstLineChars="200"/>
        <w:rPr>
          <w:sz w:val="24"/>
        </w:rPr>
      </w:pPr>
      <w:r>
        <w:rPr>
          <w:b/>
          <w:sz w:val="24"/>
        </w:rPr>
        <w:t>5</w:t>
      </w:r>
      <w:r>
        <w:rPr>
          <w:sz w:val="24"/>
        </w:rPr>
        <w:t>　</w:t>
      </w:r>
      <w:r>
        <w:rPr>
          <w:rFonts w:hint="eastAsia"/>
          <w:sz w:val="24"/>
        </w:rPr>
        <w:t>芯柱式</w:t>
      </w:r>
      <w:r>
        <w:rPr>
          <w:sz w:val="24"/>
        </w:rPr>
        <w:t>构造柱</w:t>
      </w:r>
      <w:r>
        <w:rPr>
          <w:rFonts w:hint="eastAsia"/>
          <w:sz w:val="24"/>
        </w:rPr>
        <w:t>、芯柱的</w:t>
      </w:r>
      <w:r>
        <w:rPr>
          <w:sz w:val="24"/>
        </w:rPr>
        <w:t>混凝土应在浇筑时同时振捣密实，振捣时应避免触碰</w:t>
      </w:r>
      <w:r>
        <w:rPr>
          <w:rFonts w:hint="eastAsia"/>
          <w:sz w:val="24"/>
        </w:rPr>
        <w:t>块体</w:t>
      </w:r>
      <w:r>
        <w:rPr>
          <w:sz w:val="24"/>
        </w:rPr>
        <w:t>。</w:t>
      </w:r>
    </w:p>
    <w:p>
      <w:pPr>
        <w:tabs>
          <w:tab w:val="left" w:pos="425"/>
        </w:tabs>
        <w:adjustRightInd w:val="0"/>
        <w:spacing w:line="360" w:lineRule="auto"/>
        <w:outlineLvl w:val="2"/>
        <w:rPr>
          <w:sz w:val="24"/>
        </w:rPr>
      </w:pPr>
      <w:r>
        <w:rPr>
          <w:rFonts w:eastAsiaTheme="minorEastAsia"/>
          <w:b/>
          <w:sz w:val="24"/>
          <w:szCs w:val="24"/>
        </w:rPr>
        <w:t>7.3.4　</w:t>
      </w:r>
      <w:r>
        <w:rPr>
          <w:rFonts w:hint="eastAsia"/>
          <w:sz w:val="24"/>
        </w:rPr>
        <w:t xml:space="preserve">砌体工程应对下列隐蔽工程进行验收： </w:t>
      </w:r>
    </w:p>
    <w:p>
      <w:pPr>
        <w:spacing w:line="360" w:lineRule="auto"/>
        <w:ind w:firstLine="482" w:firstLineChars="200"/>
        <w:rPr>
          <w:sz w:val="24"/>
          <w:szCs w:val="22"/>
        </w:rPr>
      </w:pPr>
      <w:r>
        <w:rPr>
          <w:rFonts w:hint="eastAsia"/>
          <w:b/>
          <w:sz w:val="24"/>
        </w:rPr>
        <w:t>1</w:t>
      </w:r>
      <w:r>
        <w:rPr>
          <w:sz w:val="24"/>
        </w:rPr>
        <w:t>　</w:t>
      </w:r>
      <w:r>
        <w:rPr>
          <w:rFonts w:hint="eastAsia"/>
          <w:sz w:val="24"/>
          <w:szCs w:val="22"/>
        </w:rPr>
        <w:t>基础砌体；</w:t>
      </w:r>
    </w:p>
    <w:p>
      <w:pPr>
        <w:spacing w:line="360" w:lineRule="auto"/>
        <w:ind w:firstLine="482" w:firstLineChars="200"/>
        <w:rPr>
          <w:sz w:val="24"/>
        </w:rPr>
      </w:pPr>
      <w:r>
        <w:rPr>
          <w:rFonts w:hint="eastAsia"/>
          <w:b/>
          <w:sz w:val="24"/>
        </w:rPr>
        <w:t>2</w:t>
      </w:r>
      <w:r>
        <w:rPr>
          <w:sz w:val="24"/>
        </w:rPr>
        <w:t>　</w:t>
      </w:r>
      <w:r>
        <w:rPr>
          <w:rFonts w:hint="eastAsia"/>
          <w:sz w:val="24"/>
        </w:rPr>
        <w:t>砌体中的钢筋网片、拉结筋、配筋砌块砌体构件内受力钢筋；</w:t>
      </w:r>
    </w:p>
    <w:p>
      <w:pPr>
        <w:spacing w:line="360" w:lineRule="auto"/>
        <w:ind w:firstLine="482" w:firstLineChars="200"/>
        <w:rPr>
          <w:sz w:val="24"/>
        </w:rPr>
      </w:pPr>
      <w:r>
        <w:rPr>
          <w:b/>
          <w:sz w:val="24"/>
        </w:rPr>
        <w:t>3</w:t>
      </w:r>
      <w:r>
        <w:rPr>
          <w:sz w:val="24"/>
        </w:rPr>
        <w:t>　</w:t>
      </w:r>
      <w:r>
        <w:rPr>
          <w:rFonts w:hint="eastAsia"/>
          <w:sz w:val="24"/>
        </w:rPr>
        <w:t>圈梁、过梁、构造柱、组合砌体墙柱及模壳砌块墙体；</w:t>
      </w:r>
    </w:p>
    <w:p>
      <w:pPr>
        <w:spacing w:line="360" w:lineRule="auto"/>
        <w:ind w:firstLine="482" w:firstLineChars="200"/>
        <w:rPr>
          <w:sz w:val="24"/>
        </w:rPr>
      </w:pPr>
      <w:r>
        <w:rPr>
          <w:b/>
          <w:sz w:val="24"/>
        </w:rPr>
        <w:t>4</w:t>
      </w:r>
      <w:r>
        <w:rPr>
          <w:sz w:val="24"/>
        </w:rPr>
        <w:t>　</w:t>
      </w:r>
      <w:r>
        <w:rPr>
          <w:rFonts w:hint="eastAsia"/>
          <w:sz w:val="24"/>
        </w:rPr>
        <w:t>其他隐蔽项目。</w:t>
      </w:r>
    </w:p>
    <w:p>
      <w:pPr>
        <w:tabs>
          <w:tab w:val="left" w:pos="425"/>
        </w:tabs>
        <w:adjustRightInd w:val="0"/>
        <w:spacing w:line="360" w:lineRule="auto"/>
        <w:outlineLvl w:val="2"/>
        <w:rPr>
          <w:sz w:val="24"/>
        </w:rPr>
      </w:pPr>
      <w:r>
        <w:rPr>
          <w:rFonts w:eastAsiaTheme="minorEastAsia"/>
          <w:b/>
          <w:sz w:val="24"/>
          <w:szCs w:val="24"/>
        </w:rPr>
        <w:t>7.3.5　</w:t>
      </w:r>
      <w:r>
        <w:rPr>
          <w:rFonts w:hint="eastAsia"/>
          <w:sz w:val="24"/>
        </w:rPr>
        <w:t>砌体工程验收前应提供下列文件和记录：</w:t>
      </w:r>
    </w:p>
    <w:p>
      <w:pPr>
        <w:spacing w:line="360" w:lineRule="auto"/>
        <w:ind w:firstLine="482" w:firstLineChars="200"/>
        <w:rPr>
          <w:sz w:val="24"/>
        </w:rPr>
      </w:pPr>
      <w:r>
        <w:rPr>
          <w:rFonts w:hint="eastAsia"/>
          <w:b/>
          <w:sz w:val="24"/>
        </w:rPr>
        <w:t>1</w:t>
      </w:r>
      <w:r>
        <w:rPr>
          <w:sz w:val="24"/>
        </w:rPr>
        <w:t>　</w:t>
      </w:r>
      <w:r>
        <w:rPr>
          <w:rFonts w:hint="eastAsia"/>
          <w:sz w:val="24"/>
        </w:rPr>
        <w:t>原材料、构件的出厂合格证、产品性能检测报告及进场复验报告；</w:t>
      </w:r>
    </w:p>
    <w:p>
      <w:pPr>
        <w:spacing w:line="360" w:lineRule="auto"/>
        <w:ind w:firstLine="482" w:firstLineChars="200"/>
        <w:rPr>
          <w:sz w:val="24"/>
        </w:rPr>
      </w:pPr>
      <w:r>
        <w:rPr>
          <w:rFonts w:hint="eastAsia"/>
          <w:b/>
          <w:sz w:val="24"/>
        </w:rPr>
        <w:t>2</w:t>
      </w:r>
      <w:r>
        <w:rPr>
          <w:sz w:val="24"/>
        </w:rPr>
        <w:t>　</w:t>
      </w:r>
      <w:r>
        <w:rPr>
          <w:rFonts w:hint="eastAsia"/>
          <w:sz w:val="24"/>
        </w:rPr>
        <w:t>钢筋接头的试验报告；</w:t>
      </w:r>
    </w:p>
    <w:p>
      <w:pPr>
        <w:spacing w:line="360" w:lineRule="auto"/>
        <w:ind w:firstLine="482" w:firstLineChars="200"/>
        <w:rPr>
          <w:sz w:val="24"/>
        </w:rPr>
      </w:pPr>
      <w:r>
        <w:rPr>
          <w:rFonts w:hint="eastAsia"/>
          <w:b/>
          <w:sz w:val="24"/>
        </w:rPr>
        <w:t>3</w:t>
      </w:r>
      <w:r>
        <w:rPr>
          <w:sz w:val="24"/>
        </w:rPr>
        <w:t>　</w:t>
      </w:r>
      <w:r>
        <w:rPr>
          <w:rFonts w:hint="eastAsia"/>
          <w:sz w:val="24"/>
        </w:rPr>
        <w:t>混凝土及砂浆配合比通知单；</w:t>
      </w:r>
    </w:p>
    <w:p>
      <w:pPr>
        <w:spacing w:line="360" w:lineRule="auto"/>
        <w:ind w:firstLine="482" w:firstLineChars="200"/>
        <w:rPr>
          <w:sz w:val="24"/>
        </w:rPr>
      </w:pPr>
      <w:r>
        <w:rPr>
          <w:rFonts w:hint="eastAsia"/>
          <w:b/>
          <w:sz w:val="24"/>
        </w:rPr>
        <w:t>4</w:t>
      </w:r>
      <w:r>
        <w:rPr>
          <w:sz w:val="24"/>
        </w:rPr>
        <w:t>　</w:t>
      </w:r>
      <w:r>
        <w:rPr>
          <w:rFonts w:hint="eastAsia"/>
          <w:sz w:val="24"/>
        </w:rPr>
        <w:t>混凝土及砂浆试块强度试验报告；</w:t>
      </w:r>
    </w:p>
    <w:p>
      <w:pPr>
        <w:spacing w:line="360" w:lineRule="auto"/>
        <w:ind w:firstLine="482" w:firstLineChars="200"/>
        <w:rPr>
          <w:sz w:val="24"/>
        </w:rPr>
      </w:pPr>
      <w:r>
        <w:rPr>
          <w:rFonts w:hint="eastAsia"/>
          <w:b/>
          <w:sz w:val="24"/>
        </w:rPr>
        <w:t>5</w:t>
      </w:r>
      <w:r>
        <w:rPr>
          <w:sz w:val="24"/>
        </w:rPr>
        <w:t>　</w:t>
      </w:r>
      <w:r>
        <w:rPr>
          <w:rFonts w:hint="eastAsia"/>
          <w:sz w:val="24"/>
        </w:rPr>
        <w:t>砌体工程及混凝土工程施工记录；</w:t>
      </w:r>
    </w:p>
    <w:p>
      <w:pPr>
        <w:spacing w:line="360" w:lineRule="auto"/>
        <w:ind w:firstLine="482" w:firstLineChars="200"/>
        <w:rPr>
          <w:sz w:val="24"/>
        </w:rPr>
      </w:pPr>
      <w:r>
        <w:rPr>
          <w:rFonts w:hint="eastAsia"/>
          <w:b/>
          <w:sz w:val="24"/>
        </w:rPr>
        <w:t>6</w:t>
      </w:r>
      <w:r>
        <w:rPr>
          <w:sz w:val="24"/>
        </w:rPr>
        <w:t>　</w:t>
      </w:r>
      <w:r>
        <w:rPr>
          <w:rFonts w:hint="eastAsia"/>
          <w:sz w:val="24"/>
        </w:rPr>
        <w:t>隐蔽工程验收记录；</w:t>
      </w:r>
    </w:p>
    <w:p>
      <w:pPr>
        <w:spacing w:line="360" w:lineRule="auto"/>
        <w:ind w:firstLine="482" w:firstLineChars="200"/>
        <w:rPr>
          <w:sz w:val="24"/>
        </w:rPr>
      </w:pPr>
      <w:r>
        <w:rPr>
          <w:rFonts w:hint="eastAsia"/>
          <w:b/>
          <w:sz w:val="24"/>
        </w:rPr>
        <w:t>7</w:t>
      </w:r>
      <w:r>
        <w:rPr>
          <w:sz w:val="24"/>
        </w:rPr>
        <w:t>　</w:t>
      </w:r>
      <w:r>
        <w:rPr>
          <w:rFonts w:hint="eastAsia"/>
          <w:sz w:val="24"/>
        </w:rPr>
        <w:t>分项工程检验批验收记录；</w:t>
      </w:r>
    </w:p>
    <w:p>
      <w:pPr>
        <w:spacing w:line="360" w:lineRule="auto"/>
        <w:ind w:firstLine="482" w:firstLineChars="200"/>
        <w:rPr>
          <w:sz w:val="24"/>
        </w:rPr>
      </w:pPr>
      <w:r>
        <w:rPr>
          <w:rFonts w:hint="eastAsia"/>
          <w:b/>
          <w:sz w:val="24"/>
        </w:rPr>
        <w:t>8</w:t>
      </w:r>
      <w:r>
        <w:rPr>
          <w:sz w:val="24"/>
        </w:rPr>
        <w:t>　</w:t>
      </w:r>
      <w:r>
        <w:rPr>
          <w:rFonts w:hint="eastAsia"/>
          <w:sz w:val="24"/>
        </w:rPr>
        <w:t>施工质量检查记录；</w:t>
      </w:r>
    </w:p>
    <w:p>
      <w:pPr>
        <w:spacing w:line="360" w:lineRule="auto"/>
        <w:ind w:firstLine="482" w:firstLineChars="200"/>
        <w:rPr>
          <w:sz w:val="24"/>
        </w:rPr>
      </w:pPr>
      <w:r>
        <w:rPr>
          <w:rFonts w:hint="eastAsia"/>
          <w:b/>
          <w:sz w:val="24"/>
        </w:rPr>
        <w:t>9</w:t>
      </w:r>
      <w:r>
        <w:rPr>
          <w:sz w:val="24"/>
        </w:rPr>
        <w:t>　</w:t>
      </w:r>
      <w:r>
        <w:rPr>
          <w:rFonts w:hint="eastAsia"/>
          <w:sz w:val="24"/>
        </w:rPr>
        <w:t>设计图纸、设计变更文件及施工方案；</w:t>
      </w:r>
    </w:p>
    <w:p>
      <w:pPr>
        <w:spacing w:line="360" w:lineRule="auto"/>
        <w:ind w:firstLine="482" w:firstLineChars="200"/>
        <w:rPr>
          <w:sz w:val="24"/>
        </w:rPr>
      </w:pPr>
      <w:r>
        <w:rPr>
          <w:rFonts w:hint="eastAsia"/>
          <w:b/>
          <w:sz w:val="24"/>
        </w:rPr>
        <w:t>10</w:t>
      </w:r>
      <w:r>
        <w:rPr>
          <w:sz w:val="24"/>
        </w:rPr>
        <w:t>　</w:t>
      </w:r>
      <w:r>
        <w:rPr>
          <w:rFonts w:hint="eastAsia"/>
          <w:sz w:val="24"/>
        </w:rPr>
        <w:t>重大技术问题的处理方案和验收记录。</w:t>
      </w:r>
    </w:p>
    <w:p>
      <w:pPr>
        <w:tabs>
          <w:tab w:val="left" w:pos="425"/>
        </w:tabs>
        <w:adjustRightInd w:val="0"/>
        <w:spacing w:line="360" w:lineRule="auto"/>
        <w:outlineLvl w:val="2"/>
        <w:rPr>
          <w:sz w:val="24"/>
        </w:rPr>
      </w:pPr>
      <w:r>
        <w:rPr>
          <w:rFonts w:eastAsiaTheme="minorEastAsia"/>
          <w:b/>
          <w:sz w:val="24"/>
          <w:szCs w:val="24"/>
        </w:rPr>
        <w:t>7.3.6　</w:t>
      </w:r>
      <w:r>
        <w:rPr>
          <w:rFonts w:hint="eastAsia"/>
          <w:sz w:val="24"/>
        </w:rPr>
        <w:t>砌体工程验收时，应对模壳砌块砌体工程观感质量作出总体评价。</w:t>
      </w:r>
    </w:p>
    <w:p>
      <w:pPr>
        <w:tabs>
          <w:tab w:val="left" w:pos="425"/>
        </w:tabs>
        <w:adjustRightInd w:val="0"/>
        <w:spacing w:line="360" w:lineRule="auto"/>
        <w:outlineLvl w:val="2"/>
        <w:rPr>
          <w:rFonts w:eastAsiaTheme="minorEastAsia"/>
          <w:bCs/>
          <w:sz w:val="24"/>
          <w:szCs w:val="24"/>
        </w:rPr>
      </w:pPr>
      <w:r>
        <w:rPr>
          <w:rFonts w:eastAsiaTheme="minorEastAsia"/>
          <w:b/>
          <w:sz w:val="24"/>
          <w:szCs w:val="24"/>
        </w:rPr>
        <w:t>7.3.7　</w:t>
      </w:r>
      <w:r>
        <w:rPr>
          <w:rFonts w:hint="eastAsia" w:eastAsiaTheme="minorEastAsia"/>
          <w:bCs/>
          <w:sz w:val="24"/>
          <w:szCs w:val="24"/>
        </w:rPr>
        <w:t>砌体工程验收，应满足现行国家标准《建筑工程施工质量验收统一标准》GB 50300、《砌体结构工程施工质量验收规范》GB 50203和《混凝土结构工程施工质量验收规范》GB 50204的有关规定。</w:t>
      </w:r>
    </w:p>
    <w:p>
      <w:pPr>
        <w:pStyle w:val="2"/>
        <w:sectPr>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160" w:name="_Toc149766334"/>
      <w:bookmarkStart w:id="161" w:name="_Toc149766392"/>
      <w:bookmarkStart w:id="162" w:name="_Toc148994671"/>
      <w:bookmarkStart w:id="163" w:name="_Hlk143202410"/>
      <w:r>
        <w:rPr>
          <w:rFonts w:eastAsiaTheme="minorEastAsia"/>
          <w:sz w:val="32"/>
        </w:rPr>
        <w:t>附录A　</w:t>
      </w:r>
      <w:r>
        <w:rPr>
          <w:rStyle w:val="142"/>
          <w:rFonts w:ascii="Times New Roman" w:hAnsi="Times New Roman"/>
          <w:b w:val="0"/>
        </w:rPr>
        <w:t>常用模壳砌块规格</w:t>
      </w:r>
      <w:bookmarkEnd w:id="160"/>
      <w:bookmarkEnd w:id="161"/>
      <w:bookmarkEnd w:id="162"/>
    </w:p>
    <w:p>
      <w:pPr>
        <w:spacing w:line="360" w:lineRule="auto"/>
        <w:outlineLvl w:val="2"/>
        <w:rPr>
          <w:sz w:val="24"/>
          <w:szCs w:val="32"/>
        </w:rPr>
      </w:pPr>
      <w:r>
        <w:rPr>
          <w:rFonts w:hint="eastAsia" w:eastAsiaTheme="minorEastAsia"/>
          <w:b/>
          <w:sz w:val="24"/>
          <w:szCs w:val="24"/>
        </w:rPr>
        <w:t>A</w:t>
      </w:r>
      <w:r>
        <w:rPr>
          <w:rFonts w:eastAsiaTheme="minorEastAsia"/>
          <w:b/>
          <w:sz w:val="24"/>
          <w:szCs w:val="24"/>
        </w:rPr>
        <w:t>.0.1　</w:t>
      </w:r>
      <w:r>
        <w:rPr>
          <w:sz w:val="24"/>
          <w:szCs w:val="32"/>
        </w:rPr>
        <w:t>常用模壳砌块三视图及尺寸宜符合表A.0.1的规定。</w:t>
      </w:r>
    </w:p>
    <w:p>
      <w:pPr>
        <w:pStyle w:val="2"/>
        <w:ind w:firstLine="0"/>
      </w:pPr>
      <w:r>
        <w:t>表A.0.1</w:t>
      </w:r>
      <w:r>
        <w:rPr>
          <w:rFonts w:eastAsiaTheme="minorEastAsia"/>
          <w:sz w:val="24"/>
        </w:rPr>
        <w:t>　</w:t>
      </w:r>
      <w:r>
        <w:t>常用模壳砌块三视图及尺寸</w:t>
      </w:r>
      <w:r>
        <w:rPr>
          <w:rFonts w:hint="eastAsia"/>
        </w:rPr>
        <w:t>（单位：m</w:t>
      </w:r>
      <w:r>
        <w:t>m</w:t>
      </w:r>
      <w:r>
        <w:rPr>
          <w:rFonts w:hint="eastAsia"/>
        </w:rPr>
        <w:t>）</w:t>
      </w:r>
    </w:p>
    <w:tbl>
      <w:tblPr>
        <w:tblStyle w:val="30"/>
        <w:tblW w:w="5000" w:type="pct"/>
        <w:jc w:val="center"/>
        <w:tblLayout w:type="autofit"/>
        <w:tblCellMar>
          <w:top w:w="0" w:type="dxa"/>
          <w:left w:w="0" w:type="dxa"/>
          <w:bottom w:w="0" w:type="dxa"/>
          <w:right w:w="57" w:type="dxa"/>
        </w:tblCellMar>
      </w:tblPr>
      <w:tblGrid>
        <w:gridCol w:w="1242"/>
        <w:gridCol w:w="4393"/>
        <w:gridCol w:w="2888"/>
      </w:tblGrid>
      <w:tr>
        <w:tblPrEx>
          <w:tblCellMar>
            <w:top w:w="0" w:type="dxa"/>
            <w:left w:w="0" w:type="dxa"/>
            <w:bottom w:w="0" w:type="dxa"/>
            <w:right w:w="57" w:type="dxa"/>
          </w:tblCellMar>
        </w:tblPrEx>
        <w:trPr>
          <w:trHeight w:val="454" w:hRule="atLeast"/>
          <w:tblHeader/>
          <w:jc w:val="center"/>
        </w:trPr>
        <w:tc>
          <w:tcPr>
            <w:tcW w:w="729" w:type="pct"/>
            <w:tcBorders>
              <w:top w:val="single" w:color="auto" w:sz="12" w:space="0"/>
              <w:left w:val="single" w:color="auto" w:sz="12" w:space="0"/>
              <w:bottom w:val="single" w:color="auto" w:sz="4" w:space="0"/>
              <w:right w:val="single" w:color="auto" w:sz="4" w:space="0"/>
            </w:tcBorders>
            <w:shd w:val="clear" w:color="auto" w:fill="FFFFFF"/>
            <w:tcMar>
              <w:top w:w="0" w:type="dxa"/>
              <w:left w:w="108" w:type="dxa"/>
              <w:bottom w:w="0" w:type="dxa"/>
              <w:right w:w="108" w:type="dxa"/>
            </w:tcMar>
            <w:vAlign w:val="center"/>
          </w:tcPr>
          <w:p>
            <w:pPr>
              <w:snapToGrid w:val="0"/>
              <w:jc w:val="center"/>
              <w:rPr>
                <w:sz w:val="18"/>
                <w:szCs w:val="18"/>
              </w:rPr>
            </w:pPr>
            <w:r>
              <w:rPr>
                <w:sz w:val="18"/>
                <w:szCs w:val="18"/>
              </w:rPr>
              <w:t>型号及尺寸</w:t>
            </w:r>
          </w:p>
        </w:tc>
        <w:tc>
          <w:tcPr>
            <w:tcW w:w="4271" w:type="pct"/>
            <w:gridSpan w:val="2"/>
            <w:tcBorders>
              <w:top w:val="single" w:color="auto" w:sz="12" w:space="0"/>
              <w:left w:val="nil"/>
              <w:bottom w:val="single" w:color="auto" w:sz="4" w:space="0"/>
              <w:right w:val="single" w:color="auto" w:sz="12" w:space="0"/>
            </w:tcBorders>
            <w:shd w:val="clear" w:color="auto" w:fill="FFFFFF"/>
            <w:tcMar>
              <w:top w:w="0" w:type="dxa"/>
              <w:left w:w="108" w:type="dxa"/>
              <w:bottom w:w="0" w:type="dxa"/>
              <w:right w:w="108" w:type="dxa"/>
            </w:tcMar>
            <w:vAlign w:val="center"/>
          </w:tcPr>
          <w:p>
            <w:pPr>
              <w:snapToGrid w:val="0"/>
              <w:jc w:val="center"/>
              <w:rPr>
                <w:sz w:val="18"/>
                <w:szCs w:val="18"/>
              </w:rPr>
            </w:pPr>
            <w:r>
              <w:rPr>
                <w:rFonts w:hint="eastAsia"/>
                <w:sz w:val="18"/>
                <w:szCs w:val="18"/>
              </w:rPr>
              <w:t>砌块三视图及尺寸</w:t>
            </w:r>
          </w:p>
        </w:tc>
      </w:tr>
      <w:tr>
        <w:tblPrEx>
          <w:tblCellMar>
            <w:top w:w="0" w:type="dxa"/>
            <w:left w:w="0" w:type="dxa"/>
            <w:bottom w:w="0" w:type="dxa"/>
            <w:right w:w="57" w:type="dxa"/>
          </w:tblCellMar>
        </w:tblPrEx>
        <w:trPr>
          <w:trHeight w:val="1796" w:hRule="atLeast"/>
          <w:tblHeader/>
          <w:jc w:val="center"/>
        </w:trPr>
        <w:tc>
          <w:tcPr>
            <w:tcW w:w="729" w:type="pct"/>
            <w:vMerge w:val="restart"/>
            <w:tcBorders>
              <w:top w:val="single" w:color="auto" w:sz="4" w:space="0"/>
              <w:left w:val="single" w:color="auto" w:sz="12" w:space="0"/>
              <w:right w:val="single" w:color="auto" w:sz="4" w:space="0"/>
            </w:tcBorders>
            <w:shd w:val="clear" w:color="auto" w:fill="FFFFFF"/>
            <w:tcMar>
              <w:top w:w="0" w:type="dxa"/>
              <w:left w:w="108" w:type="dxa"/>
              <w:bottom w:w="0" w:type="dxa"/>
              <w:right w:w="108" w:type="dxa"/>
            </w:tcMar>
            <w:vAlign w:val="center"/>
          </w:tcPr>
          <w:p>
            <w:pPr>
              <w:spacing w:line="360" w:lineRule="auto"/>
              <w:jc w:val="center"/>
              <w:rPr>
                <w:sz w:val="18"/>
                <w:szCs w:val="18"/>
              </w:rPr>
            </w:pPr>
            <w:r>
              <w:rPr>
                <w:sz w:val="18"/>
                <w:szCs w:val="18"/>
              </w:rPr>
              <w:t>标砖</w:t>
            </w:r>
          </w:p>
          <w:p>
            <w:pPr>
              <w:snapToGrid w:val="0"/>
              <w:spacing w:line="360" w:lineRule="auto"/>
              <w:ind w:left="-105" w:leftChars="-50" w:right="-105" w:rightChars="-50"/>
              <w:jc w:val="center"/>
              <w:rPr>
                <w:sz w:val="18"/>
                <w:szCs w:val="18"/>
              </w:rPr>
            </w:pPr>
            <w:r>
              <w:rPr>
                <w:sz w:val="18"/>
                <w:szCs w:val="18"/>
              </w:rPr>
              <w:t>398</w:t>
            </w:r>
            <w:r>
              <w:rPr>
                <w:rFonts w:hint="eastAsia"/>
                <w:sz w:val="18"/>
                <w:szCs w:val="18"/>
              </w:rPr>
              <w:t>×</w:t>
            </w:r>
            <w:r>
              <w:rPr>
                <w:sz w:val="18"/>
                <w:szCs w:val="18"/>
              </w:rPr>
              <w:t>200</w:t>
            </w:r>
            <w:r>
              <w:rPr>
                <w:rFonts w:hint="eastAsia"/>
                <w:sz w:val="18"/>
                <w:szCs w:val="18"/>
              </w:rPr>
              <w:t>×</w:t>
            </w:r>
            <w:r>
              <w:rPr>
                <w:sz w:val="18"/>
                <w:szCs w:val="18"/>
              </w:rPr>
              <w:t>158</w:t>
            </w:r>
          </w:p>
        </w:tc>
        <w:tc>
          <w:tcPr>
            <w:tcW w:w="2577" w:type="pct"/>
            <w:tcBorders>
              <w:top w:val="single" w:color="auto" w:sz="4" w:space="0"/>
              <w:left w:val="nil"/>
            </w:tcBorders>
            <w:shd w:val="clear" w:color="auto" w:fill="FFFFFF"/>
            <w:tcMar>
              <w:top w:w="0" w:type="dxa"/>
              <w:left w:w="108" w:type="dxa"/>
              <w:bottom w:w="0" w:type="dxa"/>
              <w:right w:w="108" w:type="dxa"/>
            </w:tcMar>
            <w:vAlign w:val="center"/>
          </w:tcPr>
          <w:p>
            <w:pPr>
              <w:snapToGrid w:val="0"/>
              <w:jc w:val="center"/>
              <w:rPr>
                <w:sz w:val="18"/>
                <w:szCs w:val="18"/>
              </w:rPr>
            </w:pPr>
            <w:r>
              <w:rPr>
                <w:rFonts w:hint="eastAsia"/>
              </w:rPr>
              <w:drawing>
                <wp:inline distT="0" distB="0" distL="0" distR="0">
                  <wp:extent cx="2188845" cy="1669415"/>
                  <wp:effectExtent l="0" t="0" r="1905" b="0"/>
                  <wp:docPr id="1433674875" name="图片 143367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4875" name="图片 1433674875"/>
                          <pic:cNvPicPr>
                            <a:picLocks noChangeAspect="1" noChangeArrowheads="1"/>
                          </pic:cNvPicPr>
                        </pic:nvPicPr>
                        <pic:blipFill>
                          <a:blip r:embed="rId64">
                            <a:extLst>
                              <a:ext uri="{28A0092B-C50C-407E-A947-70E740481C1C}">
                                <a14:useLocalDpi xmlns:a14="http://schemas.microsoft.com/office/drawing/2010/main" val="0"/>
                              </a:ext>
                            </a:extLst>
                          </a:blip>
                          <a:srcRect l="1" t="11322" r="47181" b="50085"/>
                          <a:stretch>
                            <a:fillRect/>
                          </a:stretch>
                        </pic:blipFill>
                        <pic:spPr>
                          <a:xfrm>
                            <a:off x="0" y="0"/>
                            <a:ext cx="2189754" cy="1670060"/>
                          </a:xfrm>
                          <a:prstGeom prst="rect">
                            <a:avLst/>
                          </a:prstGeom>
                          <a:noFill/>
                          <a:ln>
                            <a:noFill/>
                          </a:ln>
                        </pic:spPr>
                      </pic:pic>
                    </a:graphicData>
                  </a:graphic>
                </wp:inline>
              </w:drawing>
            </w:r>
          </w:p>
        </w:tc>
        <w:tc>
          <w:tcPr>
            <w:tcW w:w="1694" w:type="pct"/>
            <w:tcBorders>
              <w:top w:val="single" w:color="auto" w:sz="4" w:space="0"/>
              <w:right w:val="single" w:color="auto" w:sz="12" w:space="0"/>
            </w:tcBorders>
            <w:shd w:val="clear" w:color="auto" w:fill="FFFFFF"/>
            <w:vAlign w:val="center"/>
          </w:tcPr>
          <w:p>
            <w:pPr>
              <w:snapToGrid w:val="0"/>
              <w:jc w:val="center"/>
              <w:rPr>
                <w:sz w:val="18"/>
                <w:szCs w:val="18"/>
              </w:rPr>
            </w:pPr>
            <w:r>
              <w:rPr>
                <w:rFonts w:hint="eastAsia"/>
              </w:rPr>
              <w:drawing>
                <wp:inline distT="0" distB="0" distL="0" distR="0">
                  <wp:extent cx="1653540" cy="2159635"/>
                  <wp:effectExtent l="0" t="0" r="3810" b="0"/>
                  <wp:docPr id="1682658231" name="图片 168265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58231" name="图片 1682658231"/>
                          <pic:cNvPicPr>
                            <a:picLocks noChangeAspect="1" noChangeArrowheads="1"/>
                          </pic:cNvPicPr>
                        </pic:nvPicPr>
                        <pic:blipFill>
                          <a:blip r:embed="rId64">
                            <a:extLst>
                              <a:ext uri="{28A0092B-C50C-407E-A947-70E740481C1C}">
                                <a14:useLocalDpi xmlns:a14="http://schemas.microsoft.com/office/drawing/2010/main" val="0"/>
                              </a:ext>
                            </a:extLst>
                          </a:blip>
                          <a:srcRect l="56213" b="45216"/>
                          <a:stretch>
                            <a:fillRect/>
                          </a:stretch>
                        </pic:blipFill>
                        <pic:spPr>
                          <a:xfrm>
                            <a:off x="0" y="0"/>
                            <a:ext cx="1653975" cy="2160000"/>
                          </a:xfrm>
                          <a:prstGeom prst="rect">
                            <a:avLst/>
                          </a:prstGeom>
                          <a:noFill/>
                          <a:ln>
                            <a:noFill/>
                          </a:ln>
                        </pic:spPr>
                      </pic:pic>
                    </a:graphicData>
                  </a:graphic>
                </wp:inline>
              </w:drawing>
            </w:r>
          </w:p>
        </w:tc>
      </w:tr>
      <w:tr>
        <w:tblPrEx>
          <w:tblCellMar>
            <w:top w:w="0" w:type="dxa"/>
            <w:left w:w="0" w:type="dxa"/>
            <w:bottom w:w="0" w:type="dxa"/>
            <w:right w:w="57" w:type="dxa"/>
          </w:tblCellMar>
        </w:tblPrEx>
        <w:trPr>
          <w:trHeight w:val="1795" w:hRule="atLeast"/>
          <w:tblHeader/>
          <w:jc w:val="center"/>
        </w:trPr>
        <w:tc>
          <w:tcPr>
            <w:tcW w:w="729" w:type="pct"/>
            <w:vMerge w:val="continue"/>
            <w:tcBorders>
              <w:left w:val="single" w:color="auto" w:sz="12" w:space="0"/>
              <w:bottom w:val="single" w:color="auto" w:sz="4" w:space="0"/>
              <w:right w:val="single" w:color="auto" w:sz="4" w:space="0"/>
            </w:tcBorders>
            <w:shd w:val="clear" w:color="auto" w:fill="FFFFFF"/>
            <w:tcMar>
              <w:top w:w="0" w:type="dxa"/>
              <w:left w:w="108" w:type="dxa"/>
              <w:bottom w:w="0" w:type="dxa"/>
              <w:right w:w="108" w:type="dxa"/>
            </w:tcMar>
            <w:vAlign w:val="center"/>
          </w:tcPr>
          <w:p>
            <w:pPr>
              <w:snapToGrid w:val="0"/>
              <w:spacing w:line="360" w:lineRule="auto"/>
              <w:jc w:val="center"/>
              <w:rPr>
                <w:sz w:val="18"/>
                <w:szCs w:val="18"/>
              </w:rPr>
            </w:pPr>
          </w:p>
        </w:tc>
        <w:tc>
          <w:tcPr>
            <w:tcW w:w="2577" w:type="pct"/>
            <w:tcBorders>
              <w:left w:val="nil"/>
              <w:bottom w:val="single" w:color="auto" w:sz="4" w:space="0"/>
            </w:tcBorders>
            <w:shd w:val="clear" w:color="auto" w:fill="FFFFFF"/>
            <w:tcMar>
              <w:top w:w="0" w:type="dxa"/>
              <w:left w:w="108" w:type="dxa"/>
              <w:bottom w:w="0" w:type="dxa"/>
              <w:right w:w="108" w:type="dxa"/>
            </w:tcMar>
            <w:vAlign w:val="center"/>
          </w:tcPr>
          <w:p>
            <w:pPr>
              <w:snapToGrid w:val="0"/>
              <w:jc w:val="center"/>
              <w:rPr>
                <w:sz w:val="18"/>
                <w:szCs w:val="18"/>
              </w:rPr>
            </w:pPr>
            <w:r>
              <w:rPr>
                <w:rFonts w:hint="eastAsia"/>
              </w:rPr>
              <w:drawing>
                <wp:inline distT="0" distB="0" distL="0" distR="0">
                  <wp:extent cx="2188210" cy="14319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4">
                            <a:extLst>
                              <a:ext uri="{28A0092B-C50C-407E-A947-70E740481C1C}">
                                <a14:useLocalDpi xmlns:a14="http://schemas.microsoft.com/office/drawing/2010/main" val="0"/>
                              </a:ext>
                            </a:extLst>
                          </a:blip>
                          <a:srcRect t="65137" r="44394"/>
                          <a:stretch>
                            <a:fillRect/>
                          </a:stretch>
                        </pic:blipFill>
                        <pic:spPr>
                          <a:xfrm>
                            <a:off x="0" y="0"/>
                            <a:ext cx="2188800" cy="1432426"/>
                          </a:xfrm>
                          <a:prstGeom prst="rect">
                            <a:avLst/>
                          </a:prstGeom>
                          <a:noFill/>
                          <a:ln>
                            <a:noFill/>
                          </a:ln>
                        </pic:spPr>
                      </pic:pic>
                    </a:graphicData>
                  </a:graphic>
                </wp:inline>
              </w:drawing>
            </w:r>
          </w:p>
        </w:tc>
        <w:tc>
          <w:tcPr>
            <w:tcW w:w="1694" w:type="pct"/>
            <w:tcBorders>
              <w:bottom w:val="single" w:color="auto" w:sz="4" w:space="0"/>
              <w:right w:val="single" w:color="auto" w:sz="12" w:space="0"/>
            </w:tcBorders>
            <w:shd w:val="clear" w:color="auto" w:fill="FFFFFF"/>
            <w:vAlign w:val="center"/>
          </w:tcPr>
          <w:p>
            <w:pPr>
              <w:snapToGrid w:val="0"/>
              <w:jc w:val="center"/>
              <w:rPr>
                <w:sz w:val="18"/>
                <w:szCs w:val="18"/>
              </w:rPr>
            </w:pPr>
            <w:r>
              <w:rPr>
                <w:szCs w:val="21"/>
              </w:rPr>
              <w:drawing>
                <wp:inline distT="0" distB="0" distL="0" distR="0">
                  <wp:extent cx="1239520" cy="1097915"/>
                  <wp:effectExtent l="0" t="0" r="0" b="6985"/>
                  <wp:docPr id="1674282967" name="图片 167428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82967" name="图片 1674282967"/>
                          <pic:cNvPicPr>
                            <a:picLocks noChangeAspect="1"/>
                          </pic:cNvPicPr>
                        </pic:nvPicPr>
                        <pic:blipFill>
                          <a:blip r:embed="rId59"/>
                          <a:stretch>
                            <a:fillRect/>
                          </a:stretch>
                        </pic:blipFill>
                        <pic:spPr>
                          <a:xfrm>
                            <a:off x="0" y="0"/>
                            <a:ext cx="1240012" cy="1098000"/>
                          </a:xfrm>
                          <a:prstGeom prst="rect">
                            <a:avLst/>
                          </a:prstGeom>
                        </pic:spPr>
                      </pic:pic>
                    </a:graphicData>
                  </a:graphic>
                </wp:inline>
              </w:drawing>
            </w:r>
          </w:p>
        </w:tc>
      </w:tr>
      <w:tr>
        <w:tblPrEx>
          <w:tblCellMar>
            <w:top w:w="0" w:type="dxa"/>
            <w:left w:w="0" w:type="dxa"/>
            <w:bottom w:w="0" w:type="dxa"/>
            <w:right w:w="57" w:type="dxa"/>
          </w:tblCellMar>
        </w:tblPrEx>
        <w:trPr>
          <w:trHeight w:val="1946" w:hRule="atLeast"/>
          <w:tblHeader/>
          <w:jc w:val="center"/>
        </w:trPr>
        <w:tc>
          <w:tcPr>
            <w:tcW w:w="729" w:type="pct"/>
            <w:vMerge w:val="restart"/>
            <w:tcBorders>
              <w:top w:val="single" w:color="auto" w:sz="4" w:space="0"/>
              <w:left w:val="single" w:color="auto" w:sz="12" w:space="0"/>
              <w:right w:val="single" w:color="auto" w:sz="4" w:space="0"/>
            </w:tcBorders>
            <w:shd w:val="clear" w:color="auto" w:fill="FFFFFF"/>
            <w:tcMar>
              <w:top w:w="0" w:type="dxa"/>
              <w:left w:w="108" w:type="dxa"/>
              <w:bottom w:w="0" w:type="dxa"/>
              <w:right w:w="108" w:type="dxa"/>
            </w:tcMar>
            <w:vAlign w:val="center"/>
          </w:tcPr>
          <w:p>
            <w:pPr>
              <w:spacing w:line="360" w:lineRule="auto"/>
              <w:jc w:val="center"/>
              <w:rPr>
                <w:sz w:val="18"/>
                <w:szCs w:val="18"/>
              </w:rPr>
            </w:pPr>
            <w:r>
              <w:rPr>
                <w:rFonts w:hint="eastAsia"/>
                <w:sz w:val="18"/>
                <w:szCs w:val="18"/>
              </w:rPr>
              <w:t>半砖</w:t>
            </w:r>
            <w:r>
              <w:rPr>
                <w:sz w:val="18"/>
                <w:szCs w:val="18"/>
              </w:rPr>
              <w:t>配砖</w:t>
            </w:r>
          </w:p>
          <w:p>
            <w:pPr>
              <w:snapToGrid w:val="0"/>
              <w:spacing w:line="360" w:lineRule="auto"/>
              <w:ind w:left="-105" w:leftChars="-50" w:right="-105" w:rightChars="-50"/>
              <w:jc w:val="center"/>
              <w:rPr>
                <w:sz w:val="18"/>
                <w:szCs w:val="18"/>
              </w:rPr>
            </w:pPr>
            <w:r>
              <w:rPr>
                <w:sz w:val="18"/>
                <w:szCs w:val="18"/>
              </w:rPr>
              <w:t>199</w:t>
            </w:r>
            <w:r>
              <w:rPr>
                <w:rFonts w:hint="eastAsia"/>
                <w:sz w:val="18"/>
                <w:szCs w:val="18"/>
              </w:rPr>
              <w:t>×</w:t>
            </w:r>
            <w:r>
              <w:rPr>
                <w:sz w:val="18"/>
                <w:szCs w:val="18"/>
              </w:rPr>
              <w:t>200</w:t>
            </w:r>
            <w:r>
              <w:rPr>
                <w:rFonts w:hint="eastAsia"/>
                <w:sz w:val="18"/>
                <w:szCs w:val="18"/>
              </w:rPr>
              <w:t>×</w:t>
            </w:r>
            <w:r>
              <w:rPr>
                <w:sz w:val="18"/>
                <w:szCs w:val="18"/>
              </w:rPr>
              <w:t>158</w:t>
            </w:r>
          </w:p>
        </w:tc>
        <w:tc>
          <w:tcPr>
            <w:tcW w:w="2577" w:type="pct"/>
            <w:tcBorders>
              <w:top w:val="single" w:color="auto" w:sz="4" w:space="0"/>
              <w:left w:val="nil"/>
            </w:tcBorders>
            <w:shd w:val="clear" w:color="auto" w:fill="FFFFFF"/>
            <w:tcMar>
              <w:top w:w="0" w:type="dxa"/>
              <w:left w:w="108" w:type="dxa"/>
              <w:bottom w:w="0" w:type="dxa"/>
              <w:right w:w="108" w:type="dxa"/>
            </w:tcMar>
            <w:vAlign w:val="center"/>
          </w:tcPr>
          <w:p>
            <w:pPr>
              <w:snapToGrid w:val="0"/>
              <w:jc w:val="center"/>
              <w:rPr>
                <w:sz w:val="18"/>
                <w:szCs w:val="18"/>
              </w:rPr>
            </w:pPr>
            <w:r>
              <w:rPr>
                <w:rFonts w:hint="eastAsia"/>
              </w:rPr>
              <w:drawing>
                <wp:inline distT="0" distB="0" distL="0" distR="0">
                  <wp:extent cx="1435100" cy="1353185"/>
                  <wp:effectExtent l="0" t="0" r="0" b="0"/>
                  <wp:docPr id="1922231903" name="图片 19222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31903" name="图片 1922231903"/>
                          <pic:cNvPicPr>
                            <a:picLocks noChangeAspect="1" noChangeArrowheads="1"/>
                          </pic:cNvPicPr>
                        </pic:nvPicPr>
                        <pic:blipFill>
                          <a:blip r:embed="rId65">
                            <a:extLst>
                              <a:ext uri="{28A0092B-C50C-407E-A947-70E740481C1C}">
                                <a14:useLocalDpi xmlns:a14="http://schemas.microsoft.com/office/drawing/2010/main" val="0"/>
                              </a:ext>
                            </a:extLst>
                          </a:blip>
                          <a:srcRect t="9234" r="52568" b="48123"/>
                          <a:stretch>
                            <a:fillRect/>
                          </a:stretch>
                        </pic:blipFill>
                        <pic:spPr>
                          <a:xfrm>
                            <a:off x="0" y="0"/>
                            <a:ext cx="1436077" cy="1353919"/>
                          </a:xfrm>
                          <a:prstGeom prst="rect">
                            <a:avLst/>
                          </a:prstGeom>
                          <a:noFill/>
                          <a:ln>
                            <a:noFill/>
                          </a:ln>
                        </pic:spPr>
                      </pic:pic>
                    </a:graphicData>
                  </a:graphic>
                </wp:inline>
              </w:drawing>
            </w:r>
          </w:p>
        </w:tc>
        <w:tc>
          <w:tcPr>
            <w:tcW w:w="1694" w:type="pct"/>
            <w:tcBorders>
              <w:top w:val="single" w:color="auto" w:sz="4" w:space="0"/>
              <w:right w:val="single" w:color="auto" w:sz="12" w:space="0"/>
            </w:tcBorders>
            <w:shd w:val="clear" w:color="auto" w:fill="FFFFFF"/>
            <w:vAlign w:val="center"/>
          </w:tcPr>
          <w:p>
            <w:pPr>
              <w:snapToGrid w:val="0"/>
              <w:jc w:val="center"/>
              <w:rPr>
                <w:sz w:val="18"/>
                <w:szCs w:val="18"/>
              </w:rPr>
            </w:pPr>
            <w:r>
              <w:rPr>
                <w:rFonts w:hint="eastAsia"/>
              </w:rPr>
              <w:drawing>
                <wp:inline distT="0" distB="0" distL="0" distR="0">
                  <wp:extent cx="1427480" cy="1828800"/>
                  <wp:effectExtent l="0" t="0" r="1270" b="0"/>
                  <wp:docPr id="1909941568" name="图片 190994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41568" name="图片 1909941568"/>
                          <pic:cNvPicPr>
                            <a:picLocks noChangeAspect="1" noChangeArrowheads="1"/>
                          </pic:cNvPicPr>
                        </pic:nvPicPr>
                        <pic:blipFill>
                          <a:blip r:embed="rId65">
                            <a:extLst>
                              <a:ext uri="{28A0092B-C50C-407E-A947-70E740481C1C}">
                                <a14:useLocalDpi xmlns:a14="http://schemas.microsoft.com/office/drawing/2010/main" val="0"/>
                              </a:ext>
                            </a:extLst>
                          </a:blip>
                          <a:srcRect l="52852" b="42400"/>
                          <a:stretch>
                            <a:fillRect/>
                          </a:stretch>
                        </pic:blipFill>
                        <pic:spPr>
                          <a:xfrm>
                            <a:off x="0" y="0"/>
                            <a:ext cx="1427480" cy="1828800"/>
                          </a:xfrm>
                          <a:prstGeom prst="rect">
                            <a:avLst/>
                          </a:prstGeom>
                          <a:noFill/>
                          <a:ln>
                            <a:noFill/>
                          </a:ln>
                        </pic:spPr>
                      </pic:pic>
                    </a:graphicData>
                  </a:graphic>
                </wp:inline>
              </w:drawing>
            </w:r>
          </w:p>
        </w:tc>
      </w:tr>
      <w:tr>
        <w:tblPrEx>
          <w:tblCellMar>
            <w:top w:w="0" w:type="dxa"/>
            <w:left w:w="0" w:type="dxa"/>
            <w:bottom w:w="0" w:type="dxa"/>
            <w:right w:w="57" w:type="dxa"/>
          </w:tblCellMar>
        </w:tblPrEx>
        <w:trPr>
          <w:trHeight w:val="258" w:hRule="atLeast"/>
          <w:tblHeader/>
          <w:jc w:val="center"/>
        </w:trPr>
        <w:tc>
          <w:tcPr>
            <w:tcW w:w="729" w:type="pct"/>
            <w:vMerge w:val="continue"/>
            <w:tcBorders>
              <w:left w:val="single" w:color="auto" w:sz="12" w:space="0"/>
              <w:bottom w:val="single" w:color="auto" w:sz="4" w:space="0"/>
              <w:right w:val="single" w:color="auto" w:sz="4" w:space="0"/>
            </w:tcBorders>
            <w:shd w:val="clear" w:color="auto" w:fill="FFFFFF"/>
            <w:tcMar>
              <w:top w:w="0" w:type="dxa"/>
              <w:left w:w="108" w:type="dxa"/>
              <w:bottom w:w="0" w:type="dxa"/>
              <w:right w:w="108" w:type="dxa"/>
            </w:tcMar>
            <w:vAlign w:val="center"/>
          </w:tcPr>
          <w:p>
            <w:pPr>
              <w:spacing w:line="360" w:lineRule="auto"/>
              <w:jc w:val="center"/>
              <w:rPr>
                <w:sz w:val="18"/>
                <w:szCs w:val="18"/>
              </w:rPr>
            </w:pPr>
          </w:p>
        </w:tc>
        <w:tc>
          <w:tcPr>
            <w:tcW w:w="2577" w:type="pct"/>
            <w:tcBorders>
              <w:left w:val="nil"/>
              <w:bottom w:val="single" w:color="auto" w:sz="4" w:space="0"/>
            </w:tcBorders>
            <w:shd w:val="clear" w:color="auto" w:fill="FFFFFF"/>
            <w:tcMar>
              <w:top w:w="0" w:type="dxa"/>
              <w:left w:w="108" w:type="dxa"/>
              <w:bottom w:w="0" w:type="dxa"/>
              <w:right w:w="108" w:type="dxa"/>
            </w:tcMar>
            <w:vAlign w:val="center"/>
          </w:tcPr>
          <w:p>
            <w:pPr>
              <w:snapToGrid w:val="0"/>
              <w:jc w:val="center"/>
              <w:rPr>
                <w:sz w:val="18"/>
                <w:szCs w:val="18"/>
              </w:rPr>
            </w:pPr>
            <w:r>
              <w:rPr>
                <w:rFonts w:hint="eastAsia"/>
              </w:rPr>
              <w:drawing>
                <wp:inline distT="0" distB="0" distL="0" distR="0">
                  <wp:extent cx="1406525" cy="1287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5">
                            <a:extLst>
                              <a:ext uri="{28A0092B-C50C-407E-A947-70E740481C1C}">
                                <a14:useLocalDpi xmlns:a14="http://schemas.microsoft.com/office/drawing/2010/main" val="0"/>
                              </a:ext>
                            </a:extLst>
                          </a:blip>
                          <a:srcRect t="59446" r="53536"/>
                          <a:stretch>
                            <a:fillRect/>
                          </a:stretch>
                        </pic:blipFill>
                        <pic:spPr>
                          <a:xfrm>
                            <a:off x="0" y="0"/>
                            <a:ext cx="1406769" cy="1287585"/>
                          </a:xfrm>
                          <a:prstGeom prst="rect">
                            <a:avLst/>
                          </a:prstGeom>
                          <a:noFill/>
                          <a:ln>
                            <a:noFill/>
                          </a:ln>
                        </pic:spPr>
                      </pic:pic>
                    </a:graphicData>
                  </a:graphic>
                </wp:inline>
              </w:drawing>
            </w:r>
          </w:p>
        </w:tc>
        <w:tc>
          <w:tcPr>
            <w:tcW w:w="1694" w:type="pct"/>
            <w:tcBorders>
              <w:bottom w:val="single" w:color="auto" w:sz="4" w:space="0"/>
              <w:right w:val="single" w:color="auto" w:sz="12" w:space="0"/>
            </w:tcBorders>
            <w:shd w:val="clear" w:color="auto" w:fill="FFFFFF"/>
            <w:vAlign w:val="center"/>
          </w:tcPr>
          <w:p>
            <w:pPr>
              <w:snapToGrid w:val="0"/>
              <w:jc w:val="center"/>
              <w:rPr>
                <w:sz w:val="18"/>
                <w:szCs w:val="18"/>
              </w:rPr>
            </w:pPr>
            <w:r>
              <w:rPr>
                <w:szCs w:val="21"/>
              </w:rPr>
              <w:drawing>
                <wp:inline distT="0" distB="0" distL="0" distR="0">
                  <wp:extent cx="1302385" cy="1259840"/>
                  <wp:effectExtent l="0" t="0" r="0" b="0"/>
                  <wp:docPr id="1771291989" name="图片 177129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91989" name="图片 1771291989"/>
                          <pic:cNvPicPr>
                            <a:picLocks noChangeAspect="1"/>
                          </pic:cNvPicPr>
                        </pic:nvPicPr>
                        <pic:blipFill>
                          <a:blip r:embed="rId61"/>
                          <a:stretch>
                            <a:fillRect/>
                          </a:stretch>
                        </pic:blipFill>
                        <pic:spPr>
                          <a:xfrm>
                            <a:off x="0" y="0"/>
                            <a:ext cx="1302803" cy="1260000"/>
                          </a:xfrm>
                          <a:prstGeom prst="rect">
                            <a:avLst/>
                          </a:prstGeom>
                        </pic:spPr>
                      </pic:pic>
                    </a:graphicData>
                  </a:graphic>
                </wp:inline>
              </w:drawing>
            </w:r>
          </w:p>
        </w:tc>
      </w:tr>
      <w:tr>
        <w:tblPrEx>
          <w:tblCellMar>
            <w:top w:w="0" w:type="dxa"/>
            <w:left w:w="0" w:type="dxa"/>
            <w:bottom w:w="0" w:type="dxa"/>
            <w:right w:w="57" w:type="dxa"/>
          </w:tblCellMar>
        </w:tblPrEx>
        <w:trPr>
          <w:trHeight w:val="1265" w:hRule="atLeast"/>
          <w:tblHeader/>
          <w:jc w:val="center"/>
        </w:trPr>
        <w:tc>
          <w:tcPr>
            <w:tcW w:w="729" w:type="pct"/>
            <w:tcBorders>
              <w:top w:val="single" w:color="auto" w:sz="4" w:space="0"/>
              <w:left w:val="single" w:color="auto" w:sz="12" w:space="0"/>
              <w:right w:val="single" w:color="auto" w:sz="4" w:space="0"/>
            </w:tcBorders>
            <w:shd w:val="clear" w:color="auto" w:fill="FFFFFF"/>
            <w:tcMar>
              <w:top w:w="0" w:type="dxa"/>
              <w:left w:w="108" w:type="dxa"/>
              <w:bottom w:w="0" w:type="dxa"/>
              <w:right w:w="108" w:type="dxa"/>
            </w:tcMar>
            <w:vAlign w:val="center"/>
          </w:tcPr>
          <w:p>
            <w:pPr>
              <w:pStyle w:val="2"/>
              <w:ind w:firstLine="0"/>
              <w:rPr>
                <w:b w:val="0"/>
                <w:bCs/>
                <w:sz w:val="18"/>
                <w:szCs w:val="18"/>
              </w:rPr>
            </w:pPr>
            <w:r>
              <w:rPr>
                <w:b w:val="0"/>
                <w:bCs/>
                <w:sz w:val="18"/>
                <w:szCs w:val="18"/>
              </w:rPr>
              <w:t>型号及尺寸</w:t>
            </w:r>
          </w:p>
        </w:tc>
        <w:tc>
          <w:tcPr>
            <w:tcW w:w="4271" w:type="pct"/>
            <w:gridSpan w:val="2"/>
            <w:tcBorders>
              <w:top w:val="single" w:color="auto" w:sz="4" w:space="0"/>
              <w:left w:val="nil"/>
              <w:right w:val="single" w:color="auto" w:sz="12" w:space="0"/>
            </w:tcBorders>
            <w:shd w:val="clear" w:color="auto" w:fill="FFFFFF"/>
            <w:tcMar>
              <w:top w:w="0" w:type="dxa"/>
              <w:left w:w="108" w:type="dxa"/>
              <w:bottom w:w="0" w:type="dxa"/>
              <w:right w:w="108" w:type="dxa"/>
            </w:tcMar>
            <w:vAlign w:val="center"/>
          </w:tcPr>
          <w:p>
            <w:pPr>
              <w:snapToGrid w:val="0"/>
              <w:jc w:val="center"/>
            </w:pPr>
            <w:r>
              <w:rPr>
                <w:rFonts w:hint="eastAsia"/>
                <w:sz w:val="18"/>
                <w:szCs w:val="18"/>
              </w:rPr>
              <w:t>砌块三视图及尺寸</w:t>
            </w:r>
          </w:p>
        </w:tc>
      </w:tr>
      <w:tr>
        <w:tblPrEx>
          <w:tblCellMar>
            <w:top w:w="0" w:type="dxa"/>
            <w:left w:w="0" w:type="dxa"/>
            <w:bottom w:w="0" w:type="dxa"/>
            <w:right w:w="57" w:type="dxa"/>
          </w:tblCellMar>
        </w:tblPrEx>
        <w:trPr>
          <w:trHeight w:val="1265" w:hRule="atLeast"/>
          <w:tblHeader/>
          <w:jc w:val="center"/>
        </w:trPr>
        <w:tc>
          <w:tcPr>
            <w:tcW w:w="729" w:type="pct"/>
            <w:vMerge w:val="restart"/>
            <w:tcBorders>
              <w:top w:val="single" w:color="auto" w:sz="4" w:space="0"/>
              <w:left w:val="single" w:color="auto" w:sz="12" w:space="0"/>
              <w:right w:val="single" w:color="auto" w:sz="4" w:space="0"/>
            </w:tcBorders>
            <w:shd w:val="clear" w:color="auto" w:fill="FFFFFF"/>
            <w:tcMar>
              <w:top w:w="0" w:type="dxa"/>
              <w:left w:w="108" w:type="dxa"/>
              <w:bottom w:w="0" w:type="dxa"/>
              <w:right w:w="108" w:type="dxa"/>
            </w:tcMar>
            <w:vAlign w:val="center"/>
          </w:tcPr>
          <w:p>
            <w:pPr>
              <w:pStyle w:val="2"/>
              <w:ind w:firstLine="0"/>
              <w:rPr>
                <w:b w:val="0"/>
                <w:bCs/>
                <w:sz w:val="18"/>
                <w:szCs w:val="18"/>
              </w:rPr>
            </w:pPr>
            <w:r>
              <w:rPr>
                <w:rFonts w:hint="eastAsia"/>
                <w:b w:val="0"/>
                <w:bCs/>
                <w:sz w:val="18"/>
                <w:szCs w:val="18"/>
              </w:rPr>
              <w:t>标砖配砖</w:t>
            </w:r>
          </w:p>
          <w:p>
            <w:pPr>
              <w:snapToGrid w:val="0"/>
              <w:spacing w:line="360" w:lineRule="auto"/>
              <w:ind w:left="-105" w:leftChars="-50" w:right="-105" w:rightChars="-50"/>
              <w:jc w:val="center"/>
            </w:pPr>
            <w:r>
              <w:rPr>
                <w:sz w:val="18"/>
                <w:szCs w:val="18"/>
              </w:rPr>
              <w:t>398</w:t>
            </w:r>
            <w:r>
              <w:rPr>
                <w:rFonts w:hint="eastAsia"/>
                <w:sz w:val="18"/>
                <w:szCs w:val="18"/>
              </w:rPr>
              <w:t>×</w:t>
            </w:r>
            <w:r>
              <w:rPr>
                <w:sz w:val="18"/>
                <w:szCs w:val="18"/>
              </w:rPr>
              <w:t>200</w:t>
            </w:r>
            <w:r>
              <w:rPr>
                <w:rFonts w:hint="eastAsia"/>
                <w:sz w:val="18"/>
                <w:szCs w:val="18"/>
              </w:rPr>
              <w:t>×</w:t>
            </w:r>
            <w:r>
              <w:rPr>
                <w:sz w:val="18"/>
                <w:szCs w:val="18"/>
              </w:rPr>
              <w:t>158</w:t>
            </w:r>
          </w:p>
        </w:tc>
        <w:tc>
          <w:tcPr>
            <w:tcW w:w="2577" w:type="pct"/>
            <w:tcBorders>
              <w:top w:val="single" w:color="auto" w:sz="4" w:space="0"/>
              <w:left w:val="nil"/>
            </w:tcBorders>
            <w:shd w:val="clear" w:color="auto" w:fill="FFFFFF"/>
            <w:tcMar>
              <w:top w:w="0" w:type="dxa"/>
              <w:left w:w="108" w:type="dxa"/>
              <w:bottom w:w="0" w:type="dxa"/>
              <w:right w:w="108" w:type="dxa"/>
            </w:tcMar>
            <w:vAlign w:val="center"/>
          </w:tcPr>
          <w:p>
            <w:pPr>
              <w:snapToGrid w:val="0"/>
              <w:jc w:val="center"/>
              <w:rPr>
                <w:sz w:val="18"/>
                <w:szCs w:val="18"/>
              </w:rPr>
            </w:pPr>
            <w:r>
              <w:drawing>
                <wp:inline distT="0" distB="0" distL="0" distR="0">
                  <wp:extent cx="2567940" cy="1585595"/>
                  <wp:effectExtent l="0" t="0" r="3810" b="0"/>
                  <wp:docPr id="125136386" name="图片 12513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6386" name="图片 1251363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590251" cy="1599377"/>
                          </a:xfrm>
                          <a:prstGeom prst="rect">
                            <a:avLst/>
                          </a:prstGeom>
                          <a:noFill/>
                          <a:ln>
                            <a:noFill/>
                          </a:ln>
                        </pic:spPr>
                      </pic:pic>
                    </a:graphicData>
                  </a:graphic>
                </wp:inline>
              </w:drawing>
            </w:r>
          </w:p>
        </w:tc>
        <w:tc>
          <w:tcPr>
            <w:tcW w:w="1694" w:type="pct"/>
            <w:tcBorders>
              <w:top w:val="single" w:color="auto" w:sz="4" w:space="0"/>
              <w:right w:val="single" w:color="auto" w:sz="12" w:space="0"/>
            </w:tcBorders>
            <w:shd w:val="clear" w:color="auto" w:fill="FFFFFF"/>
            <w:vAlign w:val="center"/>
          </w:tcPr>
          <w:p>
            <w:pPr>
              <w:snapToGrid w:val="0"/>
              <w:jc w:val="center"/>
              <w:rPr>
                <w:sz w:val="18"/>
                <w:szCs w:val="18"/>
              </w:rPr>
            </w:pPr>
            <w:r>
              <w:rPr>
                <w:rFonts w:hint="eastAsia"/>
              </w:rPr>
              <w:drawing>
                <wp:inline distT="0" distB="0" distL="0" distR="0">
                  <wp:extent cx="1303020" cy="1619885"/>
                  <wp:effectExtent l="0" t="0" r="0" b="0"/>
                  <wp:docPr id="344332631" name="图片 34433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32631" name="图片 344332631"/>
                          <pic:cNvPicPr>
                            <a:picLocks noChangeAspect="1" noChangeArrowheads="1"/>
                          </pic:cNvPicPr>
                        </pic:nvPicPr>
                        <pic:blipFill>
                          <a:blip r:embed="rId67">
                            <a:extLst>
                              <a:ext uri="{28A0092B-C50C-407E-A947-70E740481C1C}">
                                <a14:useLocalDpi xmlns:a14="http://schemas.microsoft.com/office/drawing/2010/main" val="0"/>
                              </a:ext>
                            </a:extLst>
                          </a:blip>
                          <a:srcRect l="68223" b="48478"/>
                          <a:stretch>
                            <a:fillRect/>
                          </a:stretch>
                        </pic:blipFill>
                        <pic:spPr>
                          <a:xfrm>
                            <a:off x="0" y="0"/>
                            <a:ext cx="1303364" cy="1620000"/>
                          </a:xfrm>
                          <a:prstGeom prst="rect">
                            <a:avLst/>
                          </a:prstGeom>
                          <a:noFill/>
                          <a:ln>
                            <a:noFill/>
                          </a:ln>
                        </pic:spPr>
                      </pic:pic>
                    </a:graphicData>
                  </a:graphic>
                </wp:inline>
              </w:drawing>
            </w:r>
          </w:p>
        </w:tc>
      </w:tr>
      <w:tr>
        <w:tblPrEx>
          <w:tblCellMar>
            <w:top w:w="0" w:type="dxa"/>
            <w:left w:w="0" w:type="dxa"/>
            <w:bottom w:w="0" w:type="dxa"/>
            <w:right w:w="57" w:type="dxa"/>
          </w:tblCellMar>
        </w:tblPrEx>
        <w:trPr>
          <w:trHeight w:val="1833" w:hRule="atLeast"/>
          <w:tblHeader/>
          <w:jc w:val="center"/>
        </w:trPr>
        <w:tc>
          <w:tcPr>
            <w:tcW w:w="729" w:type="pct"/>
            <w:vMerge w:val="continue"/>
            <w:tcBorders>
              <w:left w:val="single" w:color="auto" w:sz="12" w:space="0"/>
              <w:bottom w:val="single" w:color="auto" w:sz="12" w:space="0"/>
              <w:right w:val="single" w:color="auto" w:sz="4" w:space="0"/>
            </w:tcBorders>
            <w:shd w:val="clear" w:color="auto" w:fill="FFFFFF"/>
            <w:tcMar>
              <w:top w:w="0" w:type="dxa"/>
              <w:left w:w="108" w:type="dxa"/>
              <w:bottom w:w="0" w:type="dxa"/>
              <w:right w:w="108" w:type="dxa"/>
            </w:tcMar>
            <w:vAlign w:val="center"/>
          </w:tcPr>
          <w:p>
            <w:pPr>
              <w:spacing w:line="360" w:lineRule="auto"/>
              <w:jc w:val="center"/>
              <w:rPr>
                <w:sz w:val="18"/>
                <w:szCs w:val="18"/>
              </w:rPr>
            </w:pPr>
          </w:p>
        </w:tc>
        <w:tc>
          <w:tcPr>
            <w:tcW w:w="2577" w:type="pct"/>
            <w:tcBorders>
              <w:left w:val="nil"/>
              <w:bottom w:val="single" w:color="auto" w:sz="12" w:space="0"/>
            </w:tcBorders>
            <w:shd w:val="clear" w:color="auto" w:fill="FFFFFF"/>
            <w:tcMar>
              <w:top w:w="0" w:type="dxa"/>
              <w:left w:w="108" w:type="dxa"/>
              <w:bottom w:w="0" w:type="dxa"/>
              <w:right w:w="108" w:type="dxa"/>
            </w:tcMar>
            <w:vAlign w:val="center"/>
          </w:tcPr>
          <w:p>
            <w:pPr>
              <w:snapToGrid w:val="0"/>
              <w:jc w:val="center"/>
              <w:rPr>
                <w:sz w:val="18"/>
                <w:szCs w:val="18"/>
              </w:rPr>
            </w:pPr>
            <w:r>
              <w:rPr>
                <w:rFonts w:hint="eastAsia"/>
              </w:rPr>
              <w:drawing>
                <wp:inline distT="0" distB="0" distL="0" distR="0">
                  <wp:extent cx="2566670" cy="1300480"/>
                  <wp:effectExtent l="0" t="0" r="5080" b="0"/>
                  <wp:docPr id="2020783553" name="图片 202078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83553" name="图片 20207835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566800" cy="1300743"/>
                          </a:xfrm>
                          <a:prstGeom prst="rect">
                            <a:avLst/>
                          </a:prstGeom>
                          <a:noFill/>
                          <a:ln>
                            <a:noFill/>
                          </a:ln>
                        </pic:spPr>
                      </pic:pic>
                    </a:graphicData>
                  </a:graphic>
                </wp:inline>
              </w:drawing>
            </w:r>
          </w:p>
        </w:tc>
        <w:tc>
          <w:tcPr>
            <w:tcW w:w="1694" w:type="pct"/>
            <w:tcBorders>
              <w:bottom w:val="single" w:color="auto" w:sz="12" w:space="0"/>
              <w:right w:val="single" w:color="auto" w:sz="12" w:space="0"/>
            </w:tcBorders>
            <w:shd w:val="clear" w:color="auto" w:fill="FFFFFF"/>
            <w:vAlign w:val="center"/>
          </w:tcPr>
          <w:p>
            <w:pPr>
              <w:snapToGrid w:val="0"/>
              <w:jc w:val="center"/>
              <w:rPr>
                <w:sz w:val="18"/>
                <w:szCs w:val="18"/>
              </w:rPr>
            </w:pPr>
            <w:r>
              <w:rPr>
                <w:szCs w:val="21"/>
              </w:rPr>
              <w:drawing>
                <wp:inline distT="0" distB="0" distL="0" distR="0">
                  <wp:extent cx="1460500" cy="1259840"/>
                  <wp:effectExtent l="0" t="0" r="6350" b="0"/>
                  <wp:docPr id="1154428640" name="图片 11544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8640" name="图片 1154428640"/>
                          <pic:cNvPicPr>
                            <a:picLocks noChangeAspect="1"/>
                          </pic:cNvPicPr>
                        </pic:nvPicPr>
                        <pic:blipFill>
                          <a:blip r:embed="rId63"/>
                          <a:stretch>
                            <a:fillRect/>
                          </a:stretch>
                        </pic:blipFill>
                        <pic:spPr>
                          <a:xfrm>
                            <a:off x="0" y="0"/>
                            <a:ext cx="1460808" cy="1260000"/>
                          </a:xfrm>
                          <a:prstGeom prst="rect">
                            <a:avLst/>
                          </a:prstGeom>
                        </pic:spPr>
                      </pic:pic>
                    </a:graphicData>
                  </a:graphic>
                </wp:inline>
              </w:drawing>
            </w:r>
          </w:p>
        </w:tc>
      </w:tr>
      <w:bookmarkEnd w:id="163"/>
    </w:tbl>
    <w:p>
      <w:pPr>
        <w:pStyle w:val="2"/>
      </w:pPr>
    </w:p>
    <w:p>
      <w:pPr>
        <w:pStyle w:val="45"/>
        <w:spacing w:before="312" w:after="312"/>
        <w:rPr>
          <w:rFonts w:eastAsiaTheme="minorEastAsia"/>
        </w:rPr>
        <w:sectPr>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164" w:name="_Toc148994672"/>
      <w:bookmarkStart w:id="165" w:name="_Toc149766335"/>
      <w:bookmarkStart w:id="166" w:name="_Toc523844531"/>
      <w:bookmarkStart w:id="167" w:name="_Toc149766393"/>
      <w:bookmarkStart w:id="168" w:name="_Toc20708"/>
      <w:bookmarkStart w:id="169" w:name="_Toc41895217"/>
      <w:r>
        <w:rPr>
          <w:rFonts w:eastAsiaTheme="minorEastAsia"/>
          <w:sz w:val="32"/>
        </w:rPr>
        <w:t>用词说明</w:t>
      </w:r>
      <w:bookmarkEnd w:id="164"/>
      <w:bookmarkEnd w:id="165"/>
      <w:bookmarkEnd w:id="166"/>
      <w:bookmarkEnd w:id="167"/>
      <w:bookmarkEnd w:id="168"/>
      <w:bookmarkEnd w:id="169"/>
    </w:p>
    <w:p>
      <w:pPr>
        <w:pStyle w:val="68"/>
        <w:spacing w:line="360" w:lineRule="auto"/>
        <w:ind w:firstLine="480" w:firstLineChars="200"/>
        <w:rPr>
          <w:sz w:val="24"/>
          <w:szCs w:val="24"/>
        </w:rPr>
      </w:pPr>
      <w:r>
        <w:rPr>
          <w:sz w:val="24"/>
          <w:szCs w:val="24"/>
        </w:rPr>
        <w:t>为便于在执行本规程条款时区别对待，对要求严格程度不同的用词说明如下：</w:t>
      </w:r>
    </w:p>
    <w:p>
      <w:pPr>
        <w:pStyle w:val="14"/>
        <w:numPr>
          <w:ilvl w:val="0"/>
          <w:numId w:val="2"/>
        </w:numPr>
        <w:adjustRightInd w:val="0"/>
        <w:snapToGrid w:val="0"/>
        <w:spacing w:line="360" w:lineRule="auto"/>
        <w:textAlignment w:val="baseline"/>
        <w:rPr>
          <w:rFonts w:ascii="Times New Roman" w:hAnsi="Times New Roman" w:eastAsiaTheme="minorEastAsia"/>
          <w:sz w:val="24"/>
          <w:szCs w:val="24"/>
        </w:rPr>
      </w:pPr>
      <w:r>
        <w:rPr>
          <w:rFonts w:hint="eastAsia" w:ascii="Times New Roman" w:hAnsi="Times New Roman" w:eastAsiaTheme="minorEastAsia"/>
          <w:sz w:val="24"/>
          <w:szCs w:val="24"/>
        </w:rPr>
        <w:t xml:space="preserve">    </w:t>
      </w:r>
      <w:r>
        <w:rPr>
          <w:rFonts w:ascii="Times New Roman" w:hAnsi="Times New Roman" w:eastAsiaTheme="minorEastAsia"/>
          <w:sz w:val="24"/>
          <w:szCs w:val="24"/>
        </w:rPr>
        <w:t>表示很严格，非这样做不可的：</w:t>
      </w:r>
    </w:p>
    <w:p>
      <w:pPr>
        <w:pStyle w:val="14"/>
        <w:adjustRightInd w:val="0"/>
        <w:snapToGrid w:val="0"/>
        <w:spacing w:line="360" w:lineRule="auto"/>
        <w:ind w:left="819" w:leftChars="390" w:firstLine="199" w:firstLineChars="83"/>
        <w:textAlignment w:val="baseline"/>
        <w:rPr>
          <w:rFonts w:ascii="Times New Roman" w:hAnsi="Times New Roman" w:eastAsiaTheme="minorEastAsia"/>
          <w:sz w:val="24"/>
          <w:szCs w:val="24"/>
        </w:rPr>
      </w:pPr>
      <w:r>
        <w:rPr>
          <w:rFonts w:ascii="Times New Roman" w:hAnsi="Times New Roman" w:eastAsiaTheme="minorEastAsia"/>
          <w:sz w:val="24"/>
          <w:szCs w:val="24"/>
        </w:rPr>
        <w:t>正面词采用</w:t>
      </w:r>
      <w:r>
        <w:rPr>
          <w:rFonts w:asciiTheme="minorEastAsia" w:hAnsiTheme="minorEastAsia" w:eastAsiaTheme="minorEastAsia"/>
          <w:sz w:val="24"/>
          <w:szCs w:val="24"/>
        </w:rPr>
        <w:t>“必须”，反面词采用“严禁”；</w:t>
      </w:r>
    </w:p>
    <w:p>
      <w:pPr>
        <w:pStyle w:val="14"/>
        <w:numPr>
          <w:ilvl w:val="0"/>
          <w:numId w:val="2"/>
        </w:numPr>
        <w:adjustRightInd w:val="0"/>
        <w:snapToGrid w:val="0"/>
        <w:spacing w:line="360" w:lineRule="auto"/>
        <w:textAlignment w:val="baseline"/>
        <w:rPr>
          <w:rFonts w:ascii="Times New Roman" w:hAnsi="Times New Roman" w:eastAsiaTheme="minorEastAsia"/>
          <w:sz w:val="24"/>
          <w:szCs w:val="24"/>
        </w:rPr>
      </w:pPr>
      <w:r>
        <w:rPr>
          <w:rFonts w:hint="eastAsia" w:ascii="Times New Roman" w:hAnsi="Times New Roman" w:eastAsiaTheme="minorEastAsia"/>
          <w:sz w:val="24"/>
          <w:szCs w:val="24"/>
        </w:rPr>
        <w:t xml:space="preserve">    </w:t>
      </w:r>
      <w:r>
        <w:rPr>
          <w:rFonts w:ascii="Times New Roman" w:hAnsi="Times New Roman" w:eastAsiaTheme="minorEastAsia"/>
          <w:sz w:val="24"/>
          <w:szCs w:val="24"/>
        </w:rPr>
        <w:t>表示严格，在正常情况下均应这样做的：</w:t>
      </w:r>
    </w:p>
    <w:p>
      <w:pPr>
        <w:pStyle w:val="14"/>
        <w:adjustRightInd w:val="0"/>
        <w:snapToGrid w:val="0"/>
        <w:spacing w:line="360" w:lineRule="auto"/>
        <w:ind w:left="422" w:leftChars="201" w:firstLine="595" w:firstLineChars="248"/>
        <w:textAlignment w:val="baseline"/>
        <w:rPr>
          <w:rFonts w:ascii="Times New Roman" w:hAnsi="Times New Roman" w:eastAsiaTheme="minorEastAsia"/>
          <w:sz w:val="24"/>
          <w:szCs w:val="24"/>
        </w:rPr>
      </w:pPr>
      <w:r>
        <w:rPr>
          <w:rFonts w:ascii="Times New Roman" w:hAnsi="Times New Roman" w:eastAsiaTheme="minorEastAsia"/>
          <w:sz w:val="24"/>
          <w:szCs w:val="24"/>
        </w:rPr>
        <w:t>正面词采用</w:t>
      </w:r>
      <w:r>
        <w:rPr>
          <w:rFonts w:asciiTheme="minorEastAsia" w:hAnsiTheme="minorEastAsia" w:eastAsiaTheme="minorEastAsia"/>
          <w:sz w:val="24"/>
          <w:szCs w:val="24"/>
        </w:rPr>
        <w:t>“应”，反面词采用“不应”或“不得”</w:t>
      </w:r>
      <w:r>
        <w:rPr>
          <w:rFonts w:ascii="Times New Roman" w:hAnsi="Times New Roman" w:eastAsiaTheme="minorEastAsia"/>
          <w:sz w:val="24"/>
          <w:szCs w:val="24"/>
        </w:rPr>
        <w:t>；</w:t>
      </w:r>
    </w:p>
    <w:p>
      <w:pPr>
        <w:pStyle w:val="14"/>
        <w:numPr>
          <w:ilvl w:val="0"/>
          <w:numId w:val="2"/>
        </w:numPr>
        <w:adjustRightInd w:val="0"/>
        <w:snapToGrid w:val="0"/>
        <w:spacing w:line="360" w:lineRule="auto"/>
        <w:textAlignment w:val="baseline"/>
        <w:rPr>
          <w:rFonts w:ascii="Times New Roman" w:hAnsi="Times New Roman" w:eastAsiaTheme="minorEastAsia"/>
          <w:sz w:val="24"/>
          <w:szCs w:val="24"/>
        </w:rPr>
      </w:pPr>
      <w:r>
        <w:rPr>
          <w:rFonts w:hint="eastAsia" w:ascii="Times New Roman" w:hAnsi="Times New Roman" w:eastAsiaTheme="minorEastAsia"/>
          <w:sz w:val="24"/>
          <w:szCs w:val="24"/>
        </w:rPr>
        <w:t xml:space="preserve">    </w:t>
      </w:r>
      <w:r>
        <w:rPr>
          <w:rFonts w:ascii="Times New Roman" w:hAnsi="Times New Roman" w:eastAsiaTheme="minorEastAsia"/>
          <w:sz w:val="24"/>
          <w:szCs w:val="24"/>
        </w:rPr>
        <w:t>表示允许稍有选择，在条件许可时首先应这样做的：</w:t>
      </w:r>
    </w:p>
    <w:p>
      <w:pPr>
        <w:pStyle w:val="14"/>
        <w:adjustRightInd w:val="0"/>
        <w:snapToGrid w:val="0"/>
        <w:spacing w:line="360" w:lineRule="auto"/>
        <w:ind w:left="422" w:leftChars="201" w:firstLine="595" w:firstLineChars="248"/>
        <w:textAlignment w:val="baseline"/>
        <w:rPr>
          <w:rFonts w:ascii="Times New Roman" w:hAnsi="Times New Roman" w:eastAsiaTheme="minorEastAsia"/>
          <w:sz w:val="24"/>
          <w:szCs w:val="24"/>
        </w:rPr>
      </w:pPr>
      <w:r>
        <w:rPr>
          <w:rFonts w:ascii="Times New Roman" w:hAnsi="Times New Roman" w:eastAsiaTheme="minorEastAsia"/>
          <w:sz w:val="24"/>
          <w:szCs w:val="24"/>
        </w:rPr>
        <w:t>正面</w:t>
      </w:r>
      <w:r>
        <w:rPr>
          <w:rFonts w:asciiTheme="minorEastAsia" w:hAnsiTheme="minorEastAsia" w:eastAsiaTheme="minorEastAsia"/>
          <w:sz w:val="24"/>
          <w:szCs w:val="24"/>
        </w:rPr>
        <w:t>词采用“宜”，反面词采用“不宜”；</w:t>
      </w:r>
    </w:p>
    <w:p>
      <w:pPr>
        <w:pStyle w:val="14"/>
        <w:numPr>
          <w:ilvl w:val="0"/>
          <w:numId w:val="2"/>
        </w:numPr>
        <w:adjustRightInd w:val="0"/>
        <w:snapToGrid w:val="0"/>
        <w:spacing w:line="360" w:lineRule="auto"/>
        <w:textAlignment w:val="baseline"/>
        <w:rPr>
          <w:rFonts w:ascii="Times New Roman" w:hAnsi="Times New Roman" w:eastAsiaTheme="minorEastAsia"/>
          <w:sz w:val="24"/>
          <w:szCs w:val="24"/>
        </w:rPr>
      </w:pPr>
      <w:r>
        <w:rPr>
          <w:rFonts w:hint="eastAsia" w:ascii="Times New Roman" w:hAnsi="Times New Roman" w:eastAsiaTheme="minorEastAsia"/>
          <w:sz w:val="24"/>
          <w:szCs w:val="24"/>
        </w:rPr>
        <w:t xml:space="preserve">    </w:t>
      </w:r>
      <w:r>
        <w:rPr>
          <w:rFonts w:ascii="Times New Roman" w:hAnsi="Times New Roman" w:eastAsiaTheme="minorEastAsia"/>
          <w:sz w:val="24"/>
          <w:szCs w:val="24"/>
        </w:rPr>
        <w:t>表示有选择，在一定条件下可以这样做的，</w:t>
      </w:r>
      <w:r>
        <w:rPr>
          <w:rFonts w:asciiTheme="minorEastAsia" w:hAnsiTheme="minorEastAsia" w:eastAsiaTheme="minorEastAsia"/>
          <w:sz w:val="24"/>
          <w:szCs w:val="24"/>
        </w:rPr>
        <w:t>采用“可”。</w:t>
      </w:r>
    </w:p>
    <w:p>
      <w:pPr>
        <w:pStyle w:val="68"/>
      </w:pPr>
    </w:p>
    <w:p>
      <w:pPr>
        <w:pStyle w:val="68"/>
        <w:sectPr>
          <w:footerReference r:id="rId6" w:type="default"/>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170" w:name="_Toc148994673"/>
      <w:bookmarkStart w:id="171" w:name="_Toc149766394"/>
      <w:bookmarkStart w:id="172" w:name="_Toc8353"/>
      <w:bookmarkStart w:id="173" w:name="_Toc149766336"/>
      <w:bookmarkStart w:id="174" w:name="_Toc41895218"/>
      <w:bookmarkStart w:id="175" w:name="_Toc523844532"/>
      <w:r>
        <w:rPr>
          <w:rFonts w:eastAsiaTheme="minorEastAsia"/>
          <w:sz w:val="32"/>
        </w:rPr>
        <w:t>引用标准名录</w:t>
      </w:r>
      <w:bookmarkEnd w:id="170"/>
      <w:bookmarkEnd w:id="171"/>
      <w:bookmarkEnd w:id="172"/>
      <w:bookmarkEnd w:id="173"/>
      <w:bookmarkEnd w:id="174"/>
      <w:bookmarkEnd w:id="175"/>
    </w:p>
    <w:p>
      <w:pPr>
        <w:spacing w:line="360" w:lineRule="auto"/>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本规程引用下列标准。其中，注日期的，仅该日期对应的版本适用于本</w:t>
      </w:r>
      <w:r>
        <w:rPr>
          <w:rFonts w:hint="eastAsia"/>
          <w:color w:val="000000" w:themeColor="text1"/>
          <w:sz w:val="24"/>
          <w:szCs w:val="28"/>
          <w14:textFill>
            <w14:solidFill>
              <w14:schemeClr w14:val="tx1"/>
            </w14:solidFill>
          </w14:textFill>
        </w:rPr>
        <w:t>规程</w:t>
      </w:r>
      <w:r>
        <w:rPr>
          <w:color w:val="000000" w:themeColor="text1"/>
          <w:sz w:val="24"/>
          <w:szCs w:val="28"/>
          <w14:textFill>
            <w14:solidFill>
              <w14:schemeClr w14:val="tx1"/>
            </w14:solidFill>
          </w14:textFill>
        </w:rPr>
        <w:t>；不注日期的，其最新版适用于本规程。</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《建筑模数协调标准》GB/T 50002</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《砌体结构设计规范》GB 50003</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《建筑地基基础设计规范》GB 50007</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《混凝土结构设计规范》GB 50010</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《建筑抗震设计规范》GB 50011</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《建筑结构可靠性设计统一标准》GB 50068</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《混凝土强度检验评定标准》GB/T 50107</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《砌体结构工程施工质量验收规范》GB 50203</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《混凝土结构工程施工质量验收规范》GB 50204</w:t>
      </w:r>
    </w:p>
    <w:p>
      <w:pPr>
        <w:pStyle w:val="81"/>
        <w:widowControl/>
        <w:spacing w:line="360" w:lineRule="auto"/>
        <w:ind w:firstLine="0" w:firstLineChars="0"/>
        <w:jc w:val="left"/>
        <w:rPr>
          <w:rFonts w:eastAsiaTheme="minorEastAsia"/>
          <w:sz w:val="24"/>
          <w:szCs w:val="24"/>
        </w:rPr>
      </w:pPr>
      <w:r>
        <w:rPr>
          <w:rFonts w:eastAsiaTheme="minorEastAsia"/>
          <w:sz w:val="24"/>
          <w:szCs w:val="24"/>
        </w:rPr>
        <w:t>《建筑工程施工质量验收统一标准</w:t>
      </w:r>
      <w:r>
        <w:rPr>
          <w:rFonts w:ascii="Times New Roman" w:hAnsi="Times New Roman" w:eastAsiaTheme="minorEastAsia"/>
          <w:sz w:val="24"/>
          <w:szCs w:val="24"/>
        </w:rPr>
        <w:t>》GB 50300</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《民用建筑设计统一标准》GB 50352</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《混凝土结构工程施工规程》GB 50666</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《砌体结构工程施工规范》GB 50924</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《装配式混凝土建筑技术标准》GB/T 51231</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《砌体结构通用规范》GB 55007</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bCs/>
          <w:sz w:val="24"/>
        </w:rPr>
        <w:t>《普通混凝土小型砌块》GB/T 8239</w:t>
      </w:r>
    </w:p>
    <w:p>
      <w:pPr>
        <w:pStyle w:val="81"/>
        <w:widowControl/>
        <w:spacing w:line="360" w:lineRule="auto"/>
        <w:ind w:firstLine="0" w:firstLineChars="0"/>
        <w:jc w:val="left"/>
        <w:rPr>
          <w:rFonts w:ascii="Times New Roman" w:hAnsi="Times New Roman" w:eastAsiaTheme="minorEastAsia"/>
          <w:sz w:val="24"/>
          <w:szCs w:val="24"/>
        </w:rPr>
      </w:pPr>
      <w:r>
        <w:rPr>
          <w:rFonts w:hint="eastAsia" w:ascii="Times New Roman" w:hAnsi="Times New Roman" w:eastAsiaTheme="minorEastAsia"/>
          <w:sz w:val="24"/>
          <w:szCs w:val="24"/>
        </w:rPr>
        <w:t>《挤塑聚苯板（XPS）薄抹灰外墙外保温系统材料》GB/T 30595</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《装配式混凝土结构技术规程》JGJ 1</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《约束砌体与配筋砌体结构技术规程》JGJ 13</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《普通混凝土配合比设计规程》JGJ 55</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《建筑砂浆基本性能试验方法标准》JGJ/T 70</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《冷轧带肋钢筋混凝土结构技术规程》JGJ 95</w:t>
      </w:r>
    </w:p>
    <w:p>
      <w:pPr>
        <w:pStyle w:val="81"/>
        <w:widowControl/>
        <w:spacing w:line="360" w:lineRule="auto"/>
        <w:ind w:firstLine="0" w:firstLineChars="0"/>
        <w:jc w:val="left"/>
        <w:rPr>
          <w:rFonts w:ascii="Times New Roman" w:hAnsi="Times New Roman" w:eastAsiaTheme="minorEastAsia"/>
          <w:sz w:val="24"/>
          <w:szCs w:val="24"/>
        </w:rPr>
      </w:pPr>
      <w:r>
        <w:rPr>
          <w:rFonts w:hint="eastAsia" w:ascii="Times New Roman" w:hAnsi="Times New Roman" w:eastAsiaTheme="minorEastAsia"/>
          <w:sz w:val="24"/>
          <w:szCs w:val="24"/>
        </w:rPr>
        <w:t>《砌筑砂浆配合比设计规程》JGJ/T 98</w:t>
      </w:r>
    </w:p>
    <w:p>
      <w:pPr>
        <w:widowControl/>
        <w:spacing w:line="360" w:lineRule="auto"/>
        <w:jc w:val="left"/>
        <w:rPr>
          <w:rFonts w:eastAsiaTheme="minorEastAsia"/>
          <w:sz w:val="24"/>
          <w:szCs w:val="24"/>
        </w:rPr>
      </w:pPr>
      <w:r>
        <w:rPr>
          <w:rFonts w:eastAsiaTheme="minorEastAsia"/>
          <w:sz w:val="24"/>
          <w:szCs w:val="24"/>
        </w:rPr>
        <w:t>《建筑工程冬期施工规程》JGJ/T 104</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《外墙外保温工程技术规程》JGJ 144</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《建筑外墙防水工程技术规程》JGJ/T 235</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《建筑防水工程现场检测技术规范》JGJ/T 299</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《泡沫混凝土应用技术规程》JGJ/T 341</w:t>
      </w:r>
    </w:p>
    <w:p>
      <w:pPr>
        <w:pStyle w:val="81"/>
        <w:widowControl/>
        <w:spacing w:line="360" w:lineRule="auto"/>
        <w:ind w:firstLine="0" w:firstLineChars="0"/>
        <w:jc w:val="left"/>
        <w:rPr>
          <w:rFonts w:ascii="Times New Roman" w:hAnsi="Times New Roman" w:eastAsiaTheme="minorEastAsia"/>
          <w:sz w:val="24"/>
          <w:szCs w:val="24"/>
        </w:rPr>
      </w:pPr>
      <w:r>
        <w:rPr>
          <w:rFonts w:hint="eastAsia" w:ascii="Times New Roman" w:hAnsi="Times New Roman" w:eastAsiaTheme="minorEastAsia"/>
          <w:sz w:val="24"/>
          <w:szCs w:val="24"/>
        </w:rPr>
        <w:t>《岩棉薄抹灰外墙外保温工程技术标准》JGJ/T 480</w:t>
      </w:r>
    </w:p>
    <w:p>
      <w:pPr>
        <w:pStyle w:val="81"/>
        <w:widowControl/>
        <w:spacing w:line="360" w:lineRule="auto"/>
        <w:ind w:firstLine="0" w:firstLineChars="0"/>
        <w:jc w:val="left"/>
        <w:rPr>
          <w:rFonts w:ascii="Times New Roman" w:hAnsi="Times New Roman" w:eastAsiaTheme="minorEastAsia"/>
          <w:sz w:val="24"/>
          <w:szCs w:val="24"/>
        </w:rPr>
      </w:pPr>
      <w:r>
        <w:rPr>
          <w:rFonts w:ascii="Times New Roman" w:hAnsi="Times New Roman" w:eastAsiaTheme="minorEastAsia"/>
          <w:sz w:val="24"/>
          <w:szCs w:val="24"/>
        </w:rPr>
        <w:t>《钢筋桁架混凝土叠合板应用技术规程》T/CECS 715</w:t>
      </w:r>
    </w:p>
    <w:p>
      <w:pPr>
        <w:widowControl/>
        <w:spacing w:line="360" w:lineRule="auto"/>
        <w:jc w:val="left"/>
        <w:rPr>
          <w:rFonts w:eastAsiaTheme="minorEastAsia"/>
          <w:sz w:val="24"/>
          <w:szCs w:val="24"/>
        </w:rPr>
      </w:pPr>
      <w:r>
        <w:rPr>
          <w:rFonts w:eastAsiaTheme="minorEastAsia"/>
          <w:sz w:val="24"/>
          <w:szCs w:val="24"/>
        </w:rPr>
        <w:br w:type="page"/>
      </w:r>
    </w:p>
    <w:p>
      <w:pPr>
        <w:spacing w:before="156" w:beforeLines="50" w:line="300" w:lineRule="auto"/>
        <w:jc w:val="center"/>
        <w:rPr>
          <w:b/>
          <w:sz w:val="28"/>
          <w:szCs w:val="28"/>
        </w:rPr>
      </w:pPr>
    </w:p>
    <w:p>
      <w:pPr>
        <w:spacing w:before="156" w:beforeLines="50" w:line="300" w:lineRule="auto"/>
        <w:jc w:val="center"/>
        <w:rPr>
          <w:b/>
          <w:sz w:val="28"/>
          <w:szCs w:val="28"/>
        </w:rPr>
      </w:pPr>
      <w:r>
        <w:rPr>
          <w:b/>
          <w:sz w:val="28"/>
          <w:szCs w:val="28"/>
        </w:rPr>
        <w:t>中国工程建设标准化协会标准</w:t>
      </w:r>
    </w:p>
    <w:p>
      <w:pPr>
        <w:spacing w:line="300" w:lineRule="auto"/>
        <w:jc w:val="center"/>
        <w:rPr>
          <w:b/>
          <w:sz w:val="30"/>
          <w:szCs w:val="30"/>
        </w:rPr>
      </w:pPr>
    </w:p>
    <w:p>
      <w:pPr>
        <w:spacing w:before="312" w:beforeLines="100" w:after="312" w:afterLines="100" w:line="360" w:lineRule="auto"/>
        <w:jc w:val="center"/>
        <w:rPr>
          <w:rFonts w:eastAsia="黑体"/>
          <w:b/>
          <w:bCs/>
          <w:sz w:val="48"/>
          <w:szCs w:val="48"/>
        </w:rPr>
      </w:pPr>
      <w:r>
        <w:rPr>
          <w:rFonts w:eastAsia="黑体"/>
          <w:b/>
          <w:bCs/>
          <w:sz w:val="48"/>
          <w:szCs w:val="48"/>
        </w:rPr>
        <w:t>装配式多层混凝土模壳砌体结构</w:t>
      </w:r>
    </w:p>
    <w:p>
      <w:pPr>
        <w:spacing w:line="300" w:lineRule="auto"/>
        <w:jc w:val="center"/>
        <w:rPr>
          <w:b/>
          <w:sz w:val="24"/>
        </w:rPr>
      </w:pPr>
      <w:r>
        <w:rPr>
          <w:rFonts w:eastAsia="黑体"/>
          <w:b/>
          <w:bCs/>
          <w:sz w:val="48"/>
          <w:szCs w:val="48"/>
        </w:rPr>
        <w:t>技术规程</w:t>
      </w:r>
    </w:p>
    <w:p>
      <w:pPr>
        <w:spacing w:line="300" w:lineRule="auto"/>
        <w:jc w:val="center"/>
        <w:rPr>
          <w:b/>
          <w:sz w:val="24"/>
        </w:rPr>
      </w:pPr>
    </w:p>
    <w:p>
      <w:pPr>
        <w:spacing w:line="300" w:lineRule="auto"/>
        <w:jc w:val="center"/>
        <w:rPr>
          <w:sz w:val="24"/>
        </w:rPr>
      </w:pPr>
      <w:r>
        <w:rPr>
          <w:sz w:val="24"/>
        </w:rPr>
        <w:t>T/CECS xxx-202X</w:t>
      </w:r>
    </w:p>
    <w:p>
      <w:pPr>
        <w:spacing w:line="300" w:lineRule="auto"/>
        <w:jc w:val="center"/>
        <w:rPr>
          <w:b/>
          <w:sz w:val="24"/>
        </w:rPr>
      </w:pPr>
    </w:p>
    <w:p>
      <w:pPr>
        <w:spacing w:line="300" w:lineRule="auto"/>
        <w:jc w:val="center"/>
        <w:rPr>
          <w:b/>
          <w:sz w:val="24"/>
        </w:rPr>
      </w:pPr>
    </w:p>
    <w:p>
      <w:pPr>
        <w:spacing w:line="300" w:lineRule="auto"/>
        <w:jc w:val="center"/>
        <w:rPr>
          <w:b/>
          <w:sz w:val="24"/>
        </w:rPr>
      </w:pPr>
    </w:p>
    <w:p>
      <w:pPr>
        <w:spacing w:line="300" w:lineRule="auto"/>
        <w:jc w:val="center"/>
        <w:rPr>
          <w:b/>
          <w:sz w:val="24"/>
        </w:rPr>
      </w:pPr>
    </w:p>
    <w:p>
      <w:pPr>
        <w:pStyle w:val="45"/>
        <w:spacing w:before="312" w:after="312"/>
      </w:pPr>
      <w:bookmarkStart w:id="176" w:name="_Toc149766395"/>
      <w:bookmarkStart w:id="177" w:name="_Toc149766337"/>
      <w:bookmarkStart w:id="178" w:name="_Toc12393"/>
      <w:bookmarkStart w:id="179" w:name="_Toc148994674"/>
      <w:bookmarkStart w:id="180" w:name="_Toc29053"/>
      <w:bookmarkStart w:id="181" w:name="_Toc900"/>
      <w:r>
        <w:t>条文说明</w:t>
      </w:r>
      <w:bookmarkEnd w:id="176"/>
      <w:bookmarkEnd w:id="177"/>
      <w:bookmarkEnd w:id="178"/>
      <w:bookmarkEnd w:id="179"/>
      <w:bookmarkEnd w:id="180"/>
      <w:bookmarkEnd w:id="181"/>
    </w:p>
    <w:p>
      <w:pPr>
        <w:spacing w:line="300" w:lineRule="auto"/>
        <w:ind w:firstLine="1512" w:firstLineChars="630"/>
        <w:rPr>
          <w:sz w:val="24"/>
        </w:rPr>
      </w:pPr>
    </w:p>
    <w:p>
      <w:pPr>
        <w:spacing w:line="300" w:lineRule="auto"/>
        <w:ind w:firstLine="1512" w:firstLineChars="630"/>
        <w:rPr>
          <w:sz w:val="24"/>
        </w:rPr>
      </w:pPr>
    </w:p>
    <w:p>
      <w:pPr>
        <w:spacing w:line="300" w:lineRule="auto"/>
        <w:ind w:firstLine="1512" w:firstLineChars="630"/>
        <w:rPr>
          <w:sz w:val="24"/>
        </w:rPr>
      </w:pPr>
    </w:p>
    <w:p>
      <w:pPr>
        <w:spacing w:line="300" w:lineRule="auto"/>
        <w:ind w:firstLine="1512" w:firstLineChars="630"/>
        <w:rPr>
          <w:sz w:val="24"/>
        </w:rPr>
      </w:pPr>
    </w:p>
    <w:p>
      <w:pPr>
        <w:spacing w:line="300" w:lineRule="auto"/>
        <w:ind w:firstLine="1512" w:firstLineChars="630"/>
        <w:rPr>
          <w:sz w:val="24"/>
        </w:rPr>
      </w:pPr>
    </w:p>
    <w:p>
      <w:pPr>
        <w:spacing w:line="300" w:lineRule="auto"/>
        <w:rPr>
          <w:sz w:val="24"/>
        </w:rPr>
        <w:sectPr>
          <w:footerReference r:id="rId7" w:type="default"/>
          <w:pgSz w:w="11907" w:h="16839"/>
          <w:pgMar w:top="1440" w:right="1800" w:bottom="1440" w:left="1800" w:header="851" w:footer="992" w:gutter="0"/>
          <w:cols w:space="425" w:num="1"/>
          <w:docGrid w:type="lines" w:linePitch="312" w:charSpace="0"/>
        </w:sectPr>
      </w:pPr>
    </w:p>
    <w:p>
      <w:pPr>
        <w:adjustRightInd w:val="0"/>
        <w:snapToGrid w:val="0"/>
        <w:spacing w:before="312" w:beforeLines="100" w:after="312" w:afterLines="100" w:line="360" w:lineRule="auto"/>
        <w:jc w:val="center"/>
        <w:rPr>
          <w:b/>
          <w:sz w:val="30"/>
          <w:szCs w:val="30"/>
        </w:rPr>
      </w:pPr>
      <w:r>
        <w:rPr>
          <w:b/>
          <w:sz w:val="30"/>
          <w:szCs w:val="30"/>
        </w:rPr>
        <w:t>制定说明</w:t>
      </w:r>
    </w:p>
    <w:p>
      <w:pPr>
        <w:spacing w:line="300" w:lineRule="auto"/>
        <w:jc w:val="center"/>
        <w:rPr>
          <w:b/>
          <w:sz w:val="24"/>
        </w:rPr>
      </w:pPr>
    </w:p>
    <w:p>
      <w:pPr>
        <w:spacing w:line="360" w:lineRule="auto"/>
        <w:ind w:firstLine="480" w:firstLineChars="200"/>
        <w:rPr>
          <w:sz w:val="24"/>
        </w:rPr>
      </w:pPr>
      <w:r>
        <w:rPr>
          <w:sz w:val="24"/>
        </w:rPr>
        <w:t>本规程制订过程中，编制组进行了全面的调查研究，总结了我国装配式多层混凝土模壳</w:t>
      </w:r>
      <w:r>
        <w:rPr>
          <w:rFonts w:hint="eastAsia"/>
          <w:sz w:val="24"/>
        </w:rPr>
        <w:t>砌体</w:t>
      </w:r>
      <w:r>
        <w:rPr>
          <w:sz w:val="24"/>
        </w:rPr>
        <w:t>结构领域的实践经验，同时参考了国外先进技术法规、技术标准，通过开展模壳</w:t>
      </w:r>
      <w:r>
        <w:rPr>
          <w:rFonts w:hint="eastAsia"/>
          <w:sz w:val="24"/>
        </w:rPr>
        <w:t>砌块砌体、墙体</w:t>
      </w:r>
      <w:r>
        <w:rPr>
          <w:sz w:val="24"/>
        </w:rPr>
        <w:t>的力学与抗震性能试验，取得了模壳</w:t>
      </w:r>
      <w:r>
        <w:rPr>
          <w:rFonts w:hint="eastAsia"/>
          <w:sz w:val="24"/>
        </w:rPr>
        <w:t>砌体</w:t>
      </w:r>
      <w:r>
        <w:rPr>
          <w:sz w:val="24"/>
        </w:rPr>
        <w:t>结构的性能指标和重要技术参数。</w:t>
      </w:r>
    </w:p>
    <w:p>
      <w:pPr>
        <w:spacing w:line="360" w:lineRule="auto"/>
        <w:ind w:firstLine="480" w:firstLineChars="200"/>
        <w:rPr>
          <w:sz w:val="24"/>
        </w:rPr>
      </w:pPr>
      <w:r>
        <w:rPr>
          <w:sz w:val="24"/>
        </w:rPr>
        <w:t>为便于广大技术和管理人员在使用本规程时能正确理解和执行条款规定，《装配式多层混凝土模壳砌体结构技术规程》编制组按章、节、条顺序编制了本规程的条文说明，对条款规定的目的、依据以及执行中需注意的有关事项进行了说明。</w:t>
      </w:r>
    </w:p>
    <w:p>
      <w:pPr>
        <w:spacing w:line="360" w:lineRule="auto"/>
        <w:ind w:firstLine="480" w:firstLineChars="200"/>
        <w:rPr>
          <w:sz w:val="24"/>
        </w:rPr>
      </w:pPr>
      <w:r>
        <w:rPr>
          <w:sz w:val="24"/>
        </w:rPr>
        <w:t>本条文说明不具备与规程正文及附录同等的法律效力，仅供使用者作为理解和把握规程规定的参考。</w:t>
      </w:r>
    </w:p>
    <w:p>
      <w:pPr>
        <w:rPr>
          <w:szCs w:val="21"/>
        </w:rPr>
      </w:pPr>
    </w:p>
    <w:p>
      <w:pPr>
        <w:widowControl/>
        <w:jc w:val="left"/>
        <w:rPr>
          <w:b/>
          <w:sz w:val="28"/>
        </w:rPr>
      </w:pPr>
      <w:r>
        <w:br w:type="page"/>
      </w:r>
    </w:p>
    <w:p>
      <w:pPr>
        <w:adjustRightInd w:val="0"/>
        <w:snapToGrid w:val="0"/>
        <w:spacing w:before="312" w:beforeLines="100" w:after="312" w:afterLines="100" w:line="360" w:lineRule="auto"/>
        <w:jc w:val="center"/>
        <w:rPr>
          <w:b/>
          <w:sz w:val="32"/>
          <w:szCs w:val="30"/>
        </w:rPr>
      </w:pPr>
      <w:r>
        <w:rPr>
          <w:b/>
          <w:sz w:val="32"/>
          <w:szCs w:val="30"/>
        </w:rPr>
        <w:t>目　　次</w:t>
      </w:r>
    </w:p>
    <w:p>
      <w:pPr>
        <w:pStyle w:val="21"/>
        <w:rPr>
          <w:rFonts w:asciiTheme="minorHAnsi" w:hAnsiTheme="minorHAnsi" w:cstheme="minorBidi"/>
          <w:b w:val="0"/>
          <w:bCs w:val="0"/>
          <w:caps w:val="0"/>
          <w14:ligatures w14:val="standardContextual"/>
        </w:rPr>
      </w:pPr>
      <w:r>
        <w:rPr>
          <w:rFonts w:eastAsia="宋体"/>
          <w:b w:val="0"/>
          <w:bCs w:val="0"/>
        </w:rPr>
        <w:fldChar w:fldCharType="begin"/>
      </w:r>
      <w:r>
        <w:rPr>
          <w:rFonts w:eastAsia="宋体"/>
          <w:b w:val="0"/>
          <w:bCs w:val="0"/>
        </w:rPr>
        <w:instrText xml:space="preserve"> TOC \o "1-2" \h \z \u </w:instrText>
      </w:r>
      <w:r>
        <w:rPr>
          <w:rFonts w:eastAsia="宋体"/>
          <w:b w:val="0"/>
          <w:bCs w:val="0"/>
        </w:rPr>
        <w:fldChar w:fldCharType="separate"/>
      </w:r>
      <w:r>
        <w:fldChar w:fldCharType="begin"/>
      </w:r>
      <w:r>
        <w:instrText xml:space="preserve"> HYPERLINK \l "_Toc149766316" </w:instrText>
      </w:r>
      <w:r>
        <w:fldChar w:fldCharType="separate"/>
      </w:r>
      <w:r>
        <w:rPr>
          <w:rStyle w:val="37"/>
          <w:color w:val="auto"/>
        </w:rPr>
        <w:t>1</w:t>
      </w:r>
      <w:r>
        <w:rPr>
          <w:rStyle w:val="37"/>
          <w:rFonts w:hint="eastAsia"/>
          <w:color w:val="auto"/>
        </w:rPr>
        <w:t>　总　　则</w:t>
      </w:r>
      <w:r>
        <w:tab/>
      </w:r>
      <w:r>
        <w:fldChar w:fldCharType="end"/>
      </w:r>
      <w:r>
        <w:t>4</w:t>
      </w:r>
      <w:r>
        <w:rPr>
          <w:rFonts w:hint="eastAsia"/>
        </w:rPr>
        <w:t>0</w:t>
      </w:r>
    </w:p>
    <w:p>
      <w:pPr>
        <w:pStyle w:val="21"/>
        <w:rPr>
          <w:rFonts w:asciiTheme="minorHAnsi" w:hAnsiTheme="minorHAnsi" w:cstheme="minorBidi"/>
          <w:b w:val="0"/>
          <w:bCs w:val="0"/>
          <w:caps w:val="0"/>
          <w14:ligatures w14:val="standardContextual"/>
        </w:rPr>
      </w:pPr>
      <w:r>
        <w:fldChar w:fldCharType="begin"/>
      </w:r>
      <w:r>
        <w:instrText xml:space="preserve"> HYPERLINK \l "_Toc149766317" </w:instrText>
      </w:r>
      <w:r>
        <w:fldChar w:fldCharType="separate"/>
      </w:r>
      <w:r>
        <w:rPr>
          <w:rStyle w:val="37"/>
          <w:color w:val="auto"/>
        </w:rPr>
        <w:t>2</w:t>
      </w:r>
      <w:r>
        <w:rPr>
          <w:rStyle w:val="37"/>
          <w:rFonts w:hint="eastAsia"/>
          <w:color w:val="auto"/>
        </w:rPr>
        <w:t>　术语和符号</w:t>
      </w:r>
      <w:r>
        <w:tab/>
      </w:r>
      <w:r>
        <w:fldChar w:fldCharType="end"/>
      </w:r>
      <w:r>
        <w:t>4</w:t>
      </w:r>
      <w:r>
        <w:rPr>
          <w:rFonts w:hint="eastAsia"/>
        </w:rPr>
        <w:t>2</w:t>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"_Toc149766318" </w:instrText>
      </w:r>
      <w:r>
        <w:fldChar w:fldCharType="separate"/>
      </w:r>
      <w:r>
        <w:rPr>
          <w:rStyle w:val="37"/>
          <w:rFonts w:eastAsia="黑体"/>
          <w:color w:val="auto"/>
          <w:sz w:val="24"/>
          <w:szCs w:val="24"/>
        </w:rPr>
        <w:t>2.1</w:t>
      </w:r>
      <w:r>
        <w:rPr>
          <w:rStyle w:val="37"/>
          <w:rFonts w:hint="eastAsia" w:eastAsia="黑体"/>
          <w:color w:val="auto"/>
          <w:sz w:val="24"/>
          <w:szCs w:val="24"/>
        </w:rPr>
        <w:t>　</w:t>
      </w:r>
      <w:r>
        <w:rPr>
          <w:rStyle w:val="37"/>
          <w:rFonts w:hint="eastAsia"/>
          <w:bCs/>
          <w:color w:val="auto"/>
          <w:sz w:val="24"/>
          <w:szCs w:val="24"/>
        </w:rPr>
        <w:t>术语</w:t>
      </w:r>
      <w:r>
        <w:rPr>
          <w:sz w:val="24"/>
          <w:szCs w:val="24"/>
        </w:rPr>
        <w:tab/>
      </w:r>
      <w:r>
        <w:rPr>
          <w:sz w:val="24"/>
          <w:szCs w:val="24"/>
        </w:rPr>
        <w:t>4</w:t>
      </w:r>
      <w:r>
        <w:rPr>
          <w:rFonts w:hint="eastAsia"/>
          <w:sz w:val="24"/>
          <w:szCs w:val="24"/>
        </w:rPr>
        <w:t>2</w:t>
      </w:r>
      <w:r>
        <w:rPr>
          <w:rFonts w:hint="eastAsia"/>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"_Toc149766320" </w:instrText>
      </w:r>
      <w:r>
        <w:fldChar w:fldCharType="separate"/>
      </w:r>
      <w:r>
        <w:rPr>
          <w:rStyle w:val="37"/>
          <w:color w:val="auto"/>
        </w:rPr>
        <w:t>3</w:t>
      </w:r>
      <w:r>
        <w:rPr>
          <w:rStyle w:val="37"/>
          <w:rFonts w:hint="eastAsia"/>
          <w:color w:val="auto"/>
        </w:rPr>
        <w:t>　材　　料</w:t>
      </w:r>
      <w:r>
        <w:tab/>
      </w:r>
      <w:r>
        <w:t>4</w:t>
      </w:r>
      <w:r>
        <w:rPr>
          <w:rFonts w:hint="eastAsia"/>
        </w:rPr>
        <w:t>4</w:t>
      </w:r>
      <w:r>
        <w:rPr>
          <w:rFonts w:hint="eastAsia"/>
        </w:rPr>
        <w:fldChar w:fldCharType="end"/>
      </w:r>
    </w:p>
    <w:p>
      <w:pPr>
        <w:pStyle w:val="25"/>
        <w:rPr>
          <w:sz w:val="24"/>
          <w:szCs w:val="24"/>
        </w:rPr>
      </w:pPr>
      <w:r>
        <w:fldChar w:fldCharType="begin"/>
      </w:r>
      <w:r>
        <w:instrText xml:space="preserve"> HYPERLINK \l "_Toc149766321" </w:instrText>
      </w:r>
      <w:r>
        <w:fldChar w:fldCharType="separate"/>
      </w:r>
      <w:r>
        <w:rPr>
          <w:rStyle w:val="37"/>
          <w:rFonts w:eastAsia="黑体"/>
          <w:color w:val="auto"/>
          <w:sz w:val="24"/>
          <w:szCs w:val="24"/>
        </w:rPr>
        <w:t>3.1</w:t>
      </w:r>
      <w:r>
        <w:rPr>
          <w:rStyle w:val="37"/>
          <w:rFonts w:hint="eastAsia" w:eastAsia="黑体"/>
          <w:color w:val="auto"/>
          <w:sz w:val="24"/>
          <w:szCs w:val="24"/>
        </w:rPr>
        <w:t>　</w:t>
      </w:r>
      <w:r>
        <w:rPr>
          <w:rStyle w:val="37"/>
          <w:rFonts w:hint="eastAsia"/>
          <w:bCs/>
          <w:color w:val="auto"/>
          <w:sz w:val="24"/>
          <w:szCs w:val="24"/>
        </w:rPr>
        <w:t>材料强度等级</w:t>
      </w:r>
      <w:r>
        <w:rPr>
          <w:sz w:val="24"/>
          <w:szCs w:val="24"/>
        </w:rPr>
        <w:tab/>
      </w:r>
      <w:r>
        <w:rPr>
          <w:sz w:val="24"/>
          <w:szCs w:val="24"/>
        </w:rPr>
        <w:t>4</w:t>
      </w:r>
      <w:r>
        <w:rPr>
          <w:rFonts w:hint="eastAsia"/>
          <w:sz w:val="24"/>
          <w:szCs w:val="24"/>
        </w:rPr>
        <w:t>4</w:t>
      </w:r>
      <w:r>
        <w:rPr>
          <w:rFonts w:hint="eastAsia"/>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"_Toc149766322" </w:instrText>
      </w:r>
      <w:r>
        <w:fldChar w:fldCharType="separate"/>
      </w:r>
      <w:r>
        <w:rPr>
          <w:rStyle w:val="37"/>
          <w:rFonts w:eastAsia="黑体"/>
          <w:color w:val="auto"/>
          <w:sz w:val="24"/>
          <w:szCs w:val="24"/>
        </w:rPr>
        <w:t>3.2</w:t>
      </w:r>
      <w:r>
        <w:rPr>
          <w:rStyle w:val="37"/>
          <w:rFonts w:hint="eastAsia" w:eastAsia="黑体"/>
          <w:color w:val="auto"/>
          <w:sz w:val="24"/>
          <w:szCs w:val="24"/>
        </w:rPr>
        <w:t>　</w:t>
      </w:r>
      <w:r>
        <w:rPr>
          <w:rStyle w:val="37"/>
          <w:rFonts w:hint="eastAsia"/>
          <w:bCs/>
          <w:color w:val="auto"/>
          <w:sz w:val="24"/>
          <w:szCs w:val="24"/>
        </w:rPr>
        <w:t>模壳砌块砌体计算指标</w:t>
      </w:r>
      <w:r>
        <w:rPr>
          <w:sz w:val="24"/>
          <w:szCs w:val="24"/>
        </w:rPr>
        <w:tab/>
      </w:r>
      <w:r>
        <w:rPr>
          <w:sz w:val="24"/>
          <w:szCs w:val="24"/>
        </w:rPr>
        <w:t>4</w:t>
      </w:r>
      <w:r>
        <w:rPr>
          <w:rFonts w:hint="eastAsia"/>
          <w:sz w:val="24"/>
          <w:szCs w:val="24"/>
        </w:rPr>
        <w:t>4</w:t>
      </w:r>
      <w:r>
        <w:rPr>
          <w:rFonts w:hint="eastAsia"/>
          <w:sz w:val="24"/>
          <w:szCs w:val="24"/>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"_Toc149766323" </w:instrText>
      </w:r>
      <w:r>
        <w:fldChar w:fldCharType="separate"/>
      </w:r>
      <w:r>
        <w:rPr>
          <w:rStyle w:val="37"/>
          <w:color w:val="auto"/>
        </w:rPr>
        <w:t>4</w:t>
      </w:r>
      <w:r>
        <w:rPr>
          <w:rStyle w:val="37"/>
          <w:rFonts w:hint="eastAsia"/>
          <w:color w:val="auto"/>
        </w:rPr>
        <w:t>　建筑设计</w:t>
      </w:r>
      <w:r>
        <w:tab/>
      </w:r>
      <w:r>
        <w:fldChar w:fldCharType="end"/>
      </w:r>
      <w:r>
        <w:t>4</w:t>
      </w:r>
      <w:r>
        <w:rPr>
          <w:rFonts w:hint="eastAsia"/>
        </w:rPr>
        <w:t>5</w:t>
      </w:r>
    </w:p>
    <w:p>
      <w:pPr>
        <w:pStyle w:val="21"/>
        <w:rPr>
          <w:rFonts w:asciiTheme="minorHAnsi" w:hAnsiTheme="minorHAnsi" w:cstheme="minorBidi"/>
          <w:b w:val="0"/>
          <w:bCs w:val="0"/>
          <w:caps w:val="0"/>
          <w14:ligatures w14:val="standardContextual"/>
        </w:rPr>
      </w:pPr>
      <w:r>
        <w:fldChar w:fldCharType="begin"/>
      </w:r>
      <w:r>
        <w:instrText xml:space="preserve"> HYPERLINK \l "_Toc149766324" </w:instrText>
      </w:r>
      <w:r>
        <w:fldChar w:fldCharType="separate"/>
      </w:r>
      <w:r>
        <w:rPr>
          <w:rStyle w:val="37"/>
          <w:color w:val="auto"/>
        </w:rPr>
        <w:t>5</w:t>
      </w:r>
      <w:r>
        <w:rPr>
          <w:rStyle w:val="37"/>
          <w:rFonts w:hint="eastAsia"/>
          <w:color w:val="auto"/>
        </w:rPr>
        <w:t>　结构设计</w:t>
      </w:r>
      <w:r>
        <w:tab/>
      </w:r>
      <w:r>
        <w:t>4</w:t>
      </w:r>
      <w:r>
        <w:rPr>
          <w:rFonts w:hint="eastAsia"/>
        </w:rPr>
        <w:t>6</w:t>
      </w:r>
      <w:r>
        <w:rPr>
          <w:rFonts w:hint="eastAsia"/>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"_Toc149766325" </w:instrText>
      </w:r>
      <w:r>
        <w:fldChar w:fldCharType="separate"/>
      </w:r>
      <w:r>
        <w:rPr>
          <w:rStyle w:val="37"/>
          <w:rFonts w:eastAsia="黑体"/>
          <w:color w:val="auto"/>
          <w:sz w:val="24"/>
          <w:szCs w:val="24"/>
        </w:rPr>
        <w:t>5.1</w:t>
      </w:r>
      <w:r>
        <w:rPr>
          <w:rStyle w:val="37"/>
          <w:rFonts w:hint="eastAsia" w:eastAsia="黑体"/>
          <w:color w:val="auto"/>
          <w:sz w:val="24"/>
          <w:szCs w:val="24"/>
        </w:rPr>
        <w:t>　</w:t>
      </w:r>
      <w:r>
        <w:rPr>
          <w:rStyle w:val="37"/>
          <w:rFonts w:hint="eastAsia"/>
          <w:bCs/>
          <w:color w:val="auto"/>
          <w:sz w:val="24"/>
          <w:szCs w:val="24"/>
        </w:rPr>
        <w:t>一般规定</w:t>
      </w:r>
      <w:r>
        <w:rPr>
          <w:sz w:val="24"/>
          <w:szCs w:val="24"/>
        </w:rPr>
        <w:tab/>
      </w:r>
      <w:r>
        <w:rPr>
          <w:sz w:val="24"/>
          <w:szCs w:val="24"/>
        </w:rPr>
        <w:t>4</w:t>
      </w:r>
      <w:r>
        <w:rPr>
          <w:rFonts w:hint="eastAsia"/>
          <w:sz w:val="24"/>
          <w:szCs w:val="24"/>
        </w:rPr>
        <w:t>6</w:t>
      </w:r>
      <w:r>
        <w:rPr>
          <w:rFonts w:hint="eastAsia"/>
          <w:sz w:val="24"/>
          <w:szCs w:val="24"/>
        </w:rPr>
        <w:fldChar w:fldCharType="end"/>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"_Toc149766326" </w:instrText>
      </w:r>
      <w:r>
        <w:fldChar w:fldCharType="separate"/>
      </w:r>
      <w:r>
        <w:rPr>
          <w:rStyle w:val="37"/>
          <w:rFonts w:eastAsia="黑体"/>
          <w:color w:val="auto"/>
          <w:sz w:val="24"/>
          <w:szCs w:val="24"/>
        </w:rPr>
        <w:t>5.2</w:t>
      </w:r>
      <w:r>
        <w:rPr>
          <w:rStyle w:val="37"/>
          <w:rFonts w:hint="eastAsia" w:eastAsia="黑体"/>
          <w:color w:val="auto"/>
          <w:sz w:val="24"/>
          <w:szCs w:val="24"/>
        </w:rPr>
        <w:t>　</w:t>
      </w:r>
      <w:r>
        <w:rPr>
          <w:rStyle w:val="37"/>
          <w:rFonts w:hint="eastAsia"/>
          <w:bCs/>
          <w:color w:val="auto"/>
          <w:sz w:val="24"/>
          <w:szCs w:val="24"/>
        </w:rPr>
        <w:t>模壳砌块设计</w:t>
      </w:r>
      <w:r>
        <w:rPr>
          <w:sz w:val="24"/>
          <w:szCs w:val="24"/>
        </w:rPr>
        <w:tab/>
      </w:r>
      <w:r>
        <w:rPr>
          <w:sz w:val="24"/>
          <w:szCs w:val="24"/>
        </w:rPr>
        <w:fldChar w:fldCharType="end"/>
      </w:r>
      <w:r>
        <w:rPr>
          <w:sz w:val="24"/>
          <w:szCs w:val="24"/>
        </w:rPr>
        <w:t>4</w:t>
      </w:r>
      <w:r>
        <w:rPr>
          <w:rFonts w:hint="eastAsia"/>
          <w:sz w:val="24"/>
          <w:szCs w:val="24"/>
        </w:rPr>
        <w:t>7</w:t>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"_Toc149766327" </w:instrText>
      </w:r>
      <w:r>
        <w:fldChar w:fldCharType="separate"/>
      </w:r>
      <w:r>
        <w:rPr>
          <w:rStyle w:val="37"/>
          <w:rFonts w:eastAsia="黑体"/>
          <w:color w:val="auto"/>
          <w:sz w:val="24"/>
          <w:szCs w:val="24"/>
        </w:rPr>
        <w:t>5.3</w:t>
      </w:r>
      <w:r>
        <w:rPr>
          <w:rStyle w:val="37"/>
          <w:rFonts w:hint="eastAsia" w:eastAsia="黑体"/>
          <w:color w:val="auto"/>
          <w:sz w:val="24"/>
          <w:szCs w:val="24"/>
        </w:rPr>
        <w:t>　</w:t>
      </w:r>
      <w:r>
        <w:rPr>
          <w:rStyle w:val="37"/>
          <w:rFonts w:hint="eastAsia" w:eastAsiaTheme="majorEastAsia"/>
          <w:bCs/>
          <w:color w:val="auto"/>
          <w:sz w:val="24"/>
          <w:szCs w:val="24"/>
        </w:rPr>
        <w:t>承载力计算</w:t>
      </w:r>
      <w:r>
        <w:rPr>
          <w:sz w:val="24"/>
          <w:szCs w:val="24"/>
        </w:rPr>
        <w:tab/>
      </w:r>
      <w:r>
        <w:rPr>
          <w:sz w:val="24"/>
          <w:szCs w:val="24"/>
        </w:rPr>
        <w:fldChar w:fldCharType="end"/>
      </w:r>
      <w:r>
        <w:rPr>
          <w:sz w:val="24"/>
          <w:szCs w:val="24"/>
        </w:rPr>
        <w:t>4</w:t>
      </w:r>
      <w:r>
        <w:rPr>
          <w:rFonts w:hint="eastAsia"/>
          <w:sz w:val="24"/>
          <w:szCs w:val="24"/>
        </w:rPr>
        <w:t>7</w:t>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"_Toc149766328" </w:instrText>
      </w:r>
      <w:r>
        <w:fldChar w:fldCharType="separate"/>
      </w:r>
      <w:r>
        <w:rPr>
          <w:rStyle w:val="37"/>
          <w:rFonts w:eastAsia="黑体"/>
          <w:color w:val="auto"/>
          <w:sz w:val="24"/>
          <w:szCs w:val="24"/>
        </w:rPr>
        <w:t>5.4</w:t>
      </w:r>
      <w:r>
        <w:rPr>
          <w:rStyle w:val="37"/>
          <w:rFonts w:hint="eastAsia" w:eastAsia="黑体"/>
          <w:color w:val="auto"/>
          <w:sz w:val="24"/>
          <w:szCs w:val="24"/>
        </w:rPr>
        <w:t>　</w:t>
      </w:r>
      <w:r>
        <w:rPr>
          <w:rStyle w:val="37"/>
          <w:rFonts w:hint="eastAsia"/>
          <w:bCs/>
          <w:color w:val="auto"/>
          <w:sz w:val="24"/>
          <w:szCs w:val="24"/>
        </w:rPr>
        <w:t>构造设计</w:t>
      </w:r>
      <w:r>
        <w:rPr>
          <w:sz w:val="24"/>
          <w:szCs w:val="24"/>
        </w:rPr>
        <w:tab/>
      </w:r>
      <w:r>
        <w:rPr>
          <w:sz w:val="24"/>
          <w:szCs w:val="24"/>
        </w:rPr>
        <w:fldChar w:fldCharType="end"/>
      </w:r>
      <w:r>
        <w:rPr>
          <w:rFonts w:hint="eastAsia"/>
          <w:sz w:val="24"/>
          <w:szCs w:val="24"/>
        </w:rPr>
        <w:t>49</w:t>
      </w:r>
    </w:p>
    <w:p>
      <w:pPr>
        <w:pStyle w:val="25"/>
        <w:rPr>
          <w:sz w:val="24"/>
          <w:szCs w:val="24"/>
        </w:rPr>
      </w:pPr>
      <w:r>
        <w:fldChar w:fldCharType="begin"/>
      </w:r>
      <w:r>
        <w:instrText xml:space="preserve"> HYPERLINK \l "_Toc149766329" </w:instrText>
      </w:r>
      <w:r>
        <w:fldChar w:fldCharType="separate"/>
      </w:r>
      <w:r>
        <w:rPr>
          <w:rStyle w:val="37"/>
          <w:rFonts w:eastAsia="黑体"/>
          <w:color w:val="auto"/>
          <w:sz w:val="24"/>
          <w:szCs w:val="24"/>
        </w:rPr>
        <w:t>5.5</w:t>
      </w:r>
      <w:r>
        <w:rPr>
          <w:rStyle w:val="37"/>
          <w:rFonts w:hint="eastAsia" w:eastAsia="黑体"/>
          <w:color w:val="auto"/>
          <w:sz w:val="24"/>
          <w:szCs w:val="24"/>
        </w:rPr>
        <w:t>　</w:t>
      </w:r>
      <w:r>
        <w:rPr>
          <w:rStyle w:val="37"/>
          <w:rFonts w:hint="eastAsia" w:eastAsiaTheme="majorEastAsia"/>
          <w:bCs/>
          <w:color w:val="auto"/>
          <w:sz w:val="24"/>
          <w:szCs w:val="24"/>
        </w:rPr>
        <w:t>楼盖及楼梯</w:t>
      </w:r>
      <w:r>
        <w:rPr>
          <w:sz w:val="24"/>
          <w:szCs w:val="24"/>
        </w:rPr>
        <w:tab/>
      </w:r>
      <w:r>
        <w:rPr>
          <w:sz w:val="24"/>
          <w:szCs w:val="24"/>
        </w:rPr>
        <w:fldChar w:fldCharType="end"/>
      </w:r>
      <w:r>
        <w:rPr>
          <w:sz w:val="24"/>
          <w:szCs w:val="24"/>
        </w:rPr>
        <w:t>5</w:t>
      </w:r>
      <w:r>
        <w:rPr>
          <w:rFonts w:hint="eastAsia"/>
          <w:sz w:val="24"/>
          <w:szCs w:val="24"/>
        </w:rPr>
        <w:t>0</w:t>
      </w:r>
    </w:p>
    <w:p>
      <w:pPr>
        <w:pStyle w:val="21"/>
        <w:rPr>
          <w:rStyle w:val="37"/>
          <w:color w:val="auto"/>
        </w:rPr>
      </w:pPr>
      <w:r>
        <w:fldChar w:fldCharType="begin"/>
      </w:r>
      <w:r>
        <w:instrText xml:space="preserve"> HYPERLINK \l "_Toc149766322" </w:instrText>
      </w:r>
      <w:r>
        <w:fldChar w:fldCharType="separate"/>
      </w:r>
      <w:r>
        <w:rPr>
          <w:rStyle w:val="37"/>
          <w:color w:val="auto"/>
        </w:rPr>
        <w:t>6</w:t>
      </w:r>
      <w:r>
        <w:rPr>
          <w:rStyle w:val="37"/>
          <w:rFonts w:hint="eastAsia"/>
          <w:color w:val="auto"/>
        </w:rPr>
        <w:t>　模壳砌块制作与运输</w:t>
      </w:r>
      <w:r>
        <w:rPr>
          <w:rStyle w:val="37"/>
          <w:color w:val="auto"/>
        </w:rPr>
        <w:tab/>
      </w:r>
      <w:r>
        <w:rPr>
          <w:rStyle w:val="37"/>
          <w:color w:val="auto"/>
        </w:rPr>
        <w:t>5</w:t>
      </w:r>
      <w:r>
        <w:rPr>
          <w:rStyle w:val="37"/>
          <w:rFonts w:hint="eastAsia"/>
          <w:color w:val="auto"/>
        </w:rPr>
        <w:t>1</w:t>
      </w:r>
      <w:r>
        <w:rPr>
          <w:rStyle w:val="37"/>
          <w:rFonts w:hint="eastAsia"/>
          <w:color w:val="auto"/>
        </w:rPr>
        <w:fldChar w:fldCharType="end"/>
      </w:r>
    </w:p>
    <w:p>
      <w:pPr>
        <w:pStyle w:val="21"/>
        <w:rPr>
          <w:rFonts w:asciiTheme="minorHAnsi" w:hAnsiTheme="minorHAnsi" w:cstheme="minorBidi"/>
          <w:b w:val="0"/>
          <w:bCs w:val="0"/>
          <w:caps w:val="0"/>
          <w14:ligatures w14:val="standardContextual"/>
        </w:rPr>
      </w:pPr>
      <w:r>
        <w:fldChar w:fldCharType="begin"/>
      </w:r>
      <w:r>
        <w:instrText xml:space="preserve"> HYPERLINK \l "_Toc149766330" </w:instrText>
      </w:r>
      <w:r>
        <w:fldChar w:fldCharType="separate"/>
      </w:r>
      <w:r>
        <w:rPr>
          <w:rStyle w:val="37"/>
          <w:color w:val="auto"/>
        </w:rPr>
        <w:t>7</w:t>
      </w:r>
      <w:r>
        <w:rPr>
          <w:rStyle w:val="37"/>
          <w:rFonts w:hint="eastAsia"/>
          <w:color w:val="auto"/>
        </w:rPr>
        <w:t>　施工与验收</w:t>
      </w:r>
      <w:r>
        <w:tab/>
      </w:r>
      <w:r>
        <w:fldChar w:fldCharType="end"/>
      </w:r>
      <w:r>
        <w:t>5</w:t>
      </w:r>
      <w:r>
        <w:rPr>
          <w:rFonts w:hint="eastAsia"/>
        </w:rPr>
        <w:t>2</w:t>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"_Toc149766331" </w:instrText>
      </w:r>
      <w:r>
        <w:fldChar w:fldCharType="separate"/>
      </w:r>
      <w:r>
        <w:rPr>
          <w:rStyle w:val="37"/>
          <w:rFonts w:eastAsia="黑体"/>
          <w:color w:val="auto"/>
          <w:sz w:val="24"/>
          <w:szCs w:val="24"/>
        </w:rPr>
        <w:t>7.1</w:t>
      </w:r>
      <w:r>
        <w:rPr>
          <w:rStyle w:val="37"/>
          <w:rFonts w:hint="eastAsia" w:eastAsia="黑体"/>
          <w:color w:val="auto"/>
          <w:sz w:val="24"/>
          <w:szCs w:val="24"/>
        </w:rPr>
        <w:t>　</w:t>
      </w:r>
      <w:r>
        <w:rPr>
          <w:rStyle w:val="37"/>
          <w:rFonts w:hint="eastAsia"/>
          <w:bCs/>
          <w:color w:val="auto"/>
          <w:sz w:val="24"/>
          <w:szCs w:val="24"/>
        </w:rPr>
        <w:t>一般规定</w:t>
      </w:r>
      <w:r>
        <w:rPr>
          <w:sz w:val="24"/>
          <w:szCs w:val="24"/>
        </w:rPr>
        <w:tab/>
      </w:r>
      <w:r>
        <w:rPr>
          <w:sz w:val="24"/>
          <w:szCs w:val="24"/>
        </w:rPr>
        <w:fldChar w:fldCharType="end"/>
      </w:r>
      <w:r>
        <w:rPr>
          <w:sz w:val="24"/>
          <w:szCs w:val="24"/>
        </w:rPr>
        <w:t>5</w:t>
      </w:r>
      <w:r>
        <w:rPr>
          <w:rFonts w:hint="eastAsia"/>
          <w:sz w:val="24"/>
          <w:szCs w:val="24"/>
        </w:rPr>
        <w:t>2</w:t>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"_Toc149766332" </w:instrText>
      </w:r>
      <w:r>
        <w:fldChar w:fldCharType="separate"/>
      </w:r>
      <w:r>
        <w:rPr>
          <w:rStyle w:val="37"/>
          <w:rFonts w:eastAsia="黑体"/>
          <w:color w:val="auto"/>
          <w:sz w:val="24"/>
          <w:szCs w:val="24"/>
        </w:rPr>
        <w:t>7.2</w:t>
      </w:r>
      <w:r>
        <w:rPr>
          <w:rStyle w:val="37"/>
          <w:rFonts w:hint="eastAsia" w:eastAsia="黑体"/>
          <w:color w:val="auto"/>
          <w:sz w:val="24"/>
          <w:szCs w:val="24"/>
        </w:rPr>
        <w:t>　</w:t>
      </w:r>
      <w:r>
        <w:rPr>
          <w:rStyle w:val="37"/>
          <w:rFonts w:hint="eastAsia"/>
          <w:bCs/>
          <w:color w:val="auto"/>
          <w:sz w:val="24"/>
          <w:szCs w:val="24"/>
        </w:rPr>
        <w:t>施工质量检验</w:t>
      </w:r>
      <w:r>
        <w:rPr>
          <w:sz w:val="24"/>
          <w:szCs w:val="24"/>
        </w:rPr>
        <w:tab/>
      </w:r>
      <w:r>
        <w:rPr>
          <w:sz w:val="24"/>
          <w:szCs w:val="24"/>
        </w:rPr>
        <w:fldChar w:fldCharType="end"/>
      </w:r>
      <w:r>
        <w:rPr>
          <w:sz w:val="24"/>
          <w:szCs w:val="24"/>
        </w:rPr>
        <w:t>5</w:t>
      </w:r>
      <w:r>
        <w:rPr>
          <w:rFonts w:hint="eastAsia"/>
          <w:sz w:val="24"/>
          <w:szCs w:val="24"/>
        </w:rPr>
        <w:t>2</w:t>
      </w:r>
    </w:p>
    <w:p>
      <w:pPr>
        <w:pStyle w:val="25"/>
        <w:rPr>
          <w:rFonts w:asciiTheme="minorHAnsi" w:hAnsiTheme="minorHAnsi" w:eastAsiaTheme="minorEastAsia" w:cstheme="minorBidi"/>
          <w:smallCaps w:val="0"/>
          <w:sz w:val="24"/>
          <w:szCs w:val="24"/>
          <w14:ligatures w14:val="standardContextual"/>
        </w:rPr>
      </w:pPr>
      <w:r>
        <w:fldChar w:fldCharType="begin"/>
      </w:r>
      <w:r>
        <w:instrText xml:space="preserve"> HYPERLINK \l "_Toc149766333" </w:instrText>
      </w:r>
      <w:r>
        <w:fldChar w:fldCharType="separate"/>
      </w:r>
      <w:r>
        <w:rPr>
          <w:rStyle w:val="37"/>
          <w:rFonts w:eastAsia="黑体"/>
          <w:color w:val="auto"/>
          <w:sz w:val="24"/>
          <w:szCs w:val="24"/>
        </w:rPr>
        <w:t>7.3</w:t>
      </w:r>
      <w:r>
        <w:rPr>
          <w:rStyle w:val="37"/>
          <w:rFonts w:hint="eastAsia" w:eastAsia="黑体"/>
          <w:color w:val="auto"/>
          <w:sz w:val="24"/>
          <w:szCs w:val="24"/>
        </w:rPr>
        <w:t>　</w:t>
      </w:r>
      <w:r>
        <w:rPr>
          <w:rStyle w:val="37"/>
          <w:rFonts w:hint="eastAsia"/>
          <w:bCs/>
          <w:color w:val="auto"/>
          <w:sz w:val="24"/>
          <w:szCs w:val="24"/>
        </w:rPr>
        <w:t>施工验收要点</w:t>
      </w:r>
      <w:r>
        <w:rPr>
          <w:sz w:val="24"/>
          <w:szCs w:val="24"/>
        </w:rPr>
        <w:tab/>
      </w:r>
      <w:r>
        <w:rPr>
          <w:sz w:val="24"/>
          <w:szCs w:val="24"/>
        </w:rPr>
        <w:fldChar w:fldCharType="end"/>
      </w:r>
      <w:r>
        <w:rPr>
          <w:sz w:val="24"/>
          <w:szCs w:val="24"/>
        </w:rPr>
        <w:t>5</w:t>
      </w:r>
      <w:r>
        <w:rPr>
          <w:rFonts w:hint="eastAsia"/>
          <w:sz w:val="24"/>
          <w:szCs w:val="24"/>
        </w:rPr>
        <w:t>3</w:t>
      </w:r>
    </w:p>
    <w:p>
      <w:pPr>
        <w:pStyle w:val="45"/>
        <w:spacing w:before="312" w:after="312"/>
        <w:rPr>
          <w:rFonts w:eastAsiaTheme="minorEastAsia"/>
          <w:sz w:val="32"/>
        </w:rPr>
      </w:pPr>
      <w:r>
        <w:rPr>
          <w:b w:val="0"/>
          <w:sz w:val="24"/>
          <w:szCs w:val="24"/>
        </w:rPr>
        <w:fldChar w:fldCharType="end"/>
      </w:r>
      <w:r>
        <w:rPr>
          <w:kern w:val="0"/>
          <w:sz w:val="32"/>
          <w:szCs w:val="32"/>
          <w:lang w:val="zh-CN"/>
        </w:rPr>
        <w:br w:type="page"/>
      </w:r>
      <w:bookmarkStart w:id="182" w:name="_Toc149766338"/>
      <w:bookmarkStart w:id="183" w:name="_Toc149766396"/>
      <w:bookmarkStart w:id="184" w:name="_Toc148994675"/>
      <w:r>
        <w:rPr>
          <w:rFonts w:eastAsiaTheme="minorEastAsia"/>
          <w:sz w:val="32"/>
        </w:rPr>
        <w:t>1　总　　则</w:t>
      </w:r>
      <w:bookmarkEnd w:id="182"/>
      <w:bookmarkEnd w:id="183"/>
      <w:bookmarkEnd w:id="184"/>
    </w:p>
    <w:p>
      <w:pPr>
        <w:tabs>
          <w:tab w:val="left" w:pos="777"/>
        </w:tabs>
        <w:spacing w:line="360" w:lineRule="auto"/>
        <w:outlineLvl w:val="2"/>
        <w:rPr>
          <w:sz w:val="24"/>
          <w:szCs w:val="24"/>
        </w:rPr>
      </w:pPr>
      <w:r>
        <w:rPr>
          <w:rFonts w:eastAsiaTheme="minorEastAsia"/>
          <w:b/>
          <w:sz w:val="24"/>
          <w:szCs w:val="24"/>
        </w:rPr>
        <w:t>1.0.1　</w:t>
      </w:r>
      <w:r>
        <w:rPr>
          <w:sz w:val="24"/>
          <w:szCs w:val="24"/>
        </w:rPr>
        <w:t>采用预制混凝土模壳砌块、现浇构造柱</w:t>
      </w:r>
      <w:r>
        <w:rPr>
          <w:rFonts w:hint="eastAsia"/>
          <w:sz w:val="24"/>
          <w:szCs w:val="24"/>
        </w:rPr>
        <w:t>（含芯柱式构造柱）、现浇芯柱</w:t>
      </w:r>
      <w:r>
        <w:rPr>
          <w:sz w:val="24"/>
          <w:szCs w:val="24"/>
        </w:rPr>
        <w:t>、现浇圈梁的</w:t>
      </w:r>
      <w:r>
        <w:rPr>
          <w:rFonts w:hint="eastAsia"/>
          <w:sz w:val="24"/>
          <w:szCs w:val="24"/>
        </w:rPr>
        <w:t>模壳砌体</w:t>
      </w:r>
      <w:r>
        <w:rPr>
          <w:sz w:val="24"/>
          <w:szCs w:val="24"/>
        </w:rPr>
        <w:t>结构，其中模壳砌块组成的</w:t>
      </w:r>
      <w:r>
        <w:rPr>
          <w:rFonts w:hint="eastAsia"/>
          <w:sz w:val="24"/>
          <w:szCs w:val="24"/>
        </w:rPr>
        <w:t>模壳砌块墙体（图1）可承受水平荷载和竖向荷载，具有承载能力较高、施工便捷、结构整体性能较好的优点，是一种新型的约束砌体承重墙体结构。</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7" w:type="dxa"/>
            <w:vAlign w:val="center"/>
          </w:tcPr>
          <w:p>
            <w:pPr>
              <w:pStyle w:val="2"/>
            </w:pPr>
            <w:r>
              <w:drawing>
                <wp:inline distT="0" distB="0" distL="0" distR="0">
                  <wp:extent cx="3599815" cy="2443480"/>
                  <wp:effectExtent l="0" t="0" r="635" b="0"/>
                  <wp:docPr id="2" name="图片 2" descr="C:\Users\Administrator\Documents\WeChat Files\wxid_y7xqs288sm1g21\FileStorage\Temp\ebeef57fa7a465f0f3da687072e9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wxid_y7xqs288sm1g21\FileStorage\Temp\ebeef57fa7a465f0f3da687072e9d3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600000" cy="24439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7" w:type="dxa"/>
            <w:vAlign w:val="center"/>
          </w:tcPr>
          <w:p>
            <w:pPr>
              <w:pStyle w:val="2"/>
            </w:pPr>
            <w:r>
              <w:rPr>
                <w:rFonts w:hint="eastAsia"/>
              </w:rPr>
              <w:t>图1</w:t>
            </w:r>
            <w:r>
              <w:t xml:space="preserve">  </w:t>
            </w:r>
            <w:r>
              <w:rPr>
                <w:rFonts w:hint="eastAsia"/>
              </w:rPr>
              <w:t>模壳砌块墙体结构示意图</w:t>
            </w:r>
          </w:p>
        </w:tc>
      </w:tr>
    </w:tbl>
    <w:p>
      <w:pPr>
        <w:spacing w:line="360" w:lineRule="auto"/>
        <w:ind w:firstLine="480" w:firstLineChars="200"/>
        <w:rPr>
          <w:sz w:val="24"/>
        </w:rPr>
      </w:pPr>
      <w:r>
        <w:rPr>
          <w:rFonts w:hint="eastAsia"/>
          <w:sz w:val="24"/>
        </w:rPr>
        <w:t>与传统混凝土砌块墙体相比，标准模壳砌块墙体的抗压、抗拉、抗剪等承载力均有所提升，内部填充发泡混凝土后模壳砌块墙体保温性能优越，内部搭接水平钢筋，提高整体抗震性能；此外，按照该类标准模壳砌块生产得到的砌块承重墙体，设计及施工标准化程度较高，采用薄层砌筑工艺，整体装配化率较高、低碳节能环保。</w:t>
      </w:r>
    </w:p>
    <w:p>
      <w:pPr>
        <w:spacing w:line="360" w:lineRule="auto"/>
        <w:ind w:firstLine="480" w:firstLineChars="200"/>
      </w:pPr>
      <w:r>
        <w:rPr>
          <w:sz w:val="24"/>
        </w:rPr>
        <w:t>编制组开展了大量试验研究，结果表明，</w:t>
      </w:r>
      <w:r>
        <w:rPr>
          <w:rFonts w:hint="eastAsia"/>
          <w:sz w:val="24"/>
        </w:rPr>
        <w:t>适用于</w:t>
      </w:r>
      <w:r>
        <w:rPr>
          <w:sz w:val="24"/>
        </w:rPr>
        <w:t>多层</w:t>
      </w:r>
      <w:r>
        <w:rPr>
          <w:rFonts w:hint="eastAsia"/>
          <w:sz w:val="24"/>
        </w:rPr>
        <w:t>结构体系的</w:t>
      </w:r>
      <w:r>
        <w:rPr>
          <w:sz w:val="24"/>
        </w:rPr>
        <w:t>混凝土模壳</w:t>
      </w:r>
      <w:r>
        <w:rPr>
          <w:rFonts w:hint="eastAsia"/>
          <w:sz w:val="24"/>
        </w:rPr>
        <w:t>砌体</w:t>
      </w:r>
      <w:r>
        <w:rPr>
          <w:sz w:val="24"/>
        </w:rPr>
        <w:t>结构的抗震性能</w:t>
      </w:r>
      <w:r>
        <w:rPr>
          <w:rFonts w:hint="eastAsia"/>
          <w:sz w:val="24"/>
        </w:rPr>
        <w:t>优越于传统混凝土砌块</w:t>
      </w:r>
      <w:r>
        <w:rPr>
          <w:sz w:val="24"/>
        </w:rPr>
        <w:t>砌体结构，在多遇地震作用下具有良好的整体性，在设防地震、罕遇地震作用下结构仍能保持为整体，且延性较好</w:t>
      </w:r>
      <w:r>
        <w:rPr>
          <w:rFonts w:hint="eastAsia"/>
          <w:sz w:val="24"/>
        </w:rPr>
        <w:t>，兼具良好的震后可修复性</w:t>
      </w:r>
      <w:r>
        <w:rPr>
          <w:sz w:val="24"/>
        </w:rPr>
        <w:t>。</w:t>
      </w:r>
    </w:p>
    <w:p>
      <w:pPr>
        <w:spacing w:line="360" w:lineRule="auto"/>
        <w:ind w:firstLine="480" w:firstLineChars="200"/>
        <w:rPr>
          <w:sz w:val="24"/>
          <w:szCs w:val="24"/>
        </w:rPr>
      </w:pPr>
      <w:r>
        <w:rPr>
          <w:sz w:val="24"/>
        </w:rPr>
        <w:t>混凝土模壳</w:t>
      </w:r>
      <w:r>
        <w:rPr>
          <w:rFonts w:hint="eastAsia"/>
          <w:sz w:val="24"/>
        </w:rPr>
        <w:t>砌体</w:t>
      </w:r>
      <w:r>
        <w:rPr>
          <w:sz w:val="24"/>
        </w:rPr>
        <w:t>结构</w:t>
      </w:r>
      <w:r>
        <w:rPr>
          <w:sz w:val="24"/>
          <w:szCs w:val="24"/>
        </w:rPr>
        <w:t>面向</w:t>
      </w:r>
      <w:r>
        <w:rPr>
          <w:rFonts w:hint="eastAsia"/>
          <w:sz w:val="24"/>
          <w:szCs w:val="24"/>
        </w:rPr>
        <w:t>城乡建设领域</w:t>
      </w:r>
      <w:r>
        <w:rPr>
          <w:sz w:val="24"/>
          <w:szCs w:val="24"/>
        </w:rPr>
        <w:t>，目前国家和行业现行的</w:t>
      </w:r>
      <w:r>
        <w:rPr>
          <w:rFonts w:hint="eastAsia"/>
          <w:sz w:val="24"/>
          <w:szCs w:val="24"/>
        </w:rPr>
        <w:t>混凝土空心砌块</w:t>
      </w:r>
      <w:r>
        <w:rPr>
          <w:sz w:val="24"/>
          <w:szCs w:val="24"/>
        </w:rPr>
        <w:t>砌体结构、装配整体式建筑结构标准中，尚无针对</w:t>
      </w:r>
      <w:r>
        <w:rPr>
          <w:rFonts w:hint="eastAsia"/>
          <w:sz w:val="24"/>
          <w:szCs w:val="24"/>
        </w:rPr>
        <w:t>适用于</w:t>
      </w:r>
      <w:r>
        <w:rPr>
          <w:sz w:val="24"/>
          <w:szCs w:val="24"/>
        </w:rPr>
        <w:t>多层混凝土模壳</w:t>
      </w:r>
      <w:r>
        <w:rPr>
          <w:rFonts w:hint="eastAsia"/>
          <w:sz w:val="24"/>
          <w:szCs w:val="24"/>
        </w:rPr>
        <w:t>砌体</w:t>
      </w:r>
      <w:r>
        <w:rPr>
          <w:sz w:val="24"/>
          <w:szCs w:val="24"/>
        </w:rPr>
        <w:t>结构的相关规定，结构体系实际应用缺少相应规范标准支撑。因此编制本规程，</w:t>
      </w:r>
      <w:r>
        <w:rPr>
          <w:rFonts w:hint="eastAsia"/>
          <w:sz w:val="24"/>
          <w:szCs w:val="24"/>
        </w:rPr>
        <w:t>旨在</w:t>
      </w:r>
      <w:r>
        <w:rPr>
          <w:sz w:val="24"/>
          <w:szCs w:val="24"/>
        </w:rPr>
        <w:t>为装配式多层混凝土模壳砌体结构技术体系</w:t>
      </w:r>
      <w:r>
        <w:rPr>
          <w:rFonts w:hint="eastAsia"/>
          <w:sz w:val="24"/>
          <w:szCs w:val="24"/>
        </w:rPr>
        <w:t>在建筑工程中</w:t>
      </w:r>
      <w:r>
        <w:rPr>
          <w:sz w:val="24"/>
          <w:szCs w:val="24"/>
        </w:rPr>
        <w:t>的应用提供</w:t>
      </w:r>
      <w:r>
        <w:rPr>
          <w:rFonts w:hint="eastAsia"/>
          <w:sz w:val="24"/>
          <w:szCs w:val="24"/>
        </w:rPr>
        <w:t>相关</w:t>
      </w:r>
      <w:r>
        <w:rPr>
          <w:sz w:val="24"/>
          <w:szCs w:val="24"/>
        </w:rPr>
        <w:t>技术支撑。</w:t>
      </w:r>
    </w:p>
    <w:p>
      <w:pPr>
        <w:tabs>
          <w:tab w:val="left" w:pos="777"/>
        </w:tabs>
        <w:adjustRightInd w:val="0"/>
        <w:snapToGrid w:val="0"/>
        <w:spacing w:line="360" w:lineRule="auto"/>
        <w:outlineLvl w:val="2"/>
        <w:rPr>
          <w:sz w:val="24"/>
          <w:szCs w:val="24"/>
        </w:rPr>
      </w:pPr>
      <w:r>
        <w:rPr>
          <w:rFonts w:eastAsiaTheme="minorEastAsia"/>
          <w:b/>
          <w:sz w:val="24"/>
          <w:szCs w:val="24"/>
        </w:rPr>
        <w:t>1.0.2　</w:t>
      </w:r>
      <w:r>
        <w:rPr>
          <w:sz w:val="24"/>
          <w:szCs w:val="24"/>
        </w:rPr>
        <w:t>限于现阶段研究成果和工程实践，本规程暂不包含抗震设防烈度为9度地区的工程应用。</w:t>
      </w:r>
    </w:p>
    <w:p>
      <w:pPr>
        <w:tabs>
          <w:tab w:val="left" w:pos="777"/>
        </w:tabs>
        <w:adjustRightInd w:val="0"/>
        <w:snapToGrid w:val="0"/>
        <w:spacing w:line="360" w:lineRule="auto"/>
        <w:outlineLvl w:val="2"/>
        <w:rPr>
          <w:sz w:val="24"/>
          <w:szCs w:val="24"/>
        </w:rPr>
      </w:pPr>
      <w:r>
        <w:rPr>
          <w:rFonts w:eastAsiaTheme="minorEastAsia"/>
          <w:b/>
          <w:sz w:val="24"/>
          <w:szCs w:val="24"/>
        </w:rPr>
        <w:t>1.0.3　</w:t>
      </w:r>
      <w:r>
        <w:rPr>
          <w:rFonts w:eastAsiaTheme="minorEastAsia"/>
          <w:sz w:val="24"/>
        </w:rPr>
        <w:t>混凝土模壳</w:t>
      </w:r>
      <w:r>
        <w:rPr>
          <w:rFonts w:hint="eastAsia" w:eastAsiaTheme="minorEastAsia"/>
          <w:sz w:val="24"/>
        </w:rPr>
        <w:t>砌体</w:t>
      </w:r>
      <w:r>
        <w:rPr>
          <w:rFonts w:eastAsiaTheme="minorEastAsia"/>
          <w:sz w:val="24"/>
        </w:rPr>
        <w:t>结构</w:t>
      </w:r>
      <w:r>
        <w:rPr>
          <w:sz w:val="24"/>
          <w:szCs w:val="32"/>
        </w:rPr>
        <w:t>的整体分析、构件内力及承载力计算等参照现行国家标准《砌体结构设计规范》GB 50003、《建筑抗震设计规范》GB 50011、《砌体结构通用规范》GB 55007的有关规定执行；关于装配式相关的要求按国家现行标准《装配式混凝土建筑技术标准》GB/T 51231、《装配式混凝土结构技术规程》J</w:t>
      </w:r>
      <w:r>
        <w:rPr>
          <w:sz w:val="24"/>
          <w:szCs w:val="24"/>
        </w:rPr>
        <w:t>GJ 1等有关规定执行。由于生产和安装工艺的需求，本规程中部分构件及构造不完全符合上述标准的规定，对这些情况，本规程在试验研究的基础上制</w:t>
      </w:r>
      <w:r>
        <w:rPr>
          <w:rFonts w:hint="eastAsia"/>
          <w:sz w:val="24"/>
          <w:szCs w:val="24"/>
        </w:rPr>
        <w:t>定</w:t>
      </w:r>
      <w:r>
        <w:rPr>
          <w:sz w:val="24"/>
          <w:szCs w:val="24"/>
        </w:rPr>
        <w:t>了专门规定，</w:t>
      </w:r>
      <w:r>
        <w:rPr>
          <w:rFonts w:hint="eastAsia"/>
          <w:sz w:val="24"/>
          <w:szCs w:val="24"/>
        </w:rPr>
        <w:t>能</w:t>
      </w:r>
      <w:r>
        <w:rPr>
          <w:sz w:val="24"/>
          <w:szCs w:val="24"/>
        </w:rPr>
        <w:t>确保结构安全。</w:t>
      </w:r>
    </w:p>
    <w:p>
      <w:pPr>
        <w:tabs>
          <w:tab w:val="left" w:pos="777"/>
        </w:tabs>
        <w:adjustRightInd w:val="0"/>
        <w:snapToGrid w:val="0"/>
        <w:spacing w:line="360" w:lineRule="auto"/>
        <w:outlineLvl w:val="2"/>
        <w:rPr>
          <w:spacing w:val="-1"/>
          <w:sz w:val="24"/>
          <w:szCs w:val="24"/>
        </w:rPr>
      </w:pPr>
      <w:r>
        <w:rPr>
          <w:rFonts w:hint="eastAsia"/>
          <w:b/>
          <w:spacing w:val="-1"/>
          <w:sz w:val="24"/>
          <w:szCs w:val="24"/>
        </w:rPr>
        <w:t>1</w:t>
      </w:r>
      <w:r>
        <w:rPr>
          <w:b/>
          <w:spacing w:val="-1"/>
          <w:sz w:val="24"/>
          <w:szCs w:val="24"/>
        </w:rPr>
        <w:t>.0.4</w:t>
      </w:r>
      <w:r>
        <w:rPr>
          <w:rFonts w:eastAsiaTheme="minorEastAsia"/>
          <w:b/>
          <w:sz w:val="24"/>
          <w:szCs w:val="24"/>
        </w:rPr>
        <w:t>　</w:t>
      </w:r>
      <w:r>
        <w:rPr>
          <w:rFonts w:hint="eastAsia" w:eastAsiaTheme="minorEastAsia"/>
          <w:sz w:val="24"/>
          <w:szCs w:val="24"/>
        </w:rPr>
        <w:t>本</w:t>
      </w:r>
      <w:r>
        <w:rPr>
          <w:rFonts w:hint="eastAsia" w:eastAsiaTheme="minorEastAsia"/>
          <w:sz w:val="24"/>
        </w:rPr>
        <w:t>规程为装配式混凝土模壳砌体结构</w:t>
      </w:r>
      <w:r>
        <w:rPr>
          <w:rFonts w:eastAsiaTheme="minorEastAsia"/>
          <w:sz w:val="24"/>
        </w:rPr>
        <w:t>而专门编制。考虑到它与传统混凝土空心砌块砌体存在</w:t>
      </w:r>
      <w:r>
        <w:rPr>
          <w:rFonts w:hint="eastAsia" w:eastAsiaTheme="minorEastAsia"/>
          <w:sz w:val="24"/>
        </w:rPr>
        <w:t>施工工艺、构造措施等方面的</w:t>
      </w:r>
      <w:r>
        <w:rPr>
          <w:rFonts w:eastAsiaTheme="minorEastAsia"/>
          <w:sz w:val="24"/>
        </w:rPr>
        <w:t>差异，</w:t>
      </w:r>
      <w:r>
        <w:rPr>
          <w:rFonts w:hint="eastAsia" w:eastAsiaTheme="minorEastAsia"/>
          <w:sz w:val="24"/>
        </w:rPr>
        <w:t>本</w:t>
      </w:r>
      <w:r>
        <w:rPr>
          <w:rFonts w:eastAsiaTheme="minorEastAsia"/>
          <w:sz w:val="24"/>
        </w:rPr>
        <w:t>规程对有关设计、施工、验收方面做了一些针对性的规定</w:t>
      </w:r>
      <w:r>
        <w:rPr>
          <w:rFonts w:hint="eastAsia" w:eastAsiaTheme="minorEastAsia"/>
          <w:sz w:val="24"/>
        </w:rPr>
        <w:t>，</w:t>
      </w:r>
      <w:r>
        <w:rPr>
          <w:spacing w:val="-1"/>
          <w:sz w:val="24"/>
          <w:szCs w:val="24"/>
        </w:rPr>
        <w:t>对</w:t>
      </w:r>
      <w:r>
        <w:rPr>
          <w:rFonts w:hint="eastAsia"/>
          <w:spacing w:val="-1"/>
          <w:sz w:val="24"/>
          <w:szCs w:val="24"/>
        </w:rPr>
        <w:t>本</w:t>
      </w:r>
      <w:r>
        <w:rPr>
          <w:rFonts w:eastAsiaTheme="minorEastAsia"/>
          <w:sz w:val="24"/>
        </w:rPr>
        <w:t>规程</w:t>
      </w:r>
      <w:r>
        <w:rPr>
          <w:spacing w:val="-1"/>
          <w:sz w:val="24"/>
          <w:szCs w:val="24"/>
        </w:rPr>
        <w:t>的编制目的与适用范围给出了规定</w:t>
      </w:r>
      <w:r>
        <w:rPr>
          <w:rFonts w:eastAsiaTheme="minorEastAsia"/>
          <w:sz w:val="24"/>
        </w:rPr>
        <w:t>，以促进</w:t>
      </w:r>
      <w:r>
        <w:rPr>
          <w:rFonts w:hint="eastAsia" w:eastAsiaTheme="minorEastAsia"/>
          <w:sz w:val="24"/>
        </w:rPr>
        <w:t>本</w:t>
      </w:r>
      <w:r>
        <w:rPr>
          <w:rFonts w:eastAsiaTheme="minorEastAsia"/>
          <w:sz w:val="24"/>
        </w:rPr>
        <w:t>规程的推广应用</w:t>
      </w:r>
      <w:r>
        <w:rPr>
          <w:spacing w:val="-1"/>
          <w:sz w:val="24"/>
          <w:szCs w:val="24"/>
        </w:rPr>
        <w:t>。</w:t>
      </w:r>
    </w:p>
    <w:p>
      <w:pPr>
        <w:tabs>
          <w:tab w:val="left" w:pos="777"/>
        </w:tabs>
        <w:adjustRightInd w:val="0"/>
        <w:snapToGrid w:val="0"/>
        <w:spacing w:line="360" w:lineRule="auto"/>
        <w:outlineLvl w:val="2"/>
        <w:rPr>
          <w:sz w:val="24"/>
          <w:szCs w:val="24"/>
        </w:rPr>
      </w:pPr>
      <w:r>
        <w:rPr>
          <w:rFonts w:eastAsiaTheme="minorEastAsia"/>
          <w:b/>
          <w:sz w:val="24"/>
          <w:szCs w:val="24"/>
        </w:rPr>
        <w:t>1.0.5　</w:t>
      </w:r>
      <w:r>
        <w:rPr>
          <w:spacing w:val="-1"/>
          <w:sz w:val="24"/>
          <w:szCs w:val="24"/>
        </w:rPr>
        <w:t>本规程仅对约束砌体与配筋砌体设计与施工的重点问题和特殊要求作了具体规定，对未给出具体规定而涉及其他设计规范的</w:t>
      </w:r>
      <w:r>
        <w:rPr>
          <w:sz w:val="24"/>
          <w:szCs w:val="24"/>
        </w:rPr>
        <w:t>应用时，尚应符合相应规范的要求。</w:t>
      </w:r>
    </w:p>
    <w:p>
      <w:pPr>
        <w:adjustRightInd w:val="0"/>
        <w:snapToGrid w:val="0"/>
        <w:spacing w:line="360" w:lineRule="auto"/>
        <w:sectPr>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185" w:name="_Toc149766339"/>
      <w:bookmarkStart w:id="186" w:name="_Toc149766397"/>
      <w:bookmarkStart w:id="187" w:name="_Toc148994676"/>
      <w:r>
        <w:rPr>
          <w:rFonts w:eastAsiaTheme="minorEastAsia"/>
          <w:sz w:val="32"/>
        </w:rPr>
        <w:t>2　术语和符号</w:t>
      </w:r>
      <w:bookmarkEnd w:id="185"/>
      <w:bookmarkEnd w:id="186"/>
      <w:bookmarkEnd w:id="187"/>
    </w:p>
    <w:p>
      <w:pPr>
        <w:pStyle w:val="46"/>
      </w:pPr>
      <w:bookmarkStart w:id="188" w:name="_Toc149766398"/>
      <w:bookmarkStart w:id="189" w:name="_Toc148994677"/>
      <w:bookmarkStart w:id="190" w:name="_Toc149766340"/>
      <w:r>
        <w:t>2.1　术语</w:t>
      </w:r>
      <w:bookmarkEnd w:id="188"/>
      <w:bookmarkEnd w:id="189"/>
      <w:bookmarkEnd w:id="190"/>
    </w:p>
    <w:p>
      <w:pPr>
        <w:tabs>
          <w:tab w:val="left" w:pos="777"/>
        </w:tabs>
        <w:adjustRightInd w:val="0"/>
        <w:spacing w:line="360" w:lineRule="auto"/>
        <w:outlineLvl w:val="2"/>
        <w:rPr>
          <w:sz w:val="24"/>
          <w:szCs w:val="24"/>
        </w:rPr>
      </w:pPr>
      <w:r>
        <w:rPr>
          <w:rFonts w:eastAsiaTheme="minorEastAsia"/>
          <w:b/>
          <w:sz w:val="24"/>
          <w:szCs w:val="24"/>
        </w:rPr>
        <w:t>2.1.1　</w:t>
      </w:r>
      <w:r>
        <w:rPr>
          <w:rFonts w:hint="eastAsia" w:eastAsiaTheme="minorEastAsia"/>
          <w:sz w:val="24"/>
          <w:szCs w:val="24"/>
        </w:rPr>
        <w:t>新型预制混凝土模壳砌块为普通混凝土小型砌块，具有传统砌块的承重、预制等功能要求，同时，兼顾施工便捷、整体造价低、节能保温等优点。</w:t>
      </w:r>
    </w:p>
    <w:p>
      <w:pPr>
        <w:tabs>
          <w:tab w:val="left" w:pos="777"/>
        </w:tabs>
        <w:adjustRightInd w:val="0"/>
        <w:spacing w:line="360" w:lineRule="auto"/>
        <w:outlineLvl w:val="2"/>
        <w:rPr>
          <w:sz w:val="24"/>
          <w:szCs w:val="24"/>
        </w:rPr>
      </w:pPr>
      <w:r>
        <w:rPr>
          <w:rFonts w:eastAsiaTheme="minorEastAsia"/>
          <w:b/>
          <w:sz w:val="24"/>
          <w:szCs w:val="24"/>
        </w:rPr>
        <w:t>2.1.2　</w:t>
      </w:r>
      <w:r>
        <w:rPr>
          <w:rFonts w:hint="eastAsia"/>
          <w:sz w:val="24"/>
          <w:szCs w:val="24"/>
        </w:rPr>
        <w:t>适于多层建筑的预制</w:t>
      </w:r>
      <w:r>
        <w:rPr>
          <w:sz w:val="24"/>
          <w:szCs w:val="24"/>
        </w:rPr>
        <w:t>模壳砌块</w:t>
      </w:r>
      <w:r>
        <w:rPr>
          <w:rFonts w:hint="eastAsia"/>
          <w:sz w:val="24"/>
          <w:szCs w:val="24"/>
        </w:rPr>
        <w:t>墙体</w:t>
      </w:r>
      <w:r>
        <w:rPr>
          <w:sz w:val="24"/>
          <w:szCs w:val="24"/>
        </w:rPr>
        <w:t>（图2）</w:t>
      </w:r>
      <w:r>
        <w:rPr>
          <w:rFonts w:hint="eastAsia"/>
          <w:sz w:val="24"/>
          <w:szCs w:val="24"/>
        </w:rPr>
        <w:t>主要包括孔腔内置发泡混凝土的模壳砌块、两边设置的芯柱及构造柱，模壳砌块间竖向和水平缝隙填充专用粘接砂浆，以提高模壳砌块水平缝间拉结筋与粘结砂浆的连接作用，保证水平和竖向连接强度，结合构造柱和圈梁对模壳砌块墙体的约束作用，可承担水平、竖向荷载及地震作用。模壳砌块墙体尺寸标准规范，可实现规范化生产、施工、装配，装配生产效率高、整体生产成本低。</w:t>
      </w:r>
    </w:p>
    <w:p>
      <w:pPr>
        <w:pStyle w:val="2"/>
      </w:pPr>
      <w:r>
        <w:drawing>
          <wp:inline distT="0" distB="0" distL="0" distR="0">
            <wp:extent cx="5274945" cy="651510"/>
            <wp:effectExtent l="0" t="0" r="1905" b="0"/>
            <wp:docPr id="1" name="图片 1" descr="D:\qq\286821901\FileRecv\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qq\286821901\FileRecv\11(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274945" cy="651933"/>
                    </a:xfrm>
                    <a:prstGeom prst="rect">
                      <a:avLst/>
                    </a:prstGeom>
                    <a:noFill/>
                    <a:ln>
                      <a:noFill/>
                    </a:ln>
                  </pic:spPr>
                </pic:pic>
              </a:graphicData>
            </a:graphic>
          </wp:inline>
        </w:drawing>
      </w:r>
    </w:p>
    <w:p>
      <w:pPr>
        <w:pStyle w:val="2"/>
      </w:pPr>
      <w:r>
        <w:t>图2  模壳砌块</w:t>
      </w:r>
      <w:r>
        <w:rPr>
          <w:rFonts w:hint="eastAsia"/>
        </w:rPr>
        <w:t>墙体</w:t>
      </w:r>
      <w:r>
        <w:t>示意图</w:t>
      </w:r>
    </w:p>
    <w:p>
      <w:pPr>
        <w:tabs>
          <w:tab w:val="left" w:pos="777"/>
        </w:tabs>
        <w:adjustRightInd w:val="0"/>
        <w:spacing w:line="360" w:lineRule="auto"/>
        <w:outlineLvl w:val="2"/>
        <w:rPr>
          <w:sz w:val="24"/>
          <w:szCs w:val="24"/>
        </w:rPr>
      </w:pPr>
      <w:r>
        <w:rPr>
          <w:rFonts w:eastAsiaTheme="minorEastAsia"/>
          <w:b/>
          <w:sz w:val="24"/>
          <w:szCs w:val="24"/>
        </w:rPr>
        <w:t>2.1.3　</w:t>
      </w:r>
      <w:r>
        <w:rPr>
          <w:rFonts w:hint="eastAsia" w:eastAsiaTheme="minorEastAsia"/>
          <w:sz w:val="24"/>
          <w:szCs w:val="24"/>
        </w:rPr>
        <w:t>适于</w:t>
      </w:r>
      <w:r>
        <w:rPr>
          <w:rFonts w:eastAsiaTheme="minorEastAsia"/>
          <w:sz w:val="24"/>
          <w:szCs w:val="24"/>
        </w:rPr>
        <w:t>多层</w:t>
      </w:r>
      <w:r>
        <w:rPr>
          <w:rFonts w:hint="eastAsia" w:eastAsiaTheme="minorEastAsia"/>
          <w:sz w:val="24"/>
          <w:szCs w:val="24"/>
        </w:rPr>
        <w:t>建筑结构的装配式多层混凝土模壳砌体结构</w:t>
      </w:r>
      <w:r>
        <w:rPr>
          <w:rFonts w:hint="eastAsia"/>
          <w:sz w:val="24"/>
          <w:szCs w:val="24"/>
        </w:rPr>
        <w:t>，</w:t>
      </w:r>
      <w:r>
        <w:rPr>
          <w:sz w:val="24"/>
          <w:szCs w:val="24"/>
        </w:rPr>
        <w:t>是一种具备装配式结构特点的</w:t>
      </w:r>
      <w:r>
        <w:rPr>
          <w:rFonts w:hint="eastAsia"/>
          <w:sz w:val="24"/>
          <w:szCs w:val="24"/>
        </w:rPr>
        <w:t>约束</w:t>
      </w:r>
      <w:r>
        <w:rPr>
          <w:sz w:val="24"/>
          <w:szCs w:val="24"/>
        </w:rPr>
        <w:t>砌体结构。应用模壳</w:t>
      </w:r>
      <w:r>
        <w:rPr>
          <w:rFonts w:hint="eastAsia"/>
          <w:sz w:val="24"/>
          <w:szCs w:val="24"/>
        </w:rPr>
        <w:t>砌块墙体</w:t>
      </w:r>
      <w:r>
        <w:rPr>
          <w:sz w:val="24"/>
          <w:szCs w:val="24"/>
        </w:rPr>
        <w:t>替代传统</w:t>
      </w:r>
      <w:r>
        <w:rPr>
          <w:rFonts w:hint="eastAsia"/>
          <w:sz w:val="24"/>
          <w:szCs w:val="24"/>
        </w:rPr>
        <w:t>空心</w:t>
      </w:r>
      <w:r>
        <w:rPr>
          <w:sz w:val="24"/>
          <w:szCs w:val="24"/>
        </w:rPr>
        <w:t>砌块</w:t>
      </w:r>
      <w:r>
        <w:rPr>
          <w:rFonts w:hint="eastAsia"/>
          <w:sz w:val="24"/>
          <w:szCs w:val="24"/>
        </w:rPr>
        <w:t>墙</w:t>
      </w:r>
      <w:r>
        <w:rPr>
          <w:sz w:val="24"/>
          <w:szCs w:val="24"/>
        </w:rPr>
        <w:t>，应用后浇构造柱</w:t>
      </w:r>
      <w:r>
        <w:rPr>
          <w:rFonts w:hint="eastAsia"/>
          <w:sz w:val="24"/>
          <w:szCs w:val="24"/>
        </w:rPr>
        <w:t>、芯柱</w:t>
      </w:r>
      <w:r>
        <w:rPr>
          <w:sz w:val="24"/>
          <w:szCs w:val="24"/>
        </w:rPr>
        <w:t>和圈梁形成对</w:t>
      </w:r>
      <w:r>
        <w:rPr>
          <w:rFonts w:hint="eastAsia"/>
          <w:sz w:val="24"/>
          <w:szCs w:val="24"/>
        </w:rPr>
        <w:t>模壳砌块墙体</w:t>
      </w:r>
      <w:r>
        <w:rPr>
          <w:sz w:val="24"/>
          <w:szCs w:val="24"/>
        </w:rPr>
        <w:t>的约束，形成</w:t>
      </w:r>
      <w:r>
        <w:rPr>
          <w:rFonts w:eastAsiaTheme="minorEastAsia"/>
          <w:sz w:val="24"/>
          <w:szCs w:val="24"/>
        </w:rPr>
        <w:t>新型</w:t>
      </w:r>
      <w:r>
        <w:rPr>
          <w:rFonts w:hint="eastAsia" w:eastAsiaTheme="minorEastAsia"/>
          <w:sz w:val="24"/>
          <w:szCs w:val="24"/>
        </w:rPr>
        <w:t>约束砌体结构体系</w:t>
      </w:r>
      <w:r>
        <w:rPr>
          <w:sz w:val="24"/>
          <w:szCs w:val="24"/>
        </w:rPr>
        <w:t>，兼顾了装配式</w:t>
      </w:r>
      <w:r>
        <w:rPr>
          <w:rFonts w:hint="eastAsia"/>
          <w:sz w:val="24"/>
          <w:szCs w:val="24"/>
        </w:rPr>
        <w:t>施工</w:t>
      </w:r>
      <w:r>
        <w:rPr>
          <w:sz w:val="24"/>
          <w:szCs w:val="24"/>
        </w:rPr>
        <w:t>的高效</w:t>
      </w:r>
      <w:r>
        <w:rPr>
          <w:rFonts w:hint="eastAsia"/>
          <w:sz w:val="24"/>
          <w:szCs w:val="24"/>
        </w:rPr>
        <w:t>性</w:t>
      </w:r>
      <w:r>
        <w:rPr>
          <w:sz w:val="24"/>
          <w:szCs w:val="24"/>
        </w:rPr>
        <w:t>和</w:t>
      </w:r>
      <w:r>
        <w:rPr>
          <w:rFonts w:hint="eastAsia"/>
          <w:sz w:val="24"/>
          <w:szCs w:val="24"/>
        </w:rPr>
        <w:t>混凝土砌块</w:t>
      </w:r>
      <w:r>
        <w:rPr>
          <w:sz w:val="24"/>
          <w:szCs w:val="24"/>
        </w:rPr>
        <w:t>砌体结构</w:t>
      </w:r>
      <w:r>
        <w:rPr>
          <w:rFonts w:hint="eastAsia"/>
          <w:sz w:val="24"/>
          <w:szCs w:val="24"/>
        </w:rPr>
        <w:t>的施工</w:t>
      </w:r>
      <w:r>
        <w:rPr>
          <w:sz w:val="24"/>
          <w:szCs w:val="24"/>
        </w:rPr>
        <w:t>便捷</w:t>
      </w:r>
      <w:r>
        <w:rPr>
          <w:rFonts w:hint="eastAsia"/>
          <w:sz w:val="24"/>
          <w:szCs w:val="24"/>
        </w:rPr>
        <w:t>性等</w:t>
      </w:r>
      <w:r>
        <w:rPr>
          <w:sz w:val="24"/>
          <w:szCs w:val="24"/>
        </w:rPr>
        <w:t>优点。编制组开展了大量试验研究，结果表明，模壳</w:t>
      </w:r>
      <w:r>
        <w:rPr>
          <w:rFonts w:hint="eastAsia"/>
          <w:sz w:val="24"/>
          <w:szCs w:val="24"/>
        </w:rPr>
        <w:t>砌块砌体</w:t>
      </w:r>
      <w:r>
        <w:rPr>
          <w:sz w:val="24"/>
          <w:szCs w:val="24"/>
        </w:rPr>
        <w:t>结构具有整体性能好、抗震性能优良</w:t>
      </w:r>
      <w:r>
        <w:rPr>
          <w:rFonts w:hint="eastAsia"/>
          <w:sz w:val="24"/>
          <w:szCs w:val="24"/>
        </w:rPr>
        <w:t>、震后可修复性能好</w:t>
      </w:r>
      <w:r>
        <w:rPr>
          <w:sz w:val="24"/>
          <w:szCs w:val="24"/>
        </w:rPr>
        <w:t>等特点。</w:t>
      </w:r>
    </w:p>
    <w:p>
      <w:pPr>
        <w:tabs>
          <w:tab w:val="left" w:pos="777"/>
        </w:tabs>
        <w:adjustRightInd w:val="0"/>
        <w:spacing w:line="360" w:lineRule="auto"/>
        <w:outlineLvl w:val="2"/>
        <w:rPr>
          <w:bCs/>
          <w:sz w:val="24"/>
        </w:rPr>
      </w:pPr>
      <w:r>
        <w:rPr>
          <w:b/>
          <w:sz w:val="24"/>
        </w:rPr>
        <w:t>2.1.4</w:t>
      </w:r>
      <w:r>
        <w:rPr>
          <w:rFonts w:hint="eastAsia"/>
          <w:b/>
          <w:sz w:val="24"/>
        </w:rPr>
        <w:t>、2</w:t>
      </w:r>
      <w:r>
        <w:rPr>
          <w:b/>
          <w:sz w:val="24"/>
        </w:rPr>
        <w:t>.1.5　</w:t>
      </w:r>
      <w:r>
        <w:rPr>
          <w:rFonts w:hint="eastAsia"/>
          <w:bCs/>
          <w:sz w:val="24"/>
        </w:rPr>
        <w:t>模壳砌块墙体构造柱类型可分为一字型、L型、T型（图</w:t>
      </w:r>
      <w:r>
        <w:rPr>
          <w:bCs/>
          <w:sz w:val="24"/>
        </w:rPr>
        <w:t>3</w:t>
      </w:r>
      <w:r>
        <w:rPr>
          <w:rFonts w:hint="eastAsia"/>
          <w:bCs/>
          <w:sz w:val="24"/>
        </w:rPr>
        <w:t>），配砖孔洞边缘可作为灌注混凝土的模板；模壳砌块生产时预埋箍筋或施工时布施箍筋，构造柱内纵筋随内部混凝土浇筑时设置或提前绑扎。芯柱或芯柱式构造柱的模壳较薄，内表面设置自然粗糙面后，模壳砌块与后浇体能整体工作。</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95"/>
        <w:gridCol w:w="4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pStyle w:val="2"/>
            </w:pPr>
            <w:r>
              <w:drawing>
                <wp:inline distT="0" distB="0" distL="0" distR="0">
                  <wp:extent cx="1543050" cy="991870"/>
                  <wp:effectExtent l="0" t="0" r="0" b="0"/>
                  <wp:docPr id="13968732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73229" name="图片 12"/>
                          <pic:cNvPicPr>
                            <a:picLocks noChangeAspect="1" noChangeArrowheads="1"/>
                          </pic:cNvPicPr>
                        </pic:nvPicPr>
                        <pic:blipFill>
                          <a:blip r:embed="rId44" cstate="print"/>
                          <a:srcRect l="12541" t="21339" r="45940" b="23000"/>
                          <a:stretch>
                            <a:fillRect/>
                          </a:stretch>
                        </pic:blipFill>
                        <pic:spPr>
                          <a:xfrm>
                            <a:off x="0" y="0"/>
                            <a:ext cx="1618797" cy="1040522"/>
                          </a:xfrm>
                          <a:prstGeom prst="rect">
                            <a:avLst/>
                          </a:prstGeom>
                          <a:noFill/>
                          <a:ln>
                            <a:noFill/>
                          </a:ln>
                        </pic:spPr>
                      </pic:pic>
                    </a:graphicData>
                  </a:graphic>
                </wp:inline>
              </w:drawing>
            </w:r>
          </w:p>
        </w:tc>
        <w:tc>
          <w:tcPr>
            <w:tcW w:w="4805" w:type="dxa"/>
            <w:vAlign w:val="center"/>
          </w:tcPr>
          <w:p>
            <w:pPr>
              <w:pStyle w:val="2"/>
            </w:pPr>
            <w:r>
              <w:drawing>
                <wp:inline distT="0" distB="0" distL="0" distR="0">
                  <wp:extent cx="2653665" cy="826135"/>
                  <wp:effectExtent l="0" t="0" r="0" b="0"/>
                  <wp:docPr id="812298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98116" name="图片 14"/>
                          <pic:cNvPicPr>
                            <a:picLocks noChangeAspect="1" noChangeArrowheads="1"/>
                          </pic:cNvPicPr>
                        </pic:nvPicPr>
                        <pic:blipFill>
                          <a:blip r:embed="rId45" cstate="print"/>
                          <a:srcRect l="22046" t="30451" r="24271" b="34659"/>
                          <a:stretch>
                            <a:fillRect/>
                          </a:stretch>
                        </pic:blipFill>
                        <pic:spPr>
                          <a:xfrm>
                            <a:off x="0" y="0"/>
                            <a:ext cx="2748235" cy="85591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a)一字</w:t>
            </w:r>
            <w:r>
              <w:rPr>
                <w:rFonts w:hint="eastAsia" w:asciiTheme="minorEastAsia" w:hAnsiTheme="minorEastAsia" w:eastAsiaTheme="minorEastAsia"/>
                <w:sz w:val="18"/>
                <w:szCs w:val="18"/>
              </w:rPr>
              <w:t>型构造柱</w:t>
            </w:r>
            <w:r>
              <w:rPr>
                <w:rFonts w:asciiTheme="minorEastAsia" w:hAnsiTheme="minorEastAsia" w:eastAsiaTheme="minorEastAsia"/>
                <w:sz w:val="18"/>
                <w:szCs w:val="18"/>
              </w:rPr>
              <w:t>(I)</w:t>
            </w:r>
          </w:p>
        </w:tc>
        <w:tc>
          <w:tcPr>
            <w:tcW w:w="4805" w:type="dxa"/>
            <w:vAlign w:val="center"/>
          </w:tcPr>
          <w:p>
            <w:pPr>
              <w:widowControl/>
              <w:jc w:val="center"/>
              <w:rPr>
                <w:sz w:val="18"/>
                <w:szCs w:val="18"/>
              </w:rPr>
            </w:pPr>
            <w:r>
              <w:rPr>
                <w:rFonts w:hint="eastAsia" w:asciiTheme="minorEastAsia" w:hAnsiTheme="minorEastAsia" w:eastAsiaTheme="minorEastAsia"/>
                <w:sz w:val="18"/>
                <w:szCs w:val="18"/>
              </w:rPr>
              <w:t>(</w:t>
            </w:r>
            <w:r>
              <w:rPr>
                <w:sz w:val="18"/>
                <w:szCs w:val="18"/>
              </w:rPr>
              <w:t>b</w:t>
            </w:r>
            <w:r>
              <w:rPr>
                <w:rFonts w:asciiTheme="minorEastAsia" w:hAnsiTheme="minorEastAsia" w:eastAsiaTheme="minorEastAsia"/>
                <w:sz w:val="18"/>
                <w:szCs w:val="18"/>
              </w:rPr>
              <w:t>)</w:t>
            </w:r>
            <w:r>
              <w:rPr>
                <w:sz w:val="18"/>
                <w:szCs w:val="18"/>
              </w:rPr>
              <w:t>一字</w:t>
            </w:r>
            <w:r>
              <w:rPr>
                <w:rFonts w:hint="eastAsia" w:asciiTheme="minorEastAsia" w:hAnsiTheme="minorEastAsia" w:eastAsiaTheme="minorEastAsia"/>
                <w:sz w:val="18"/>
                <w:szCs w:val="18"/>
              </w:rPr>
              <w:t>型构造柱</w:t>
            </w:r>
            <w:r>
              <w:rPr>
                <w:rFonts w:asciiTheme="minorEastAsia" w:hAnsiTheme="minorEastAsia" w:eastAsiaTheme="minorEastAsia"/>
                <w:sz w:val="18"/>
                <w:szCs w:val="18"/>
              </w:rPr>
              <w:t>(</w:t>
            </w:r>
            <w:r>
              <w:rPr>
                <w:kern w:val="0"/>
                <w:sz w:val="18"/>
                <w:szCs w:val="18"/>
              </w:rPr>
              <w:t>II</w:t>
            </w:r>
            <w:r>
              <w:rPr>
                <w:rFonts w:asciiTheme="minorEastAsia" w:hAnsiTheme="minorEastAsia" w:eastAsiaTheme="minorEastAsia"/>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pStyle w:val="2"/>
              <w:rPr>
                <w:rFonts w:asciiTheme="minorEastAsia" w:hAnsiTheme="minorEastAsia" w:eastAsiaTheme="minorEastAsia"/>
                <w:sz w:val="18"/>
                <w:szCs w:val="18"/>
              </w:rPr>
            </w:pPr>
            <w:r>
              <w:drawing>
                <wp:inline distT="0" distB="0" distL="0" distR="0">
                  <wp:extent cx="1788160" cy="1780540"/>
                  <wp:effectExtent l="0" t="0" r="2540" b="0"/>
                  <wp:docPr id="116053279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32798" name="图片 31"/>
                          <pic:cNvPicPr>
                            <a:picLocks noChangeAspect="1" noChangeArrowheads="1"/>
                          </pic:cNvPicPr>
                        </pic:nvPicPr>
                        <pic:blipFill>
                          <a:blip r:embed="rId46" cstate="print"/>
                          <a:srcRect l="33489" t="13987" r="34428" b="19294"/>
                          <a:stretch>
                            <a:fillRect/>
                          </a:stretch>
                        </pic:blipFill>
                        <pic:spPr>
                          <a:xfrm>
                            <a:off x="0" y="0"/>
                            <a:ext cx="1864204" cy="1856422"/>
                          </a:xfrm>
                          <a:prstGeom prst="rect">
                            <a:avLst/>
                          </a:prstGeom>
                          <a:noFill/>
                          <a:ln>
                            <a:noFill/>
                          </a:ln>
                        </pic:spPr>
                      </pic:pic>
                    </a:graphicData>
                  </a:graphic>
                </wp:inline>
              </w:drawing>
            </w:r>
          </w:p>
        </w:tc>
        <w:tc>
          <w:tcPr>
            <w:tcW w:w="4805" w:type="dxa"/>
            <w:vAlign w:val="center"/>
          </w:tcPr>
          <w:p>
            <w:pPr>
              <w:widowControl/>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2713355" cy="1755775"/>
                  <wp:effectExtent l="0" t="0" r="0" b="0"/>
                  <wp:docPr id="3804328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32895" name="图片 30"/>
                          <pic:cNvPicPr>
                            <a:picLocks noChangeAspect="1" noChangeArrowheads="1"/>
                          </pic:cNvPicPr>
                        </pic:nvPicPr>
                        <pic:blipFill>
                          <a:blip r:embed="rId47" cstate="print"/>
                          <a:srcRect l="18915" t="19748" r="30723" b="12201"/>
                          <a:stretch>
                            <a:fillRect/>
                          </a:stretch>
                        </pic:blipFill>
                        <pic:spPr>
                          <a:xfrm>
                            <a:off x="0" y="0"/>
                            <a:ext cx="2759346" cy="178565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95" w:type="dxa"/>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c)L</w:t>
            </w:r>
            <w:r>
              <w:rPr>
                <w:rFonts w:hint="eastAsia" w:asciiTheme="minorEastAsia" w:hAnsiTheme="minorEastAsia" w:eastAsiaTheme="minorEastAsia"/>
                <w:sz w:val="18"/>
                <w:szCs w:val="18"/>
              </w:rPr>
              <w:t>型构造柱</w:t>
            </w:r>
          </w:p>
        </w:tc>
        <w:tc>
          <w:tcPr>
            <w:tcW w:w="4805" w:type="dxa"/>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d)T</w:t>
            </w:r>
            <w:r>
              <w:rPr>
                <w:rFonts w:hint="eastAsia" w:asciiTheme="minorEastAsia" w:hAnsiTheme="minorEastAsia" w:eastAsiaTheme="minorEastAsia"/>
                <w:sz w:val="18"/>
                <w:szCs w:val="18"/>
              </w:rPr>
              <w:t>型构造柱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100" w:type="dxa"/>
            <w:gridSpan w:val="2"/>
            <w:vAlign w:val="center"/>
          </w:tcPr>
          <w:p>
            <w:pPr>
              <w:widowControl/>
              <w:jc w:val="center"/>
              <w:rPr>
                <w:rFonts w:asciiTheme="minorEastAsia" w:hAnsiTheme="minorEastAsia" w:eastAsiaTheme="minorEastAsia"/>
                <w:sz w:val="18"/>
                <w:szCs w:val="18"/>
              </w:rPr>
            </w:pPr>
            <w:r>
              <w:rPr>
                <w:rFonts w:eastAsiaTheme="minorEastAsia"/>
                <w:sz w:val="18"/>
                <w:szCs w:val="18"/>
              </w:rPr>
              <w:t>1—标砖；2—</w:t>
            </w:r>
            <w:r>
              <w:rPr>
                <w:rFonts w:hint="eastAsia" w:eastAsiaTheme="minorEastAsia"/>
                <w:sz w:val="18"/>
                <w:szCs w:val="18"/>
              </w:rPr>
              <w:t>填充</w:t>
            </w:r>
            <w:r>
              <w:rPr>
                <w:rFonts w:eastAsiaTheme="minorEastAsia"/>
                <w:sz w:val="18"/>
                <w:szCs w:val="18"/>
              </w:rPr>
              <w:t>材料；3—标砖配砖；4—芯柱式构造柱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00" w:type="dxa"/>
            <w:gridSpan w:val="2"/>
            <w:vAlign w:val="center"/>
          </w:tcPr>
          <w:p>
            <w:pPr>
              <w:pStyle w:val="2"/>
            </w:pPr>
            <w:r>
              <w:rPr>
                <w:rFonts w:hint="eastAsia"/>
              </w:rPr>
              <w:t>图3  模壳砌块砌体结构构造柱示意图</w:t>
            </w:r>
          </w:p>
        </w:tc>
      </w:tr>
    </w:tbl>
    <w:p>
      <w:pPr>
        <w:tabs>
          <w:tab w:val="left" w:pos="777"/>
        </w:tabs>
        <w:adjustRightInd w:val="0"/>
        <w:spacing w:line="360" w:lineRule="auto"/>
        <w:outlineLvl w:val="2"/>
        <w:rPr>
          <w:sz w:val="24"/>
          <w:szCs w:val="24"/>
        </w:rPr>
      </w:pPr>
      <w:r>
        <w:rPr>
          <w:b/>
          <w:bCs/>
          <w:sz w:val="24"/>
          <w:szCs w:val="24"/>
        </w:rPr>
        <w:t>2.1.6</w:t>
      </w:r>
      <w:r>
        <w:rPr>
          <w:rFonts w:eastAsiaTheme="minorEastAsia"/>
          <w:b/>
          <w:sz w:val="24"/>
          <w:szCs w:val="24"/>
        </w:rPr>
        <w:t>　</w:t>
      </w:r>
      <w:r>
        <w:rPr>
          <w:rFonts w:hint="eastAsia"/>
          <w:sz w:val="24"/>
          <w:szCs w:val="24"/>
        </w:rPr>
        <w:t>边</w:t>
      </w:r>
      <w:r>
        <w:rPr>
          <w:sz w:val="24"/>
          <w:szCs w:val="24"/>
        </w:rPr>
        <w:t>缘叠合板（图4），边缘叠合板在中间部分全部预制，仅在边缘处后浇叠合层，与常规叠合板受力模式一致。</w:t>
      </w:r>
      <w:r>
        <w:rPr>
          <w:rFonts w:hint="eastAsia"/>
          <w:sz w:val="24"/>
          <w:szCs w:val="24"/>
        </w:rPr>
        <w:t>除边缘部位外，其余楼板可采用预制楼板。</w:t>
      </w:r>
      <w:r>
        <w:rPr>
          <w:sz w:val="24"/>
          <w:szCs w:val="24"/>
        </w:rPr>
        <w:t>边缘叠合板大大降低了现场的混凝土浇筑量和钢筋绑扎工作量，</w:t>
      </w:r>
      <w:r>
        <w:rPr>
          <w:rFonts w:hint="eastAsia"/>
          <w:sz w:val="24"/>
          <w:szCs w:val="24"/>
        </w:rPr>
        <w:t>能</w:t>
      </w:r>
      <w:r>
        <w:rPr>
          <w:sz w:val="24"/>
          <w:szCs w:val="24"/>
        </w:rPr>
        <w:t>有效提升施工效率。</w:t>
      </w:r>
    </w:p>
    <w:p>
      <w:pPr>
        <w:pStyle w:val="2"/>
        <w:rPr>
          <w:rFonts w:eastAsia="华文仿宋"/>
        </w:rPr>
      </w:pPr>
      <w:r>
        <w:t>边缘叠合板涉及专利</w:t>
      </w:r>
      <w:r>
        <w:rPr>
          <w:rFonts w:asciiTheme="minorEastAsia" w:hAnsiTheme="minorEastAsia" w:eastAsiaTheme="minorEastAsia"/>
        </w:rPr>
        <w:t>“</w:t>
      </w:r>
      <w:r>
        <w:t>一种预制叠合板</w:t>
      </w:r>
      <w:r>
        <w:rPr>
          <w:rFonts w:asciiTheme="minorEastAsia" w:hAnsiTheme="minorEastAsia" w:eastAsiaTheme="minorEastAsia"/>
        </w:rPr>
        <w:t>”</w:t>
      </w:r>
      <w:r>
        <w:t>（专利号：ZL202021222946.X）。</w:t>
      </w:r>
    </w:p>
    <w:p>
      <w:pPr>
        <w:pStyle w:val="81"/>
        <w:snapToGrid w:val="0"/>
        <w:spacing w:line="240" w:lineRule="auto"/>
        <w:ind w:firstLine="0" w:firstLineChars="0"/>
        <w:jc w:val="center"/>
        <w:rPr>
          <w:rFonts w:ascii="Times New Roman" w:hAnsi="Times New Roman"/>
          <w:sz w:val="18"/>
          <w:szCs w:val="21"/>
        </w:rPr>
      </w:pPr>
      <w:r>
        <w:drawing>
          <wp:inline distT="0" distB="0" distL="0" distR="0">
            <wp:extent cx="2422525" cy="14395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1" cstate="print">
                      <a:extLst>
                        <a:ext uri="{28A0092B-C50C-407E-A947-70E740481C1C}">
                          <a14:useLocalDpi xmlns:a14="http://schemas.microsoft.com/office/drawing/2010/main" val="0"/>
                        </a:ext>
                      </a:extLst>
                    </a:blip>
                    <a:srcRect l="27668" t="8335" r="25474" b="26615"/>
                    <a:stretch>
                      <a:fillRect/>
                    </a:stretch>
                  </pic:blipFill>
                  <pic:spPr>
                    <a:xfrm>
                      <a:off x="0" y="0"/>
                      <a:ext cx="2422832" cy="1440000"/>
                    </a:xfrm>
                    <a:prstGeom prst="rect">
                      <a:avLst/>
                    </a:prstGeom>
                    <a:noFill/>
                    <a:ln>
                      <a:noFill/>
                    </a:ln>
                  </pic:spPr>
                </pic:pic>
              </a:graphicData>
            </a:graphic>
          </wp:inline>
        </w:drawing>
      </w:r>
    </w:p>
    <w:p>
      <w:pPr>
        <w:pStyle w:val="81"/>
        <w:snapToGrid w:val="0"/>
        <w:spacing w:line="240" w:lineRule="auto"/>
        <w:ind w:firstLine="0" w:firstLineChars="0"/>
        <w:jc w:val="center"/>
        <w:rPr>
          <w:rFonts w:ascii="Times New Roman" w:hAnsi="Times New Roman"/>
          <w:sz w:val="18"/>
          <w:szCs w:val="21"/>
        </w:rPr>
      </w:pPr>
      <w:r>
        <w:drawing>
          <wp:inline distT="0" distB="0" distL="114300" distR="114300">
            <wp:extent cx="2613025" cy="791845"/>
            <wp:effectExtent l="0" t="0" r="0" b="825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72" cstate="print"/>
                    <a:srcRect t="69494"/>
                    <a:stretch>
                      <a:fillRect/>
                    </a:stretch>
                  </pic:blipFill>
                  <pic:spPr>
                    <a:xfrm>
                      <a:off x="0" y="0"/>
                      <a:ext cx="2613085" cy="792000"/>
                    </a:xfrm>
                    <a:prstGeom prst="rect">
                      <a:avLst/>
                    </a:prstGeom>
                    <a:noFill/>
                    <a:ln>
                      <a:noFill/>
                    </a:ln>
                  </pic:spPr>
                </pic:pic>
              </a:graphicData>
            </a:graphic>
          </wp:inline>
        </w:drawing>
      </w:r>
    </w:p>
    <w:p>
      <w:pPr>
        <w:pStyle w:val="81"/>
        <w:spacing w:line="360" w:lineRule="auto"/>
        <w:ind w:firstLine="0" w:firstLineChars="0"/>
        <w:jc w:val="center"/>
        <w:rPr>
          <w:rFonts w:ascii="Times New Roman" w:hAnsi="Times New Roman"/>
          <w:sz w:val="18"/>
          <w:szCs w:val="21"/>
        </w:rPr>
      </w:pPr>
      <w:r>
        <w:rPr>
          <w:rFonts w:ascii="Times New Roman" w:hAnsi="Times New Roman"/>
          <w:sz w:val="18"/>
          <w:szCs w:val="21"/>
        </w:rPr>
        <w:t>1—边缘叠合板；2—边缘叠合区</w:t>
      </w:r>
    </w:p>
    <w:p>
      <w:pPr>
        <w:pStyle w:val="2"/>
      </w:pPr>
      <w:r>
        <w:t>图4  边缘叠合预制板示意图</w:t>
      </w:r>
    </w:p>
    <w:p>
      <w:pPr>
        <w:adjustRightInd w:val="0"/>
        <w:snapToGrid w:val="0"/>
        <w:spacing w:line="20" w:lineRule="exact"/>
        <w:rPr>
          <w:rFonts w:eastAsiaTheme="minorEastAsia"/>
          <w:sz w:val="24"/>
        </w:rPr>
      </w:pPr>
    </w:p>
    <w:p>
      <w:pPr>
        <w:pStyle w:val="45"/>
        <w:spacing w:beforeLines="0" w:afterLines="0" w:line="20" w:lineRule="exact"/>
        <w:outlineLvl w:val="9"/>
        <w:rPr>
          <w:rFonts w:eastAsiaTheme="minorEastAsia"/>
          <w:szCs w:val="28"/>
        </w:rPr>
        <w:sectPr>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191" w:name="_Toc149766399"/>
      <w:bookmarkStart w:id="192" w:name="_Toc148994678"/>
      <w:bookmarkStart w:id="193" w:name="_Toc149766341"/>
      <w:r>
        <w:rPr>
          <w:rFonts w:eastAsiaTheme="minorEastAsia"/>
          <w:sz w:val="32"/>
        </w:rPr>
        <w:t>3　材　　料</w:t>
      </w:r>
      <w:bookmarkEnd w:id="191"/>
      <w:bookmarkEnd w:id="192"/>
      <w:bookmarkEnd w:id="193"/>
    </w:p>
    <w:p>
      <w:pPr>
        <w:pStyle w:val="46"/>
      </w:pPr>
      <w:r>
        <w:t>3.1　材料强度等级</w:t>
      </w:r>
    </w:p>
    <w:p>
      <w:pPr>
        <w:tabs>
          <w:tab w:val="left" w:pos="777"/>
        </w:tabs>
        <w:adjustRightInd w:val="0"/>
        <w:spacing w:line="360" w:lineRule="auto"/>
        <w:outlineLvl w:val="2"/>
        <w:rPr>
          <w:sz w:val="24"/>
          <w:szCs w:val="24"/>
        </w:rPr>
      </w:pPr>
      <w:r>
        <w:rPr>
          <w:rFonts w:eastAsiaTheme="minorEastAsia"/>
          <w:b/>
          <w:sz w:val="24"/>
          <w:szCs w:val="24"/>
        </w:rPr>
        <w:t>3.1.2　</w:t>
      </w:r>
      <w:r>
        <w:rPr>
          <w:sz w:val="24"/>
          <w:szCs w:val="24"/>
        </w:rPr>
        <w:t>模壳</w:t>
      </w:r>
      <w:r>
        <w:rPr>
          <w:rFonts w:hint="eastAsia"/>
          <w:sz w:val="24"/>
          <w:szCs w:val="24"/>
        </w:rPr>
        <w:t>砌块</w:t>
      </w:r>
      <w:r>
        <w:rPr>
          <w:sz w:val="24"/>
          <w:szCs w:val="24"/>
        </w:rPr>
        <w:t>砌体结构的模壳</w:t>
      </w:r>
      <w:r>
        <w:rPr>
          <w:rFonts w:hint="eastAsia"/>
          <w:sz w:val="24"/>
          <w:szCs w:val="24"/>
        </w:rPr>
        <w:t>砌块墙体</w:t>
      </w:r>
      <w:r>
        <w:rPr>
          <w:sz w:val="24"/>
          <w:szCs w:val="24"/>
        </w:rPr>
        <w:t>、后浇构造柱、圈梁等混凝土材料需符合现行国家标准《混凝土结构设计规范》GB 50010的有关规定，后浇混凝土构件、</w:t>
      </w:r>
      <w:r>
        <w:rPr>
          <w:rFonts w:hint="eastAsia"/>
          <w:sz w:val="24"/>
          <w:szCs w:val="24"/>
        </w:rPr>
        <w:t>模壳砌块墙体的</w:t>
      </w:r>
      <w:r>
        <w:rPr>
          <w:sz w:val="24"/>
          <w:szCs w:val="24"/>
        </w:rPr>
        <w:t>受力钢筋需符合国家现行标准《混凝土结构设计规范》GB 50010、《冷轧带肋钢筋混凝土结构技术规程》JGJ 95的有关规定。</w:t>
      </w:r>
    </w:p>
    <w:p>
      <w:pPr>
        <w:tabs>
          <w:tab w:val="left" w:pos="735"/>
        </w:tabs>
        <w:adjustRightInd w:val="0"/>
        <w:spacing w:line="360" w:lineRule="auto"/>
        <w:outlineLvl w:val="2"/>
        <w:rPr>
          <w:sz w:val="24"/>
          <w:szCs w:val="24"/>
        </w:rPr>
      </w:pPr>
      <w:r>
        <w:rPr>
          <w:rFonts w:eastAsiaTheme="minorEastAsia"/>
          <w:b/>
          <w:sz w:val="24"/>
          <w:szCs w:val="24"/>
        </w:rPr>
        <w:t>3.1.4　</w:t>
      </w:r>
      <w:r>
        <w:rPr>
          <w:rFonts w:hint="eastAsia" w:eastAsiaTheme="minorEastAsia"/>
          <w:bCs/>
          <w:sz w:val="24"/>
          <w:szCs w:val="24"/>
        </w:rPr>
        <w:t>粘结砂浆</w:t>
      </w:r>
      <w:r>
        <w:rPr>
          <w:sz w:val="24"/>
          <w:szCs w:val="24"/>
        </w:rPr>
        <w:t>需采用成品料，不得现场配制。竖向接缝填充材料</w:t>
      </w:r>
      <w:r>
        <w:rPr>
          <w:rFonts w:hint="eastAsia"/>
          <w:sz w:val="24"/>
          <w:szCs w:val="24"/>
        </w:rPr>
        <w:t>粘结砂浆</w:t>
      </w:r>
      <w:r>
        <w:rPr>
          <w:sz w:val="24"/>
          <w:szCs w:val="24"/>
        </w:rPr>
        <w:t>应具有较好的流动性、粘结性和微膨胀性，需能满足传力、变形、耐久和防护的要求。</w:t>
      </w:r>
    </w:p>
    <w:p>
      <w:pPr>
        <w:tabs>
          <w:tab w:val="left" w:pos="735"/>
        </w:tabs>
        <w:adjustRightInd w:val="0"/>
        <w:spacing w:line="360" w:lineRule="auto"/>
        <w:outlineLvl w:val="2"/>
        <w:rPr>
          <w:sz w:val="24"/>
          <w:szCs w:val="24"/>
        </w:rPr>
      </w:pPr>
      <w:r>
        <w:rPr>
          <w:rFonts w:eastAsiaTheme="minorEastAsia"/>
          <w:b/>
          <w:sz w:val="24"/>
          <w:szCs w:val="24"/>
        </w:rPr>
        <w:t>3.1.5　</w:t>
      </w:r>
      <w:r>
        <w:rPr>
          <w:sz w:val="24"/>
          <w:szCs w:val="24"/>
        </w:rPr>
        <w:t>模壳</w:t>
      </w:r>
      <w:r>
        <w:rPr>
          <w:rFonts w:hint="eastAsia"/>
          <w:sz w:val="24"/>
          <w:szCs w:val="24"/>
        </w:rPr>
        <w:t>砌块</w:t>
      </w:r>
      <w:r>
        <w:rPr>
          <w:sz w:val="24"/>
          <w:szCs w:val="24"/>
        </w:rPr>
        <w:t>竖向孔</w:t>
      </w:r>
      <w:r>
        <w:rPr>
          <w:rFonts w:hint="eastAsia"/>
          <w:sz w:val="24"/>
          <w:szCs w:val="24"/>
        </w:rPr>
        <w:t>洞</w:t>
      </w:r>
      <w:r>
        <w:rPr>
          <w:sz w:val="24"/>
          <w:szCs w:val="24"/>
        </w:rPr>
        <w:t>内填充轻质、保温材料</w:t>
      </w:r>
      <w:r>
        <w:rPr>
          <w:rFonts w:hint="eastAsia"/>
          <w:sz w:val="24"/>
          <w:szCs w:val="24"/>
        </w:rPr>
        <w:t>，</w:t>
      </w:r>
      <w:r>
        <w:rPr>
          <w:sz w:val="24"/>
          <w:szCs w:val="24"/>
        </w:rPr>
        <w:t>能增强</w:t>
      </w:r>
      <w:r>
        <w:rPr>
          <w:rFonts w:hint="eastAsia"/>
          <w:sz w:val="24"/>
          <w:szCs w:val="24"/>
        </w:rPr>
        <w:t>墙体</w:t>
      </w:r>
      <w:r>
        <w:rPr>
          <w:sz w:val="24"/>
          <w:szCs w:val="24"/>
        </w:rPr>
        <w:t>保温性能。泡沫混凝土是一种优良的无机保温材料，具有密度小、保温性</w:t>
      </w:r>
      <w:r>
        <w:rPr>
          <w:rFonts w:hint="eastAsia"/>
          <w:sz w:val="24"/>
          <w:szCs w:val="24"/>
        </w:rPr>
        <w:t>能</w:t>
      </w:r>
      <w:r>
        <w:rPr>
          <w:sz w:val="24"/>
          <w:szCs w:val="24"/>
        </w:rPr>
        <w:t>好等优点，其耐久性良好，不会发生老化、腐蚀有机材料，且价格</w:t>
      </w:r>
      <w:r>
        <w:rPr>
          <w:rFonts w:hint="eastAsia"/>
          <w:sz w:val="24"/>
          <w:szCs w:val="24"/>
        </w:rPr>
        <w:t>较</w:t>
      </w:r>
      <w:r>
        <w:rPr>
          <w:sz w:val="24"/>
          <w:szCs w:val="24"/>
        </w:rPr>
        <w:t>低廉。</w:t>
      </w:r>
    </w:p>
    <w:p>
      <w:pPr>
        <w:tabs>
          <w:tab w:val="left" w:pos="735"/>
        </w:tabs>
        <w:adjustRightInd w:val="0"/>
        <w:spacing w:line="360" w:lineRule="auto"/>
        <w:outlineLvl w:val="2"/>
        <w:rPr>
          <w:sz w:val="24"/>
          <w:szCs w:val="24"/>
        </w:rPr>
      </w:pPr>
      <w:r>
        <w:rPr>
          <w:rFonts w:eastAsiaTheme="minorEastAsia"/>
          <w:b/>
          <w:sz w:val="24"/>
          <w:szCs w:val="24"/>
        </w:rPr>
        <w:t>3.1.6　</w:t>
      </w:r>
      <w:r>
        <w:rPr>
          <w:sz w:val="24"/>
          <w:szCs w:val="24"/>
        </w:rPr>
        <w:t>为保障模壳</w:t>
      </w:r>
      <w:r>
        <w:rPr>
          <w:rFonts w:hint="eastAsia"/>
          <w:sz w:val="24"/>
          <w:szCs w:val="24"/>
        </w:rPr>
        <w:t>砌块</w:t>
      </w:r>
      <w:r>
        <w:rPr>
          <w:sz w:val="24"/>
          <w:szCs w:val="24"/>
        </w:rPr>
        <w:t>孔洞内混凝土浇筑的密实度，可采用自密实混凝土；采用普通混凝土时</w:t>
      </w:r>
      <w:r>
        <w:rPr>
          <w:rFonts w:hint="eastAsia"/>
          <w:sz w:val="24"/>
          <w:szCs w:val="24"/>
        </w:rPr>
        <w:t>，</w:t>
      </w:r>
      <w:r>
        <w:rPr>
          <w:sz w:val="24"/>
          <w:szCs w:val="24"/>
        </w:rPr>
        <w:t>需保证混凝土的流动性</w:t>
      </w:r>
      <w:r>
        <w:rPr>
          <w:rFonts w:hint="eastAsia"/>
          <w:sz w:val="24"/>
          <w:szCs w:val="24"/>
        </w:rPr>
        <w:t>，</w:t>
      </w:r>
      <w:r>
        <w:rPr>
          <w:sz w:val="24"/>
          <w:szCs w:val="24"/>
        </w:rPr>
        <w:t>并控制粗骨料最大粒径</w:t>
      </w:r>
      <w:r>
        <w:rPr>
          <w:rFonts w:hint="eastAsia"/>
          <w:sz w:val="24"/>
          <w:szCs w:val="24"/>
        </w:rPr>
        <w:t>，振捣密实</w:t>
      </w:r>
      <w:r>
        <w:rPr>
          <w:sz w:val="24"/>
          <w:szCs w:val="24"/>
        </w:rPr>
        <w:t>。</w:t>
      </w:r>
    </w:p>
    <w:p>
      <w:pPr>
        <w:tabs>
          <w:tab w:val="left" w:pos="735"/>
        </w:tabs>
        <w:adjustRightInd w:val="0"/>
        <w:spacing w:line="360" w:lineRule="auto"/>
        <w:outlineLvl w:val="2"/>
        <w:rPr>
          <w:rFonts w:eastAsiaTheme="minorEastAsia"/>
          <w:bCs/>
          <w:sz w:val="24"/>
          <w:szCs w:val="24"/>
        </w:rPr>
      </w:pPr>
      <w:r>
        <w:rPr>
          <w:rFonts w:hint="eastAsia" w:eastAsiaTheme="minorEastAsia"/>
          <w:b/>
          <w:sz w:val="24"/>
          <w:szCs w:val="24"/>
        </w:rPr>
        <w:t>3</w:t>
      </w:r>
      <w:r>
        <w:rPr>
          <w:rFonts w:eastAsiaTheme="minorEastAsia"/>
          <w:b/>
          <w:sz w:val="24"/>
          <w:szCs w:val="24"/>
        </w:rPr>
        <w:t>.1.7　</w:t>
      </w:r>
      <w:r>
        <w:rPr>
          <w:rFonts w:hint="eastAsia" w:eastAsiaTheme="minorEastAsia"/>
          <w:bCs/>
          <w:sz w:val="24"/>
          <w:szCs w:val="24"/>
        </w:rPr>
        <w:t>对约束砌体与配筋砌体结构材料的强度等级提出了要求。已有的试验研究表明，约束砌体结构能够改善砌体的受力性能，显著提高砌块砌体的变形能力和抗震性能。</w:t>
      </w:r>
    </w:p>
    <w:p>
      <w:pPr>
        <w:pStyle w:val="46"/>
      </w:pPr>
      <w:r>
        <w:t>3.2　</w:t>
      </w:r>
      <w:r>
        <w:rPr>
          <w:rFonts w:hint="eastAsia"/>
        </w:rPr>
        <w:t>模壳砌块砌体计算指标</w:t>
      </w:r>
    </w:p>
    <w:p>
      <w:pPr>
        <w:tabs>
          <w:tab w:val="left" w:pos="735"/>
        </w:tabs>
        <w:adjustRightInd w:val="0"/>
        <w:spacing w:line="360" w:lineRule="auto"/>
        <w:outlineLvl w:val="2"/>
        <w:rPr>
          <w:sz w:val="24"/>
          <w:szCs w:val="22"/>
        </w:rPr>
      </w:pPr>
      <w:r>
        <w:rPr>
          <w:rFonts w:hint="eastAsia"/>
          <w:b/>
          <w:bCs/>
          <w:sz w:val="24"/>
          <w:szCs w:val="22"/>
        </w:rPr>
        <w:t>3</w:t>
      </w:r>
      <w:r>
        <w:rPr>
          <w:b/>
          <w:bCs/>
          <w:sz w:val="24"/>
          <w:szCs w:val="22"/>
        </w:rPr>
        <w:t>.2.1</w:t>
      </w:r>
      <w:r>
        <w:rPr>
          <w:rFonts w:eastAsiaTheme="minorEastAsia"/>
          <w:b/>
          <w:sz w:val="24"/>
          <w:szCs w:val="24"/>
        </w:rPr>
        <w:t>　</w:t>
      </w:r>
      <w:r>
        <w:rPr>
          <w:rFonts w:hint="eastAsia"/>
          <w:sz w:val="24"/>
          <w:szCs w:val="22"/>
        </w:rPr>
        <w:t>配筋砌块砌体所用模壳砌块是带有槽口的单排孔混凝土小型砌块，灌孔砌块砌体的抗压强度应按《砌体结构设计规范》GB 50003有关规定取用。试验表明，所得结果与现行国家标准《砌体结构设计规范》GB 50003保持一致。</w:t>
      </w:r>
    </w:p>
    <w:p>
      <w:pPr>
        <w:tabs>
          <w:tab w:val="left" w:pos="735"/>
        </w:tabs>
        <w:adjustRightInd w:val="0"/>
        <w:spacing w:line="360" w:lineRule="auto"/>
        <w:outlineLvl w:val="2"/>
        <w:rPr>
          <w:rFonts w:eastAsiaTheme="minorEastAsia"/>
          <w:b/>
          <w:sz w:val="24"/>
        </w:rPr>
      </w:pPr>
      <w:r>
        <w:rPr>
          <w:rFonts w:hint="eastAsia"/>
          <w:b/>
          <w:bCs/>
          <w:sz w:val="24"/>
          <w:szCs w:val="22"/>
        </w:rPr>
        <w:t>3</w:t>
      </w:r>
      <w:r>
        <w:rPr>
          <w:b/>
          <w:bCs/>
          <w:sz w:val="24"/>
          <w:szCs w:val="22"/>
        </w:rPr>
        <w:t>.2.2</w:t>
      </w:r>
      <w:r>
        <w:rPr>
          <w:rFonts w:eastAsiaTheme="minorEastAsia"/>
          <w:b/>
          <w:sz w:val="24"/>
          <w:szCs w:val="24"/>
        </w:rPr>
        <w:t>　</w:t>
      </w:r>
      <w:r>
        <w:rPr>
          <w:rFonts w:hint="eastAsia"/>
          <w:sz w:val="24"/>
          <w:szCs w:val="22"/>
        </w:rPr>
        <w:t>混凝土砌块灌孔砌体主要由砌块砌体和灌孔混凝土组成，因此其线膨胀系数、收缩率和摩擦系数均与混凝土砌块砌体类似。</w:t>
      </w:r>
    </w:p>
    <w:p>
      <w:pPr>
        <w:widowControl/>
        <w:jc w:val="left"/>
        <w:rPr>
          <w:rFonts w:eastAsiaTheme="minorEastAsia"/>
          <w:b/>
          <w:sz w:val="24"/>
        </w:rPr>
        <w:sectPr>
          <w:footerReference r:id="rId8" w:type="default"/>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194" w:name="_Toc149766400"/>
      <w:bookmarkStart w:id="195" w:name="_Toc149766342"/>
      <w:bookmarkStart w:id="196" w:name="_Toc148994679"/>
      <w:r>
        <w:rPr>
          <w:rFonts w:eastAsiaTheme="minorEastAsia"/>
          <w:sz w:val="32"/>
        </w:rPr>
        <w:t>4　建筑设计</w:t>
      </w:r>
      <w:bookmarkEnd w:id="194"/>
      <w:bookmarkEnd w:id="195"/>
      <w:bookmarkEnd w:id="196"/>
    </w:p>
    <w:p>
      <w:pPr>
        <w:tabs>
          <w:tab w:val="left" w:pos="425"/>
        </w:tabs>
        <w:adjustRightInd w:val="0"/>
        <w:spacing w:line="360" w:lineRule="auto"/>
        <w:contextualSpacing/>
        <w:outlineLvl w:val="2"/>
        <w:rPr>
          <w:sz w:val="24"/>
          <w:szCs w:val="24"/>
        </w:rPr>
      </w:pPr>
      <w:r>
        <w:rPr>
          <w:rFonts w:hint="eastAsia" w:eastAsiaTheme="minorEastAsia"/>
          <w:b/>
          <w:sz w:val="24"/>
          <w:szCs w:val="24"/>
        </w:rPr>
        <w:t>4</w:t>
      </w:r>
      <w:r>
        <w:rPr>
          <w:rFonts w:eastAsiaTheme="minorEastAsia"/>
          <w:b/>
          <w:sz w:val="24"/>
          <w:szCs w:val="24"/>
        </w:rPr>
        <w:t>.0.1　</w:t>
      </w:r>
      <w:r>
        <w:rPr>
          <w:sz w:val="24"/>
          <w:szCs w:val="24"/>
        </w:rPr>
        <w:t>为全面提升模壳</w:t>
      </w:r>
      <w:r>
        <w:rPr>
          <w:rFonts w:hint="eastAsia"/>
          <w:sz w:val="24"/>
          <w:szCs w:val="24"/>
        </w:rPr>
        <w:t>砌块</w:t>
      </w:r>
      <w:r>
        <w:rPr>
          <w:sz w:val="24"/>
          <w:szCs w:val="24"/>
        </w:rPr>
        <w:t>砌体结构的环境效益、社会效益和经济效益，提升</w:t>
      </w:r>
      <w:r>
        <w:rPr>
          <w:rFonts w:hint="eastAsia"/>
          <w:sz w:val="24"/>
          <w:szCs w:val="24"/>
        </w:rPr>
        <w:t>建筑工程</w:t>
      </w:r>
      <w:r>
        <w:rPr>
          <w:sz w:val="24"/>
          <w:szCs w:val="24"/>
        </w:rPr>
        <w:t>品质，采用高集成度的管线、内装、维护技术，实现建筑功能完整、性能优良。</w:t>
      </w:r>
    </w:p>
    <w:p>
      <w:pPr>
        <w:tabs>
          <w:tab w:val="left" w:pos="425"/>
        </w:tabs>
        <w:adjustRightInd w:val="0"/>
        <w:spacing w:line="360" w:lineRule="auto"/>
        <w:contextualSpacing/>
        <w:outlineLvl w:val="2"/>
        <w:rPr>
          <w:sz w:val="24"/>
          <w:szCs w:val="24"/>
        </w:rPr>
      </w:pPr>
      <w:r>
        <w:rPr>
          <w:rFonts w:eastAsiaTheme="minorEastAsia"/>
          <w:b/>
          <w:sz w:val="24"/>
          <w:szCs w:val="24"/>
        </w:rPr>
        <w:t>4.0.2　</w:t>
      </w:r>
      <w:r>
        <w:rPr>
          <w:sz w:val="24"/>
          <w:szCs w:val="24"/>
        </w:rPr>
        <w:t>模壳</w:t>
      </w:r>
      <w:r>
        <w:rPr>
          <w:rFonts w:hint="eastAsia"/>
          <w:sz w:val="24"/>
          <w:szCs w:val="24"/>
        </w:rPr>
        <w:t>砌块</w:t>
      </w:r>
      <w:r>
        <w:rPr>
          <w:sz w:val="24"/>
          <w:szCs w:val="24"/>
        </w:rPr>
        <w:t>砌体结构需遵循平面简单、规则，立面简洁、规则的原则进行设计。上下层模壳</w:t>
      </w:r>
      <w:r>
        <w:rPr>
          <w:rFonts w:hint="eastAsia"/>
          <w:sz w:val="24"/>
          <w:szCs w:val="24"/>
        </w:rPr>
        <w:t>砌块</w:t>
      </w:r>
      <w:r>
        <w:rPr>
          <w:sz w:val="24"/>
          <w:szCs w:val="24"/>
        </w:rPr>
        <w:t>错位</w:t>
      </w:r>
      <w:r>
        <w:rPr>
          <w:rFonts w:hint="eastAsia"/>
          <w:sz w:val="24"/>
          <w:szCs w:val="24"/>
        </w:rPr>
        <w:t>排列</w:t>
      </w:r>
      <w:r>
        <w:rPr>
          <w:sz w:val="24"/>
          <w:szCs w:val="24"/>
        </w:rPr>
        <w:t>，采用混凝土将竖向预留孔洞灌实。为保证模壳</w:t>
      </w:r>
      <w:r>
        <w:rPr>
          <w:rFonts w:hint="eastAsia"/>
          <w:sz w:val="24"/>
          <w:szCs w:val="24"/>
        </w:rPr>
        <w:t>砌块砌体结构</w:t>
      </w:r>
      <w:r>
        <w:rPr>
          <w:sz w:val="24"/>
          <w:szCs w:val="24"/>
        </w:rPr>
        <w:t>的</w:t>
      </w:r>
      <w:r>
        <w:rPr>
          <w:rFonts w:hint="eastAsia"/>
          <w:sz w:val="24"/>
          <w:szCs w:val="24"/>
        </w:rPr>
        <w:t>整体</w:t>
      </w:r>
      <w:r>
        <w:rPr>
          <w:sz w:val="24"/>
          <w:szCs w:val="24"/>
        </w:rPr>
        <w:t>稳定性</w:t>
      </w:r>
      <w:r>
        <w:rPr>
          <w:rFonts w:hint="eastAsia"/>
          <w:sz w:val="24"/>
          <w:szCs w:val="24"/>
        </w:rPr>
        <w:t>和抗震性能</w:t>
      </w:r>
      <w:r>
        <w:rPr>
          <w:sz w:val="24"/>
          <w:szCs w:val="24"/>
        </w:rPr>
        <w:t>，最大层高限定为3.6 m。</w:t>
      </w:r>
    </w:p>
    <w:p>
      <w:pPr>
        <w:tabs>
          <w:tab w:val="left" w:pos="425"/>
        </w:tabs>
        <w:adjustRightInd w:val="0"/>
        <w:spacing w:line="360" w:lineRule="auto"/>
        <w:contextualSpacing/>
        <w:outlineLvl w:val="2"/>
        <w:rPr>
          <w:rFonts w:eastAsiaTheme="minorEastAsia"/>
          <w:sz w:val="24"/>
          <w:szCs w:val="24"/>
        </w:rPr>
      </w:pPr>
      <w:r>
        <w:rPr>
          <w:rFonts w:hint="eastAsia" w:eastAsiaTheme="minorEastAsia"/>
          <w:b/>
          <w:sz w:val="24"/>
          <w:szCs w:val="24"/>
        </w:rPr>
        <w:t>4</w:t>
      </w:r>
      <w:r>
        <w:rPr>
          <w:rFonts w:eastAsiaTheme="minorEastAsia"/>
          <w:b/>
          <w:sz w:val="24"/>
          <w:szCs w:val="24"/>
        </w:rPr>
        <w:t>.0.3　</w:t>
      </w:r>
      <w:r>
        <w:rPr>
          <w:sz w:val="24"/>
          <w:szCs w:val="24"/>
        </w:rPr>
        <w:t>门、窗洞口处需形成抱框</w:t>
      </w:r>
      <w:r>
        <w:rPr>
          <w:rFonts w:hint="eastAsia"/>
          <w:sz w:val="24"/>
          <w:szCs w:val="24"/>
        </w:rPr>
        <w:t>，</w:t>
      </w:r>
      <w:r>
        <w:rPr>
          <w:sz w:val="24"/>
          <w:szCs w:val="24"/>
        </w:rPr>
        <w:t>构造柱</w:t>
      </w:r>
      <w:r>
        <w:rPr>
          <w:rFonts w:hint="eastAsia"/>
          <w:sz w:val="24"/>
          <w:szCs w:val="24"/>
        </w:rPr>
        <w:t>（含芯柱式构造柱）</w:t>
      </w:r>
      <w:r>
        <w:rPr>
          <w:sz w:val="24"/>
          <w:szCs w:val="24"/>
        </w:rPr>
        <w:t>、芯柱、现浇过梁可兼做洞口的加强措施。具体构造做法可参考国家建筑标准设计图集《常用建筑构造（三）》J11-3进行设计。</w:t>
      </w:r>
    </w:p>
    <w:p>
      <w:pPr>
        <w:tabs>
          <w:tab w:val="left" w:pos="425"/>
        </w:tabs>
        <w:adjustRightInd w:val="0"/>
        <w:spacing w:line="360" w:lineRule="auto"/>
        <w:contextualSpacing/>
        <w:outlineLvl w:val="2"/>
        <w:rPr>
          <w:rFonts w:eastAsiaTheme="minorEastAsia"/>
          <w:sz w:val="24"/>
          <w:szCs w:val="24"/>
        </w:rPr>
      </w:pPr>
      <w:r>
        <w:rPr>
          <w:rFonts w:hint="eastAsia" w:eastAsiaTheme="minorEastAsia"/>
          <w:b/>
          <w:sz w:val="24"/>
          <w:szCs w:val="24"/>
        </w:rPr>
        <w:t>4</w:t>
      </w:r>
      <w:r>
        <w:rPr>
          <w:rFonts w:eastAsiaTheme="minorEastAsia"/>
          <w:b/>
          <w:sz w:val="24"/>
          <w:szCs w:val="24"/>
        </w:rPr>
        <w:t>.0.4　</w:t>
      </w:r>
      <w:r>
        <w:rPr>
          <w:sz w:val="24"/>
          <w:szCs w:val="24"/>
        </w:rPr>
        <w:t>对可能形成热桥处需</w:t>
      </w:r>
      <w:r>
        <w:rPr>
          <w:rFonts w:hint="eastAsia"/>
          <w:sz w:val="24"/>
          <w:szCs w:val="24"/>
        </w:rPr>
        <w:t>要时可</w:t>
      </w:r>
      <w:r>
        <w:rPr>
          <w:sz w:val="24"/>
          <w:szCs w:val="24"/>
        </w:rPr>
        <w:t>采取相应的构造措施。</w:t>
      </w:r>
    </w:p>
    <w:p>
      <w:pPr>
        <w:tabs>
          <w:tab w:val="left" w:pos="425"/>
        </w:tabs>
        <w:adjustRightInd w:val="0"/>
        <w:spacing w:line="360" w:lineRule="auto"/>
        <w:contextualSpacing/>
        <w:outlineLvl w:val="2"/>
        <w:rPr>
          <w:rFonts w:eastAsiaTheme="minorEastAsia"/>
          <w:sz w:val="24"/>
          <w:szCs w:val="24"/>
        </w:rPr>
      </w:pPr>
      <w:r>
        <w:rPr>
          <w:rFonts w:eastAsiaTheme="minorEastAsia"/>
          <w:b/>
          <w:sz w:val="24"/>
          <w:szCs w:val="24"/>
        </w:rPr>
        <w:t>4.0.5　</w:t>
      </w:r>
      <w:r>
        <w:rPr>
          <w:sz w:val="24"/>
          <w:szCs w:val="24"/>
        </w:rPr>
        <w:t>外墙水平</w:t>
      </w:r>
      <w:r>
        <w:rPr>
          <w:rFonts w:hint="eastAsia"/>
          <w:sz w:val="24"/>
          <w:szCs w:val="24"/>
        </w:rPr>
        <w:t>、竖直</w:t>
      </w:r>
      <w:r>
        <w:rPr>
          <w:sz w:val="24"/>
          <w:szCs w:val="24"/>
        </w:rPr>
        <w:t>接缝外侧防水采用涂刷、填充环氧树脂胶、有机硅防水剂或水泥基渗透结晶型防水剂等方式处理。</w:t>
      </w:r>
    </w:p>
    <w:p>
      <w:pPr>
        <w:adjustRightInd w:val="0"/>
        <w:snapToGrid w:val="0"/>
        <w:spacing w:line="360" w:lineRule="auto"/>
        <w:ind w:firstLine="361" w:firstLineChars="200"/>
        <w:rPr>
          <w:b/>
          <w:bCs/>
          <w:sz w:val="18"/>
          <w:szCs w:val="18"/>
        </w:rPr>
      </w:pPr>
      <w:r>
        <w:rPr>
          <w:b/>
          <w:bCs/>
          <w:sz w:val="18"/>
          <w:szCs w:val="18"/>
        </w:rPr>
        <w:br w:type="page"/>
      </w:r>
    </w:p>
    <w:p>
      <w:pPr>
        <w:pStyle w:val="45"/>
        <w:spacing w:before="312" w:after="312"/>
        <w:rPr>
          <w:rFonts w:eastAsiaTheme="minorEastAsia"/>
          <w:sz w:val="32"/>
        </w:rPr>
      </w:pPr>
      <w:bookmarkStart w:id="197" w:name="_Toc149766401"/>
      <w:bookmarkStart w:id="198" w:name="_Toc148994680"/>
      <w:bookmarkStart w:id="199" w:name="_Toc149766343"/>
      <w:r>
        <w:rPr>
          <w:rFonts w:eastAsiaTheme="minorEastAsia"/>
          <w:sz w:val="32"/>
        </w:rPr>
        <w:t>5　结构设计</w:t>
      </w:r>
      <w:bookmarkEnd w:id="197"/>
      <w:bookmarkEnd w:id="198"/>
      <w:bookmarkEnd w:id="199"/>
    </w:p>
    <w:p>
      <w:pPr>
        <w:pStyle w:val="46"/>
      </w:pPr>
      <w:bookmarkStart w:id="200" w:name="_Toc149766402"/>
      <w:bookmarkStart w:id="201" w:name="_Toc148994681"/>
      <w:bookmarkStart w:id="202" w:name="_Toc149766344"/>
      <w:r>
        <w:t>5.1　一般规定</w:t>
      </w:r>
      <w:bookmarkEnd w:id="200"/>
      <w:bookmarkEnd w:id="201"/>
      <w:bookmarkEnd w:id="202"/>
    </w:p>
    <w:p>
      <w:pPr>
        <w:tabs>
          <w:tab w:val="left" w:pos="425"/>
          <w:tab w:val="left" w:pos="735"/>
        </w:tabs>
        <w:adjustRightInd w:val="0"/>
        <w:spacing w:line="360" w:lineRule="auto"/>
        <w:outlineLvl w:val="2"/>
        <w:rPr>
          <w:sz w:val="24"/>
          <w:szCs w:val="24"/>
        </w:rPr>
      </w:pPr>
      <w:r>
        <w:rPr>
          <w:rFonts w:hint="eastAsia" w:eastAsiaTheme="minorEastAsia"/>
          <w:b/>
          <w:sz w:val="24"/>
          <w:szCs w:val="24"/>
        </w:rPr>
        <w:t>5</w:t>
      </w:r>
      <w:r>
        <w:rPr>
          <w:rFonts w:eastAsiaTheme="minorEastAsia"/>
          <w:b/>
          <w:sz w:val="24"/>
          <w:szCs w:val="24"/>
        </w:rPr>
        <w:t>.1.2　</w:t>
      </w:r>
      <w:r>
        <w:rPr>
          <w:sz w:val="24"/>
          <w:szCs w:val="24"/>
        </w:rPr>
        <w:t>编制组对模壳</w:t>
      </w:r>
      <w:r>
        <w:rPr>
          <w:rFonts w:hint="eastAsia"/>
          <w:sz w:val="24"/>
          <w:szCs w:val="24"/>
        </w:rPr>
        <w:t>砌块墙体</w:t>
      </w:r>
      <w:r>
        <w:rPr>
          <w:sz w:val="24"/>
          <w:szCs w:val="24"/>
        </w:rPr>
        <w:t>进行了足尺试验研究，结果表明，模壳</w:t>
      </w:r>
      <w:r>
        <w:rPr>
          <w:rFonts w:hint="eastAsia"/>
          <w:sz w:val="24"/>
          <w:szCs w:val="24"/>
        </w:rPr>
        <w:t>砌块</w:t>
      </w:r>
      <w:r>
        <w:rPr>
          <w:sz w:val="24"/>
          <w:szCs w:val="24"/>
        </w:rPr>
        <w:t>砌体结构在水平荷载作用下具有良好的延性和较高的承载能力，构造柱</w:t>
      </w:r>
      <w:r>
        <w:rPr>
          <w:rFonts w:hint="eastAsia"/>
          <w:sz w:val="24"/>
          <w:szCs w:val="24"/>
        </w:rPr>
        <w:t>、芯柱</w:t>
      </w:r>
      <w:r>
        <w:rPr>
          <w:sz w:val="24"/>
          <w:szCs w:val="24"/>
        </w:rPr>
        <w:t>与圈梁对</w:t>
      </w:r>
      <w:r>
        <w:rPr>
          <w:rFonts w:hint="eastAsia"/>
          <w:sz w:val="24"/>
          <w:szCs w:val="24"/>
        </w:rPr>
        <w:t>模壳砌块墙体</w:t>
      </w:r>
      <w:r>
        <w:rPr>
          <w:sz w:val="24"/>
          <w:szCs w:val="24"/>
        </w:rPr>
        <w:t>起到了很好的约束效果，</w:t>
      </w:r>
      <w:r>
        <w:rPr>
          <w:rFonts w:hint="eastAsia"/>
          <w:sz w:val="24"/>
          <w:szCs w:val="24"/>
        </w:rPr>
        <w:t>模壳砌块墙体受力及</w:t>
      </w:r>
      <w:r>
        <w:rPr>
          <w:sz w:val="24"/>
          <w:szCs w:val="24"/>
        </w:rPr>
        <w:t>破坏特征与约束砌体结构接近，依据现行行业标准《约束砌体与配筋砌体结构技术规程》JGJ 13制定本条规定。</w:t>
      </w:r>
    </w:p>
    <w:p>
      <w:pPr>
        <w:tabs>
          <w:tab w:val="left" w:pos="425"/>
          <w:tab w:val="left" w:pos="735"/>
        </w:tabs>
        <w:adjustRightInd w:val="0"/>
        <w:spacing w:line="360" w:lineRule="auto"/>
        <w:outlineLvl w:val="2"/>
        <w:rPr>
          <w:sz w:val="24"/>
          <w:szCs w:val="24"/>
        </w:rPr>
      </w:pPr>
      <w:r>
        <w:rPr>
          <w:rFonts w:hint="eastAsia" w:eastAsiaTheme="minorEastAsia"/>
          <w:b/>
          <w:sz w:val="24"/>
          <w:szCs w:val="24"/>
        </w:rPr>
        <w:t>5</w:t>
      </w:r>
      <w:r>
        <w:rPr>
          <w:rFonts w:eastAsiaTheme="minorEastAsia"/>
          <w:b/>
          <w:sz w:val="24"/>
          <w:szCs w:val="24"/>
        </w:rPr>
        <w:t>.1.3　</w:t>
      </w:r>
      <w:r>
        <w:rPr>
          <w:rFonts w:hint="eastAsia"/>
          <w:sz w:val="24"/>
          <w:szCs w:val="24"/>
        </w:rPr>
        <w:t>防震缝宽度</w:t>
      </w:r>
      <w:r>
        <w:rPr>
          <w:sz w:val="24"/>
          <w:szCs w:val="24"/>
        </w:rPr>
        <w:t>应根据</w:t>
      </w:r>
      <w:r>
        <w:rPr>
          <w:rFonts w:hint="eastAsia"/>
          <w:sz w:val="24"/>
          <w:szCs w:val="24"/>
        </w:rPr>
        <w:t>设防</w:t>
      </w:r>
      <w:r>
        <w:rPr>
          <w:sz w:val="24"/>
          <w:szCs w:val="24"/>
        </w:rPr>
        <w:t>烈度和房屋高度确定，由于</w:t>
      </w:r>
      <w:r>
        <w:rPr>
          <w:rFonts w:hint="eastAsia"/>
          <w:sz w:val="24"/>
          <w:szCs w:val="24"/>
        </w:rPr>
        <w:t>模壳砌块砌体</w:t>
      </w:r>
      <w:r>
        <w:rPr>
          <w:sz w:val="24"/>
          <w:szCs w:val="24"/>
        </w:rPr>
        <w:t>结构房屋最大</w:t>
      </w:r>
      <w:r>
        <w:rPr>
          <w:rFonts w:hint="eastAsia"/>
          <w:sz w:val="24"/>
          <w:szCs w:val="24"/>
        </w:rPr>
        <w:t>适用</w:t>
      </w:r>
      <w:r>
        <w:rPr>
          <w:sz w:val="24"/>
          <w:szCs w:val="24"/>
        </w:rPr>
        <w:t>高度为21 m，</w:t>
      </w:r>
      <w:r>
        <w:rPr>
          <w:rFonts w:hint="eastAsia"/>
          <w:sz w:val="24"/>
          <w:szCs w:val="24"/>
        </w:rPr>
        <w:t>依据现行国家标准《建筑抗震设计规范》GB 50011，模壳砌块砌体结构抗震缝缝宽可采用100 mm。</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.1.4　</w:t>
      </w:r>
      <w:r>
        <w:rPr>
          <w:sz w:val="24"/>
        </w:rPr>
        <w:t>参照钢筋混凝土结构并结合配筋</w:t>
      </w:r>
      <w:r>
        <w:rPr>
          <w:rFonts w:hint="eastAsia"/>
          <w:sz w:val="24"/>
        </w:rPr>
        <w:t>砌块</w:t>
      </w:r>
      <w:r>
        <w:rPr>
          <w:sz w:val="24"/>
        </w:rPr>
        <w:t>砌体的特点，提出了抗震设计时受力钢筋的锚固和接头要求。模壳</w:t>
      </w:r>
      <w:r>
        <w:rPr>
          <w:rFonts w:hint="eastAsia"/>
          <w:sz w:val="24"/>
        </w:rPr>
        <w:t>砌块</w:t>
      </w:r>
      <w:r>
        <w:rPr>
          <w:sz w:val="24"/>
        </w:rPr>
        <w:t>砌体结构的空间工作性能为刚性方案，参照约束砌体结构只进行墙肢轴压和小震受剪承载力验算，通过构造措施满足中</w:t>
      </w:r>
      <w:r>
        <w:rPr>
          <w:rFonts w:hint="eastAsia"/>
          <w:sz w:val="24"/>
        </w:rPr>
        <w:t>震、</w:t>
      </w:r>
      <w:r>
        <w:rPr>
          <w:sz w:val="24"/>
        </w:rPr>
        <w:t>大震需求。</w:t>
      </w:r>
      <w:r>
        <w:rPr>
          <w:sz w:val="24"/>
          <w:szCs w:val="24"/>
        </w:rPr>
        <w:t>除应符合现行国家标准《砌体结构设计规范》GB</w:t>
      </w:r>
      <w:r>
        <w:rPr>
          <w:spacing w:val="90"/>
          <w:sz w:val="24"/>
          <w:szCs w:val="24"/>
        </w:rPr>
        <w:t xml:space="preserve"> </w:t>
      </w:r>
      <w:r>
        <w:rPr>
          <w:sz w:val="24"/>
          <w:szCs w:val="24"/>
        </w:rPr>
        <w:t>50003的规定外，尚应符合下列规定：</w:t>
      </w:r>
    </w:p>
    <w:p>
      <w:pPr>
        <w:pStyle w:val="3"/>
        <w:snapToGrid w:val="0"/>
        <w:spacing w:after="0" w:line="360" w:lineRule="auto"/>
        <w:ind w:firstLine="480" w:firstLineChars="200"/>
        <w:rPr>
          <w:sz w:val="24"/>
          <w:szCs w:val="24"/>
        </w:rPr>
      </w:pPr>
      <w:r>
        <w:rPr>
          <w:sz w:val="24"/>
          <w:szCs w:val="24"/>
        </w:rPr>
        <w:t>纵向受拉钢筋的最小锚固长度</w:t>
      </w:r>
      <w:r>
        <w:rPr>
          <w:i/>
          <w:iCs/>
          <w:sz w:val="24"/>
          <w:szCs w:val="24"/>
        </w:rPr>
        <w:t>l</w:t>
      </w:r>
      <w:r>
        <w:rPr>
          <w:position w:val="-4"/>
          <w:sz w:val="24"/>
          <w:szCs w:val="24"/>
          <w:vertAlign w:val="subscript"/>
        </w:rPr>
        <w:t>aE</w:t>
      </w:r>
      <w:r>
        <w:rPr>
          <w:sz w:val="24"/>
          <w:szCs w:val="24"/>
        </w:rPr>
        <w:t>应符合下列公式规定：</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6"/>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765" w:type="dxa"/>
            <w:vAlign w:val="center"/>
          </w:tcPr>
          <w:p>
            <w:pPr>
              <w:pStyle w:val="3"/>
              <w:spacing w:after="0"/>
              <w:jc w:val="center"/>
              <w:rPr>
                <w:sz w:val="18"/>
                <w:szCs w:val="18"/>
              </w:rPr>
            </w:pPr>
            <w:r>
              <w:rPr>
                <w:sz w:val="18"/>
                <w:szCs w:val="18"/>
              </w:rPr>
              <w:t>一、二级抗震等级</w:t>
            </w:r>
          </w:p>
        </w:tc>
        <w:tc>
          <w:tcPr>
            <w:tcW w:w="2766" w:type="dxa"/>
            <w:vAlign w:val="center"/>
          </w:tcPr>
          <w:p>
            <w:pPr>
              <w:pStyle w:val="3"/>
              <w:spacing w:after="0"/>
              <w:jc w:val="center"/>
              <w:rPr>
                <w:sz w:val="18"/>
                <w:szCs w:val="18"/>
              </w:rPr>
            </w:pPr>
            <w:r>
              <w:rPr>
                <w:rFonts w:hint="eastAsia"/>
                <w:i/>
                <w:sz w:val="18"/>
                <w:szCs w:val="18"/>
              </w:rPr>
              <w:t>l</w:t>
            </w:r>
            <w:r>
              <w:rPr>
                <w:position w:val="-4"/>
                <w:sz w:val="18"/>
                <w:szCs w:val="18"/>
                <w:vertAlign w:val="subscript"/>
              </w:rPr>
              <w:t>aE</w:t>
            </w:r>
            <w:r>
              <w:rPr>
                <w:sz w:val="18"/>
                <w:szCs w:val="18"/>
              </w:rPr>
              <w:t>=1.15</w:t>
            </w:r>
            <w:r>
              <w:rPr>
                <w:i/>
                <w:sz w:val="18"/>
                <w:szCs w:val="18"/>
              </w:rPr>
              <w:t>l</w:t>
            </w:r>
            <w:r>
              <w:rPr>
                <w:position w:val="-4"/>
                <w:sz w:val="18"/>
                <w:szCs w:val="18"/>
                <w:vertAlign w:val="subscript"/>
              </w:rPr>
              <w:t>a</w:t>
            </w:r>
          </w:p>
        </w:tc>
        <w:tc>
          <w:tcPr>
            <w:tcW w:w="2766" w:type="dxa"/>
            <w:vAlign w:val="center"/>
          </w:tcPr>
          <w:p>
            <w:pPr>
              <w:pStyle w:val="3"/>
              <w:spacing w:after="0"/>
              <w:ind w:firstLine="199"/>
              <w:jc w:val="right"/>
              <w:rPr>
                <w:sz w:val="18"/>
                <w:szCs w:val="18"/>
              </w:rPr>
            </w:pPr>
            <w:r>
              <w:rPr>
                <w:sz w:val="18"/>
                <w:szCs w:val="18"/>
              </w:rPr>
              <w:t>（5.1.4-1）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765" w:type="dxa"/>
            <w:vAlign w:val="center"/>
          </w:tcPr>
          <w:p>
            <w:pPr>
              <w:pStyle w:val="3"/>
              <w:spacing w:after="0"/>
              <w:jc w:val="center"/>
              <w:rPr>
                <w:sz w:val="18"/>
                <w:szCs w:val="18"/>
              </w:rPr>
            </w:pPr>
            <w:r>
              <w:rPr>
                <w:sz w:val="18"/>
                <w:szCs w:val="18"/>
              </w:rPr>
              <w:t>三级抗震等级</w:t>
            </w:r>
          </w:p>
        </w:tc>
        <w:tc>
          <w:tcPr>
            <w:tcW w:w="2766" w:type="dxa"/>
            <w:vAlign w:val="center"/>
          </w:tcPr>
          <w:p>
            <w:pPr>
              <w:pStyle w:val="3"/>
              <w:spacing w:after="0"/>
              <w:jc w:val="center"/>
              <w:rPr>
                <w:sz w:val="18"/>
                <w:szCs w:val="18"/>
              </w:rPr>
            </w:pPr>
            <w:r>
              <w:rPr>
                <w:rFonts w:hint="eastAsia"/>
                <w:i/>
                <w:sz w:val="18"/>
                <w:szCs w:val="18"/>
              </w:rPr>
              <w:t>l</w:t>
            </w:r>
            <w:r>
              <w:rPr>
                <w:position w:val="-4"/>
                <w:sz w:val="18"/>
                <w:szCs w:val="18"/>
                <w:vertAlign w:val="subscript"/>
              </w:rPr>
              <w:t>aE</w:t>
            </w:r>
            <w:r>
              <w:rPr>
                <w:sz w:val="18"/>
                <w:szCs w:val="18"/>
              </w:rPr>
              <w:t>=1.05</w:t>
            </w:r>
            <w:r>
              <w:rPr>
                <w:i/>
                <w:sz w:val="18"/>
                <w:szCs w:val="18"/>
              </w:rPr>
              <w:t>l</w:t>
            </w:r>
            <w:r>
              <w:rPr>
                <w:position w:val="-4"/>
                <w:sz w:val="18"/>
                <w:szCs w:val="18"/>
                <w:vertAlign w:val="subscript"/>
              </w:rPr>
              <w:t>a</w:t>
            </w:r>
          </w:p>
        </w:tc>
        <w:tc>
          <w:tcPr>
            <w:tcW w:w="2766" w:type="dxa"/>
            <w:vAlign w:val="center"/>
          </w:tcPr>
          <w:p>
            <w:pPr>
              <w:pStyle w:val="3"/>
              <w:spacing w:after="0"/>
              <w:ind w:firstLine="199"/>
              <w:jc w:val="right"/>
              <w:rPr>
                <w:sz w:val="18"/>
                <w:szCs w:val="18"/>
              </w:rPr>
            </w:pPr>
            <w:r>
              <w:rPr>
                <w:sz w:val="18"/>
                <w:szCs w:val="18"/>
              </w:rPr>
              <w:t>（5.1.4-2）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765" w:type="dxa"/>
            <w:vAlign w:val="center"/>
          </w:tcPr>
          <w:p>
            <w:pPr>
              <w:pStyle w:val="3"/>
              <w:spacing w:after="0"/>
              <w:jc w:val="center"/>
              <w:rPr>
                <w:sz w:val="18"/>
                <w:szCs w:val="18"/>
              </w:rPr>
            </w:pPr>
            <w:r>
              <w:rPr>
                <w:sz w:val="18"/>
                <w:szCs w:val="18"/>
              </w:rPr>
              <w:t>四级抗震等级</w:t>
            </w:r>
          </w:p>
        </w:tc>
        <w:tc>
          <w:tcPr>
            <w:tcW w:w="2766" w:type="dxa"/>
            <w:vAlign w:val="center"/>
          </w:tcPr>
          <w:p>
            <w:pPr>
              <w:pStyle w:val="3"/>
              <w:spacing w:after="0"/>
              <w:jc w:val="center"/>
              <w:rPr>
                <w:sz w:val="18"/>
                <w:szCs w:val="18"/>
              </w:rPr>
            </w:pPr>
            <w:r>
              <w:rPr>
                <w:rFonts w:hint="eastAsia"/>
                <w:i/>
                <w:sz w:val="18"/>
                <w:szCs w:val="18"/>
              </w:rPr>
              <w:t>l</w:t>
            </w:r>
            <w:r>
              <w:rPr>
                <w:position w:val="-4"/>
                <w:sz w:val="18"/>
                <w:szCs w:val="18"/>
                <w:vertAlign w:val="subscript"/>
              </w:rPr>
              <w:t>aE</w:t>
            </w:r>
            <w:r>
              <w:rPr>
                <w:sz w:val="18"/>
                <w:szCs w:val="18"/>
              </w:rPr>
              <w:t>=1.0</w:t>
            </w:r>
            <w:r>
              <w:rPr>
                <w:i/>
                <w:sz w:val="18"/>
                <w:szCs w:val="18"/>
              </w:rPr>
              <w:t>l</w:t>
            </w:r>
            <w:r>
              <w:rPr>
                <w:position w:val="-4"/>
                <w:sz w:val="18"/>
                <w:szCs w:val="18"/>
                <w:vertAlign w:val="subscript"/>
              </w:rPr>
              <w:t>a</w:t>
            </w:r>
          </w:p>
        </w:tc>
        <w:tc>
          <w:tcPr>
            <w:tcW w:w="2766" w:type="dxa"/>
            <w:vAlign w:val="center"/>
          </w:tcPr>
          <w:p>
            <w:pPr>
              <w:pStyle w:val="3"/>
              <w:spacing w:after="0"/>
              <w:ind w:firstLine="199"/>
              <w:jc w:val="right"/>
              <w:rPr>
                <w:sz w:val="18"/>
                <w:szCs w:val="18"/>
              </w:rPr>
            </w:pPr>
            <w:r>
              <w:rPr>
                <w:sz w:val="18"/>
                <w:szCs w:val="18"/>
              </w:rPr>
              <w:t>（5.1.4-3）</w:t>
            </w:r>
          </w:p>
        </w:tc>
      </w:tr>
    </w:tbl>
    <w:p>
      <w:pPr>
        <w:spacing w:line="360" w:lineRule="auto"/>
        <w:rPr>
          <w:sz w:val="24"/>
          <w:szCs w:val="24"/>
        </w:rPr>
      </w:pPr>
      <w:r>
        <w:rPr>
          <w:sz w:val="24"/>
          <w:szCs w:val="24"/>
        </w:rPr>
        <w:t>式中：</w:t>
      </w:r>
      <w:r>
        <w:rPr>
          <w:i/>
          <w:iCs/>
          <w:sz w:val="24"/>
          <w:szCs w:val="24"/>
        </w:rPr>
        <w:t>l</w:t>
      </w:r>
      <w:r>
        <w:rPr>
          <w:position w:val="-4"/>
          <w:sz w:val="24"/>
          <w:szCs w:val="24"/>
          <w:vertAlign w:val="subscript"/>
        </w:rPr>
        <w:t>a</w:t>
      </w:r>
      <w:r>
        <w:rPr>
          <w:sz w:val="24"/>
          <w:szCs w:val="24"/>
        </w:rPr>
        <w:t>——受拉钢筋的锚固长度，按</w:t>
      </w:r>
      <w:r>
        <w:rPr>
          <w:rFonts w:hint="eastAsia"/>
          <w:sz w:val="24"/>
        </w:rPr>
        <w:t>现行国家标准</w:t>
      </w:r>
      <w:r>
        <w:rPr>
          <w:sz w:val="24"/>
          <w:szCs w:val="24"/>
        </w:rPr>
        <w:t>《砌体结构设计规范》GB</w:t>
      </w:r>
      <w:r>
        <w:rPr>
          <w:spacing w:val="114"/>
          <w:sz w:val="24"/>
          <w:szCs w:val="24"/>
        </w:rPr>
        <w:t xml:space="preserve"> </w:t>
      </w:r>
      <w:r>
        <w:rPr>
          <w:sz w:val="24"/>
          <w:szCs w:val="24"/>
        </w:rPr>
        <w:t>50003的规定确定。</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.1.5　</w:t>
      </w:r>
      <w:r>
        <w:rPr>
          <w:rFonts w:hint="eastAsia"/>
          <w:sz w:val="24"/>
        </w:rPr>
        <w:t>本条规定了多层模壳砌块砌体结构的最大高宽比要求，以保证多层模壳砌块砌体结构在地震作用下不发生整体弯曲破坏。在计算房屋的高宽比时，单面走廊房屋总宽度不包括走廊宽度；当建筑平面接近正方形时，其高宽比限值可适当放松。</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.1.9　</w:t>
      </w:r>
      <w:r>
        <w:rPr>
          <w:sz w:val="24"/>
        </w:rPr>
        <w:t>本条部分引用了</w:t>
      </w:r>
      <w:r>
        <w:rPr>
          <w:rFonts w:hint="eastAsia"/>
          <w:sz w:val="24"/>
        </w:rPr>
        <w:t>现行国家标准</w:t>
      </w:r>
      <w:r>
        <w:rPr>
          <w:sz w:val="24"/>
        </w:rPr>
        <w:t>《砌体结构设计规范》GB 50003的有关条款。对配筋</w:t>
      </w:r>
      <w:r>
        <w:rPr>
          <w:rFonts w:hint="eastAsia"/>
          <w:sz w:val="24"/>
        </w:rPr>
        <w:t>模壳</w:t>
      </w:r>
      <w:r>
        <w:rPr>
          <w:sz w:val="24"/>
        </w:rPr>
        <w:t>砌块房屋，房屋高度指室外地面到主要屋面板板顶的高度，不包括局部突出屋顶部分。</w:t>
      </w:r>
    </w:p>
    <w:p>
      <w:pPr>
        <w:tabs>
          <w:tab w:val="left" w:pos="425"/>
          <w:tab w:val="left" w:pos="735"/>
        </w:tabs>
        <w:adjustRightInd w:val="0"/>
        <w:spacing w:line="360" w:lineRule="auto"/>
        <w:outlineLvl w:val="2"/>
        <w:rPr>
          <w:sz w:val="24"/>
          <w:szCs w:val="24"/>
        </w:rPr>
      </w:pPr>
      <w:r>
        <w:rPr>
          <w:rFonts w:hint="eastAsia" w:eastAsiaTheme="minorEastAsia"/>
          <w:b/>
          <w:sz w:val="24"/>
          <w:szCs w:val="24"/>
        </w:rPr>
        <w:t>5</w:t>
      </w:r>
      <w:r>
        <w:rPr>
          <w:rFonts w:eastAsiaTheme="minorEastAsia"/>
          <w:b/>
          <w:sz w:val="24"/>
          <w:szCs w:val="24"/>
        </w:rPr>
        <w:t>.1.11　</w:t>
      </w:r>
      <w:r>
        <w:rPr>
          <w:rFonts w:hint="eastAsia"/>
          <w:sz w:val="24"/>
          <w:szCs w:val="24"/>
        </w:rPr>
        <w:t>不同的结构采用不同的分析方法在各国抗震规范中均有体现，底部剪力法和振型分解反应谱法仍是基本方法，时程分析法作为补充计算方法，对特别不规则、特别重要的和较高的高层建筑才要求采用。所谓“补充”，主要指对计算结果的底部剪力、楼层剪力和层间位移进行比较，当时程分析法大于振型分解反应谱法时，相关部位的构件内力和配筋作相应的调整。</w:t>
      </w:r>
    </w:p>
    <w:p>
      <w:pPr>
        <w:tabs>
          <w:tab w:val="left" w:pos="425"/>
          <w:tab w:val="left" w:pos="567"/>
          <w:tab w:val="left" w:pos="735"/>
        </w:tabs>
        <w:adjustRightInd w:val="0"/>
        <w:spacing w:line="360" w:lineRule="auto"/>
        <w:outlineLvl w:val="2"/>
        <w:rPr>
          <w:sz w:val="24"/>
          <w:szCs w:val="32"/>
        </w:rPr>
      </w:pPr>
      <w:r>
        <w:rPr>
          <w:rFonts w:hint="eastAsia" w:eastAsiaTheme="minorEastAsia"/>
          <w:b/>
          <w:sz w:val="24"/>
          <w:szCs w:val="24"/>
        </w:rPr>
        <w:t>5</w:t>
      </w:r>
      <w:r>
        <w:rPr>
          <w:rFonts w:eastAsiaTheme="minorEastAsia"/>
          <w:b/>
          <w:sz w:val="24"/>
          <w:szCs w:val="24"/>
        </w:rPr>
        <w:t>.1.16　</w:t>
      </w:r>
      <w:r>
        <w:rPr>
          <w:sz w:val="24"/>
          <w:szCs w:val="24"/>
        </w:rPr>
        <w:t>模壳</w:t>
      </w:r>
      <w:r>
        <w:rPr>
          <w:rFonts w:hint="eastAsia"/>
          <w:sz w:val="24"/>
          <w:szCs w:val="24"/>
        </w:rPr>
        <w:t>砌块</w:t>
      </w:r>
      <w:r>
        <w:rPr>
          <w:sz w:val="24"/>
          <w:szCs w:val="24"/>
        </w:rPr>
        <w:t>砌体结构中采用模壳砌块条形基础，可以进一步提升效率。</w:t>
      </w:r>
      <w:r>
        <w:rPr>
          <w:sz w:val="24"/>
          <w:szCs w:val="32"/>
        </w:rPr>
        <w:t>本条规定中，涉及专利</w:t>
      </w:r>
      <w:r>
        <w:rPr>
          <w:rFonts w:ascii="宋体" w:hAnsi="宋体"/>
          <w:sz w:val="24"/>
          <w:szCs w:val="32"/>
        </w:rPr>
        <w:t>“</w:t>
      </w:r>
      <w:r>
        <w:rPr>
          <w:rFonts w:hint="eastAsia"/>
          <w:sz w:val="24"/>
          <w:szCs w:val="32"/>
        </w:rPr>
        <w:t>基于条形基础的模壳砖基础</w:t>
      </w:r>
      <w:r>
        <w:rPr>
          <w:rFonts w:ascii="宋体" w:hAnsi="宋体"/>
          <w:sz w:val="24"/>
          <w:szCs w:val="32"/>
        </w:rPr>
        <w:t>”</w:t>
      </w:r>
      <w:r>
        <w:rPr>
          <w:sz w:val="24"/>
          <w:szCs w:val="32"/>
        </w:rPr>
        <w:t>（ZL202021523187.0）。</w:t>
      </w:r>
    </w:p>
    <w:p>
      <w:pPr>
        <w:pStyle w:val="46"/>
      </w:pPr>
      <w:bookmarkStart w:id="203" w:name="_Toc149766403"/>
      <w:bookmarkStart w:id="204" w:name="_Toc149766345"/>
      <w:bookmarkStart w:id="205" w:name="_Toc148994682"/>
      <w:r>
        <w:t>5.2　模壳</w:t>
      </w:r>
      <w:r>
        <w:rPr>
          <w:rFonts w:hint="eastAsia"/>
        </w:rPr>
        <w:t>砌块</w:t>
      </w:r>
      <w:r>
        <w:t>设计</w:t>
      </w:r>
      <w:bookmarkEnd w:id="203"/>
      <w:bookmarkEnd w:id="204"/>
      <w:bookmarkEnd w:id="205"/>
    </w:p>
    <w:p>
      <w:pPr>
        <w:tabs>
          <w:tab w:val="left" w:pos="425"/>
          <w:tab w:val="left" w:pos="735"/>
        </w:tabs>
        <w:adjustRightInd w:val="0"/>
        <w:spacing w:line="360" w:lineRule="auto"/>
        <w:outlineLvl w:val="2"/>
        <w:rPr>
          <w:sz w:val="24"/>
          <w:szCs w:val="24"/>
        </w:rPr>
      </w:pPr>
      <w:r>
        <w:rPr>
          <w:rFonts w:hint="eastAsia" w:eastAsiaTheme="minorEastAsia"/>
          <w:b/>
          <w:sz w:val="24"/>
          <w:szCs w:val="24"/>
        </w:rPr>
        <w:t>5</w:t>
      </w:r>
      <w:r>
        <w:rPr>
          <w:rFonts w:eastAsiaTheme="minorEastAsia"/>
          <w:b/>
          <w:sz w:val="24"/>
          <w:szCs w:val="24"/>
        </w:rPr>
        <w:t>.2.1　</w:t>
      </w:r>
      <w:r>
        <w:rPr>
          <w:sz w:val="24"/>
          <w:szCs w:val="24"/>
        </w:rPr>
        <w:t>模壳</w:t>
      </w:r>
      <w:r>
        <w:rPr>
          <w:rFonts w:hint="eastAsia"/>
          <w:sz w:val="24"/>
          <w:szCs w:val="24"/>
        </w:rPr>
        <w:t>砌块</w:t>
      </w:r>
      <w:r>
        <w:rPr>
          <w:sz w:val="24"/>
          <w:szCs w:val="24"/>
        </w:rPr>
        <w:t>的规格及尺寸建议取为固定尺寸，</w:t>
      </w:r>
      <w:r>
        <w:rPr>
          <w:rFonts w:hint="eastAsia"/>
          <w:sz w:val="24"/>
          <w:szCs w:val="24"/>
        </w:rPr>
        <w:t>从而</w:t>
      </w:r>
      <w:r>
        <w:rPr>
          <w:sz w:val="24"/>
          <w:szCs w:val="24"/>
        </w:rPr>
        <w:t>提高生产、施工效率。模壳</w:t>
      </w:r>
      <w:r>
        <w:rPr>
          <w:rFonts w:hint="eastAsia"/>
          <w:sz w:val="24"/>
          <w:szCs w:val="24"/>
        </w:rPr>
        <w:t>砌块承重墙体</w:t>
      </w:r>
      <w:r>
        <w:rPr>
          <w:sz w:val="24"/>
          <w:szCs w:val="24"/>
        </w:rPr>
        <w:t>的实际生产宽度需考虑设计、施工的公差要求。</w:t>
      </w:r>
    </w:p>
    <w:p>
      <w:pPr>
        <w:tabs>
          <w:tab w:val="left" w:pos="425"/>
          <w:tab w:val="left" w:pos="735"/>
        </w:tabs>
        <w:adjustRightInd w:val="0"/>
        <w:spacing w:line="360" w:lineRule="auto"/>
        <w:outlineLvl w:val="2"/>
        <w:rPr>
          <w:sz w:val="24"/>
          <w:szCs w:val="24"/>
        </w:rPr>
      </w:pPr>
      <w:r>
        <w:rPr>
          <w:rFonts w:hint="eastAsia" w:eastAsiaTheme="minorEastAsia"/>
          <w:b/>
          <w:sz w:val="24"/>
          <w:szCs w:val="24"/>
        </w:rPr>
        <w:t>5</w:t>
      </w:r>
      <w:r>
        <w:rPr>
          <w:rFonts w:eastAsiaTheme="minorEastAsia"/>
          <w:b/>
          <w:sz w:val="24"/>
          <w:szCs w:val="24"/>
        </w:rPr>
        <w:t>.2.2　</w:t>
      </w:r>
      <w:r>
        <w:rPr>
          <w:rFonts w:hint="eastAsia"/>
          <w:sz w:val="24"/>
          <w:szCs w:val="24"/>
        </w:rPr>
        <w:t>根据编制组开展的试验结果，合理布置水平拉结筋和构造柱的受力钢筋，能显著改善模壳砌块墙体的整体性和延性。</w:t>
      </w:r>
    </w:p>
    <w:p>
      <w:pPr>
        <w:tabs>
          <w:tab w:val="left" w:pos="425"/>
          <w:tab w:val="left" w:pos="735"/>
        </w:tabs>
        <w:adjustRightInd w:val="0"/>
        <w:spacing w:line="360" w:lineRule="auto"/>
        <w:outlineLvl w:val="2"/>
      </w:pPr>
      <w:r>
        <w:rPr>
          <w:rFonts w:hint="eastAsia" w:eastAsiaTheme="minorEastAsia"/>
          <w:b/>
          <w:sz w:val="24"/>
          <w:szCs w:val="24"/>
        </w:rPr>
        <w:t>5</w:t>
      </w:r>
      <w:r>
        <w:rPr>
          <w:rFonts w:eastAsiaTheme="minorEastAsia"/>
          <w:b/>
          <w:sz w:val="24"/>
          <w:szCs w:val="24"/>
        </w:rPr>
        <w:t>.2.</w:t>
      </w:r>
      <w:r>
        <w:rPr>
          <w:rFonts w:hint="eastAsia" w:eastAsiaTheme="minorEastAsia"/>
          <w:b/>
          <w:sz w:val="24"/>
          <w:szCs w:val="24"/>
        </w:rPr>
        <w:t>4</w:t>
      </w:r>
      <w:r>
        <w:rPr>
          <w:rFonts w:eastAsiaTheme="minorEastAsia"/>
          <w:b/>
          <w:sz w:val="24"/>
          <w:szCs w:val="24"/>
        </w:rPr>
        <w:t>　</w:t>
      </w:r>
      <w:r>
        <w:rPr>
          <w:rFonts w:hint="eastAsia"/>
          <w:sz w:val="24"/>
        </w:rPr>
        <w:t>综合对比不同构造措施在模壳砌块砌体结构中的适用性，在施工便捷性方面，芯柱施工最方便，芯柱式构造柱其次，普通构造柱最次；在受力性能方面，芯柱主要适用于墙体面内受力，多根芯柱组合的结构性能等同或近似等同于构造柱或芯柱式构造柱。</w:t>
      </w:r>
    </w:p>
    <w:p>
      <w:pPr>
        <w:pStyle w:val="46"/>
      </w:pPr>
      <w:bookmarkStart w:id="206" w:name="_Toc148994684"/>
      <w:bookmarkStart w:id="207" w:name="_Toc149766404"/>
      <w:bookmarkStart w:id="208" w:name="_Toc149766346"/>
      <w:r>
        <w:t>5.3　承载力计算</w:t>
      </w:r>
      <w:bookmarkEnd w:id="206"/>
      <w:bookmarkEnd w:id="207"/>
      <w:bookmarkEnd w:id="208"/>
    </w:p>
    <w:p>
      <w:pPr>
        <w:tabs>
          <w:tab w:val="left" w:pos="425"/>
          <w:tab w:val="left" w:pos="735"/>
        </w:tabs>
        <w:adjustRightInd w:val="0"/>
        <w:spacing w:line="360" w:lineRule="auto"/>
        <w:outlineLvl w:val="2"/>
        <w:rPr>
          <w:sz w:val="24"/>
          <w:szCs w:val="24"/>
        </w:rPr>
      </w:pPr>
      <w:r>
        <w:rPr>
          <w:rFonts w:hint="eastAsia"/>
          <w:b/>
          <w:sz w:val="24"/>
          <w:szCs w:val="24"/>
        </w:rPr>
        <w:t>5</w:t>
      </w:r>
      <w:r>
        <w:rPr>
          <w:b/>
          <w:sz w:val="24"/>
          <w:szCs w:val="24"/>
        </w:rPr>
        <w:t>.3.1</w:t>
      </w:r>
      <w:r>
        <w:rPr>
          <w:rFonts w:eastAsiaTheme="minorEastAsia"/>
          <w:b/>
          <w:sz w:val="24"/>
          <w:szCs w:val="24"/>
        </w:rPr>
        <w:t>　</w:t>
      </w:r>
      <w:r>
        <w:rPr>
          <w:rFonts w:hint="eastAsia"/>
          <w:sz w:val="24"/>
          <w:szCs w:val="24"/>
        </w:rPr>
        <w:t>建筑结构的安全等级从危及人的生命、造成经济损失、产生社会影响等方面考虑，可根据国家有关规范和标准以及工程实际情况选用，一般情况下大多数建筑物的安全等级均是二级。结构重要性系数的取值可按现行国家标准《建筑结构可靠性设计统一标准》GB 50068的规定确定。</w:t>
      </w:r>
    </w:p>
    <w:p>
      <w:pPr>
        <w:tabs>
          <w:tab w:val="left" w:pos="425"/>
          <w:tab w:val="left" w:pos="735"/>
        </w:tabs>
        <w:adjustRightInd w:val="0"/>
        <w:spacing w:line="360" w:lineRule="auto"/>
        <w:outlineLvl w:val="2"/>
        <w:rPr>
          <w:sz w:val="24"/>
          <w:szCs w:val="24"/>
        </w:rPr>
      </w:pPr>
      <w:r>
        <w:rPr>
          <w:b/>
          <w:bCs/>
          <w:sz w:val="24"/>
          <w:szCs w:val="24"/>
        </w:rPr>
        <w:t>5.3.2</w:t>
      </w:r>
      <w:r>
        <w:rPr>
          <w:rFonts w:hint="eastAsia"/>
          <w:sz w:val="24"/>
          <w:szCs w:val="24"/>
        </w:rPr>
        <w:t>　本条规定了模壳砌块墙体结构内力和变形验算的基本内容。</w:t>
      </w:r>
    </w:p>
    <w:p>
      <w:pPr>
        <w:tabs>
          <w:tab w:val="left" w:pos="425"/>
          <w:tab w:val="left" w:pos="735"/>
        </w:tabs>
        <w:adjustRightInd w:val="0"/>
        <w:spacing w:line="360" w:lineRule="auto"/>
        <w:outlineLvl w:val="2"/>
        <w:rPr>
          <w:sz w:val="24"/>
          <w:szCs w:val="24"/>
        </w:rPr>
      </w:pPr>
      <w:r>
        <w:rPr>
          <w:rFonts w:hint="eastAsia" w:eastAsiaTheme="minorEastAsia"/>
          <w:b/>
          <w:sz w:val="24"/>
          <w:szCs w:val="24"/>
        </w:rPr>
        <w:t>5</w:t>
      </w:r>
      <w:r>
        <w:rPr>
          <w:rFonts w:eastAsiaTheme="minorEastAsia"/>
          <w:b/>
          <w:sz w:val="24"/>
          <w:szCs w:val="24"/>
        </w:rPr>
        <w:t>.3.5</w:t>
      </w:r>
      <w:r>
        <w:rPr>
          <w:rFonts w:hint="eastAsia" w:eastAsiaTheme="minorEastAsia"/>
          <w:b/>
          <w:sz w:val="24"/>
          <w:szCs w:val="24"/>
        </w:rPr>
        <w:t>、5</w:t>
      </w:r>
      <w:r>
        <w:rPr>
          <w:rFonts w:eastAsiaTheme="minorEastAsia"/>
          <w:b/>
          <w:sz w:val="24"/>
          <w:szCs w:val="24"/>
        </w:rPr>
        <w:t>.3.6　</w:t>
      </w:r>
      <w:r>
        <w:rPr>
          <w:sz w:val="24"/>
          <w:szCs w:val="24"/>
        </w:rPr>
        <w:t>研究表明，墙肢的轴压承载力</w:t>
      </w:r>
      <w:r>
        <w:rPr>
          <w:sz w:val="24"/>
        </w:rPr>
        <w:t>按现行国家标准《砌体结构设计规范》GB 50003中砖砌体和钢筋混凝土构造柱组合墙的有关规定计算。</w:t>
      </w:r>
      <w:r>
        <w:rPr>
          <w:sz w:val="24"/>
          <w:szCs w:val="24"/>
        </w:rPr>
        <w:t>模壳</w:t>
      </w:r>
      <w:r>
        <w:rPr>
          <w:rFonts w:hint="eastAsia"/>
          <w:sz w:val="24"/>
          <w:szCs w:val="24"/>
        </w:rPr>
        <w:t>砌块墙体</w:t>
      </w:r>
      <w:r>
        <w:rPr>
          <w:sz w:val="24"/>
          <w:szCs w:val="24"/>
        </w:rPr>
        <w:t>在轴压作用下稳定性较好，稳定系数可取0.85。当构造柱两侧均存在墙肢时，构造柱的受压承载力均分至两侧墙肢。</w:t>
      </w:r>
    </w:p>
    <w:p>
      <w:pPr>
        <w:tabs>
          <w:tab w:val="left" w:pos="425"/>
          <w:tab w:val="left" w:pos="735"/>
        </w:tabs>
        <w:adjustRightInd w:val="0"/>
        <w:snapToGrid w:val="0"/>
        <w:spacing w:line="360" w:lineRule="auto"/>
        <w:outlineLvl w:val="2"/>
        <w:rPr>
          <w:sz w:val="24"/>
          <w:szCs w:val="24"/>
        </w:rPr>
      </w:pPr>
      <w:r>
        <w:rPr>
          <w:rFonts w:hint="eastAsia" w:eastAsiaTheme="minorEastAsia"/>
          <w:b/>
          <w:sz w:val="24"/>
          <w:szCs w:val="24"/>
        </w:rPr>
        <w:t>5</w:t>
      </w:r>
      <w:r>
        <w:rPr>
          <w:rFonts w:eastAsiaTheme="minorEastAsia"/>
          <w:b/>
          <w:sz w:val="24"/>
          <w:szCs w:val="24"/>
        </w:rPr>
        <w:t>.3.7　</w:t>
      </w:r>
      <w:r>
        <w:rPr>
          <w:rFonts w:hint="eastAsia"/>
          <w:sz w:val="24"/>
          <w:szCs w:val="24"/>
        </w:rPr>
        <w:t>式（5</w:t>
      </w:r>
      <w:r>
        <w:rPr>
          <w:sz w:val="24"/>
          <w:szCs w:val="24"/>
        </w:rPr>
        <w:t>.3.7-1</w:t>
      </w:r>
      <w:r>
        <w:rPr>
          <w:rFonts w:hint="eastAsia"/>
          <w:sz w:val="24"/>
          <w:szCs w:val="24"/>
        </w:rPr>
        <w:t>）、（5</w:t>
      </w:r>
      <w:r>
        <w:rPr>
          <w:sz w:val="24"/>
          <w:szCs w:val="24"/>
        </w:rPr>
        <w:t>.3.7-2</w:t>
      </w:r>
      <w:r>
        <w:rPr>
          <w:rFonts w:hint="eastAsia"/>
          <w:sz w:val="24"/>
          <w:szCs w:val="24"/>
        </w:rPr>
        <w:t>）是根据欧拉公式和灌孔砌块砌体的应力—应变关系以及配筋砌块砌体的试验结果推导和拟合得到的，不仅考虑了灌孔砌块砌体，而且还考虑了竖向钢筋的抗压作用。使用该公式应注意，当无箍筋或水平钢筋时，应取</w:t>
      </w:r>
      <w:r>
        <w:rPr>
          <w:position w:val="-10"/>
          <w:sz w:val="24"/>
          <w:szCs w:val="24"/>
        </w:rPr>
        <w:object>
          <v:shape id="_x0000_i1041" o:spt="75" type="#_x0000_t75" style="height:17.7pt;width:15pt;" o:ole="t" filled="f" o:preferrelative="t" stroked="f" coordsize="21600,21600">
            <v:path/>
            <v:fill on="f" focussize="0,0"/>
            <v:stroke on="f" joinstyle="miter"/>
            <v:imagedata r:id="rId74" o:title=""/>
            <o:lock v:ext="edit" aspectratio="t"/>
            <w10:wrap type="none"/>
            <w10:anchorlock/>
          </v:shape>
          <o:OLEObject Type="Embed" ProgID="Equation.DSMT4" ShapeID="_x0000_i1041" DrawAspect="Content" ObjectID="_1468075741" r:id="rId73">
            <o:LockedField>false</o:LockedField>
          </o:OLEObject>
        </w:object>
      </w:r>
      <w:r>
        <w:rPr>
          <w:sz w:val="24"/>
          <w:szCs w:val="24"/>
        </w:rPr>
        <w:t>=0</w:t>
      </w:r>
      <w:r>
        <w:rPr>
          <w:rFonts w:hint="eastAsia"/>
          <w:sz w:val="24"/>
          <w:szCs w:val="24"/>
        </w:rPr>
        <w:t>。因模壳砌块砌体符合配筋砌块砌体的构造形式，即模壳砌块砌体配置有竖向和水平向钢筋、且水平钢筋布置在砌块水平凹槽内，所以二者的正截面轴心受压承载力相同。</w:t>
      </w:r>
    </w:p>
    <w:p>
      <w:pPr>
        <w:tabs>
          <w:tab w:val="left" w:pos="425"/>
          <w:tab w:val="left" w:pos="735"/>
        </w:tabs>
        <w:adjustRightInd w:val="0"/>
        <w:spacing w:line="360" w:lineRule="auto"/>
        <w:outlineLvl w:val="2"/>
        <w:rPr>
          <w:sz w:val="24"/>
          <w:szCs w:val="24"/>
        </w:rPr>
      </w:pPr>
      <w:r>
        <w:rPr>
          <w:rFonts w:hint="eastAsia"/>
          <w:b/>
          <w:sz w:val="24"/>
          <w:szCs w:val="24"/>
        </w:rPr>
        <w:t>5</w:t>
      </w:r>
      <w:r>
        <w:rPr>
          <w:b/>
          <w:sz w:val="24"/>
          <w:szCs w:val="24"/>
        </w:rPr>
        <w:t>.3.9</w:t>
      </w:r>
      <w:r>
        <w:rPr>
          <w:rFonts w:eastAsiaTheme="minorEastAsia"/>
          <w:b/>
          <w:sz w:val="24"/>
          <w:szCs w:val="24"/>
        </w:rPr>
        <w:t>　</w:t>
      </w:r>
      <w:r>
        <w:rPr>
          <w:rFonts w:hint="eastAsia"/>
          <w:sz w:val="24"/>
          <w:szCs w:val="24"/>
        </w:rPr>
        <w:t>当模壳砌块墙体所承担的剪力较大，而墙体的截面积又较小时，增加墙体内的水平钢筋不仅不能有效提高墙体的抗剪能力，而且会导致墙体发生斜压脆性破坏，因此规定与承受剪力相对应的墙体要有一定的截面积。</w:t>
      </w:r>
    </w:p>
    <w:p>
      <w:pPr>
        <w:tabs>
          <w:tab w:val="left" w:pos="425"/>
          <w:tab w:val="left" w:pos="735"/>
        </w:tabs>
        <w:adjustRightInd w:val="0"/>
        <w:spacing w:line="360" w:lineRule="auto"/>
        <w:ind w:firstLine="480" w:firstLineChars="200"/>
        <w:rPr>
          <w:sz w:val="24"/>
          <w:szCs w:val="24"/>
        </w:rPr>
      </w:pPr>
      <w:r>
        <w:rPr>
          <w:rFonts w:hint="eastAsia"/>
          <w:sz w:val="24"/>
          <w:szCs w:val="24"/>
        </w:rPr>
        <w:t>根据国内外有关试验研究的结果，影响配筋砌块砌体抗剪承载力的因素主要有墙体的形状、尺寸，高宽比</w:t>
      </w:r>
      <w:r>
        <w:rPr>
          <w:i/>
          <w:iCs/>
          <w:sz w:val="24"/>
          <w:szCs w:val="24"/>
        </w:rPr>
        <w:t>λ</w:t>
      </w:r>
      <w:r>
        <w:rPr>
          <w:rFonts w:hint="eastAsia"/>
          <w:iCs/>
          <w:sz w:val="24"/>
          <w:szCs w:val="24"/>
        </w:rPr>
        <w:t>，</w:t>
      </w:r>
      <w:r>
        <w:rPr>
          <w:rFonts w:hint="eastAsia"/>
          <w:sz w:val="24"/>
          <w:szCs w:val="24"/>
        </w:rPr>
        <w:t>灌孔砌块砌体的抗压强度，竖向荷载，水平钢筋和垂直钢筋的配筋率等。（1）砌体的受剪承载力受其尺寸大小的影响是显而易见的，在墙体材料相同情况下，墙体的尺寸越大其承载能力也越大；（2）对于配筋砌块砌体，砌体墙的高宽比</w:t>
      </w:r>
      <w:r>
        <w:rPr>
          <w:i/>
          <w:iCs/>
          <w:sz w:val="24"/>
          <w:szCs w:val="24"/>
        </w:rPr>
        <w:t>λ</w:t>
      </w:r>
      <w:r>
        <w:rPr>
          <w:rFonts w:hint="eastAsia"/>
          <w:sz w:val="24"/>
          <w:szCs w:val="24"/>
        </w:rPr>
        <w:t>对抗剪强度有很大影响，而且在高宽比</w:t>
      </w:r>
      <w:r>
        <w:rPr>
          <w:i/>
          <w:iCs/>
          <w:sz w:val="24"/>
          <w:szCs w:val="24"/>
        </w:rPr>
        <w:t>λ</w:t>
      </w:r>
      <w:r>
        <w:rPr>
          <w:rFonts w:hint="eastAsia"/>
          <w:sz w:val="24"/>
          <w:szCs w:val="24"/>
        </w:rPr>
        <w:t>一定范围内变动时，抗剪强度随着高宽比的增大而逐渐减小；（3）配筋砌块砌体的抗剪强度与灌孔砌体的抗压强度基本上呈正比关系，因此当采用强度较高的模壳砌块和灌孔混凝土时，其受剪承载力也会相应有较大增加；（4）砌体墙承受水平荷载作用时，如果有适当垂直荷载共同作用，则在砌体墙内的主拉应力轨迹线与水平轴的夹角变大，斜向主拉应力值降低，从而可以推迟斜裂缝的出现，垂直荷载也使得斜裂缝之间的骨料咬合力增加，使斜裂缝出现后开展比较缓慢，从而提高砌体的抗剪能力；当砌体墙的轴压比为0.3～0.5时，垂直荷载对砌体墙的抗剪强度影响最大，当轴压比超过此值时，墙体的破坏形态由剪切破坏转化为斜压破坏，反而使得墙体的受剪承载力下降；（5）墙体开裂以后，配筋砌块砌体的抗剪能力将大大削弱，而穿过斜裂缝的水平钢筋直接参与受拉，由墙体开裂面的骨料咬合及水平钢筋共同承担剪力，因此，水平钢筋的配筋率是影响砌块砌体抗剪能力的主要因素之一；（6）配置于砌块砌体中的竖向钢筋可以有效地提高其抗剪能力。</w:t>
      </w:r>
    </w:p>
    <w:p>
      <w:pPr>
        <w:tabs>
          <w:tab w:val="left" w:pos="425"/>
          <w:tab w:val="left" w:pos="735"/>
        </w:tabs>
        <w:adjustRightInd w:val="0"/>
        <w:spacing w:line="360" w:lineRule="auto"/>
        <w:ind w:firstLine="480" w:firstLineChars="200"/>
        <w:rPr>
          <w:sz w:val="24"/>
          <w:szCs w:val="24"/>
        </w:rPr>
      </w:pPr>
      <w:r>
        <w:rPr>
          <w:rFonts w:hint="eastAsia"/>
          <w:sz w:val="24"/>
          <w:szCs w:val="24"/>
        </w:rPr>
        <w:t>根据上述对影响配筋砌块砌体剪力墙斜截面受剪承载力诸因素的试验研究和分析，模壳砌块墙体斜截面受剪承载力可以按照式（5</w:t>
      </w:r>
      <w:r>
        <w:rPr>
          <w:sz w:val="24"/>
          <w:szCs w:val="24"/>
        </w:rPr>
        <w:t>.3.9-2</w:t>
      </w:r>
      <w:r>
        <w:rPr>
          <w:rFonts w:hint="eastAsia"/>
          <w:sz w:val="24"/>
          <w:szCs w:val="24"/>
        </w:rPr>
        <w:t>）和（5</w:t>
      </w:r>
      <w:r>
        <w:rPr>
          <w:sz w:val="24"/>
          <w:szCs w:val="24"/>
        </w:rPr>
        <w:t>.3.9-4</w:t>
      </w:r>
      <w:r>
        <w:rPr>
          <w:rFonts w:hint="eastAsia"/>
          <w:sz w:val="24"/>
          <w:szCs w:val="24"/>
        </w:rPr>
        <w:t>）进行计算。</w:t>
      </w:r>
      <w:bookmarkStart w:id="209" w:name="_Toc148994683"/>
      <w:bookmarkStart w:id="210" w:name="_Toc149766347"/>
      <w:bookmarkStart w:id="211" w:name="_Toc149766405"/>
    </w:p>
    <w:p>
      <w:pPr>
        <w:tabs>
          <w:tab w:val="left" w:pos="425"/>
          <w:tab w:val="left" w:pos="735"/>
        </w:tabs>
        <w:adjustRightInd w:val="0"/>
        <w:spacing w:line="360" w:lineRule="auto"/>
        <w:outlineLvl w:val="2"/>
        <w:rPr>
          <w:b/>
          <w:sz w:val="24"/>
          <w:szCs w:val="24"/>
        </w:rPr>
      </w:pPr>
      <w:r>
        <w:rPr>
          <w:rFonts w:hint="eastAsia"/>
          <w:b/>
          <w:sz w:val="24"/>
          <w:szCs w:val="24"/>
        </w:rPr>
        <w:t>5</w:t>
      </w:r>
      <w:r>
        <w:rPr>
          <w:b/>
          <w:sz w:val="24"/>
          <w:szCs w:val="24"/>
        </w:rPr>
        <w:t>.3.10</w:t>
      </w:r>
      <w:r>
        <w:rPr>
          <w:rFonts w:eastAsiaTheme="minorEastAsia"/>
          <w:b/>
          <w:sz w:val="24"/>
          <w:szCs w:val="24"/>
        </w:rPr>
        <w:t>　</w:t>
      </w:r>
      <w:r>
        <w:rPr>
          <w:rFonts w:hint="eastAsia"/>
          <w:sz w:val="24"/>
          <w:szCs w:val="24"/>
        </w:rPr>
        <w:t>模壳砌块砌体抗震抗剪强度的正应力影响系数，按《砌体结构设计规范》GB 50003表1</w:t>
      </w:r>
      <w:r>
        <w:rPr>
          <w:sz w:val="24"/>
          <w:szCs w:val="24"/>
        </w:rPr>
        <w:t>0.3.1</w:t>
      </w:r>
      <w:r>
        <w:rPr>
          <w:rFonts w:hint="eastAsia"/>
          <w:sz w:val="24"/>
          <w:szCs w:val="24"/>
        </w:rPr>
        <w:t>中的取值。</w:t>
      </w:r>
    </w:p>
    <w:p>
      <w:pPr>
        <w:tabs>
          <w:tab w:val="left" w:pos="425"/>
          <w:tab w:val="left" w:pos="735"/>
        </w:tabs>
        <w:adjustRightInd w:val="0"/>
        <w:spacing w:line="360" w:lineRule="auto"/>
        <w:outlineLvl w:val="2"/>
        <w:rPr>
          <w:sz w:val="24"/>
          <w:szCs w:val="24"/>
        </w:rPr>
      </w:pPr>
      <w:r>
        <w:rPr>
          <w:rFonts w:hint="eastAsia"/>
          <w:b/>
          <w:sz w:val="24"/>
          <w:szCs w:val="24"/>
        </w:rPr>
        <w:t>5</w:t>
      </w:r>
      <w:r>
        <w:rPr>
          <w:b/>
          <w:sz w:val="24"/>
          <w:szCs w:val="24"/>
        </w:rPr>
        <w:t>.3.11</w:t>
      </w:r>
      <w:r>
        <w:rPr>
          <w:rFonts w:eastAsiaTheme="minorEastAsia"/>
          <w:b/>
          <w:sz w:val="24"/>
          <w:szCs w:val="24"/>
        </w:rPr>
        <w:t>　</w:t>
      </w:r>
      <w:bookmarkStart w:id="212" w:name="_Hlk151672376"/>
      <w:r>
        <w:rPr>
          <w:rFonts w:hint="eastAsia"/>
          <w:sz w:val="24"/>
          <w:szCs w:val="24"/>
        </w:rPr>
        <w:t>本条</w:t>
      </w:r>
      <w:bookmarkEnd w:id="212"/>
      <w:r>
        <w:rPr>
          <w:rFonts w:hint="eastAsia"/>
          <w:sz w:val="24"/>
          <w:szCs w:val="24"/>
        </w:rPr>
        <w:t>给出了混凝土模壳砌块墙体截面的抗震受剪承载力验算公式。当墙体同时设置芯柱和构造柱时，构造柱截面可作为芯柱截面，构造柱钢筋也可视为芯柱钢筋。承载力应除以承载力抗震调整系数是结构抗震设计的重要依据，本条直接引用《砌体结构设计规范》GB 50003第10.1.5条，两端均设有构造柱、芯柱的砌体承重墙受剪承载力抗震调整系数应为</w:t>
      </w:r>
      <w:r>
        <w:rPr>
          <w:sz w:val="24"/>
          <w:szCs w:val="24"/>
        </w:rPr>
        <w:t>0.9</w:t>
      </w:r>
      <w:r>
        <w:rPr>
          <w:rFonts w:hint="eastAsia"/>
          <w:sz w:val="24"/>
          <w:szCs w:val="24"/>
        </w:rPr>
        <w:t>。当仅计算竖向地震作用时，各类结构构件承载力抗震调整系数应采用1</w:t>
      </w:r>
      <w:r>
        <w:rPr>
          <w:sz w:val="24"/>
          <w:szCs w:val="24"/>
        </w:rPr>
        <w:t>.0</w:t>
      </w:r>
      <w:r>
        <w:rPr>
          <w:rFonts w:hint="eastAsia"/>
          <w:sz w:val="24"/>
          <w:szCs w:val="24"/>
        </w:rPr>
        <w:t>。</w:t>
      </w:r>
    </w:p>
    <w:p>
      <w:pPr>
        <w:tabs>
          <w:tab w:val="left" w:pos="425"/>
          <w:tab w:val="left" w:pos="735"/>
        </w:tabs>
        <w:adjustRightInd w:val="0"/>
        <w:spacing w:line="360" w:lineRule="auto"/>
        <w:outlineLvl w:val="2"/>
        <w:rPr>
          <w:sz w:val="24"/>
          <w:szCs w:val="24"/>
        </w:rPr>
      </w:pPr>
      <w:r>
        <w:rPr>
          <w:b/>
          <w:sz w:val="24"/>
          <w:szCs w:val="24"/>
        </w:rPr>
        <w:t>5.3.1</w:t>
      </w:r>
      <w:r>
        <w:rPr>
          <w:rFonts w:hint="eastAsia"/>
          <w:b/>
          <w:sz w:val="24"/>
          <w:szCs w:val="24"/>
        </w:rPr>
        <w:t>3</w:t>
      </w:r>
      <w:r>
        <w:rPr>
          <w:rFonts w:hint="eastAsia" w:eastAsiaTheme="minorEastAsia"/>
          <w:b/>
          <w:sz w:val="24"/>
          <w:szCs w:val="24"/>
        </w:rPr>
        <w:t>　</w:t>
      </w:r>
      <w:r>
        <w:rPr>
          <w:rFonts w:hint="eastAsia"/>
          <w:sz w:val="24"/>
          <w:szCs w:val="24"/>
        </w:rPr>
        <w:t>在模壳砌块砌体结构抗震设计计算中，抗震墙底部的荷载作用效应最大。因此，应根据计算分析结果，对底部截面的组合剪力设计值采用按不同抗震等级确定剪力放大系数的形式进行调整，以使结构的最不利截面得到加强。</w:t>
      </w:r>
    </w:p>
    <w:p>
      <w:pPr>
        <w:pStyle w:val="46"/>
      </w:pPr>
      <w:r>
        <w:t>5.4　构造设计</w:t>
      </w:r>
      <w:bookmarkEnd w:id="209"/>
      <w:bookmarkEnd w:id="210"/>
      <w:bookmarkEnd w:id="211"/>
    </w:p>
    <w:p>
      <w:pPr>
        <w:tabs>
          <w:tab w:val="left" w:pos="425"/>
          <w:tab w:val="left" w:pos="735"/>
        </w:tabs>
        <w:adjustRightInd w:val="0"/>
        <w:spacing w:line="360" w:lineRule="auto"/>
        <w:outlineLvl w:val="2"/>
        <w:rPr>
          <w:rFonts w:eastAsiaTheme="minorEastAsia"/>
          <w:b/>
          <w:sz w:val="24"/>
          <w:szCs w:val="24"/>
        </w:rPr>
      </w:pPr>
      <w:r>
        <w:rPr>
          <w:rFonts w:hint="eastAsia" w:eastAsiaTheme="minorEastAsia"/>
          <w:b/>
          <w:sz w:val="24"/>
          <w:szCs w:val="24"/>
        </w:rPr>
        <w:t>5</w:t>
      </w:r>
      <w:r>
        <w:rPr>
          <w:rFonts w:eastAsiaTheme="minorEastAsia"/>
          <w:b/>
          <w:sz w:val="24"/>
          <w:szCs w:val="24"/>
        </w:rPr>
        <w:t>.4.1</w:t>
      </w:r>
      <w:r>
        <w:rPr>
          <w:rFonts w:hint="eastAsia" w:eastAsiaTheme="minorEastAsia"/>
          <w:b/>
          <w:sz w:val="24"/>
          <w:szCs w:val="24"/>
        </w:rPr>
        <w:t>　</w:t>
      </w:r>
      <w:r>
        <w:rPr>
          <w:rFonts w:hint="eastAsia" w:eastAsiaTheme="minorEastAsia"/>
          <w:bCs/>
          <w:sz w:val="24"/>
          <w:szCs w:val="24"/>
        </w:rPr>
        <w:t>约束砌体墙的构造柱、芯柱的约束作用，使得墙体的稳定性和刚度增加，可以适当提高其允许高厚比。</w:t>
      </w:r>
    </w:p>
    <w:p>
      <w:pPr>
        <w:tabs>
          <w:tab w:val="left" w:pos="425"/>
          <w:tab w:val="left" w:pos="735"/>
        </w:tabs>
        <w:adjustRightInd w:val="0"/>
        <w:spacing w:line="360" w:lineRule="auto"/>
        <w:outlineLvl w:val="2"/>
        <w:rPr>
          <w:rFonts w:eastAsiaTheme="minorEastAsia"/>
          <w:b/>
          <w:sz w:val="24"/>
          <w:szCs w:val="24"/>
        </w:rPr>
      </w:pPr>
      <w:r>
        <w:rPr>
          <w:rFonts w:hint="eastAsia" w:eastAsiaTheme="minorEastAsia"/>
          <w:b/>
          <w:sz w:val="24"/>
          <w:szCs w:val="24"/>
        </w:rPr>
        <w:t>5</w:t>
      </w:r>
      <w:r>
        <w:rPr>
          <w:rFonts w:eastAsiaTheme="minorEastAsia"/>
          <w:b/>
          <w:sz w:val="24"/>
          <w:szCs w:val="24"/>
        </w:rPr>
        <w:t>.4.2</w:t>
      </w:r>
      <w:r>
        <w:rPr>
          <w:rFonts w:hint="eastAsia" w:eastAsiaTheme="minorEastAsia"/>
          <w:b/>
          <w:sz w:val="24"/>
          <w:szCs w:val="24"/>
        </w:rPr>
        <w:t>　</w:t>
      </w:r>
      <w:r>
        <w:rPr>
          <w:rFonts w:hint="eastAsia" w:eastAsiaTheme="minorEastAsia"/>
          <w:bCs/>
          <w:sz w:val="24"/>
          <w:szCs w:val="24"/>
        </w:rPr>
        <w:t>隔墙是非受力构件，平面外刚度弱、稳定性差。当不与承重墙体咬槎同时砌筑时，在垂直于墙面的水平力作用下，尤其是在强烈地震作用下，容易开裂，甚至倾倒。为了提高隔墙的承载能力和抗裂、抗震性能，本条对其材料强度、厚度及与承重墙交接处的连接提出了明确要求。</w:t>
      </w:r>
    </w:p>
    <w:p>
      <w:pPr>
        <w:tabs>
          <w:tab w:val="left" w:pos="425"/>
          <w:tab w:val="left" w:pos="735"/>
        </w:tabs>
        <w:adjustRightInd w:val="0"/>
        <w:spacing w:line="360" w:lineRule="auto"/>
        <w:outlineLvl w:val="2"/>
        <w:rPr>
          <w:rFonts w:eastAsiaTheme="minorEastAsia"/>
          <w:b/>
          <w:sz w:val="24"/>
          <w:szCs w:val="24"/>
        </w:rPr>
      </w:pPr>
      <w:r>
        <w:rPr>
          <w:rFonts w:hint="eastAsia" w:eastAsiaTheme="minorEastAsia"/>
          <w:b/>
          <w:sz w:val="24"/>
          <w:szCs w:val="24"/>
        </w:rPr>
        <w:t>5</w:t>
      </w:r>
      <w:r>
        <w:rPr>
          <w:rFonts w:eastAsiaTheme="minorEastAsia"/>
          <w:b/>
          <w:sz w:val="24"/>
          <w:szCs w:val="24"/>
        </w:rPr>
        <w:t>.4.3</w:t>
      </w:r>
      <w:r>
        <w:rPr>
          <w:rFonts w:hint="eastAsia" w:eastAsiaTheme="minorEastAsia"/>
          <w:b/>
          <w:sz w:val="24"/>
          <w:szCs w:val="24"/>
        </w:rPr>
        <w:t>　</w:t>
      </w:r>
      <w:r>
        <w:rPr>
          <w:rFonts w:hint="eastAsia" w:eastAsiaTheme="minorEastAsia"/>
          <w:bCs/>
          <w:sz w:val="24"/>
          <w:szCs w:val="24"/>
        </w:rPr>
        <w:t>随着人们生活水平的提高和居住、办公条件的改善，居住建筑和公共建筑的砌体暗埋管线日趋增多，预留槽洞现象较普遍，严重削弱了墙体的整体性能和受力性能，本条规定力图对这些不良做法予以限制。</w:t>
      </w:r>
    </w:p>
    <w:p>
      <w:pPr>
        <w:tabs>
          <w:tab w:val="left" w:pos="425"/>
          <w:tab w:val="left" w:pos="735"/>
        </w:tabs>
        <w:adjustRightInd w:val="0"/>
        <w:spacing w:line="360" w:lineRule="auto"/>
        <w:outlineLvl w:val="2"/>
        <w:rPr>
          <w:rFonts w:eastAsiaTheme="minorEastAsia"/>
          <w:b/>
          <w:sz w:val="24"/>
          <w:szCs w:val="24"/>
        </w:rPr>
      </w:pPr>
      <w:r>
        <w:rPr>
          <w:rFonts w:hint="eastAsia" w:eastAsiaTheme="minorEastAsia"/>
          <w:b/>
          <w:sz w:val="24"/>
          <w:szCs w:val="24"/>
        </w:rPr>
        <w:t>5</w:t>
      </w:r>
      <w:r>
        <w:rPr>
          <w:rFonts w:eastAsiaTheme="minorEastAsia"/>
          <w:b/>
          <w:sz w:val="24"/>
          <w:szCs w:val="24"/>
        </w:rPr>
        <w:t>.4.4</w:t>
      </w:r>
      <w:r>
        <w:rPr>
          <w:rFonts w:hint="eastAsia" w:eastAsiaTheme="minorEastAsia"/>
          <w:b/>
          <w:sz w:val="24"/>
          <w:szCs w:val="24"/>
        </w:rPr>
        <w:t>　</w:t>
      </w:r>
      <w:r>
        <w:rPr>
          <w:rFonts w:hint="eastAsia" w:eastAsiaTheme="minorEastAsia"/>
          <w:bCs/>
          <w:sz w:val="24"/>
          <w:szCs w:val="24"/>
        </w:rPr>
        <w:t>为了避免通缝，保证模壳砌块砌体结构整体性，并有利于结构承载，本条不仅对组砌方法提出了基本要求，而且针对搭接长度不满足时提出技术处理措施。</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.4.5</w:t>
      </w:r>
      <w:r>
        <w:rPr>
          <w:rFonts w:hint="eastAsia" w:eastAsiaTheme="minorEastAsia"/>
          <w:b/>
          <w:sz w:val="24"/>
          <w:szCs w:val="24"/>
        </w:rPr>
        <w:t>　</w:t>
      </w:r>
      <w:r>
        <w:rPr>
          <w:rFonts w:hint="eastAsia"/>
          <w:sz w:val="24"/>
        </w:rPr>
        <w:t>纵横墙交接处受力大而且复杂，为保证纵横墙协调变形、共同受力，提高该部位的承载能力和抗裂性能，并增强模壳砌块砌体房屋的整体性。本条根据工程经验，提出了纵横墙交接处的灌孔要求。</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.4.6</w:t>
      </w:r>
      <w:r>
        <w:rPr>
          <w:rFonts w:hint="eastAsia" w:eastAsiaTheme="minorEastAsia"/>
          <w:b/>
          <w:sz w:val="24"/>
          <w:szCs w:val="24"/>
        </w:rPr>
        <w:t>　</w:t>
      </w:r>
      <w:r>
        <w:rPr>
          <w:rFonts w:hint="eastAsia"/>
          <w:sz w:val="24"/>
        </w:rPr>
        <w:t>本条提出了挑梁支承面下的模壳砌块砌体设置梁垫和灌实砌块孔洞等减小其局压应力的措施。</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.4.7</w:t>
      </w:r>
      <w:r>
        <w:rPr>
          <w:rFonts w:hint="eastAsia" w:eastAsiaTheme="minorEastAsia"/>
          <w:b/>
          <w:sz w:val="24"/>
          <w:szCs w:val="24"/>
        </w:rPr>
        <w:t>　</w:t>
      </w:r>
      <w:r>
        <w:rPr>
          <w:sz w:val="24"/>
        </w:rPr>
        <w:t>构造柱、圈梁是确保</w:t>
      </w:r>
      <w:r>
        <w:rPr>
          <w:sz w:val="24"/>
          <w:szCs w:val="24"/>
        </w:rPr>
        <w:t>模壳</w:t>
      </w:r>
      <w:r>
        <w:rPr>
          <w:rFonts w:hint="eastAsia"/>
          <w:sz w:val="24"/>
          <w:szCs w:val="24"/>
        </w:rPr>
        <w:t>砌块砌体结构</w:t>
      </w:r>
      <w:r>
        <w:rPr>
          <w:sz w:val="24"/>
        </w:rPr>
        <w:t>整体性的重要构造措施。参照国家现行标准</w:t>
      </w:r>
      <w:r>
        <w:rPr>
          <w:rFonts w:hint="eastAsia"/>
          <w:sz w:val="24"/>
        </w:rPr>
        <w:t>《砌体结构设计规范》G</w:t>
      </w:r>
      <w:r>
        <w:rPr>
          <w:sz w:val="24"/>
        </w:rPr>
        <w:t>B 50003</w:t>
      </w:r>
      <w:r>
        <w:rPr>
          <w:rFonts w:hint="eastAsia"/>
          <w:sz w:val="24"/>
        </w:rPr>
        <w:t>、</w:t>
      </w:r>
      <w:r>
        <w:rPr>
          <w:sz w:val="24"/>
        </w:rPr>
        <w:t>《建筑抗震设计规范》GB 50011、《约束砌体与配筋砌体结构技术规程》JGJ 13的有关规定制定构造柱截面高度和配筋。</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.4.10</w:t>
      </w:r>
      <w:r>
        <w:rPr>
          <w:rFonts w:hint="eastAsia" w:eastAsiaTheme="minorEastAsia"/>
          <w:b/>
          <w:sz w:val="24"/>
          <w:szCs w:val="24"/>
        </w:rPr>
        <w:t>　</w:t>
      </w:r>
      <w:r>
        <w:rPr>
          <w:rFonts w:hint="eastAsia"/>
          <w:sz w:val="24"/>
        </w:rPr>
        <w:t>模壳砌块侧边凹</w:t>
      </w:r>
      <w:r>
        <w:rPr>
          <w:sz w:val="24"/>
        </w:rPr>
        <w:t>槽的构造、构造柱与模壳</w:t>
      </w:r>
      <w:r>
        <w:rPr>
          <w:rFonts w:hint="eastAsia"/>
          <w:sz w:val="24"/>
        </w:rPr>
        <w:t>砌块墙体</w:t>
      </w:r>
      <w:r>
        <w:rPr>
          <w:sz w:val="24"/>
        </w:rPr>
        <w:t>的连接节点，共同形成了模壳</w:t>
      </w:r>
      <w:r>
        <w:rPr>
          <w:rFonts w:hint="eastAsia"/>
          <w:sz w:val="24"/>
        </w:rPr>
        <w:t>砌块墙体</w:t>
      </w:r>
      <w:r>
        <w:rPr>
          <w:sz w:val="24"/>
        </w:rPr>
        <w:t>与构造的可靠连接。</w:t>
      </w:r>
    </w:p>
    <w:p>
      <w:pPr>
        <w:pStyle w:val="46"/>
      </w:pPr>
      <w:bookmarkStart w:id="213" w:name="_Toc149766406"/>
      <w:bookmarkStart w:id="214" w:name="_Toc148994685"/>
      <w:bookmarkStart w:id="215" w:name="_Toc149766348"/>
      <w:r>
        <w:t>5.5　楼盖及楼梯</w:t>
      </w:r>
      <w:bookmarkEnd w:id="213"/>
      <w:bookmarkEnd w:id="214"/>
      <w:bookmarkEnd w:id="215"/>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.5.1</w:t>
      </w:r>
      <w:r>
        <w:rPr>
          <w:rFonts w:hint="eastAsia" w:eastAsiaTheme="minorEastAsia"/>
          <w:b/>
          <w:sz w:val="24"/>
          <w:szCs w:val="24"/>
        </w:rPr>
        <w:t>　</w:t>
      </w:r>
      <w:r>
        <w:rPr>
          <w:sz w:val="24"/>
          <w:szCs w:val="24"/>
        </w:rPr>
        <w:t>现浇楼板、叠合楼板整体性好，为刚性楼盖，与圈梁、构造柱共同形成了具有良好整体性的</w:t>
      </w:r>
      <w:r>
        <w:rPr>
          <w:rFonts w:hint="eastAsia"/>
          <w:sz w:val="24"/>
          <w:szCs w:val="24"/>
        </w:rPr>
        <w:t>约束砌体</w:t>
      </w:r>
      <w:r>
        <w:rPr>
          <w:sz w:val="24"/>
          <w:szCs w:val="24"/>
        </w:rPr>
        <w:t>结构。</w:t>
      </w:r>
    </w:p>
    <w:p>
      <w:pPr>
        <w:tabs>
          <w:tab w:val="left" w:pos="425"/>
          <w:tab w:val="left" w:pos="735"/>
        </w:tabs>
        <w:adjustRightInd w:val="0"/>
        <w:spacing w:line="360" w:lineRule="auto"/>
        <w:outlineLvl w:val="2"/>
        <w:rPr>
          <w:sz w:val="24"/>
          <w:szCs w:val="24"/>
        </w:rPr>
      </w:pPr>
      <w:r>
        <w:rPr>
          <w:rFonts w:hint="eastAsia" w:eastAsiaTheme="minorEastAsia"/>
          <w:b/>
          <w:sz w:val="24"/>
          <w:szCs w:val="24"/>
        </w:rPr>
        <w:t>5</w:t>
      </w:r>
      <w:r>
        <w:rPr>
          <w:rFonts w:eastAsiaTheme="minorEastAsia"/>
          <w:b/>
          <w:sz w:val="24"/>
          <w:szCs w:val="24"/>
        </w:rPr>
        <w:t>.5.2</w:t>
      </w:r>
      <w:r>
        <w:rPr>
          <w:rFonts w:hint="eastAsia" w:eastAsiaTheme="minorEastAsia"/>
          <w:b/>
          <w:sz w:val="24"/>
          <w:szCs w:val="24"/>
        </w:rPr>
        <w:t>　</w:t>
      </w:r>
      <w:r>
        <w:rPr>
          <w:sz w:val="24"/>
          <w:szCs w:val="24"/>
        </w:rPr>
        <w:t>边缘叠合板本质上仍为一种叠合板，因此板</w:t>
      </w:r>
      <w:r>
        <w:rPr>
          <w:rFonts w:hint="eastAsia"/>
          <w:sz w:val="24"/>
          <w:szCs w:val="24"/>
        </w:rPr>
        <w:t>间</w:t>
      </w:r>
      <w:r>
        <w:rPr>
          <w:sz w:val="24"/>
          <w:szCs w:val="24"/>
        </w:rPr>
        <w:t>、楼板与支座的连接节点等仍按照现行行业标准《装配式混凝土结构技术规程》JGJ 1有关规定进行设计。</w:t>
      </w:r>
    </w:p>
    <w:p>
      <w:pPr>
        <w:tabs>
          <w:tab w:val="left" w:pos="425"/>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.5.3</w:t>
      </w:r>
      <w:r>
        <w:rPr>
          <w:rFonts w:hint="eastAsia" w:eastAsiaTheme="minorEastAsia"/>
          <w:b/>
          <w:sz w:val="24"/>
          <w:szCs w:val="24"/>
        </w:rPr>
        <w:t>　</w:t>
      </w:r>
      <w:r>
        <w:rPr>
          <w:sz w:val="24"/>
          <w:szCs w:val="24"/>
        </w:rPr>
        <w:t>边缘的最小厚度要求与叠合板预制底板的要求一致。位于板侧支座的叠合区，为保证圈梁与叠合板的整体性，叠合区宽度不应过小；位于整体式接缝的叠合区，由于有后浇带的存在，叠合区的宽度可略降低。</w:t>
      </w:r>
    </w:p>
    <w:p>
      <w:pPr>
        <w:pStyle w:val="2"/>
      </w:pPr>
      <w:r>
        <w:t>边缘叠合板涉及专利</w:t>
      </w:r>
      <w:r>
        <w:rPr>
          <w:rFonts w:asciiTheme="minorEastAsia" w:hAnsiTheme="minorEastAsia" w:eastAsiaTheme="minorEastAsia"/>
        </w:rPr>
        <w:t>“</w:t>
      </w:r>
      <w:r>
        <w:t>一种预制叠合板</w:t>
      </w:r>
      <w:r>
        <w:rPr>
          <w:rFonts w:asciiTheme="minorEastAsia" w:hAnsiTheme="minorEastAsia" w:eastAsiaTheme="minorEastAsia"/>
        </w:rPr>
        <w:t>”</w:t>
      </w:r>
      <w:r>
        <w:t>（专利号：ZL202021222946.X）。</w:t>
      </w:r>
    </w:p>
    <w:p>
      <w:pPr>
        <w:spacing w:line="360" w:lineRule="auto"/>
      </w:pPr>
      <w:r>
        <w:rPr>
          <w:b/>
          <w:bCs/>
          <w:sz w:val="24"/>
          <w:szCs w:val="24"/>
        </w:rPr>
        <w:t>5.5.4、5.5.5</w:t>
      </w:r>
      <w:r>
        <w:rPr>
          <w:rFonts w:eastAsiaTheme="minorEastAsia"/>
          <w:b/>
          <w:sz w:val="24"/>
          <w:szCs w:val="24"/>
        </w:rPr>
        <w:t>　</w:t>
      </w:r>
      <w:r>
        <w:rPr>
          <w:sz w:val="24"/>
          <w:szCs w:val="24"/>
        </w:rPr>
        <w:t>相邻边缘叠合板之间接缝构造参照现行行业标准《装配式混凝土结构技术规程》JGJ 1的有关规定制定。整体式接缝设置后浇带，板下部钢筋搭接，板上部钢筋无法贯通，因此也采用搭接的形式；分离式接缝楼板密拼、设置附加钢筋，板上部钢筋无法贯通，因此采用搭接的形式。</w:t>
      </w:r>
    </w:p>
    <w:p>
      <w:pPr>
        <w:spacing w:line="360" w:lineRule="auto"/>
      </w:pPr>
      <w:r>
        <w:rPr>
          <w:b/>
          <w:bCs/>
          <w:sz w:val="24"/>
          <w:szCs w:val="24"/>
        </w:rPr>
        <w:t>5.5.6、5.5.7</w:t>
      </w:r>
      <w:r>
        <w:rPr>
          <w:rFonts w:eastAsiaTheme="minorEastAsia"/>
          <w:b/>
          <w:sz w:val="24"/>
          <w:szCs w:val="24"/>
        </w:rPr>
        <w:t>　</w:t>
      </w:r>
      <w:r>
        <w:rPr>
          <w:sz w:val="24"/>
          <w:szCs w:val="24"/>
        </w:rPr>
        <w:t>板端支座、板侧支座与现行协会标准</w:t>
      </w:r>
      <w:r>
        <w:rPr>
          <w:sz w:val="24"/>
        </w:rPr>
        <w:t>《钢筋桁架混凝土叠合板应用技术规程》T/CECS 715</w:t>
      </w:r>
      <w:r>
        <w:rPr>
          <w:sz w:val="24"/>
          <w:szCs w:val="24"/>
        </w:rPr>
        <w:t>中对应的支座构造形式基本一致。</w:t>
      </w:r>
    </w:p>
    <w:p>
      <w:pPr>
        <w:tabs>
          <w:tab w:val="left" w:pos="425"/>
          <w:tab w:val="left" w:pos="567"/>
          <w:tab w:val="left" w:pos="735"/>
        </w:tabs>
        <w:adjustRightInd w:val="0"/>
        <w:spacing w:line="360" w:lineRule="auto"/>
        <w:outlineLvl w:val="2"/>
        <w:rPr>
          <w:sz w:val="24"/>
        </w:rPr>
      </w:pPr>
      <w:r>
        <w:rPr>
          <w:rFonts w:hint="eastAsia" w:eastAsiaTheme="minorEastAsia"/>
          <w:b/>
          <w:sz w:val="24"/>
          <w:szCs w:val="24"/>
        </w:rPr>
        <w:t>5</w:t>
      </w:r>
      <w:r>
        <w:rPr>
          <w:rFonts w:eastAsiaTheme="minorEastAsia"/>
          <w:b/>
          <w:sz w:val="24"/>
          <w:szCs w:val="24"/>
        </w:rPr>
        <w:t>.5.9</w:t>
      </w:r>
      <w:r>
        <w:rPr>
          <w:rFonts w:hint="eastAsia" w:eastAsiaTheme="minorEastAsia"/>
          <w:b/>
          <w:sz w:val="24"/>
          <w:szCs w:val="24"/>
        </w:rPr>
        <w:t>　</w:t>
      </w:r>
      <w:r>
        <w:rPr>
          <w:sz w:val="24"/>
          <w:szCs w:val="24"/>
        </w:rPr>
        <w:t>为保证空调板、阳台板根部接缝的抗弯承载力，相邻板块的叠合区宽度需满足空调板、阳台板板顶部负弯矩钢筋的锚固长度等要求。空调板、阳台板相邻板块楼板根据实际情况亦可采用钢筋桁架叠合板、现浇楼板等。</w:t>
      </w:r>
    </w:p>
    <w:p>
      <w:pPr>
        <w:adjustRightInd w:val="0"/>
        <w:snapToGrid w:val="0"/>
        <w:spacing w:line="360" w:lineRule="auto"/>
        <w:rPr>
          <w:spacing w:val="4"/>
          <w:kern w:val="0"/>
          <w:sz w:val="24"/>
          <w:szCs w:val="21"/>
        </w:rPr>
      </w:pPr>
    </w:p>
    <w:p>
      <w:pPr>
        <w:widowControl/>
        <w:adjustRightInd w:val="0"/>
        <w:snapToGrid w:val="0"/>
        <w:spacing w:line="360" w:lineRule="auto"/>
        <w:ind w:firstLine="496" w:firstLineChars="200"/>
        <w:jc w:val="left"/>
        <w:rPr>
          <w:spacing w:val="4"/>
          <w:kern w:val="0"/>
          <w:sz w:val="24"/>
          <w:szCs w:val="21"/>
        </w:rPr>
        <w:sectPr>
          <w:pgSz w:w="11907" w:h="16839"/>
          <w:pgMar w:top="1440" w:right="1800" w:bottom="1440" w:left="1800" w:header="851" w:footer="992" w:gutter="0"/>
          <w:cols w:space="425" w:num="1"/>
          <w:docGrid w:type="lines" w:linePitch="312" w:charSpace="0"/>
        </w:sectPr>
      </w:pPr>
    </w:p>
    <w:p>
      <w:pPr>
        <w:pStyle w:val="45"/>
        <w:spacing w:before="312" w:after="312"/>
        <w:rPr>
          <w:rFonts w:eastAsiaTheme="minorEastAsia"/>
          <w:sz w:val="32"/>
        </w:rPr>
      </w:pPr>
      <w:bookmarkStart w:id="216" w:name="_Toc149766407"/>
      <w:bookmarkStart w:id="217" w:name="_Toc148994686"/>
      <w:bookmarkStart w:id="218" w:name="_Toc149766349"/>
      <w:r>
        <w:rPr>
          <w:rFonts w:eastAsiaTheme="minorEastAsia"/>
          <w:sz w:val="32"/>
        </w:rPr>
        <w:t>6</w:t>
      </w:r>
      <w:r>
        <w:rPr>
          <w:rFonts w:hint="eastAsia" w:eastAsiaTheme="minorEastAsia"/>
          <w:sz w:val="32"/>
        </w:rPr>
        <w:t>　模壳砌块制作与运输</w:t>
      </w:r>
    </w:p>
    <w:p>
      <w:pPr>
        <w:pStyle w:val="81"/>
        <w:tabs>
          <w:tab w:val="left" w:pos="735"/>
        </w:tabs>
        <w:adjustRightInd w:val="0"/>
        <w:spacing w:line="360" w:lineRule="auto"/>
        <w:ind w:firstLine="0" w:firstLineChars="0"/>
        <w:outlineLvl w:val="2"/>
        <w:rPr>
          <w:rFonts w:ascii="Times New Roman" w:hAnsi="Times New Roman"/>
          <w:sz w:val="24"/>
        </w:rPr>
      </w:pPr>
      <w:r>
        <w:rPr>
          <w:rFonts w:ascii="Times New Roman" w:hAnsi="Times New Roman"/>
          <w:b/>
          <w:sz w:val="24"/>
        </w:rPr>
        <w:t>6.0.1</w:t>
      </w:r>
      <w:r>
        <w:rPr>
          <w:rFonts w:hint="eastAsia" w:ascii="Times New Roman" w:hAnsi="Times New Roman"/>
          <w:sz w:val="24"/>
        </w:rPr>
        <w:t>　模壳砌块类型可分为标砖、半砖配砖、标砖配砖，分为孔腔是否内置保温材料、模壳砌块横肋是否设置弓形构造等类型。</w:t>
      </w:r>
    </w:p>
    <w:p>
      <w:pPr>
        <w:pStyle w:val="81"/>
        <w:tabs>
          <w:tab w:val="left" w:pos="735"/>
        </w:tabs>
        <w:adjustRightInd w:val="0"/>
        <w:spacing w:line="360" w:lineRule="auto"/>
        <w:ind w:firstLine="0" w:firstLineChars="0"/>
        <w:outlineLvl w:val="2"/>
        <w:rPr>
          <w:rFonts w:ascii="Times New Roman" w:hAnsi="Times New Roman"/>
          <w:sz w:val="24"/>
        </w:rPr>
      </w:pPr>
      <w:r>
        <w:rPr>
          <w:rFonts w:hint="eastAsia" w:ascii="Times New Roman" w:hAnsi="Times New Roman"/>
          <w:b/>
          <w:sz w:val="24"/>
        </w:rPr>
        <w:t>6</w:t>
      </w:r>
      <w:r>
        <w:rPr>
          <w:rFonts w:ascii="Times New Roman" w:hAnsi="Times New Roman"/>
          <w:b/>
          <w:sz w:val="24"/>
        </w:rPr>
        <w:t>.0.2</w:t>
      </w:r>
      <w:r>
        <w:rPr>
          <w:rFonts w:hint="eastAsia" w:ascii="Times New Roman" w:hAnsi="Times New Roman"/>
          <w:sz w:val="24"/>
        </w:rPr>
        <w:t>　模壳砌块孔洞率和对孔率影响灌芯砌块砌体的强度，因此应对模壳砌块复检孔洞率和对孔率，使其符合设计要求。现行国家标准《普通混凝土小型砌块》</w:t>
      </w:r>
      <w:r>
        <w:rPr>
          <w:rFonts w:ascii="Times New Roman" w:hAnsi="Times New Roman"/>
          <w:sz w:val="24"/>
        </w:rPr>
        <w:t>GB/T 8239</w:t>
      </w:r>
      <w:r>
        <w:rPr>
          <w:rFonts w:hint="eastAsia" w:ascii="Times New Roman" w:hAnsi="Times New Roman"/>
          <w:sz w:val="24"/>
        </w:rPr>
        <w:t>对砌块的质量进行了详细规定，但对砌块的孔洞率并没有针对模壳砌块砌体结构做相应规定，仅是按孔洞率</w:t>
      </w:r>
      <w:r>
        <w:rPr>
          <w:rFonts w:ascii="Times New Roman" w:hAnsi="Times New Roman"/>
          <w:sz w:val="24"/>
        </w:rPr>
        <w:t xml:space="preserve">25% </w:t>
      </w:r>
      <w:r>
        <w:rPr>
          <w:rFonts w:hint="eastAsia" w:ascii="Times New Roman" w:hAnsi="Times New Roman"/>
          <w:sz w:val="24"/>
        </w:rPr>
        <w:t>进行了实心、空心的分类。过小的孔洞对插入钢筋、振捣混凝土、灌孔混凝土密实性等有显著的影响，</w:t>
      </w:r>
      <w:r>
        <w:rPr>
          <w:rFonts w:ascii="Times New Roman" w:hAnsi="Times New Roman"/>
          <w:sz w:val="24"/>
        </w:rPr>
        <w:t>45%</w:t>
      </w:r>
      <w:r>
        <w:rPr>
          <w:rFonts w:hint="eastAsia" w:ascii="Times New Roman" w:hAnsi="Times New Roman"/>
          <w:sz w:val="24"/>
        </w:rPr>
        <w:t>左右的孔洞率在使用时基本满足这些要求，在砌块生产时难度也不大。</w:t>
      </w:r>
    </w:p>
    <w:p>
      <w:pPr>
        <w:pStyle w:val="81"/>
        <w:tabs>
          <w:tab w:val="left" w:pos="735"/>
        </w:tabs>
        <w:adjustRightInd w:val="0"/>
        <w:spacing w:line="360" w:lineRule="auto"/>
        <w:ind w:firstLine="0" w:firstLineChars="0"/>
        <w:outlineLvl w:val="2"/>
        <w:rPr>
          <w:rFonts w:ascii="Times New Roman" w:hAnsi="Times New Roman"/>
          <w:sz w:val="24"/>
        </w:rPr>
      </w:pPr>
      <w:r>
        <w:rPr>
          <w:rFonts w:hint="eastAsia" w:ascii="Times New Roman" w:hAnsi="Times New Roman" w:eastAsiaTheme="minorEastAsia"/>
          <w:b/>
          <w:sz w:val="24"/>
          <w:szCs w:val="24"/>
        </w:rPr>
        <w:t>6</w:t>
      </w:r>
      <w:r>
        <w:rPr>
          <w:rFonts w:ascii="Times New Roman" w:hAnsi="Times New Roman" w:eastAsiaTheme="minorEastAsia"/>
          <w:b/>
          <w:sz w:val="24"/>
          <w:szCs w:val="24"/>
        </w:rPr>
        <w:t>.0.5</w:t>
      </w:r>
      <w:r>
        <w:rPr>
          <w:rFonts w:hint="eastAsia" w:ascii="Times New Roman" w:hAnsi="Times New Roman" w:eastAsiaTheme="minorEastAsia"/>
          <w:b/>
          <w:sz w:val="24"/>
          <w:szCs w:val="24"/>
        </w:rPr>
        <w:t>　</w:t>
      </w:r>
      <w:r>
        <w:rPr>
          <w:rFonts w:hint="eastAsia" w:ascii="Times New Roman" w:hAnsi="Times New Roman"/>
          <w:sz w:val="24"/>
        </w:rPr>
        <w:t>预制模壳砌块墙体通过自身截面形状和施工砌筑工艺，能较好保证施工过程中的抗倾覆性能，是减小施工过程支撑数量的合理方法。</w:t>
      </w:r>
    </w:p>
    <w:p>
      <w:pPr>
        <w:pStyle w:val="81"/>
        <w:tabs>
          <w:tab w:val="left" w:pos="735"/>
        </w:tabs>
        <w:adjustRightInd w:val="0"/>
        <w:spacing w:line="360" w:lineRule="auto"/>
        <w:ind w:firstLine="0" w:firstLineChars="0"/>
        <w:outlineLvl w:val="2"/>
        <w:rPr>
          <w:rFonts w:ascii="Times New Roman" w:hAnsi="Times New Roman"/>
          <w:bCs/>
          <w:sz w:val="24"/>
        </w:rPr>
      </w:pPr>
      <w:r>
        <w:rPr>
          <w:rFonts w:ascii="Times New Roman" w:hAnsi="Times New Roman" w:eastAsiaTheme="minorEastAsia"/>
          <w:b/>
          <w:sz w:val="24"/>
          <w:szCs w:val="24"/>
        </w:rPr>
        <w:t>6.0.6</w:t>
      </w:r>
      <w:r>
        <w:rPr>
          <w:rFonts w:hint="eastAsia" w:ascii="Times New Roman" w:hAnsi="Times New Roman" w:eastAsiaTheme="minorEastAsia"/>
          <w:b/>
          <w:sz w:val="24"/>
          <w:szCs w:val="24"/>
        </w:rPr>
        <w:t>　</w:t>
      </w:r>
      <w:r>
        <w:rPr>
          <w:rFonts w:hint="eastAsia" w:ascii="Times New Roman" w:hAnsi="Times New Roman" w:eastAsiaTheme="minorEastAsia"/>
          <w:bCs/>
          <w:sz w:val="24"/>
          <w:szCs w:val="24"/>
        </w:rPr>
        <w:t>通过清理模具，可保证模壳砌块成型后外观质量满足本规范</w:t>
      </w:r>
      <w:r>
        <w:rPr>
          <w:rFonts w:ascii="Times New Roman" w:hAnsi="Times New Roman" w:eastAsiaTheme="minorEastAsia"/>
          <w:bCs/>
          <w:sz w:val="24"/>
          <w:szCs w:val="24"/>
        </w:rPr>
        <w:t>6.0.12</w:t>
      </w:r>
      <w:r>
        <w:rPr>
          <w:rFonts w:hint="eastAsia" w:ascii="Times New Roman" w:hAnsi="Times New Roman" w:eastAsiaTheme="minorEastAsia"/>
          <w:bCs/>
          <w:sz w:val="24"/>
          <w:szCs w:val="24"/>
        </w:rPr>
        <w:t>条的要求。</w:t>
      </w:r>
    </w:p>
    <w:p>
      <w:pPr>
        <w:pStyle w:val="81"/>
        <w:tabs>
          <w:tab w:val="left" w:pos="735"/>
        </w:tabs>
        <w:adjustRightInd w:val="0"/>
        <w:spacing w:line="360" w:lineRule="auto"/>
        <w:ind w:firstLine="0" w:firstLineChars="0"/>
        <w:outlineLvl w:val="2"/>
        <w:rPr>
          <w:rFonts w:ascii="Times New Roman" w:hAnsi="Times New Roman"/>
          <w:bCs/>
          <w:sz w:val="24"/>
        </w:rPr>
      </w:pPr>
      <w:r>
        <w:rPr>
          <w:rFonts w:ascii="Times New Roman" w:hAnsi="Times New Roman" w:eastAsiaTheme="minorEastAsia"/>
          <w:b/>
          <w:sz w:val="24"/>
          <w:szCs w:val="24"/>
        </w:rPr>
        <w:t>6.0.7</w:t>
      </w:r>
      <w:r>
        <w:rPr>
          <w:rFonts w:hint="eastAsia" w:ascii="Times New Roman" w:hAnsi="Times New Roman" w:eastAsiaTheme="minorEastAsia"/>
          <w:b/>
          <w:sz w:val="24"/>
          <w:szCs w:val="24"/>
        </w:rPr>
        <w:t>　</w:t>
      </w:r>
      <w:r>
        <w:rPr>
          <w:rFonts w:hint="eastAsia" w:ascii="Times New Roman" w:hAnsi="Times New Roman" w:eastAsiaTheme="minorEastAsia"/>
          <w:bCs/>
          <w:sz w:val="24"/>
          <w:szCs w:val="24"/>
        </w:rPr>
        <w:t>喷涂脱膜剂可便于模壳砌块成型后顺利脱模。</w:t>
      </w:r>
    </w:p>
    <w:p>
      <w:pPr>
        <w:pStyle w:val="81"/>
        <w:tabs>
          <w:tab w:val="left" w:pos="735"/>
        </w:tabs>
        <w:adjustRightInd w:val="0"/>
        <w:spacing w:line="360" w:lineRule="auto"/>
        <w:ind w:firstLine="0" w:firstLineChars="0"/>
        <w:outlineLvl w:val="2"/>
        <w:rPr>
          <w:rFonts w:ascii="Times New Roman" w:hAnsi="Times New Roman"/>
          <w:bCs/>
          <w:sz w:val="24"/>
        </w:rPr>
      </w:pPr>
      <w:r>
        <w:rPr>
          <w:rFonts w:hint="eastAsia" w:ascii="Times New Roman" w:hAnsi="Times New Roman" w:eastAsiaTheme="minorEastAsia"/>
          <w:b/>
          <w:sz w:val="24"/>
          <w:szCs w:val="24"/>
        </w:rPr>
        <w:t>6</w:t>
      </w:r>
      <w:r>
        <w:rPr>
          <w:rFonts w:ascii="Times New Roman" w:hAnsi="Times New Roman" w:eastAsiaTheme="minorEastAsia"/>
          <w:b/>
          <w:sz w:val="24"/>
          <w:szCs w:val="24"/>
        </w:rPr>
        <w:t>.0.8</w:t>
      </w:r>
      <w:r>
        <w:rPr>
          <w:rFonts w:hint="eastAsia" w:ascii="Times New Roman" w:hAnsi="Times New Roman" w:eastAsiaTheme="minorEastAsia"/>
          <w:b/>
          <w:sz w:val="24"/>
          <w:szCs w:val="24"/>
        </w:rPr>
        <w:t>　</w:t>
      </w:r>
      <w:r>
        <w:rPr>
          <w:rFonts w:hint="eastAsia" w:ascii="Times New Roman" w:hAnsi="Times New Roman" w:eastAsiaTheme="minorEastAsia"/>
          <w:bCs/>
          <w:sz w:val="24"/>
          <w:szCs w:val="24"/>
        </w:rPr>
        <w:t>根据主编单位生产经验，蒸养养护温度宜不低于5</w:t>
      </w:r>
      <w:r>
        <w:rPr>
          <w:rFonts w:ascii="Times New Roman" w:hAnsi="Times New Roman" w:eastAsiaTheme="minorEastAsia"/>
          <w:bCs/>
          <w:sz w:val="24"/>
          <w:szCs w:val="24"/>
        </w:rPr>
        <w:t>0℃，且不高于60℃</w:t>
      </w:r>
      <w:r>
        <w:rPr>
          <w:rFonts w:hint="eastAsia" w:ascii="Times New Roman" w:hAnsi="Times New Roman" w:eastAsiaTheme="minorEastAsia"/>
          <w:bCs/>
          <w:sz w:val="24"/>
          <w:szCs w:val="24"/>
        </w:rPr>
        <w:t>。</w:t>
      </w:r>
    </w:p>
    <w:p>
      <w:pPr>
        <w:tabs>
          <w:tab w:val="left" w:pos="735"/>
        </w:tabs>
        <w:adjustRightInd w:val="0"/>
        <w:spacing w:line="360" w:lineRule="auto"/>
        <w:outlineLvl w:val="2"/>
        <w:rPr>
          <w:bCs/>
          <w:sz w:val="24"/>
        </w:rPr>
      </w:pPr>
      <w:r>
        <w:rPr>
          <w:rFonts w:hint="eastAsia" w:eastAsiaTheme="minorEastAsia"/>
          <w:b/>
          <w:sz w:val="24"/>
          <w:szCs w:val="24"/>
        </w:rPr>
        <w:t>6</w:t>
      </w:r>
      <w:r>
        <w:rPr>
          <w:rFonts w:eastAsiaTheme="minorEastAsia"/>
          <w:b/>
          <w:sz w:val="24"/>
          <w:szCs w:val="24"/>
        </w:rPr>
        <w:t>.0.9</w:t>
      </w:r>
      <w:r>
        <w:rPr>
          <w:rFonts w:hint="eastAsia" w:eastAsiaTheme="minorEastAsia"/>
          <w:b/>
          <w:sz w:val="24"/>
          <w:szCs w:val="24"/>
        </w:rPr>
        <w:t>　</w:t>
      </w:r>
      <w:r>
        <w:rPr>
          <w:rFonts w:hint="eastAsia" w:eastAsiaTheme="minorEastAsia"/>
          <w:bCs/>
          <w:sz w:val="24"/>
          <w:szCs w:val="24"/>
        </w:rPr>
        <w:t>模壳拆除应注意对模壳砌块的保护，以满足本规范</w:t>
      </w:r>
      <w:r>
        <w:rPr>
          <w:rFonts w:eastAsiaTheme="minorEastAsia"/>
          <w:bCs/>
          <w:sz w:val="24"/>
          <w:szCs w:val="24"/>
        </w:rPr>
        <w:t>6.0.12</w:t>
      </w:r>
      <w:r>
        <w:rPr>
          <w:rFonts w:hint="eastAsia" w:eastAsiaTheme="minorEastAsia"/>
          <w:bCs/>
          <w:sz w:val="24"/>
          <w:szCs w:val="24"/>
        </w:rPr>
        <w:t>条外观检查的要求。</w:t>
      </w:r>
    </w:p>
    <w:p>
      <w:pPr>
        <w:pStyle w:val="81"/>
        <w:tabs>
          <w:tab w:val="left" w:pos="735"/>
        </w:tabs>
        <w:adjustRightInd w:val="0"/>
        <w:spacing w:line="360" w:lineRule="auto"/>
        <w:ind w:firstLine="0" w:firstLineChars="0"/>
        <w:outlineLvl w:val="2"/>
        <w:rPr>
          <w:rFonts w:ascii="Times New Roman" w:hAnsi="Times New Roman"/>
          <w:sz w:val="24"/>
        </w:rPr>
      </w:pPr>
      <w:r>
        <w:rPr>
          <w:rFonts w:ascii="Times New Roman" w:hAnsi="Times New Roman" w:eastAsiaTheme="minorEastAsia"/>
          <w:b/>
          <w:sz w:val="24"/>
          <w:szCs w:val="24"/>
        </w:rPr>
        <w:t>6.0.10</w:t>
      </w:r>
      <w:r>
        <w:rPr>
          <w:rFonts w:hint="eastAsia" w:ascii="Times New Roman" w:hAnsi="Times New Roman" w:eastAsiaTheme="minorEastAsia"/>
          <w:b/>
          <w:sz w:val="24"/>
          <w:szCs w:val="24"/>
        </w:rPr>
        <w:t>　</w:t>
      </w:r>
      <w:r>
        <w:rPr>
          <w:rFonts w:hint="eastAsia" w:ascii="Times New Roman" w:hAnsi="Times New Roman"/>
          <w:sz w:val="24"/>
        </w:rPr>
        <w:t>需要尽量减少运输过程中模壳砌块的磕碰，使模壳砌块处于码垛绑扎状态，运输时检查绑扎系统的张紧程度和完好性，以保证模壳砌块的质量。</w:t>
      </w:r>
    </w:p>
    <w:p>
      <w:pPr>
        <w:pStyle w:val="81"/>
        <w:tabs>
          <w:tab w:val="left" w:pos="735"/>
        </w:tabs>
        <w:adjustRightInd w:val="0"/>
        <w:spacing w:line="360" w:lineRule="auto"/>
        <w:ind w:firstLine="0" w:firstLineChars="0"/>
        <w:outlineLvl w:val="2"/>
        <w:rPr>
          <w:rFonts w:ascii="Times New Roman" w:hAnsi="Times New Roman"/>
          <w:bCs/>
          <w:sz w:val="24"/>
        </w:rPr>
      </w:pPr>
      <w:r>
        <w:rPr>
          <w:rFonts w:hint="eastAsia" w:ascii="Times New Roman" w:hAnsi="Times New Roman" w:eastAsiaTheme="minorEastAsia"/>
          <w:b/>
          <w:sz w:val="24"/>
          <w:szCs w:val="24"/>
        </w:rPr>
        <w:t>6</w:t>
      </w:r>
      <w:r>
        <w:rPr>
          <w:rFonts w:ascii="Times New Roman" w:hAnsi="Times New Roman" w:eastAsiaTheme="minorEastAsia"/>
          <w:b/>
          <w:sz w:val="24"/>
          <w:szCs w:val="24"/>
        </w:rPr>
        <w:t>.0.11</w:t>
      </w:r>
      <w:r>
        <w:rPr>
          <w:rFonts w:hint="eastAsia" w:ascii="Times New Roman" w:hAnsi="Times New Roman" w:eastAsiaTheme="minorEastAsia"/>
          <w:b/>
          <w:sz w:val="24"/>
          <w:szCs w:val="24"/>
        </w:rPr>
        <w:t>　</w:t>
      </w:r>
      <w:r>
        <w:rPr>
          <w:rFonts w:hint="eastAsia" w:ascii="Times New Roman" w:hAnsi="Times New Roman" w:eastAsiaTheme="minorEastAsia"/>
          <w:bCs/>
          <w:sz w:val="24"/>
          <w:szCs w:val="24"/>
        </w:rPr>
        <w:t>宜采用保护垫块或专用式附套件进行保护。</w:t>
      </w:r>
    </w:p>
    <w:p>
      <w:pPr>
        <w:pStyle w:val="81"/>
        <w:tabs>
          <w:tab w:val="left" w:pos="735"/>
        </w:tabs>
        <w:adjustRightInd w:val="0"/>
        <w:spacing w:line="360" w:lineRule="auto"/>
        <w:ind w:firstLine="0" w:firstLineChars="0"/>
        <w:outlineLvl w:val="2"/>
        <w:rPr>
          <w:rFonts w:ascii="Times New Roman" w:hAnsi="Times New Roman"/>
          <w:bCs/>
          <w:sz w:val="24"/>
        </w:rPr>
      </w:pPr>
      <w:r>
        <w:rPr>
          <w:rFonts w:hint="eastAsia" w:ascii="Times New Roman" w:hAnsi="Times New Roman" w:eastAsiaTheme="minorEastAsia"/>
          <w:b/>
          <w:sz w:val="24"/>
          <w:szCs w:val="24"/>
        </w:rPr>
        <w:t>6</w:t>
      </w:r>
      <w:r>
        <w:rPr>
          <w:rFonts w:ascii="Times New Roman" w:hAnsi="Times New Roman" w:eastAsiaTheme="minorEastAsia"/>
          <w:b/>
          <w:sz w:val="24"/>
          <w:szCs w:val="24"/>
        </w:rPr>
        <w:t>.0.12</w:t>
      </w:r>
      <w:r>
        <w:rPr>
          <w:rFonts w:hint="eastAsia" w:ascii="Times New Roman" w:hAnsi="Times New Roman" w:eastAsiaTheme="minorEastAsia"/>
          <w:b/>
          <w:sz w:val="24"/>
          <w:szCs w:val="24"/>
        </w:rPr>
        <w:t>　</w:t>
      </w:r>
      <w:r>
        <w:rPr>
          <w:rFonts w:hint="eastAsia" w:ascii="Times New Roman" w:hAnsi="Times New Roman" w:eastAsiaTheme="minorEastAsia"/>
          <w:bCs/>
          <w:sz w:val="24"/>
          <w:szCs w:val="24"/>
        </w:rPr>
        <w:t>本条外观检查规定外，可借助检测尺、直角拐尺等检测工具进行检测。</w:t>
      </w:r>
    </w:p>
    <w:p>
      <w:pPr>
        <w:pStyle w:val="81"/>
        <w:tabs>
          <w:tab w:val="left" w:pos="735"/>
        </w:tabs>
        <w:adjustRightInd w:val="0"/>
        <w:spacing w:line="360" w:lineRule="auto"/>
        <w:ind w:firstLine="0" w:firstLineChars="0"/>
        <w:outlineLvl w:val="2"/>
        <w:rPr>
          <w:rFonts w:ascii="Times New Roman" w:hAnsi="Times New Roman"/>
          <w:bCs/>
          <w:sz w:val="24"/>
        </w:rPr>
      </w:pPr>
      <w:r>
        <w:rPr>
          <w:rFonts w:ascii="Times New Roman" w:hAnsi="Times New Roman" w:eastAsiaTheme="minorEastAsia"/>
          <w:b/>
          <w:sz w:val="24"/>
          <w:szCs w:val="24"/>
        </w:rPr>
        <w:t>6.0.13</w:t>
      </w:r>
      <w:r>
        <w:rPr>
          <w:rFonts w:hint="eastAsia" w:ascii="Times New Roman" w:hAnsi="Times New Roman" w:eastAsiaTheme="minorEastAsia"/>
          <w:b/>
          <w:sz w:val="24"/>
          <w:szCs w:val="24"/>
        </w:rPr>
        <w:t>　</w:t>
      </w:r>
      <w:r>
        <w:rPr>
          <w:rFonts w:hint="eastAsia" w:ascii="Times New Roman" w:hAnsi="Times New Roman" w:eastAsiaTheme="minorEastAsia"/>
          <w:bCs/>
          <w:sz w:val="24"/>
          <w:szCs w:val="24"/>
        </w:rPr>
        <w:t>模壳砌块堆置后，应及时做好现场标识，防止受到破坏。</w:t>
      </w:r>
    </w:p>
    <w:p>
      <w:pPr>
        <w:pStyle w:val="81"/>
        <w:tabs>
          <w:tab w:val="left" w:pos="735"/>
        </w:tabs>
        <w:adjustRightInd w:val="0"/>
        <w:spacing w:line="360" w:lineRule="auto"/>
        <w:ind w:firstLine="0" w:firstLineChars="0"/>
        <w:outlineLvl w:val="2"/>
        <w:rPr>
          <w:rFonts w:ascii="Times New Roman" w:hAnsi="Times New Roman"/>
          <w:sz w:val="24"/>
        </w:rPr>
      </w:pPr>
      <w:r>
        <w:rPr>
          <w:rFonts w:ascii="Times New Roman" w:hAnsi="Times New Roman" w:eastAsiaTheme="minorEastAsia"/>
          <w:b/>
          <w:sz w:val="24"/>
          <w:szCs w:val="24"/>
        </w:rPr>
        <w:t>6.0.14</w:t>
      </w:r>
      <w:r>
        <w:rPr>
          <w:rFonts w:hint="eastAsia" w:ascii="Times New Roman" w:hAnsi="Times New Roman" w:eastAsiaTheme="minorEastAsia"/>
          <w:b/>
          <w:sz w:val="24"/>
          <w:szCs w:val="24"/>
        </w:rPr>
        <w:t>　</w:t>
      </w:r>
      <w:r>
        <w:rPr>
          <w:rFonts w:hint="eastAsia" w:ascii="Times New Roman" w:hAnsi="Times New Roman"/>
          <w:sz w:val="24"/>
        </w:rPr>
        <w:t>不同强度等级的砌块分别覆盖堆放，有利于提高砌筑时模壳砌块供应的效率。</w:t>
      </w:r>
    </w:p>
    <w:p>
      <w:pPr>
        <w:tabs>
          <w:tab w:val="left" w:pos="735"/>
        </w:tabs>
        <w:adjustRightInd w:val="0"/>
        <w:spacing w:line="360" w:lineRule="auto"/>
        <w:outlineLvl w:val="2"/>
        <w:rPr>
          <w:sz w:val="24"/>
          <w:szCs w:val="24"/>
        </w:rPr>
      </w:pPr>
      <w:r>
        <w:rPr>
          <w:rFonts w:hint="eastAsia" w:eastAsiaTheme="minorEastAsia"/>
          <w:b/>
          <w:sz w:val="24"/>
          <w:szCs w:val="24"/>
        </w:rPr>
        <w:t>6</w:t>
      </w:r>
      <w:r>
        <w:rPr>
          <w:rFonts w:eastAsiaTheme="minorEastAsia"/>
          <w:b/>
          <w:sz w:val="24"/>
          <w:szCs w:val="24"/>
        </w:rPr>
        <w:t>.0.15</w:t>
      </w:r>
      <w:r>
        <w:rPr>
          <w:rFonts w:hint="eastAsia" w:eastAsiaTheme="minorEastAsia"/>
          <w:b/>
          <w:sz w:val="24"/>
          <w:szCs w:val="24"/>
        </w:rPr>
        <w:t>　</w:t>
      </w:r>
      <w:r>
        <w:rPr>
          <w:rFonts w:hint="eastAsia" w:eastAsiaTheme="minorEastAsia"/>
          <w:bCs/>
          <w:sz w:val="24"/>
          <w:szCs w:val="24"/>
        </w:rPr>
        <w:t>模壳</w:t>
      </w:r>
      <w:r>
        <w:rPr>
          <w:rFonts w:hint="eastAsia" w:ascii="宋体" w:cs="宋体"/>
          <w:kern w:val="0"/>
          <w:sz w:val="24"/>
          <w:szCs w:val="24"/>
        </w:rPr>
        <w:t>砌块垛太高容易伤人或倒塌，故对堆置高度做了限制。</w:t>
      </w:r>
    </w:p>
    <w:p>
      <w:pPr>
        <w:widowControl/>
        <w:jc w:val="left"/>
        <w:rPr>
          <w:rFonts w:eastAsiaTheme="minorEastAsia"/>
          <w:b/>
          <w:sz w:val="32"/>
        </w:rPr>
      </w:pPr>
      <w:r>
        <w:rPr>
          <w:rFonts w:eastAsiaTheme="minorEastAsia"/>
          <w:sz w:val="32"/>
        </w:rPr>
        <w:br w:type="page"/>
      </w:r>
    </w:p>
    <w:p>
      <w:pPr>
        <w:pStyle w:val="45"/>
        <w:spacing w:before="312" w:after="312"/>
        <w:rPr>
          <w:rFonts w:eastAsiaTheme="minorEastAsia"/>
          <w:sz w:val="32"/>
        </w:rPr>
      </w:pPr>
      <w:r>
        <w:rPr>
          <w:rFonts w:eastAsiaTheme="minorEastAsia"/>
          <w:sz w:val="32"/>
        </w:rPr>
        <w:t>7　施工与验收</w:t>
      </w:r>
      <w:bookmarkEnd w:id="216"/>
      <w:bookmarkEnd w:id="217"/>
      <w:bookmarkEnd w:id="218"/>
    </w:p>
    <w:p>
      <w:pPr>
        <w:pStyle w:val="46"/>
      </w:pPr>
      <w:bookmarkStart w:id="219" w:name="_Toc149766350"/>
      <w:bookmarkStart w:id="220" w:name="_Toc149766408"/>
      <w:bookmarkStart w:id="221" w:name="_Toc148994687"/>
      <w:r>
        <w:t>7.1　一般规定</w:t>
      </w:r>
      <w:bookmarkEnd w:id="219"/>
      <w:bookmarkEnd w:id="220"/>
      <w:bookmarkEnd w:id="221"/>
    </w:p>
    <w:p>
      <w:pPr>
        <w:tabs>
          <w:tab w:val="left" w:pos="425"/>
          <w:tab w:val="left" w:pos="567"/>
          <w:tab w:val="left" w:pos="735"/>
        </w:tabs>
        <w:adjustRightInd w:val="0"/>
        <w:spacing w:line="360" w:lineRule="auto"/>
        <w:outlineLvl w:val="2"/>
        <w:rPr>
          <w:sz w:val="24"/>
          <w:szCs w:val="24"/>
        </w:rPr>
      </w:pPr>
      <w:r>
        <w:rPr>
          <w:rFonts w:eastAsiaTheme="minorEastAsia"/>
          <w:b/>
          <w:sz w:val="24"/>
          <w:szCs w:val="24"/>
        </w:rPr>
        <w:t>7.1.1　</w:t>
      </w:r>
      <w:r>
        <w:rPr>
          <w:rFonts w:hint="eastAsia"/>
          <w:sz w:val="24"/>
          <w:szCs w:val="24"/>
        </w:rPr>
        <w:t>模壳砌块墙体施工</w:t>
      </w:r>
      <w:r>
        <w:rPr>
          <w:sz w:val="24"/>
          <w:szCs w:val="24"/>
        </w:rPr>
        <w:t>安装涉及</w:t>
      </w:r>
      <w:r>
        <w:rPr>
          <w:rFonts w:hint="eastAsia"/>
          <w:sz w:val="24"/>
          <w:szCs w:val="24"/>
        </w:rPr>
        <w:t>模壳砌块预排</w:t>
      </w:r>
      <w:r>
        <w:rPr>
          <w:sz w:val="24"/>
          <w:szCs w:val="24"/>
        </w:rPr>
        <w:t>、定位，</w:t>
      </w:r>
      <w:r>
        <w:rPr>
          <w:rFonts w:hint="eastAsia"/>
          <w:sz w:val="24"/>
          <w:szCs w:val="24"/>
        </w:rPr>
        <w:t>加之采用薄层砌筑工艺，</w:t>
      </w:r>
      <w:r>
        <w:rPr>
          <w:sz w:val="24"/>
          <w:szCs w:val="24"/>
        </w:rPr>
        <w:t>施工前需制定专项方案。接缝处隐蔽工程验收项目包括预埋管线检查，叠合板外伸钢筋牌号、搭接长度、位置、间距等检验。</w:t>
      </w:r>
      <w:r>
        <w:rPr>
          <w:sz w:val="24"/>
        </w:rPr>
        <w:t>模壳砌块砌体结构的建造流程区别于普通砌块砌体，</w:t>
      </w:r>
      <w:r>
        <w:rPr>
          <w:rFonts w:hint="eastAsia"/>
          <w:sz w:val="24"/>
        </w:rPr>
        <w:t>其</w:t>
      </w:r>
      <w:r>
        <w:rPr>
          <w:sz w:val="24"/>
        </w:rPr>
        <w:t>质量验收分工厂质量验收及现场质量验收两部分。</w:t>
      </w:r>
    </w:p>
    <w:p>
      <w:pPr>
        <w:tabs>
          <w:tab w:val="left" w:pos="425"/>
          <w:tab w:val="left" w:pos="567"/>
          <w:tab w:val="left" w:pos="735"/>
        </w:tabs>
        <w:adjustRightInd w:val="0"/>
        <w:spacing w:line="360" w:lineRule="auto"/>
        <w:outlineLvl w:val="2"/>
        <w:rPr>
          <w:sz w:val="24"/>
          <w:szCs w:val="24"/>
        </w:rPr>
      </w:pPr>
      <w:r>
        <w:rPr>
          <w:rFonts w:eastAsiaTheme="minorEastAsia"/>
          <w:b/>
          <w:sz w:val="24"/>
          <w:szCs w:val="24"/>
        </w:rPr>
        <w:t>7.1.2　</w:t>
      </w:r>
      <w:r>
        <w:rPr>
          <w:rFonts w:hint="eastAsia"/>
          <w:sz w:val="24"/>
          <w:szCs w:val="24"/>
        </w:rPr>
        <w:t>在模壳砌块砌体结构工程中，采用不合格的材料不可能建造出符合质量要求的工程。材料的产品合格证书和产品性能检测报告是工程质量评定中必备的资料，因此特提出了要求。</w:t>
      </w:r>
    </w:p>
    <w:p>
      <w:pPr>
        <w:tabs>
          <w:tab w:val="left" w:pos="425"/>
          <w:tab w:val="left" w:pos="567"/>
          <w:tab w:val="left" w:pos="735"/>
        </w:tabs>
        <w:adjustRightInd w:val="0"/>
        <w:spacing w:line="360" w:lineRule="auto"/>
        <w:outlineLvl w:val="2"/>
        <w:rPr>
          <w:sz w:val="24"/>
          <w:szCs w:val="24"/>
        </w:rPr>
      </w:pPr>
      <w:r>
        <w:rPr>
          <w:b/>
          <w:sz w:val="24"/>
          <w:szCs w:val="24"/>
        </w:rPr>
        <w:t>7.1.3</w:t>
      </w:r>
      <w:r>
        <w:rPr>
          <w:rFonts w:hint="eastAsia"/>
          <w:b/>
          <w:sz w:val="24"/>
          <w:szCs w:val="24"/>
        </w:rPr>
        <w:t>、</w:t>
      </w:r>
      <w:r>
        <w:rPr>
          <w:b/>
          <w:sz w:val="24"/>
          <w:szCs w:val="24"/>
        </w:rPr>
        <w:t>7.1.4</w:t>
      </w:r>
      <w:r>
        <w:rPr>
          <w:rFonts w:eastAsiaTheme="minorEastAsia"/>
          <w:b/>
          <w:sz w:val="24"/>
          <w:szCs w:val="24"/>
        </w:rPr>
        <w:t>　</w:t>
      </w:r>
      <w:r>
        <w:rPr>
          <w:sz w:val="24"/>
          <w:szCs w:val="24"/>
        </w:rPr>
        <w:t>砌筑</w:t>
      </w:r>
      <w:r>
        <w:rPr>
          <w:rFonts w:hint="eastAsia"/>
          <w:sz w:val="24"/>
          <w:szCs w:val="24"/>
        </w:rPr>
        <w:t>材料</w:t>
      </w:r>
      <w:r>
        <w:rPr>
          <w:sz w:val="24"/>
          <w:szCs w:val="24"/>
        </w:rPr>
        <w:t>和混凝土通过配合比</w:t>
      </w:r>
      <w:r>
        <w:rPr>
          <w:rFonts w:hint="eastAsia"/>
          <w:sz w:val="24"/>
          <w:szCs w:val="24"/>
        </w:rPr>
        <w:t>控制，砌筑工人技术水平影响模壳砌块砌体结构质量及强度。因此，约束砌体及配筋砌块砌体施工质量控制的等级要求不低于B级。</w:t>
      </w:r>
    </w:p>
    <w:p>
      <w:pPr>
        <w:tabs>
          <w:tab w:val="left" w:pos="567"/>
          <w:tab w:val="left" w:pos="735"/>
        </w:tabs>
        <w:adjustRightInd w:val="0"/>
        <w:spacing w:line="360" w:lineRule="auto"/>
        <w:outlineLvl w:val="2"/>
        <w:rPr>
          <w:sz w:val="24"/>
          <w:szCs w:val="24"/>
        </w:rPr>
      </w:pPr>
      <w:r>
        <w:rPr>
          <w:b/>
          <w:sz w:val="24"/>
          <w:szCs w:val="24"/>
        </w:rPr>
        <w:t>7.1.5</w:t>
      </w:r>
      <w:r>
        <w:rPr>
          <w:rFonts w:eastAsiaTheme="minorEastAsia"/>
          <w:b/>
          <w:sz w:val="24"/>
          <w:szCs w:val="24"/>
        </w:rPr>
        <w:t>　</w:t>
      </w:r>
      <w:r>
        <w:rPr>
          <w:rFonts w:hint="eastAsia"/>
          <w:sz w:val="24"/>
          <w:szCs w:val="24"/>
        </w:rPr>
        <w:t>为在冬期施工时确保砌块砌体工程施工质量，砌体工程在冬期施工时应符合现行行业标准《建筑工程冬期施工规程》JGJ/T 104的有关规定。</w:t>
      </w:r>
    </w:p>
    <w:p>
      <w:pPr>
        <w:tabs>
          <w:tab w:val="left" w:pos="425"/>
          <w:tab w:val="left" w:pos="567"/>
          <w:tab w:val="left" w:pos="735"/>
        </w:tabs>
        <w:adjustRightInd w:val="0"/>
        <w:spacing w:line="360" w:lineRule="auto"/>
        <w:outlineLvl w:val="2"/>
        <w:rPr>
          <w:sz w:val="24"/>
          <w:szCs w:val="24"/>
        </w:rPr>
      </w:pPr>
      <w:r>
        <w:rPr>
          <w:rFonts w:eastAsiaTheme="minorEastAsia"/>
          <w:b/>
          <w:sz w:val="24"/>
          <w:szCs w:val="24"/>
        </w:rPr>
        <w:t>7.1.6　</w:t>
      </w:r>
      <w:r>
        <w:rPr>
          <w:rFonts w:hint="eastAsia"/>
          <w:sz w:val="24"/>
          <w:szCs w:val="24"/>
        </w:rPr>
        <w:t>先砌墙后浇筑柱的混凝土是一项重要的施工技术措施，它能使混凝土拌合物充分流动并填实砌体马牙槎，保证构造柱、芯柱与砌块结合牢靠。</w:t>
      </w:r>
    </w:p>
    <w:p>
      <w:pPr>
        <w:tabs>
          <w:tab w:val="left" w:pos="425"/>
          <w:tab w:val="left" w:pos="567"/>
          <w:tab w:val="left" w:pos="735"/>
        </w:tabs>
        <w:adjustRightInd w:val="0"/>
        <w:spacing w:line="360" w:lineRule="auto"/>
        <w:outlineLvl w:val="2"/>
        <w:rPr>
          <w:sz w:val="24"/>
          <w:szCs w:val="24"/>
        </w:rPr>
      </w:pPr>
      <w:r>
        <w:rPr>
          <w:rFonts w:hint="eastAsia" w:eastAsiaTheme="minorEastAsia"/>
          <w:b/>
          <w:sz w:val="24"/>
          <w:szCs w:val="24"/>
        </w:rPr>
        <w:t>7.1</w:t>
      </w:r>
      <w:r>
        <w:rPr>
          <w:rFonts w:eastAsiaTheme="minorEastAsia"/>
          <w:b/>
          <w:sz w:val="24"/>
          <w:szCs w:val="24"/>
        </w:rPr>
        <w:t>.8　</w:t>
      </w:r>
      <w:r>
        <w:rPr>
          <w:rFonts w:hint="eastAsia"/>
          <w:sz w:val="24"/>
          <w:szCs w:val="24"/>
        </w:rPr>
        <w:t>本条是保证模壳砌块砌体结构施工质量的有效施工技术措施。</w:t>
      </w:r>
    </w:p>
    <w:p>
      <w:pPr>
        <w:tabs>
          <w:tab w:val="left" w:pos="425"/>
          <w:tab w:val="left" w:pos="567"/>
          <w:tab w:val="left" w:pos="735"/>
        </w:tabs>
        <w:adjustRightInd w:val="0"/>
        <w:spacing w:line="360" w:lineRule="auto"/>
        <w:outlineLvl w:val="2"/>
        <w:rPr>
          <w:sz w:val="24"/>
          <w:szCs w:val="24"/>
        </w:rPr>
      </w:pPr>
      <w:r>
        <w:rPr>
          <w:rFonts w:hint="eastAsia" w:eastAsiaTheme="minorEastAsia"/>
          <w:b/>
          <w:sz w:val="24"/>
          <w:szCs w:val="24"/>
        </w:rPr>
        <w:t>7.1</w:t>
      </w:r>
      <w:r>
        <w:rPr>
          <w:rFonts w:eastAsiaTheme="minorEastAsia"/>
          <w:b/>
          <w:sz w:val="24"/>
          <w:szCs w:val="24"/>
        </w:rPr>
        <w:t>.9　</w:t>
      </w:r>
      <w:r>
        <w:rPr>
          <w:rFonts w:hint="eastAsia"/>
          <w:sz w:val="24"/>
          <w:szCs w:val="24"/>
        </w:rPr>
        <w:t>为保证构造柱质量，使新浇筑混凝土与预制模壳砌块可靠连接，必须清理干净模壳砌块腔内交界面。</w:t>
      </w:r>
    </w:p>
    <w:p>
      <w:pPr>
        <w:tabs>
          <w:tab w:val="left" w:pos="425"/>
          <w:tab w:val="left" w:pos="567"/>
          <w:tab w:val="left" w:pos="735"/>
        </w:tabs>
        <w:adjustRightInd w:val="0"/>
        <w:spacing w:line="360" w:lineRule="auto"/>
        <w:outlineLvl w:val="2"/>
        <w:rPr>
          <w:sz w:val="24"/>
          <w:szCs w:val="24"/>
        </w:rPr>
      </w:pPr>
      <w:r>
        <w:rPr>
          <w:rFonts w:hint="eastAsia" w:eastAsiaTheme="minorEastAsia"/>
          <w:b/>
          <w:sz w:val="24"/>
          <w:szCs w:val="24"/>
        </w:rPr>
        <w:t>7.1</w:t>
      </w:r>
      <w:r>
        <w:rPr>
          <w:rFonts w:eastAsiaTheme="minorEastAsia"/>
          <w:b/>
          <w:sz w:val="24"/>
          <w:szCs w:val="24"/>
        </w:rPr>
        <w:t>.10　</w:t>
      </w:r>
      <w:r>
        <w:rPr>
          <w:rFonts w:hint="eastAsia"/>
          <w:sz w:val="24"/>
          <w:szCs w:val="24"/>
        </w:rPr>
        <w:t>由于构造柱断面小，又存在马牙槎，给施工带来不便，适当提高混凝土的和易性、流动性，以保证构造柱的质量，根据施工经验，每次振捣层的厚度不宜太厚。</w:t>
      </w:r>
    </w:p>
    <w:p>
      <w:pPr>
        <w:tabs>
          <w:tab w:val="left" w:pos="425"/>
          <w:tab w:val="left" w:pos="567"/>
          <w:tab w:val="left" w:pos="735"/>
        </w:tabs>
        <w:adjustRightInd w:val="0"/>
        <w:spacing w:line="360" w:lineRule="auto"/>
        <w:outlineLvl w:val="2"/>
        <w:rPr>
          <w:sz w:val="24"/>
          <w:szCs w:val="24"/>
        </w:rPr>
      </w:pPr>
      <w:r>
        <w:rPr>
          <w:rFonts w:hint="eastAsia" w:eastAsiaTheme="minorEastAsia"/>
          <w:b/>
          <w:sz w:val="24"/>
          <w:szCs w:val="24"/>
        </w:rPr>
        <w:t>7.1</w:t>
      </w:r>
      <w:r>
        <w:rPr>
          <w:rFonts w:eastAsiaTheme="minorEastAsia"/>
          <w:b/>
          <w:sz w:val="24"/>
          <w:szCs w:val="24"/>
        </w:rPr>
        <w:t>.12　</w:t>
      </w:r>
      <w:r>
        <w:rPr>
          <w:rFonts w:hint="eastAsia"/>
          <w:sz w:val="24"/>
          <w:szCs w:val="24"/>
        </w:rPr>
        <w:t>根据目前的施工情况，在横墙上留设施工洞口现象较普遍，若在施工过程中不采取加强措施，将影响砌体质量，为保证横墙的承载能力不致损失过大而制定本条规定。</w:t>
      </w:r>
    </w:p>
    <w:p>
      <w:pPr>
        <w:pStyle w:val="46"/>
      </w:pPr>
      <w:bookmarkStart w:id="222" w:name="_Toc149766351"/>
      <w:bookmarkStart w:id="223" w:name="_Toc148994688"/>
      <w:bookmarkStart w:id="224" w:name="_Toc149766409"/>
      <w:r>
        <w:t>7.2　</w:t>
      </w:r>
      <w:bookmarkEnd w:id="222"/>
      <w:bookmarkEnd w:id="223"/>
      <w:r>
        <w:rPr>
          <w:rFonts w:hint="eastAsia"/>
        </w:rPr>
        <w:t>施工质量检验</w:t>
      </w:r>
      <w:bookmarkEnd w:id="224"/>
    </w:p>
    <w:p>
      <w:pPr>
        <w:tabs>
          <w:tab w:val="left" w:pos="425"/>
          <w:tab w:val="left" w:pos="735"/>
        </w:tabs>
        <w:adjustRightInd w:val="0"/>
        <w:spacing w:line="360" w:lineRule="auto"/>
        <w:outlineLvl w:val="2"/>
        <w:rPr>
          <w:sz w:val="24"/>
          <w:szCs w:val="22"/>
        </w:rPr>
      </w:pPr>
      <w:r>
        <w:rPr>
          <w:rFonts w:hint="eastAsia" w:eastAsiaTheme="minorEastAsia"/>
          <w:b/>
          <w:sz w:val="24"/>
          <w:szCs w:val="24"/>
        </w:rPr>
        <w:t>7.2</w:t>
      </w:r>
      <w:r>
        <w:rPr>
          <w:rFonts w:eastAsiaTheme="minorEastAsia"/>
          <w:b/>
          <w:sz w:val="24"/>
          <w:szCs w:val="24"/>
        </w:rPr>
        <w:t>.2　</w:t>
      </w:r>
      <w:r>
        <w:rPr>
          <w:rFonts w:hint="eastAsia"/>
          <w:sz w:val="24"/>
          <w:szCs w:val="22"/>
        </w:rPr>
        <w:t>为了保证钢筋握裹力和耐久性，钢筋保护层应符合设计要求。</w:t>
      </w:r>
    </w:p>
    <w:p>
      <w:pPr>
        <w:tabs>
          <w:tab w:val="left" w:pos="425"/>
          <w:tab w:val="left" w:pos="735"/>
        </w:tabs>
        <w:adjustRightInd w:val="0"/>
        <w:spacing w:line="360" w:lineRule="auto"/>
        <w:outlineLvl w:val="2"/>
        <w:rPr>
          <w:sz w:val="24"/>
          <w:szCs w:val="22"/>
        </w:rPr>
      </w:pPr>
      <w:r>
        <w:rPr>
          <w:rFonts w:hint="eastAsia" w:eastAsiaTheme="minorEastAsia"/>
          <w:b/>
          <w:sz w:val="24"/>
          <w:szCs w:val="24"/>
        </w:rPr>
        <w:t>7.2</w:t>
      </w:r>
      <w:r>
        <w:rPr>
          <w:rFonts w:eastAsiaTheme="minorEastAsia"/>
          <w:b/>
          <w:sz w:val="24"/>
          <w:szCs w:val="24"/>
        </w:rPr>
        <w:t>.3　</w:t>
      </w:r>
      <w:r>
        <w:rPr>
          <w:rFonts w:hint="eastAsia"/>
          <w:sz w:val="24"/>
          <w:szCs w:val="22"/>
        </w:rPr>
        <w:t>砌体构件内钢筋锚固、搭接、放置间距直接影响配筋砌体质量，故作此规定。</w:t>
      </w:r>
    </w:p>
    <w:p>
      <w:pPr>
        <w:tabs>
          <w:tab w:val="left" w:pos="425"/>
          <w:tab w:val="left" w:pos="735"/>
        </w:tabs>
        <w:adjustRightInd w:val="0"/>
        <w:spacing w:line="360" w:lineRule="auto"/>
        <w:outlineLvl w:val="2"/>
        <w:rPr>
          <w:sz w:val="24"/>
          <w:szCs w:val="22"/>
        </w:rPr>
      </w:pPr>
      <w:r>
        <w:rPr>
          <w:rFonts w:hint="eastAsia" w:eastAsiaTheme="minorEastAsia"/>
          <w:b/>
          <w:sz w:val="24"/>
          <w:szCs w:val="24"/>
        </w:rPr>
        <w:t>7.2</w:t>
      </w:r>
      <w:r>
        <w:rPr>
          <w:rFonts w:eastAsiaTheme="minorEastAsia"/>
          <w:b/>
          <w:sz w:val="24"/>
          <w:szCs w:val="24"/>
        </w:rPr>
        <w:t>.4　</w:t>
      </w:r>
      <w:r>
        <w:rPr>
          <w:rFonts w:hint="eastAsia"/>
          <w:sz w:val="24"/>
          <w:szCs w:val="22"/>
        </w:rPr>
        <w:t>砌体砌筑上下错缝搭接，以增强模壳砌块砌体结构的整体性和抗震性。</w:t>
      </w:r>
    </w:p>
    <w:p>
      <w:pPr>
        <w:tabs>
          <w:tab w:val="left" w:pos="425"/>
          <w:tab w:val="left" w:pos="735"/>
        </w:tabs>
        <w:adjustRightInd w:val="0"/>
        <w:spacing w:line="360" w:lineRule="auto"/>
        <w:outlineLvl w:val="2"/>
        <w:rPr>
          <w:sz w:val="24"/>
          <w:szCs w:val="22"/>
        </w:rPr>
      </w:pPr>
      <w:r>
        <w:rPr>
          <w:rFonts w:hint="eastAsia" w:eastAsiaTheme="minorEastAsia"/>
          <w:b/>
          <w:sz w:val="24"/>
          <w:szCs w:val="24"/>
        </w:rPr>
        <w:t>7.2</w:t>
      </w:r>
      <w:r>
        <w:rPr>
          <w:rFonts w:eastAsiaTheme="minorEastAsia"/>
          <w:b/>
          <w:sz w:val="24"/>
          <w:szCs w:val="24"/>
        </w:rPr>
        <w:t>.6　</w:t>
      </w:r>
      <w:r>
        <w:rPr>
          <w:rFonts w:hint="eastAsia"/>
          <w:sz w:val="24"/>
          <w:szCs w:val="22"/>
        </w:rPr>
        <w:t>允许偏差引用现行国家标准《砌体结构工程施工质量验收规范》GB 50203的有关规定，并考虑薄层砌筑工艺对部分指标做了从严处理。</w:t>
      </w:r>
    </w:p>
    <w:p>
      <w:pPr>
        <w:tabs>
          <w:tab w:val="left" w:pos="425"/>
          <w:tab w:val="left" w:pos="735"/>
        </w:tabs>
        <w:adjustRightInd w:val="0"/>
        <w:spacing w:line="360" w:lineRule="auto"/>
        <w:outlineLvl w:val="2"/>
        <w:rPr>
          <w:sz w:val="24"/>
          <w:szCs w:val="22"/>
        </w:rPr>
      </w:pPr>
      <w:r>
        <w:rPr>
          <w:rFonts w:hint="eastAsia" w:eastAsiaTheme="minorEastAsia"/>
          <w:b/>
          <w:sz w:val="24"/>
          <w:szCs w:val="24"/>
        </w:rPr>
        <w:t>7.2</w:t>
      </w:r>
      <w:r>
        <w:rPr>
          <w:rFonts w:eastAsiaTheme="minorEastAsia"/>
          <w:b/>
          <w:sz w:val="24"/>
          <w:szCs w:val="24"/>
        </w:rPr>
        <w:t>.7　</w:t>
      </w:r>
      <w:r>
        <w:rPr>
          <w:rFonts w:hint="eastAsia"/>
          <w:sz w:val="24"/>
          <w:szCs w:val="22"/>
        </w:rPr>
        <w:t>根据配筋砌体特点，对砌体构件内配筋作了相应规定，保证其施工质量。</w:t>
      </w:r>
    </w:p>
    <w:p>
      <w:pPr>
        <w:pStyle w:val="46"/>
      </w:pPr>
      <w:bookmarkStart w:id="225" w:name="_Toc148994689"/>
      <w:bookmarkStart w:id="226" w:name="_Toc149766352"/>
      <w:bookmarkStart w:id="227" w:name="_Toc149766410"/>
      <w:r>
        <w:t>7.3　</w:t>
      </w:r>
      <w:bookmarkEnd w:id="225"/>
      <w:bookmarkEnd w:id="226"/>
      <w:r>
        <w:rPr>
          <w:rFonts w:hint="eastAsia"/>
        </w:rPr>
        <w:t>施工验收要点</w:t>
      </w:r>
      <w:bookmarkEnd w:id="227"/>
    </w:p>
    <w:p>
      <w:pPr>
        <w:tabs>
          <w:tab w:val="left" w:pos="425"/>
        </w:tabs>
        <w:adjustRightInd w:val="0"/>
        <w:spacing w:line="360" w:lineRule="auto"/>
        <w:outlineLvl w:val="2"/>
        <w:rPr>
          <w:sz w:val="24"/>
          <w:szCs w:val="22"/>
        </w:rPr>
      </w:pPr>
      <w:r>
        <w:rPr>
          <w:rFonts w:hint="eastAsia" w:eastAsiaTheme="minorEastAsia"/>
          <w:b/>
          <w:sz w:val="24"/>
          <w:szCs w:val="24"/>
        </w:rPr>
        <w:t>7.3</w:t>
      </w:r>
      <w:r>
        <w:rPr>
          <w:rFonts w:eastAsiaTheme="minorEastAsia"/>
          <w:b/>
          <w:sz w:val="24"/>
          <w:szCs w:val="24"/>
        </w:rPr>
        <w:t>.4　</w:t>
      </w:r>
      <w:r>
        <w:rPr>
          <w:rFonts w:hint="eastAsia"/>
          <w:sz w:val="24"/>
          <w:szCs w:val="22"/>
        </w:rPr>
        <w:t>本条规定了约束砌体应验收的隐蔽项目，其他隐蔽项目包括防潮层、基础验槽等。</w:t>
      </w:r>
    </w:p>
    <w:p>
      <w:pPr>
        <w:tabs>
          <w:tab w:val="left" w:pos="425"/>
        </w:tabs>
        <w:adjustRightInd w:val="0"/>
        <w:spacing w:line="360" w:lineRule="auto"/>
        <w:outlineLvl w:val="2"/>
        <w:rPr>
          <w:sz w:val="24"/>
          <w:szCs w:val="22"/>
        </w:rPr>
      </w:pPr>
      <w:r>
        <w:rPr>
          <w:rFonts w:hint="eastAsia" w:eastAsiaTheme="minorEastAsia"/>
          <w:b/>
          <w:sz w:val="24"/>
          <w:szCs w:val="24"/>
        </w:rPr>
        <w:t>7.3</w:t>
      </w:r>
      <w:r>
        <w:rPr>
          <w:rFonts w:eastAsiaTheme="minorEastAsia"/>
          <w:b/>
          <w:sz w:val="24"/>
          <w:szCs w:val="24"/>
        </w:rPr>
        <w:t>.5　</w:t>
      </w:r>
      <w:r>
        <w:rPr>
          <w:rFonts w:hint="eastAsia"/>
          <w:sz w:val="24"/>
          <w:szCs w:val="22"/>
        </w:rPr>
        <w:t>本条是结合现行国家标准《砌体结构工程施工质量验收规范》GB 50203、《混凝土结构工程施工质量验收规范》GB 50204的有关规定编制，为工程必要的验收资料和文件。</w:t>
      </w:r>
    </w:p>
    <w:p>
      <w:pPr>
        <w:tabs>
          <w:tab w:val="left" w:pos="425"/>
        </w:tabs>
        <w:adjustRightInd w:val="0"/>
        <w:spacing w:line="360" w:lineRule="auto"/>
        <w:outlineLvl w:val="2"/>
        <w:rPr>
          <w:sz w:val="24"/>
          <w:szCs w:val="22"/>
        </w:rPr>
      </w:pPr>
      <w:r>
        <w:rPr>
          <w:rFonts w:hint="eastAsia" w:eastAsiaTheme="minorEastAsia"/>
          <w:b/>
          <w:sz w:val="24"/>
          <w:szCs w:val="24"/>
        </w:rPr>
        <w:t>7.3</w:t>
      </w:r>
      <w:r>
        <w:rPr>
          <w:rFonts w:eastAsiaTheme="minorEastAsia"/>
          <w:b/>
          <w:sz w:val="24"/>
          <w:szCs w:val="24"/>
        </w:rPr>
        <w:t>.6　</w:t>
      </w:r>
      <w:r>
        <w:rPr>
          <w:rFonts w:hint="eastAsia"/>
          <w:sz w:val="24"/>
          <w:szCs w:val="22"/>
        </w:rPr>
        <w:t>工程验收时，除要进行资料检查外，还要进行工程外观抽查，方具有代表性和真实性。</w:t>
      </w:r>
      <w:bookmarkEnd w:id="3"/>
      <w:bookmarkStart w:id="228" w:name="_GoBack"/>
      <w:bookmarkEnd w:id="228"/>
    </w:p>
    <w:sectPr>
      <w:footerReference r:id="rId9" w:type="default"/>
      <w:pgSz w:w="11907" w:h="16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Lucida Console">
    <w:panose1 w:val="020B0609040504020204"/>
    <w:charset w:val="00"/>
    <w:family w:val="modern"/>
    <w:pitch w:val="default"/>
    <w:sig w:usb0="8000028F" w:usb1="00001800" w:usb2="00000000" w:usb3="00000000" w:csb0="0000001F" w:csb1="D7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SJQY">
    <w:altName w:val="宋体"/>
    <w:panose1 w:val="00000000000000000000"/>
    <w:charset w:val="86"/>
    <w:family w:val="auto"/>
    <w:pitch w:val="default"/>
    <w:sig w:usb0="00000000" w:usb1="00000000" w:usb2="00000010"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3293019"/>
    </w:sdtPr>
    <w:sdtContent>
      <w:p>
        <w:pPr>
          <w:pStyle w:val="19"/>
          <w:jc w:val="center"/>
        </w:pPr>
        <w:r>
          <w:fldChar w:fldCharType="begin"/>
        </w:r>
        <w:r>
          <w:instrText xml:space="preserve">PAGE   \* MERGEFORMAT</w:instrText>
        </w:r>
        <w:r>
          <w:fldChar w:fldCharType="separate"/>
        </w:r>
        <w:r>
          <w:rPr>
            <w:lang w:val="zh-CN"/>
          </w:rPr>
          <w:t>II</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rStyle w:val="34"/>
      </w:rPr>
      <w:fldChar w:fldCharType="begin"/>
    </w:r>
    <w:r>
      <w:rPr>
        <w:rStyle w:val="34"/>
      </w:rPr>
      <w:instrText xml:space="preserve">PAGE  </w:instrText>
    </w:r>
    <w:r>
      <w:rPr>
        <w:rStyle w:val="34"/>
      </w:rPr>
      <w:fldChar w:fldCharType="separate"/>
    </w:r>
    <w:r>
      <w:rPr>
        <w:rStyle w:val="34"/>
      </w:rPr>
      <w:t>3</w:t>
    </w:r>
    <w:r>
      <w:rPr>
        <w:rStyle w:val="34"/>
      </w:rPr>
      <w:fldChar w:fldCharType="end"/>
    </w:r>
  </w:p>
  <w:p>
    <w:pPr>
      <w:pStyle w:val="19"/>
      <w:framePr w:wrap="around" w:vAnchor="text" w:hAnchor="margin" w:xAlign="right" w:y="1"/>
      <w:rPr>
        <w:rStyle w:val="3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page" w:x="1805" w:y="18"/>
      <w:rPr>
        <w:rStyle w:val="34"/>
      </w:rPr>
    </w:pPr>
  </w:p>
  <w:p>
    <w:pPr>
      <w:pStyle w:val="19"/>
      <w:jc w:val="center"/>
    </w:pPr>
    <w:r>
      <w:rPr>
        <w:rStyle w:val="34"/>
      </w:rPr>
      <w:fldChar w:fldCharType="begin"/>
    </w:r>
    <w:r>
      <w:rPr>
        <w:rStyle w:val="34"/>
      </w:rPr>
      <w:instrText xml:space="preserve">PAGE  </w:instrText>
    </w:r>
    <w:r>
      <w:rPr>
        <w:rStyle w:val="34"/>
      </w:rPr>
      <w:fldChar w:fldCharType="separate"/>
    </w:r>
    <w:r>
      <w:rPr>
        <w:rStyle w:val="34"/>
      </w:rPr>
      <w:t>33</w:t>
    </w:r>
    <w:r>
      <w:rPr>
        <w:rStyle w:val="3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9"/>
      <w:framePr w:wrap="around" w:vAnchor="text" w:hAnchor="margin" w:xAlign="right" w:y="1"/>
      <w:jc w:val="center"/>
      <w:rPr>
        <w:rStyle w:val="34"/>
      </w:rPr>
    </w:pPr>
    <w:r>
      <w:rPr>
        <w:rStyle w:val="34"/>
      </w:rPr>
      <w:fldChar w:fldCharType="begin"/>
    </w:r>
    <w:r>
      <w:rPr>
        <w:rStyle w:val="34"/>
      </w:rPr>
      <w:instrText xml:space="preserve">PAGE  </w:instrText>
    </w:r>
    <w:r>
      <w:rPr>
        <w:rStyle w:val="34"/>
      </w:rPr>
      <w:fldChar w:fldCharType="separate"/>
    </w:r>
    <w:r>
      <w:rPr>
        <w:rStyle w:val="34"/>
      </w:rPr>
      <w:t>34</w:t>
    </w:r>
    <w:r>
      <w:rPr>
        <w:rStyle w:val="34"/>
      </w:rPr>
      <w:fldChar w:fldCharType="end"/>
    </w:r>
  </w:p>
  <w:p>
    <w:pPr>
      <w:pStyle w:val="19"/>
      <w:framePr w:wrap="around" w:vAnchor="text" w:hAnchor="margin" w:xAlign="right" w:y="1"/>
      <w:rPr>
        <w:rStyle w:val="3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9"/>
      <w:framePr w:wrap="around" w:vAnchor="text" w:hAnchor="margin" w:xAlign="right" w:y="1"/>
      <w:jc w:val="center"/>
      <w:rPr>
        <w:rStyle w:val="34"/>
      </w:rPr>
    </w:pPr>
    <w:r>
      <w:rPr>
        <w:rStyle w:val="34"/>
      </w:rPr>
      <w:fldChar w:fldCharType="begin"/>
    </w:r>
    <w:r>
      <w:rPr>
        <w:rStyle w:val="34"/>
      </w:rPr>
      <w:instrText xml:space="preserve">PAGE  </w:instrText>
    </w:r>
    <w:r>
      <w:rPr>
        <w:rStyle w:val="34"/>
      </w:rPr>
      <w:fldChar w:fldCharType="separate"/>
    </w:r>
    <w:r>
      <w:rPr>
        <w:rStyle w:val="34"/>
      </w:rPr>
      <w:t>43</w:t>
    </w:r>
    <w:r>
      <w:rPr>
        <w:rStyle w:val="34"/>
      </w:rPr>
      <w:fldChar w:fldCharType="end"/>
    </w:r>
  </w:p>
  <w:p>
    <w:pPr>
      <w:pStyle w:val="19"/>
      <w:framePr w:wrap="around" w:vAnchor="text" w:hAnchor="margin" w:xAlign="right" w:y="1"/>
      <w:rPr>
        <w:rStyle w:val="3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9"/>
      <w:framePr w:wrap="around" w:vAnchor="text" w:hAnchor="margin" w:xAlign="right" w:y="1"/>
      <w:jc w:val="center"/>
      <w:rPr>
        <w:rStyle w:val="34"/>
      </w:rPr>
    </w:pPr>
    <w:r>
      <w:rPr>
        <w:rStyle w:val="34"/>
      </w:rPr>
      <w:fldChar w:fldCharType="begin"/>
    </w:r>
    <w:r>
      <w:rPr>
        <w:rStyle w:val="34"/>
      </w:rPr>
      <w:instrText xml:space="preserve">PAGE  </w:instrText>
    </w:r>
    <w:r>
      <w:rPr>
        <w:rStyle w:val="34"/>
      </w:rPr>
      <w:fldChar w:fldCharType="separate"/>
    </w:r>
    <w:r>
      <w:rPr>
        <w:rStyle w:val="34"/>
      </w:rPr>
      <w:t>50</w:t>
    </w:r>
    <w:r>
      <w:rPr>
        <w:rStyle w:val="34"/>
      </w:rPr>
      <w:fldChar w:fldCharType="end"/>
    </w:r>
  </w:p>
  <w:p>
    <w:pPr>
      <w:pStyle w:val="19"/>
      <w:framePr w:wrap="around" w:vAnchor="text" w:hAnchor="margin" w:xAlign="right" w:y="1"/>
      <w:rPr>
        <w:rStyle w:val="3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9"/>
      <w:framePr w:wrap="around" w:vAnchor="text" w:hAnchor="margin" w:xAlign="right" w:y="1"/>
      <w:jc w:val="center"/>
      <w:rPr>
        <w:rStyle w:val="34"/>
      </w:rPr>
    </w:pPr>
    <w:r>
      <w:rPr>
        <w:rStyle w:val="34"/>
      </w:rPr>
      <w:fldChar w:fldCharType="begin"/>
    </w:r>
    <w:r>
      <w:rPr>
        <w:rStyle w:val="34"/>
      </w:rPr>
      <w:instrText xml:space="preserve">PAGE  </w:instrText>
    </w:r>
    <w:r>
      <w:rPr>
        <w:rStyle w:val="34"/>
      </w:rPr>
      <w:fldChar w:fldCharType="separate"/>
    </w:r>
    <w:r>
      <w:rPr>
        <w:rStyle w:val="34"/>
      </w:rPr>
      <w:t>53</w:t>
    </w:r>
    <w:r>
      <w:rPr>
        <w:rStyle w:val="34"/>
      </w:rPr>
      <w:fldChar w:fldCharType="end"/>
    </w:r>
  </w:p>
  <w:p>
    <w:pPr>
      <w:pStyle w:val="19"/>
      <w:framePr w:wrap="around" w:vAnchor="text" w:hAnchor="margin" w:xAlign="right" w:y="1"/>
      <w:rPr>
        <w:rStyle w:val="3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005B4"/>
    <w:multiLevelType w:val="singleLevel"/>
    <w:tmpl w:val="05C005B4"/>
    <w:lvl w:ilvl="0" w:tentative="0">
      <w:start w:val="1"/>
      <w:numFmt w:val="decimal"/>
      <w:lvlText w:val="%1"/>
      <w:lvlJc w:val="left"/>
      <w:pPr>
        <w:tabs>
          <w:tab w:val="left" w:pos="1020"/>
        </w:tabs>
        <w:ind w:left="850" w:hanging="198"/>
      </w:pPr>
      <w:rPr>
        <w:rFonts w:hint="default" w:ascii="Times New Roman" w:hAnsi="Times New Roman" w:eastAsia="宋体" w:cs="Times New Roman"/>
        <w:b/>
        <w:bCs/>
      </w:rPr>
    </w:lvl>
  </w:abstractNum>
  <w:abstractNum w:abstractNumId="1">
    <w:nsid w:val="6EA500E8"/>
    <w:multiLevelType w:val="multilevel"/>
    <w:tmpl w:val="6EA500E8"/>
    <w:lvl w:ilvl="0" w:tentative="0">
      <w:start w:val="1"/>
      <w:numFmt w:val="decimal"/>
      <w:suff w:val="nothing"/>
      <w:lvlText w:val="6.0.%1"/>
      <w:lvlJc w:val="left"/>
      <w:pPr>
        <w:ind w:left="1291" w:hanging="440"/>
      </w:pPr>
      <w:rPr>
        <w:rFonts w:hint="default" w:ascii="Times New Roman" w:hAnsi="Times New Roman" w:cs="Times New Roman"/>
        <w:b/>
        <w:bCs w:val="0"/>
        <w:sz w:val="24"/>
        <w:szCs w:val="24"/>
        <w:shd w:val="clear" w:color="auto" w:fill="auto"/>
      </w:rPr>
    </w:lvl>
    <w:lvl w:ilvl="1" w:tentative="0">
      <w:start w:val="1"/>
      <w:numFmt w:val="lowerLetter"/>
      <w:lvlText w:val="%2)"/>
      <w:lvlJc w:val="left"/>
      <w:pPr>
        <w:ind w:left="1120" w:hanging="440"/>
      </w:pPr>
      <w:rPr>
        <w:rFonts w:hint="eastAsia"/>
      </w:rPr>
    </w:lvl>
    <w:lvl w:ilvl="2" w:tentative="0">
      <w:start w:val="1"/>
      <w:numFmt w:val="lowerRoman"/>
      <w:lvlText w:val="%3."/>
      <w:lvlJc w:val="right"/>
      <w:pPr>
        <w:ind w:left="1560" w:hanging="440"/>
      </w:pPr>
      <w:rPr>
        <w:rFonts w:hint="eastAsia"/>
      </w:rPr>
    </w:lvl>
    <w:lvl w:ilvl="3" w:tentative="0">
      <w:start w:val="1"/>
      <w:numFmt w:val="decimal"/>
      <w:lvlText w:val="%4."/>
      <w:lvlJc w:val="left"/>
      <w:pPr>
        <w:ind w:left="2000" w:hanging="440"/>
      </w:pPr>
      <w:rPr>
        <w:rFonts w:hint="eastAsia"/>
      </w:rPr>
    </w:lvl>
    <w:lvl w:ilvl="4" w:tentative="0">
      <w:start w:val="1"/>
      <w:numFmt w:val="lowerLetter"/>
      <w:lvlText w:val="%5)"/>
      <w:lvlJc w:val="left"/>
      <w:pPr>
        <w:ind w:left="2440" w:hanging="440"/>
      </w:pPr>
      <w:rPr>
        <w:rFonts w:hint="eastAsia"/>
      </w:rPr>
    </w:lvl>
    <w:lvl w:ilvl="5" w:tentative="0">
      <w:start w:val="1"/>
      <w:numFmt w:val="lowerRoman"/>
      <w:lvlText w:val="%6."/>
      <w:lvlJc w:val="right"/>
      <w:pPr>
        <w:ind w:left="2880" w:hanging="440"/>
      </w:pPr>
      <w:rPr>
        <w:rFonts w:hint="eastAsia"/>
      </w:rPr>
    </w:lvl>
    <w:lvl w:ilvl="6" w:tentative="0">
      <w:start w:val="1"/>
      <w:numFmt w:val="decimal"/>
      <w:lvlText w:val="%7."/>
      <w:lvlJc w:val="left"/>
      <w:pPr>
        <w:ind w:left="3320" w:hanging="440"/>
      </w:pPr>
      <w:rPr>
        <w:rFonts w:hint="eastAsia"/>
      </w:rPr>
    </w:lvl>
    <w:lvl w:ilvl="7" w:tentative="0">
      <w:start w:val="1"/>
      <w:numFmt w:val="lowerLetter"/>
      <w:lvlText w:val="%8)"/>
      <w:lvlJc w:val="left"/>
      <w:pPr>
        <w:ind w:left="3760" w:hanging="440"/>
      </w:pPr>
      <w:rPr>
        <w:rFonts w:hint="eastAsia"/>
      </w:rPr>
    </w:lvl>
    <w:lvl w:ilvl="8" w:tentative="0">
      <w:start w:val="1"/>
      <w:numFmt w:val="lowerRoman"/>
      <w:lvlText w:val="%9."/>
      <w:lvlJc w:val="right"/>
      <w:pPr>
        <w:ind w:left="4200" w:hanging="44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lYzRhNGYzMGZkYmNiZWMzNTA2ZDBkY2YwNWFlMGUifQ=="/>
  </w:docVars>
  <w:rsids>
    <w:rsidRoot w:val="00172A27"/>
    <w:rsid w:val="0000092C"/>
    <w:rsid w:val="00000F0E"/>
    <w:rsid w:val="0000107F"/>
    <w:rsid w:val="00001440"/>
    <w:rsid w:val="00001636"/>
    <w:rsid w:val="00001856"/>
    <w:rsid w:val="00001A05"/>
    <w:rsid w:val="00002419"/>
    <w:rsid w:val="00002467"/>
    <w:rsid w:val="000027DB"/>
    <w:rsid w:val="00002C22"/>
    <w:rsid w:val="00002F24"/>
    <w:rsid w:val="00003D7B"/>
    <w:rsid w:val="00003FC7"/>
    <w:rsid w:val="000045D9"/>
    <w:rsid w:val="00004B8B"/>
    <w:rsid w:val="00004CBA"/>
    <w:rsid w:val="00005513"/>
    <w:rsid w:val="000055CA"/>
    <w:rsid w:val="000062E3"/>
    <w:rsid w:val="000063AD"/>
    <w:rsid w:val="00006663"/>
    <w:rsid w:val="00006BFD"/>
    <w:rsid w:val="00006DFC"/>
    <w:rsid w:val="0000718E"/>
    <w:rsid w:val="00007718"/>
    <w:rsid w:val="000079A2"/>
    <w:rsid w:val="00007DDB"/>
    <w:rsid w:val="00010250"/>
    <w:rsid w:val="000102F8"/>
    <w:rsid w:val="000104D2"/>
    <w:rsid w:val="00010742"/>
    <w:rsid w:val="000110D1"/>
    <w:rsid w:val="000119E5"/>
    <w:rsid w:val="00012171"/>
    <w:rsid w:val="0001349B"/>
    <w:rsid w:val="000139AF"/>
    <w:rsid w:val="00014187"/>
    <w:rsid w:val="000149C3"/>
    <w:rsid w:val="00015AA8"/>
    <w:rsid w:val="00015F3E"/>
    <w:rsid w:val="00016045"/>
    <w:rsid w:val="00016609"/>
    <w:rsid w:val="0001664C"/>
    <w:rsid w:val="00016704"/>
    <w:rsid w:val="0001682D"/>
    <w:rsid w:val="00016AD0"/>
    <w:rsid w:val="00016BE7"/>
    <w:rsid w:val="000173F0"/>
    <w:rsid w:val="00017771"/>
    <w:rsid w:val="0001788F"/>
    <w:rsid w:val="00017FAF"/>
    <w:rsid w:val="00020118"/>
    <w:rsid w:val="0002071F"/>
    <w:rsid w:val="000211D3"/>
    <w:rsid w:val="000215A7"/>
    <w:rsid w:val="00021620"/>
    <w:rsid w:val="0002168B"/>
    <w:rsid w:val="00021784"/>
    <w:rsid w:val="00021B01"/>
    <w:rsid w:val="00022C94"/>
    <w:rsid w:val="00024609"/>
    <w:rsid w:val="00025069"/>
    <w:rsid w:val="00025C11"/>
    <w:rsid w:val="00025DF8"/>
    <w:rsid w:val="00025E90"/>
    <w:rsid w:val="00025F53"/>
    <w:rsid w:val="00026038"/>
    <w:rsid w:val="0002693C"/>
    <w:rsid w:val="00026A49"/>
    <w:rsid w:val="00026D4A"/>
    <w:rsid w:val="0002735D"/>
    <w:rsid w:val="00027835"/>
    <w:rsid w:val="00027921"/>
    <w:rsid w:val="00030085"/>
    <w:rsid w:val="0003029F"/>
    <w:rsid w:val="000304E3"/>
    <w:rsid w:val="00030C4A"/>
    <w:rsid w:val="00030D91"/>
    <w:rsid w:val="000310F7"/>
    <w:rsid w:val="0003163F"/>
    <w:rsid w:val="000316F0"/>
    <w:rsid w:val="0003204E"/>
    <w:rsid w:val="000320A0"/>
    <w:rsid w:val="000327CB"/>
    <w:rsid w:val="000330DB"/>
    <w:rsid w:val="000331AF"/>
    <w:rsid w:val="000331ED"/>
    <w:rsid w:val="000333E1"/>
    <w:rsid w:val="00033AE2"/>
    <w:rsid w:val="00033BAF"/>
    <w:rsid w:val="00033FC3"/>
    <w:rsid w:val="00034205"/>
    <w:rsid w:val="00034A05"/>
    <w:rsid w:val="00034F8D"/>
    <w:rsid w:val="00035203"/>
    <w:rsid w:val="00035925"/>
    <w:rsid w:val="00035AA5"/>
    <w:rsid w:val="00035C19"/>
    <w:rsid w:val="00036889"/>
    <w:rsid w:val="0003702F"/>
    <w:rsid w:val="00037514"/>
    <w:rsid w:val="00037757"/>
    <w:rsid w:val="00037E37"/>
    <w:rsid w:val="000408B2"/>
    <w:rsid w:val="00041040"/>
    <w:rsid w:val="0004171D"/>
    <w:rsid w:val="00042381"/>
    <w:rsid w:val="00042AD1"/>
    <w:rsid w:val="00042D75"/>
    <w:rsid w:val="00042DB2"/>
    <w:rsid w:val="00042F76"/>
    <w:rsid w:val="00043589"/>
    <w:rsid w:val="00043665"/>
    <w:rsid w:val="000436A2"/>
    <w:rsid w:val="00043C3B"/>
    <w:rsid w:val="00043DC3"/>
    <w:rsid w:val="00044081"/>
    <w:rsid w:val="000445E7"/>
    <w:rsid w:val="0004578D"/>
    <w:rsid w:val="00045C45"/>
    <w:rsid w:val="000466D0"/>
    <w:rsid w:val="00046B97"/>
    <w:rsid w:val="00046D04"/>
    <w:rsid w:val="000473C7"/>
    <w:rsid w:val="00047771"/>
    <w:rsid w:val="00047D5F"/>
    <w:rsid w:val="000502EA"/>
    <w:rsid w:val="00050ABD"/>
    <w:rsid w:val="00050F98"/>
    <w:rsid w:val="0005160C"/>
    <w:rsid w:val="0005210A"/>
    <w:rsid w:val="0005224F"/>
    <w:rsid w:val="000523E0"/>
    <w:rsid w:val="00052701"/>
    <w:rsid w:val="000528EA"/>
    <w:rsid w:val="00052A5E"/>
    <w:rsid w:val="00052C85"/>
    <w:rsid w:val="0005310E"/>
    <w:rsid w:val="00053279"/>
    <w:rsid w:val="0005376D"/>
    <w:rsid w:val="00053D31"/>
    <w:rsid w:val="00053FF6"/>
    <w:rsid w:val="00054054"/>
    <w:rsid w:val="00054AF8"/>
    <w:rsid w:val="00054C20"/>
    <w:rsid w:val="00054DC2"/>
    <w:rsid w:val="00055081"/>
    <w:rsid w:val="000550CA"/>
    <w:rsid w:val="00055218"/>
    <w:rsid w:val="0005572E"/>
    <w:rsid w:val="00055EC3"/>
    <w:rsid w:val="000562EA"/>
    <w:rsid w:val="0005632B"/>
    <w:rsid w:val="00056586"/>
    <w:rsid w:val="000568B7"/>
    <w:rsid w:val="00056A91"/>
    <w:rsid w:val="00056C2E"/>
    <w:rsid w:val="0005752C"/>
    <w:rsid w:val="00057BC6"/>
    <w:rsid w:val="00057E13"/>
    <w:rsid w:val="0006043C"/>
    <w:rsid w:val="0006056F"/>
    <w:rsid w:val="00060CDE"/>
    <w:rsid w:val="00060D48"/>
    <w:rsid w:val="00061092"/>
    <w:rsid w:val="000610F6"/>
    <w:rsid w:val="00061275"/>
    <w:rsid w:val="000612BC"/>
    <w:rsid w:val="000620AF"/>
    <w:rsid w:val="000626AD"/>
    <w:rsid w:val="00062C38"/>
    <w:rsid w:val="000630E1"/>
    <w:rsid w:val="000636D8"/>
    <w:rsid w:val="00063A32"/>
    <w:rsid w:val="000647D8"/>
    <w:rsid w:val="00064F7B"/>
    <w:rsid w:val="0006515B"/>
    <w:rsid w:val="00065209"/>
    <w:rsid w:val="00065C1B"/>
    <w:rsid w:val="0006646E"/>
    <w:rsid w:val="00070C50"/>
    <w:rsid w:val="000726B9"/>
    <w:rsid w:val="00073198"/>
    <w:rsid w:val="00073207"/>
    <w:rsid w:val="00073396"/>
    <w:rsid w:val="00073E09"/>
    <w:rsid w:val="00074872"/>
    <w:rsid w:val="00075244"/>
    <w:rsid w:val="00075391"/>
    <w:rsid w:val="0007540A"/>
    <w:rsid w:val="0007618A"/>
    <w:rsid w:val="00076246"/>
    <w:rsid w:val="000764C3"/>
    <w:rsid w:val="00076AE0"/>
    <w:rsid w:val="00077073"/>
    <w:rsid w:val="00077F13"/>
    <w:rsid w:val="00080059"/>
    <w:rsid w:val="0008016E"/>
    <w:rsid w:val="00080899"/>
    <w:rsid w:val="0008152B"/>
    <w:rsid w:val="00081557"/>
    <w:rsid w:val="00081F73"/>
    <w:rsid w:val="00082162"/>
    <w:rsid w:val="000827CB"/>
    <w:rsid w:val="00082E15"/>
    <w:rsid w:val="00083376"/>
    <w:rsid w:val="0008349B"/>
    <w:rsid w:val="00083F96"/>
    <w:rsid w:val="0008443B"/>
    <w:rsid w:val="00084967"/>
    <w:rsid w:val="00084C36"/>
    <w:rsid w:val="00085542"/>
    <w:rsid w:val="000855D3"/>
    <w:rsid w:val="00085746"/>
    <w:rsid w:val="00085C7D"/>
    <w:rsid w:val="00085C8F"/>
    <w:rsid w:val="00086217"/>
    <w:rsid w:val="000865BA"/>
    <w:rsid w:val="00086B3E"/>
    <w:rsid w:val="00086DB3"/>
    <w:rsid w:val="00086EB1"/>
    <w:rsid w:val="000878F3"/>
    <w:rsid w:val="00090091"/>
    <w:rsid w:val="00090E93"/>
    <w:rsid w:val="00092B71"/>
    <w:rsid w:val="00092EEF"/>
    <w:rsid w:val="00093A02"/>
    <w:rsid w:val="00093C6B"/>
    <w:rsid w:val="00094B1F"/>
    <w:rsid w:val="000950F4"/>
    <w:rsid w:val="00095BA3"/>
    <w:rsid w:val="00095CFB"/>
    <w:rsid w:val="00095E9E"/>
    <w:rsid w:val="0009600A"/>
    <w:rsid w:val="00096056"/>
    <w:rsid w:val="000965D7"/>
    <w:rsid w:val="00096756"/>
    <w:rsid w:val="0009679B"/>
    <w:rsid w:val="00096F5D"/>
    <w:rsid w:val="000972DD"/>
    <w:rsid w:val="0009794B"/>
    <w:rsid w:val="00097E06"/>
    <w:rsid w:val="000A0120"/>
    <w:rsid w:val="000A0138"/>
    <w:rsid w:val="000A0924"/>
    <w:rsid w:val="000A099B"/>
    <w:rsid w:val="000A0A82"/>
    <w:rsid w:val="000A0ACC"/>
    <w:rsid w:val="000A0CE1"/>
    <w:rsid w:val="000A0E44"/>
    <w:rsid w:val="000A1188"/>
    <w:rsid w:val="000A153D"/>
    <w:rsid w:val="000A1B73"/>
    <w:rsid w:val="000A1BCF"/>
    <w:rsid w:val="000A1CB8"/>
    <w:rsid w:val="000A2334"/>
    <w:rsid w:val="000A2350"/>
    <w:rsid w:val="000A2378"/>
    <w:rsid w:val="000A2664"/>
    <w:rsid w:val="000A2999"/>
    <w:rsid w:val="000A305A"/>
    <w:rsid w:val="000A3E37"/>
    <w:rsid w:val="000A3F99"/>
    <w:rsid w:val="000A3FAF"/>
    <w:rsid w:val="000A4720"/>
    <w:rsid w:val="000A4F37"/>
    <w:rsid w:val="000A54CC"/>
    <w:rsid w:val="000A5B5B"/>
    <w:rsid w:val="000A6358"/>
    <w:rsid w:val="000A635B"/>
    <w:rsid w:val="000A6D2A"/>
    <w:rsid w:val="000A6E19"/>
    <w:rsid w:val="000A6F5D"/>
    <w:rsid w:val="000A72CE"/>
    <w:rsid w:val="000A74FB"/>
    <w:rsid w:val="000A75A5"/>
    <w:rsid w:val="000A771F"/>
    <w:rsid w:val="000A7BDE"/>
    <w:rsid w:val="000B0074"/>
    <w:rsid w:val="000B034A"/>
    <w:rsid w:val="000B06C4"/>
    <w:rsid w:val="000B2668"/>
    <w:rsid w:val="000B26E9"/>
    <w:rsid w:val="000B29FB"/>
    <w:rsid w:val="000B2F4E"/>
    <w:rsid w:val="000B3DD7"/>
    <w:rsid w:val="000B410B"/>
    <w:rsid w:val="000B4302"/>
    <w:rsid w:val="000B437D"/>
    <w:rsid w:val="000B441D"/>
    <w:rsid w:val="000B4998"/>
    <w:rsid w:val="000B54EC"/>
    <w:rsid w:val="000B6250"/>
    <w:rsid w:val="000B6D3C"/>
    <w:rsid w:val="000B7258"/>
    <w:rsid w:val="000B7895"/>
    <w:rsid w:val="000B79DF"/>
    <w:rsid w:val="000B7ABB"/>
    <w:rsid w:val="000C0137"/>
    <w:rsid w:val="000C0DEB"/>
    <w:rsid w:val="000C0E44"/>
    <w:rsid w:val="000C10FC"/>
    <w:rsid w:val="000C1458"/>
    <w:rsid w:val="000C1962"/>
    <w:rsid w:val="000C1A31"/>
    <w:rsid w:val="000C1ACA"/>
    <w:rsid w:val="000C1E53"/>
    <w:rsid w:val="000C1FE1"/>
    <w:rsid w:val="000C208C"/>
    <w:rsid w:val="000C2755"/>
    <w:rsid w:val="000C2F00"/>
    <w:rsid w:val="000C307F"/>
    <w:rsid w:val="000C310C"/>
    <w:rsid w:val="000C31D5"/>
    <w:rsid w:val="000C33E8"/>
    <w:rsid w:val="000C3701"/>
    <w:rsid w:val="000C3E19"/>
    <w:rsid w:val="000C43E8"/>
    <w:rsid w:val="000C4C19"/>
    <w:rsid w:val="000C4F62"/>
    <w:rsid w:val="000C5414"/>
    <w:rsid w:val="000C582D"/>
    <w:rsid w:val="000C5CC0"/>
    <w:rsid w:val="000C5EA0"/>
    <w:rsid w:val="000C65FC"/>
    <w:rsid w:val="000C79B9"/>
    <w:rsid w:val="000C7BEA"/>
    <w:rsid w:val="000D01EF"/>
    <w:rsid w:val="000D0427"/>
    <w:rsid w:val="000D0A15"/>
    <w:rsid w:val="000D0A5A"/>
    <w:rsid w:val="000D0B1D"/>
    <w:rsid w:val="000D0BFE"/>
    <w:rsid w:val="000D0D04"/>
    <w:rsid w:val="000D0E26"/>
    <w:rsid w:val="000D1BEA"/>
    <w:rsid w:val="000D1F4D"/>
    <w:rsid w:val="000D230D"/>
    <w:rsid w:val="000D268B"/>
    <w:rsid w:val="000D2D20"/>
    <w:rsid w:val="000D2F09"/>
    <w:rsid w:val="000D3705"/>
    <w:rsid w:val="000D37C1"/>
    <w:rsid w:val="000D3E02"/>
    <w:rsid w:val="000D4D6A"/>
    <w:rsid w:val="000D50D0"/>
    <w:rsid w:val="000D51D2"/>
    <w:rsid w:val="000D5CA3"/>
    <w:rsid w:val="000D6BD2"/>
    <w:rsid w:val="000D736B"/>
    <w:rsid w:val="000D7D4F"/>
    <w:rsid w:val="000E031B"/>
    <w:rsid w:val="000E0347"/>
    <w:rsid w:val="000E047E"/>
    <w:rsid w:val="000E0695"/>
    <w:rsid w:val="000E0E88"/>
    <w:rsid w:val="000E1174"/>
    <w:rsid w:val="000E11BD"/>
    <w:rsid w:val="000E11FB"/>
    <w:rsid w:val="000E1356"/>
    <w:rsid w:val="000E143D"/>
    <w:rsid w:val="000E1A6E"/>
    <w:rsid w:val="000E20F5"/>
    <w:rsid w:val="000E2684"/>
    <w:rsid w:val="000E2B7B"/>
    <w:rsid w:val="000E3BB1"/>
    <w:rsid w:val="000E3CE8"/>
    <w:rsid w:val="000E3DF7"/>
    <w:rsid w:val="000E3EF7"/>
    <w:rsid w:val="000E413D"/>
    <w:rsid w:val="000E459E"/>
    <w:rsid w:val="000E4AE8"/>
    <w:rsid w:val="000E53E7"/>
    <w:rsid w:val="000E573A"/>
    <w:rsid w:val="000E57C9"/>
    <w:rsid w:val="000E5C3E"/>
    <w:rsid w:val="000E5E53"/>
    <w:rsid w:val="000E5EB7"/>
    <w:rsid w:val="000E6670"/>
    <w:rsid w:val="000E6CB6"/>
    <w:rsid w:val="000E6DEB"/>
    <w:rsid w:val="000E7112"/>
    <w:rsid w:val="000E7E5F"/>
    <w:rsid w:val="000F0C0C"/>
    <w:rsid w:val="000F1A54"/>
    <w:rsid w:val="000F1D3A"/>
    <w:rsid w:val="000F2502"/>
    <w:rsid w:val="000F29ED"/>
    <w:rsid w:val="000F2FA5"/>
    <w:rsid w:val="000F3023"/>
    <w:rsid w:val="000F3E9B"/>
    <w:rsid w:val="000F3EDA"/>
    <w:rsid w:val="000F4814"/>
    <w:rsid w:val="000F4902"/>
    <w:rsid w:val="000F492E"/>
    <w:rsid w:val="000F4D7D"/>
    <w:rsid w:val="000F5666"/>
    <w:rsid w:val="000F5A7E"/>
    <w:rsid w:val="000F5F53"/>
    <w:rsid w:val="000F6FF8"/>
    <w:rsid w:val="000F7161"/>
    <w:rsid w:val="000F728B"/>
    <w:rsid w:val="000F75C5"/>
    <w:rsid w:val="000F75F3"/>
    <w:rsid w:val="000F772C"/>
    <w:rsid w:val="00100019"/>
    <w:rsid w:val="0010001C"/>
    <w:rsid w:val="0010014E"/>
    <w:rsid w:val="00100B33"/>
    <w:rsid w:val="00100FA9"/>
    <w:rsid w:val="00101100"/>
    <w:rsid w:val="00101235"/>
    <w:rsid w:val="00101383"/>
    <w:rsid w:val="001013CC"/>
    <w:rsid w:val="0010147B"/>
    <w:rsid w:val="00101C35"/>
    <w:rsid w:val="0010271A"/>
    <w:rsid w:val="00102C6F"/>
    <w:rsid w:val="001031CB"/>
    <w:rsid w:val="00103A75"/>
    <w:rsid w:val="00103BF8"/>
    <w:rsid w:val="00104D29"/>
    <w:rsid w:val="00105394"/>
    <w:rsid w:val="00105D0A"/>
    <w:rsid w:val="00105FCD"/>
    <w:rsid w:val="001061A1"/>
    <w:rsid w:val="00106581"/>
    <w:rsid w:val="00106762"/>
    <w:rsid w:val="00106B77"/>
    <w:rsid w:val="00106C7A"/>
    <w:rsid w:val="00106EB3"/>
    <w:rsid w:val="001073FE"/>
    <w:rsid w:val="00107BAE"/>
    <w:rsid w:val="00107D40"/>
    <w:rsid w:val="00107E19"/>
    <w:rsid w:val="00110435"/>
    <w:rsid w:val="00111010"/>
    <w:rsid w:val="001110A0"/>
    <w:rsid w:val="001112EE"/>
    <w:rsid w:val="0011165A"/>
    <w:rsid w:val="00111C24"/>
    <w:rsid w:val="00111EB6"/>
    <w:rsid w:val="00112269"/>
    <w:rsid w:val="00112E04"/>
    <w:rsid w:val="00112FB7"/>
    <w:rsid w:val="001137B2"/>
    <w:rsid w:val="00113C29"/>
    <w:rsid w:val="001141E0"/>
    <w:rsid w:val="001142B8"/>
    <w:rsid w:val="001143C9"/>
    <w:rsid w:val="001149C1"/>
    <w:rsid w:val="00114CCF"/>
    <w:rsid w:val="00115AF9"/>
    <w:rsid w:val="00115B2F"/>
    <w:rsid w:val="00115F81"/>
    <w:rsid w:val="00116E29"/>
    <w:rsid w:val="00116E92"/>
    <w:rsid w:val="00117807"/>
    <w:rsid w:val="00120097"/>
    <w:rsid w:val="0012118E"/>
    <w:rsid w:val="00121190"/>
    <w:rsid w:val="00121505"/>
    <w:rsid w:val="00121521"/>
    <w:rsid w:val="00121BCA"/>
    <w:rsid w:val="00122113"/>
    <w:rsid w:val="0012237E"/>
    <w:rsid w:val="0012251B"/>
    <w:rsid w:val="0012282C"/>
    <w:rsid w:val="00122EF8"/>
    <w:rsid w:val="00123B98"/>
    <w:rsid w:val="00123C67"/>
    <w:rsid w:val="00123D39"/>
    <w:rsid w:val="00123DCF"/>
    <w:rsid w:val="001240C8"/>
    <w:rsid w:val="00125E3B"/>
    <w:rsid w:val="00125E5B"/>
    <w:rsid w:val="00125EEF"/>
    <w:rsid w:val="00126319"/>
    <w:rsid w:val="0012659B"/>
    <w:rsid w:val="00126B21"/>
    <w:rsid w:val="00127A10"/>
    <w:rsid w:val="00127C63"/>
    <w:rsid w:val="001308B9"/>
    <w:rsid w:val="001314F6"/>
    <w:rsid w:val="00131615"/>
    <w:rsid w:val="00131D65"/>
    <w:rsid w:val="00131DB4"/>
    <w:rsid w:val="00132512"/>
    <w:rsid w:val="0013255C"/>
    <w:rsid w:val="00132CFC"/>
    <w:rsid w:val="0013309F"/>
    <w:rsid w:val="00133D0B"/>
    <w:rsid w:val="00133ECD"/>
    <w:rsid w:val="00134099"/>
    <w:rsid w:val="00134C92"/>
    <w:rsid w:val="00135110"/>
    <w:rsid w:val="001357A9"/>
    <w:rsid w:val="001366F0"/>
    <w:rsid w:val="001376C4"/>
    <w:rsid w:val="0013780F"/>
    <w:rsid w:val="001379DA"/>
    <w:rsid w:val="00137F48"/>
    <w:rsid w:val="00140476"/>
    <w:rsid w:val="00140AA0"/>
    <w:rsid w:val="00140D55"/>
    <w:rsid w:val="001413F0"/>
    <w:rsid w:val="0014170B"/>
    <w:rsid w:val="00141738"/>
    <w:rsid w:val="00141C9A"/>
    <w:rsid w:val="0014223A"/>
    <w:rsid w:val="00142364"/>
    <w:rsid w:val="001424B0"/>
    <w:rsid w:val="001424B2"/>
    <w:rsid w:val="001430F4"/>
    <w:rsid w:val="001432A2"/>
    <w:rsid w:val="00143501"/>
    <w:rsid w:val="001437CD"/>
    <w:rsid w:val="001442D7"/>
    <w:rsid w:val="00144BA9"/>
    <w:rsid w:val="0014524D"/>
    <w:rsid w:val="00145763"/>
    <w:rsid w:val="001463AC"/>
    <w:rsid w:val="00146C19"/>
    <w:rsid w:val="00146DBD"/>
    <w:rsid w:val="00147B03"/>
    <w:rsid w:val="00147F6A"/>
    <w:rsid w:val="001505C5"/>
    <w:rsid w:val="00150A4F"/>
    <w:rsid w:val="00150C14"/>
    <w:rsid w:val="00150E4D"/>
    <w:rsid w:val="00151575"/>
    <w:rsid w:val="00151ED0"/>
    <w:rsid w:val="00152028"/>
    <w:rsid w:val="00152057"/>
    <w:rsid w:val="00152161"/>
    <w:rsid w:val="0015231F"/>
    <w:rsid w:val="0015250F"/>
    <w:rsid w:val="0015292B"/>
    <w:rsid w:val="00153336"/>
    <w:rsid w:val="00153D09"/>
    <w:rsid w:val="001545F4"/>
    <w:rsid w:val="00155C34"/>
    <w:rsid w:val="00156153"/>
    <w:rsid w:val="001563C3"/>
    <w:rsid w:val="00157840"/>
    <w:rsid w:val="0015796B"/>
    <w:rsid w:val="00157F75"/>
    <w:rsid w:val="00160CCC"/>
    <w:rsid w:val="001613E8"/>
    <w:rsid w:val="00161606"/>
    <w:rsid w:val="00161EAC"/>
    <w:rsid w:val="001627CC"/>
    <w:rsid w:val="00162B2D"/>
    <w:rsid w:val="00162BD0"/>
    <w:rsid w:val="0016342A"/>
    <w:rsid w:val="00163714"/>
    <w:rsid w:val="00163C72"/>
    <w:rsid w:val="00163CBB"/>
    <w:rsid w:val="00164361"/>
    <w:rsid w:val="00164D70"/>
    <w:rsid w:val="001652E6"/>
    <w:rsid w:val="00165E69"/>
    <w:rsid w:val="00165EB1"/>
    <w:rsid w:val="001661AD"/>
    <w:rsid w:val="00166C76"/>
    <w:rsid w:val="00166CF0"/>
    <w:rsid w:val="001670A8"/>
    <w:rsid w:val="00167370"/>
    <w:rsid w:val="00167436"/>
    <w:rsid w:val="00167615"/>
    <w:rsid w:val="001676BE"/>
    <w:rsid w:val="001679DD"/>
    <w:rsid w:val="00167FAA"/>
    <w:rsid w:val="00170518"/>
    <w:rsid w:val="00171361"/>
    <w:rsid w:val="001715C4"/>
    <w:rsid w:val="001719DA"/>
    <w:rsid w:val="00171E1F"/>
    <w:rsid w:val="00171E24"/>
    <w:rsid w:val="0017242C"/>
    <w:rsid w:val="00172A27"/>
    <w:rsid w:val="00172D1A"/>
    <w:rsid w:val="00173310"/>
    <w:rsid w:val="00173F49"/>
    <w:rsid w:val="0017406D"/>
    <w:rsid w:val="00174203"/>
    <w:rsid w:val="001744F6"/>
    <w:rsid w:val="0017465D"/>
    <w:rsid w:val="00174782"/>
    <w:rsid w:val="00174DDA"/>
    <w:rsid w:val="00174E9E"/>
    <w:rsid w:val="00174EA3"/>
    <w:rsid w:val="00174FB6"/>
    <w:rsid w:val="00175928"/>
    <w:rsid w:val="00175A73"/>
    <w:rsid w:val="00175BFC"/>
    <w:rsid w:val="00176135"/>
    <w:rsid w:val="001762BD"/>
    <w:rsid w:val="0017665A"/>
    <w:rsid w:val="00176964"/>
    <w:rsid w:val="001769E4"/>
    <w:rsid w:val="00176A0B"/>
    <w:rsid w:val="00176E16"/>
    <w:rsid w:val="00176EE3"/>
    <w:rsid w:val="0017713A"/>
    <w:rsid w:val="0017768C"/>
    <w:rsid w:val="00177AB4"/>
    <w:rsid w:val="00177B0A"/>
    <w:rsid w:val="00177E03"/>
    <w:rsid w:val="001804DF"/>
    <w:rsid w:val="00180B3E"/>
    <w:rsid w:val="00180B4F"/>
    <w:rsid w:val="00180CD8"/>
    <w:rsid w:val="00181334"/>
    <w:rsid w:val="00181579"/>
    <w:rsid w:val="0018162D"/>
    <w:rsid w:val="00181AD1"/>
    <w:rsid w:val="00181DD6"/>
    <w:rsid w:val="0018214E"/>
    <w:rsid w:val="0018220F"/>
    <w:rsid w:val="001829DB"/>
    <w:rsid w:val="001829F3"/>
    <w:rsid w:val="00182D90"/>
    <w:rsid w:val="001831DB"/>
    <w:rsid w:val="001836DA"/>
    <w:rsid w:val="00183B10"/>
    <w:rsid w:val="00184960"/>
    <w:rsid w:val="001849DF"/>
    <w:rsid w:val="00184B79"/>
    <w:rsid w:val="00184FBC"/>
    <w:rsid w:val="001854F4"/>
    <w:rsid w:val="001857D2"/>
    <w:rsid w:val="00186681"/>
    <w:rsid w:val="0018698F"/>
    <w:rsid w:val="001869E0"/>
    <w:rsid w:val="00187E5E"/>
    <w:rsid w:val="00190874"/>
    <w:rsid w:val="00190A20"/>
    <w:rsid w:val="001916C0"/>
    <w:rsid w:val="00191A4A"/>
    <w:rsid w:val="0019231D"/>
    <w:rsid w:val="00193202"/>
    <w:rsid w:val="001936A3"/>
    <w:rsid w:val="001939AB"/>
    <w:rsid w:val="00193B5F"/>
    <w:rsid w:val="00193F13"/>
    <w:rsid w:val="00194370"/>
    <w:rsid w:val="001952CA"/>
    <w:rsid w:val="00195904"/>
    <w:rsid w:val="00196463"/>
    <w:rsid w:val="00196F26"/>
    <w:rsid w:val="00197369"/>
    <w:rsid w:val="0019748F"/>
    <w:rsid w:val="00197B87"/>
    <w:rsid w:val="001A141F"/>
    <w:rsid w:val="001A1C98"/>
    <w:rsid w:val="001A1ED1"/>
    <w:rsid w:val="001A2F29"/>
    <w:rsid w:val="001A3075"/>
    <w:rsid w:val="001A3188"/>
    <w:rsid w:val="001A3779"/>
    <w:rsid w:val="001A39FF"/>
    <w:rsid w:val="001A3DB9"/>
    <w:rsid w:val="001A3F5F"/>
    <w:rsid w:val="001A42DF"/>
    <w:rsid w:val="001A4319"/>
    <w:rsid w:val="001A456B"/>
    <w:rsid w:val="001A5258"/>
    <w:rsid w:val="001A5400"/>
    <w:rsid w:val="001A654E"/>
    <w:rsid w:val="001A6DC4"/>
    <w:rsid w:val="001A6EE2"/>
    <w:rsid w:val="001A7150"/>
    <w:rsid w:val="001A7AD3"/>
    <w:rsid w:val="001A7BEF"/>
    <w:rsid w:val="001A7FA1"/>
    <w:rsid w:val="001B00FB"/>
    <w:rsid w:val="001B052C"/>
    <w:rsid w:val="001B15CB"/>
    <w:rsid w:val="001B1E44"/>
    <w:rsid w:val="001B1FD7"/>
    <w:rsid w:val="001B2952"/>
    <w:rsid w:val="001B2ABF"/>
    <w:rsid w:val="001B353F"/>
    <w:rsid w:val="001B37F5"/>
    <w:rsid w:val="001B4218"/>
    <w:rsid w:val="001B4572"/>
    <w:rsid w:val="001B46D8"/>
    <w:rsid w:val="001B4B43"/>
    <w:rsid w:val="001B5936"/>
    <w:rsid w:val="001B5C80"/>
    <w:rsid w:val="001B630D"/>
    <w:rsid w:val="001B665D"/>
    <w:rsid w:val="001B6AA3"/>
    <w:rsid w:val="001B75D7"/>
    <w:rsid w:val="001B7FD5"/>
    <w:rsid w:val="001C03B8"/>
    <w:rsid w:val="001C06E9"/>
    <w:rsid w:val="001C0937"/>
    <w:rsid w:val="001C0B76"/>
    <w:rsid w:val="001C107E"/>
    <w:rsid w:val="001C1436"/>
    <w:rsid w:val="001C1D76"/>
    <w:rsid w:val="001C2464"/>
    <w:rsid w:val="001C3801"/>
    <w:rsid w:val="001C3F02"/>
    <w:rsid w:val="001C4427"/>
    <w:rsid w:val="001C4816"/>
    <w:rsid w:val="001C4BCA"/>
    <w:rsid w:val="001C57CA"/>
    <w:rsid w:val="001C59A0"/>
    <w:rsid w:val="001C5B7C"/>
    <w:rsid w:val="001C5D65"/>
    <w:rsid w:val="001C62A9"/>
    <w:rsid w:val="001C6358"/>
    <w:rsid w:val="001C67A6"/>
    <w:rsid w:val="001C6E07"/>
    <w:rsid w:val="001D00CC"/>
    <w:rsid w:val="001D11A5"/>
    <w:rsid w:val="001D1C30"/>
    <w:rsid w:val="001D2487"/>
    <w:rsid w:val="001D2E17"/>
    <w:rsid w:val="001D3289"/>
    <w:rsid w:val="001D3343"/>
    <w:rsid w:val="001D33C4"/>
    <w:rsid w:val="001D33F7"/>
    <w:rsid w:val="001D3E75"/>
    <w:rsid w:val="001D4099"/>
    <w:rsid w:val="001D44A5"/>
    <w:rsid w:val="001D471F"/>
    <w:rsid w:val="001D47EB"/>
    <w:rsid w:val="001D4EAC"/>
    <w:rsid w:val="001D51F5"/>
    <w:rsid w:val="001D536B"/>
    <w:rsid w:val="001D5BA1"/>
    <w:rsid w:val="001D6AD3"/>
    <w:rsid w:val="001D6CDB"/>
    <w:rsid w:val="001D7A7B"/>
    <w:rsid w:val="001E025A"/>
    <w:rsid w:val="001E06C2"/>
    <w:rsid w:val="001E06DD"/>
    <w:rsid w:val="001E0DE4"/>
    <w:rsid w:val="001E129E"/>
    <w:rsid w:val="001E1ADE"/>
    <w:rsid w:val="001E1BBC"/>
    <w:rsid w:val="001E20F3"/>
    <w:rsid w:val="001E249F"/>
    <w:rsid w:val="001E29A7"/>
    <w:rsid w:val="001E3033"/>
    <w:rsid w:val="001E3154"/>
    <w:rsid w:val="001E344F"/>
    <w:rsid w:val="001E3617"/>
    <w:rsid w:val="001E3F1C"/>
    <w:rsid w:val="001E519B"/>
    <w:rsid w:val="001E5879"/>
    <w:rsid w:val="001E68F1"/>
    <w:rsid w:val="001E7365"/>
    <w:rsid w:val="001E7BFC"/>
    <w:rsid w:val="001F0840"/>
    <w:rsid w:val="001F0BAC"/>
    <w:rsid w:val="001F0C82"/>
    <w:rsid w:val="001F0EDF"/>
    <w:rsid w:val="001F1031"/>
    <w:rsid w:val="001F1069"/>
    <w:rsid w:val="001F131D"/>
    <w:rsid w:val="001F17A1"/>
    <w:rsid w:val="001F20B5"/>
    <w:rsid w:val="001F25F3"/>
    <w:rsid w:val="001F2A89"/>
    <w:rsid w:val="001F316D"/>
    <w:rsid w:val="001F318B"/>
    <w:rsid w:val="001F36B3"/>
    <w:rsid w:val="001F3FAA"/>
    <w:rsid w:val="001F429F"/>
    <w:rsid w:val="001F4317"/>
    <w:rsid w:val="001F4459"/>
    <w:rsid w:val="001F48A6"/>
    <w:rsid w:val="001F4C7B"/>
    <w:rsid w:val="001F55D4"/>
    <w:rsid w:val="001F5917"/>
    <w:rsid w:val="001F59E4"/>
    <w:rsid w:val="001F5E55"/>
    <w:rsid w:val="001F68D2"/>
    <w:rsid w:val="001F6AA2"/>
    <w:rsid w:val="001F7205"/>
    <w:rsid w:val="001F731D"/>
    <w:rsid w:val="001F7C7D"/>
    <w:rsid w:val="001F7EC5"/>
    <w:rsid w:val="0020061E"/>
    <w:rsid w:val="00200678"/>
    <w:rsid w:val="00200945"/>
    <w:rsid w:val="00200B05"/>
    <w:rsid w:val="00201371"/>
    <w:rsid w:val="0020183E"/>
    <w:rsid w:val="00201ED0"/>
    <w:rsid w:val="0020219B"/>
    <w:rsid w:val="0020263A"/>
    <w:rsid w:val="002032C5"/>
    <w:rsid w:val="00204038"/>
    <w:rsid w:val="00204289"/>
    <w:rsid w:val="00204338"/>
    <w:rsid w:val="002043F1"/>
    <w:rsid w:val="00204415"/>
    <w:rsid w:val="002046CB"/>
    <w:rsid w:val="00204C14"/>
    <w:rsid w:val="00204C41"/>
    <w:rsid w:val="00204C95"/>
    <w:rsid w:val="00204DBA"/>
    <w:rsid w:val="00205440"/>
    <w:rsid w:val="002064F6"/>
    <w:rsid w:val="00206F42"/>
    <w:rsid w:val="00206FA1"/>
    <w:rsid w:val="00207000"/>
    <w:rsid w:val="0020715F"/>
    <w:rsid w:val="00207318"/>
    <w:rsid w:val="00207577"/>
    <w:rsid w:val="002078D9"/>
    <w:rsid w:val="00207EA1"/>
    <w:rsid w:val="00207EED"/>
    <w:rsid w:val="00210269"/>
    <w:rsid w:val="00210514"/>
    <w:rsid w:val="002107BB"/>
    <w:rsid w:val="0021090C"/>
    <w:rsid w:val="00210F17"/>
    <w:rsid w:val="00211048"/>
    <w:rsid w:val="00211692"/>
    <w:rsid w:val="00211D97"/>
    <w:rsid w:val="00211F7A"/>
    <w:rsid w:val="00211FFD"/>
    <w:rsid w:val="0021218E"/>
    <w:rsid w:val="0021299D"/>
    <w:rsid w:val="00213057"/>
    <w:rsid w:val="00213125"/>
    <w:rsid w:val="0021323A"/>
    <w:rsid w:val="0021398E"/>
    <w:rsid w:val="00214493"/>
    <w:rsid w:val="00214688"/>
    <w:rsid w:val="00214B5E"/>
    <w:rsid w:val="00214D21"/>
    <w:rsid w:val="00214E1C"/>
    <w:rsid w:val="002157E9"/>
    <w:rsid w:val="00215AC5"/>
    <w:rsid w:val="00215B53"/>
    <w:rsid w:val="0021612B"/>
    <w:rsid w:val="00216625"/>
    <w:rsid w:val="002171E0"/>
    <w:rsid w:val="00220D0D"/>
    <w:rsid w:val="0022128F"/>
    <w:rsid w:val="0022149D"/>
    <w:rsid w:val="00221C09"/>
    <w:rsid w:val="00221DC0"/>
    <w:rsid w:val="00222445"/>
    <w:rsid w:val="002225AF"/>
    <w:rsid w:val="00222777"/>
    <w:rsid w:val="002227CF"/>
    <w:rsid w:val="0022288F"/>
    <w:rsid w:val="00222A26"/>
    <w:rsid w:val="00223006"/>
    <w:rsid w:val="002233D6"/>
    <w:rsid w:val="00223A8B"/>
    <w:rsid w:val="00223EB5"/>
    <w:rsid w:val="00223FBC"/>
    <w:rsid w:val="0022402B"/>
    <w:rsid w:val="00224435"/>
    <w:rsid w:val="002257AC"/>
    <w:rsid w:val="0022603C"/>
    <w:rsid w:val="0022613D"/>
    <w:rsid w:val="002262CA"/>
    <w:rsid w:val="002266CC"/>
    <w:rsid w:val="002269B4"/>
    <w:rsid w:val="00226E6A"/>
    <w:rsid w:val="00227551"/>
    <w:rsid w:val="00227688"/>
    <w:rsid w:val="002276B7"/>
    <w:rsid w:val="0022778A"/>
    <w:rsid w:val="00230293"/>
    <w:rsid w:val="002305DE"/>
    <w:rsid w:val="00230E80"/>
    <w:rsid w:val="00230FCD"/>
    <w:rsid w:val="00231012"/>
    <w:rsid w:val="00231043"/>
    <w:rsid w:val="00231230"/>
    <w:rsid w:val="0023158B"/>
    <w:rsid w:val="0023167A"/>
    <w:rsid w:val="00231D05"/>
    <w:rsid w:val="0023230F"/>
    <w:rsid w:val="00232640"/>
    <w:rsid w:val="00232909"/>
    <w:rsid w:val="002329E5"/>
    <w:rsid w:val="00232D19"/>
    <w:rsid w:val="002335D6"/>
    <w:rsid w:val="00233922"/>
    <w:rsid w:val="00233E5F"/>
    <w:rsid w:val="00234187"/>
    <w:rsid w:val="0023498F"/>
    <w:rsid w:val="00234A4D"/>
    <w:rsid w:val="00235160"/>
    <w:rsid w:val="00235723"/>
    <w:rsid w:val="00235AE5"/>
    <w:rsid w:val="00235B2A"/>
    <w:rsid w:val="00235B9D"/>
    <w:rsid w:val="00235F4E"/>
    <w:rsid w:val="00236095"/>
    <w:rsid w:val="002360A6"/>
    <w:rsid w:val="002365DF"/>
    <w:rsid w:val="00236E7F"/>
    <w:rsid w:val="00237D68"/>
    <w:rsid w:val="00240056"/>
    <w:rsid w:val="002400FE"/>
    <w:rsid w:val="0024045E"/>
    <w:rsid w:val="002409FD"/>
    <w:rsid w:val="00240E9E"/>
    <w:rsid w:val="0024172D"/>
    <w:rsid w:val="00241A94"/>
    <w:rsid w:val="00241C1D"/>
    <w:rsid w:val="00242129"/>
    <w:rsid w:val="002423A8"/>
    <w:rsid w:val="00242713"/>
    <w:rsid w:val="00242B90"/>
    <w:rsid w:val="00242D15"/>
    <w:rsid w:val="00242D34"/>
    <w:rsid w:val="0024310F"/>
    <w:rsid w:val="002432AD"/>
    <w:rsid w:val="00243372"/>
    <w:rsid w:val="002436F6"/>
    <w:rsid w:val="002443BA"/>
    <w:rsid w:val="002445C7"/>
    <w:rsid w:val="00244671"/>
    <w:rsid w:val="00244CA4"/>
    <w:rsid w:val="00244CF8"/>
    <w:rsid w:val="00244E5C"/>
    <w:rsid w:val="002451FD"/>
    <w:rsid w:val="00245526"/>
    <w:rsid w:val="00245604"/>
    <w:rsid w:val="0024582C"/>
    <w:rsid w:val="00245C86"/>
    <w:rsid w:val="002463B2"/>
    <w:rsid w:val="0024691B"/>
    <w:rsid w:val="00246D3E"/>
    <w:rsid w:val="0024755C"/>
    <w:rsid w:val="00247938"/>
    <w:rsid w:val="00247B48"/>
    <w:rsid w:val="00247BFF"/>
    <w:rsid w:val="00247D26"/>
    <w:rsid w:val="002500E6"/>
    <w:rsid w:val="00250C5C"/>
    <w:rsid w:val="00250CB1"/>
    <w:rsid w:val="00250FA1"/>
    <w:rsid w:val="00251E1D"/>
    <w:rsid w:val="00251F3A"/>
    <w:rsid w:val="002523A9"/>
    <w:rsid w:val="0025242F"/>
    <w:rsid w:val="00252DEC"/>
    <w:rsid w:val="0025394A"/>
    <w:rsid w:val="00254229"/>
    <w:rsid w:val="002548A4"/>
    <w:rsid w:val="0025598D"/>
    <w:rsid w:val="00255E2B"/>
    <w:rsid w:val="00256357"/>
    <w:rsid w:val="00256FA3"/>
    <w:rsid w:val="00257328"/>
    <w:rsid w:val="00257920"/>
    <w:rsid w:val="00257D53"/>
    <w:rsid w:val="00260743"/>
    <w:rsid w:val="00260DCB"/>
    <w:rsid w:val="00260F5B"/>
    <w:rsid w:val="00261960"/>
    <w:rsid w:val="0026219D"/>
    <w:rsid w:val="00262619"/>
    <w:rsid w:val="002629D5"/>
    <w:rsid w:val="002632B5"/>
    <w:rsid w:val="0026350C"/>
    <w:rsid w:val="0026353F"/>
    <w:rsid w:val="00263565"/>
    <w:rsid w:val="00263853"/>
    <w:rsid w:val="00263992"/>
    <w:rsid w:val="00263A23"/>
    <w:rsid w:val="00263C77"/>
    <w:rsid w:val="00263E1B"/>
    <w:rsid w:val="002640D4"/>
    <w:rsid w:val="002641A0"/>
    <w:rsid w:val="00264873"/>
    <w:rsid w:val="00264943"/>
    <w:rsid w:val="00264DD0"/>
    <w:rsid w:val="00264EB6"/>
    <w:rsid w:val="00265672"/>
    <w:rsid w:val="00265933"/>
    <w:rsid w:val="00265ACC"/>
    <w:rsid w:val="00265C01"/>
    <w:rsid w:val="0026748D"/>
    <w:rsid w:val="00267B96"/>
    <w:rsid w:val="00267DC9"/>
    <w:rsid w:val="002703EC"/>
    <w:rsid w:val="00270F8B"/>
    <w:rsid w:val="002711CF"/>
    <w:rsid w:val="00271964"/>
    <w:rsid w:val="00271D01"/>
    <w:rsid w:val="00271FC5"/>
    <w:rsid w:val="00272828"/>
    <w:rsid w:val="00272922"/>
    <w:rsid w:val="00272DFD"/>
    <w:rsid w:val="002730DB"/>
    <w:rsid w:val="002733AA"/>
    <w:rsid w:val="002737B9"/>
    <w:rsid w:val="00273BAC"/>
    <w:rsid w:val="00273DAF"/>
    <w:rsid w:val="00273EF7"/>
    <w:rsid w:val="00273FFB"/>
    <w:rsid w:val="0027435C"/>
    <w:rsid w:val="00274ADE"/>
    <w:rsid w:val="0027574C"/>
    <w:rsid w:val="002758C2"/>
    <w:rsid w:val="00275B09"/>
    <w:rsid w:val="00275EDD"/>
    <w:rsid w:val="002768EB"/>
    <w:rsid w:val="002768EF"/>
    <w:rsid w:val="00276C1B"/>
    <w:rsid w:val="00276C34"/>
    <w:rsid w:val="00277098"/>
    <w:rsid w:val="0027717C"/>
    <w:rsid w:val="002773D8"/>
    <w:rsid w:val="00277F66"/>
    <w:rsid w:val="002800DE"/>
    <w:rsid w:val="002806F6"/>
    <w:rsid w:val="002813F4"/>
    <w:rsid w:val="002814BA"/>
    <w:rsid w:val="002818B9"/>
    <w:rsid w:val="00281C6F"/>
    <w:rsid w:val="002820E1"/>
    <w:rsid w:val="00282A90"/>
    <w:rsid w:val="00283D65"/>
    <w:rsid w:val="00283DAB"/>
    <w:rsid w:val="00283E45"/>
    <w:rsid w:val="0028403D"/>
    <w:rsid w:val="00284081"/>
    <w:rsid w:val="002846E0"/>
    <w:rsid w:val="002849A4"/>
    <w:rsid w:val="002853A4"/>
    <w:rsid w:val="00285A63"/>
    <w:rsid w:val="00285C4E"/>
    <w:rsid w:val="00285E79"/>
    <w:rsid w:val="002860F0"/>
    <w:rsid w:val="0028643F"/>
    <w:rsid w:val="00286747"/>
    <w:rsid w:val="00286BA3"/>
    <w:rsid w:val="00286CCC"/>
    <w:rsid w:val="00286E29"/>
    <w:rsid w:val="002876B0"/>
    <w:rsid w:val="00287CF3"/>
    <w:rsid w:val="00287E84"/>
    <w:rsid w:val="00290306"/>
    <w:rsid w:val="002903FF"/>
    <w:rsid w:val="002905E9"/>
    <w:rsid w:val="0029141C"/>
    <w:rsid w:val="002917E6"/>
    <w:rsid w:val="00291992"/>
    <w:rsid w:val="00291C7A"/>
    <w:rsid w:val="00291EFD"/>
    <w:rsid w:val="0029206B"/>
    <w:rsid w:val="002920DB"/>
    <w:rsid w:val="00292B0C"/>
    <w:rsid w:val="00293141"/>
    <w:rsid w:val="00293685"/>
    <w:rsid w:val="00293ECF"/>
    <w:rsid w:val="00294021"/>
    <w:rsid w:val="00294095"/>
    <w:rsid w:val="002944DC"/>
    <w:rsid w:val="00294AD4"/>
    <w:rsid w:val="002953D5"/>
    <w:rsid w:val="0029559B"/>
    <w:rsid w:val="002956CF"/>
    <w:rsid w:val="00296131"/>
    <w:rsid w:val="002A013D"/>
    <w:rsid w:val="002A1171"/>
    <w:rsid w:val="002A14CF"/>
    <w:rsid w:val="002A1F1F"/>
    <w:rsid w:val="002A2073"/>
    <w:rsid w:val="002A2632"/>
    <w:rsid w:val="002A27B4"/>
    <w:rsid w:val="002A3A30"/>
    <w:rsid w:val="002A3E6E"/>
    <w:rsid w:val="002A42D7"/>
    <w:rsid w:val="002A445C"/>
    <w:rsid w:val="002A45FB"/>
    <w:rsid w:val="002A4A29"/>
    <w:rsid w:val="002A4CA1"/>
    <w:rsid w:val="002A4CA5"/>
    <w:rsid w:val="002A55C5"/>
    <w:rsid w:val="002A5752"/>
    <w:rsid w:val="002A58F2"/>
    <w:rsid w:val="002A5A81"/>
    <w:rsid w:val="002A5D9B"/>
    <w:rsid w:val="002A5E66"/>
    <w:rsid w:val="002A6E06"/>
    <w:rsid w:val="002A765F"/>
    <w:rsid w:val="002B00FF"/>
    <w:rsid w:val="002B0A7B"/>
    <w:rsid w:val="002B0AB3"/>
    <w:rsid w:val="002B16B8"/>
    <w:rsid w:val="002B1F26"/>
    <w:rsid w:val="002B2492"/>
    <w:rsid w:val="002B2DC8"/>
    <w:rsid w:val="002B47B4"/>
    <w:rsid w:val="002B53DA"/>
    <w:rsid w:val="002B58AD"/>
    <w:rsid w:val="002B5F03"/>
    <w:rsid w:val="002B5FC1"/>
    <w:rsid w:val="002B66A8"/>
    <w:rsid w:val="002B670B"/>
    <w:rsid w:val="002B67F0"/>
    <w:rsid w:val="002B6C05"/>
    <w:rsid w:val="002B6D66"/>
    <w:rsid w:val="002B70F9"/>
    <w:rsid w:val="002B752F"/>
    <w:rsid w:val="002B78B3"/>
    <w:rsid w:val="002C013D"/>
    <w:rsid w:val="002C0554"/>
    <w:rsid w:val="002C0898"/>
    <w:rsid w:val="002C0DF8"/>
    <w:rsid w:val="002C13C9"/>
    <w:rsid w:val="002C1566"/>
    <w:rsid w:val="002C1623"/>
    <w:rsid w:val="002C183D"/>
    <w:rsid w:val="002C2993"/>
    <w:rsid w:val="002C2A86"/>
    <w:rsid w:val="002C3177"/>
    <w:rsid w:val="002C31EC"/>
    <w:rsid w:val="002C326C"/>
    <w:rsid w:val="002C3828"/>
    <w:rsid w:val="002C38EA"/>
    <w:rsid w:val="002C3BEF"/>
    <w:rsid w:val="002C3C05"/>
    <w:rsid w:val="002C3C09"/>
    <w:rsid w:val="002C4021"/>
    <w:rsid w:val="002C4615"/>
    <w:rsid w:val="002C4DEF"/>
    <w:rsid w:val="002C4F2E"/>
    <w:rsid w:val="002C54DF"/>
    <w:rsid w:val="002C58A2"/>
    <w:rsid w:val="002C5D6D"/>
    <w:rsid w:val="002C61F8"/>
    <w:rsid w:val="002C664F"/>
    <w:rsid w:val="002C6D76"/>
    <w:rsid w:val="002C7589"/>
    <w:rsid w:val="002C7963"/>
    <w:rsid w:val="002D061F"/>
    <w:rsid w:val="002D0C04"/>
    <w:rsid w:val="002D13BC"/>
    <w:rsid w:val="002D1A55"/>
    <w:rsid w:val="002D1CCE"/>
    <w:rsid w:val="002D1E58"/>
    <w:rsid w:val="002D23D4"/>
    <w:rsid w:val="002D4F5F"/>
    <w:rsid w:val="002D6772"/>
    <w:rsid w:val="002D68E2"/>
    <w:rsid w:val="002D6F43"/>
    <w:rsid w:val="002D7393"/>
    <w:rsid w:val="002D7759"/>
    <w:rsid w:val="002D7FE9"/>
    <w:rsid w:val="002E0337"/>
    <w:rsid w:val="002E13BD"/>
    <w:rsid w:val="002E1486"/>
    <w:rsid w:val="002E2560"/>
    <w:rsid w:val="002E302A"/>
    <w:rsid w:val="002E3130"/>
    <w:rsid w:val="002E323B"/>
    <w:rsid w:val="002E3552"/>
    <w:rsid w:val="002E420C"/>
    <w:rsid w:val="002E46B2"/>
    <w:rsid w:val="002E4E3E"/>
    <w:rsid w:val="002E582A"/>
    <w:rsid w:val="002E5C90"/>
    <w:rsid w:val="002E675E"/>
    <w:rsid w:val="002E68B9"/>
    <w:rsid w:val="002E7354"/>
    <w:rsid w:val="002E7803"/>
    <w:rsid w:val="002E7869"/>
    <w:rsid w:val="002E7AE1"/>
    <w:rsid w:val="002F0079"/>
    <w:rsid w:val="002F0AD5"/>
    <w:rsid w:val="002F1080"/>
    <w:rsid w:val="002F1133"/>
    <w:rsid w:val="002F120F"/>
    <w:rsid w:val="002F14F1"/>
    <w:rsid w:val="002F19C3"/>
    <w:rsid w:val="002F1ABE"/>
    <w:rsid w:val="002F1D02"/>
    <w:rsid w:val="002F1FBE"/>
    <w:rsid w:val="002F2717"/>
    <w:rsid w:val="002F2E05"/>
    <w:rsid w:val="002F2ECC"/>
    <w:rsid w:val="002F308F"/>
    <w:rsid w:val="002F3A7E"/>
    <w:rsid w:val="002F4C27"/>
    <w:rsid w:val="002F523A"/>
    <w:rsid w:val="002F592A"/>
    <w:rsid w:val="002F63F0"/>
    <w:rsid w:val="002F6CAD"/>
    <w:rsid w:val="002F779B"/>
    <w:rsid w:val="00300103"/>
    <w:rsid w:val="0030050C"/>
    <w:rsid w:val="003007A6"/>
    <w:rsid w:val="003011D6"/>
    <w:rsid w:val="00301468"/>
    <w:rsid w:val="00301928"/>
    <w:rsid w:val="003019CB"/>
    <w:rsid w:val="00301EE8"/>
    <w:rsid w:val="003023B6"/>
    <w:rsid w:val="00302710"/>
    <w:rsid w:val="00302768"/>
    <w:rsid w:val="00302DC4"/>
    <w:rsid w:val="00302ECE"/>
    <w:rsid w:val="00303610"/>
    <w:rsid w:val="00303A06"/>
    <w:rsid w:val="00303A56"/>
    <w:rsid w:val="00303D14"/>
    <w:rsid w:val="0030476A"/>
    <w:rsid w:val="00304920"/>
    <w:rsid w:val="00304C50"/>
    <w:rsid w:val="00304D0F"/>
    <w:rsid w:val="00304ED9"/>
    <w:rsid w:val="0030516F"/>
    <w:rsid w:val="003053F1"/>
    <w:rsid w:val="003054F4"/>
    <w:rsid w:val="003055E2"/>
    <w:rsid w:val="003059A5"/>
    <w:rsid w:val="00305CAB"/>
    <w:rsid w:val="00305DEE"/>
    <w:rsid w:val="00306015"/>
    <w:rsid w:val="003064F4"/>
    <w:rsid w:val="003068DE"/>
    <w:rsid w:val="00306E2B"/>
    <w:rsid w:val="00306FA1"/>
    <w:rsid w:val="0030788A"/>
    <w:rsid w:val="003079F8"/>
    <w:rsid w:val="00307FFD"/>
    <w:rsid w:val="0031013D"/>
    <w:rsid w:val="00310482"/>
    <w:rsid w:val="00310F4C"/>
    <w:rsid w:val="0031167B"/>
    <w:rsid w:val="00312E9A"/>
    <w:rsid w:val="0031373D"/>
    <w:rsid w:val="00313B45"/>
    <w:rsid w:val="00313C11"/>
    <w:rsid w:val="00313D16"/>
    <w:rsid w:val="00313F04"/>
    <w:rsid w:val="00314701"/>
    <w:rsid w:val="003149D8"/>
    <w:rsid w:val="00314AB9"/>
    <w:rsid w:val="00314CBB"/>
    <w:rsid w:val="00314D8E"/>
    <w:rsid w:val="00315076"/>
    <w:rsid w:val="0031508A"/>
    <w:rsid w:val="00315363"/>
    <w:rsid w:val="0031570F"/>
    <w:rsid w:val="0031572E"/>
    <w:rsid w:val="0031599F"/>
    <w:rsid w:val="00315B46"/>
    <w:rsid w:val="0031628A"/>
    <w:rsid w:val="0031669A"/>
    <w:rsid w:val="00316E71"/>
    <w:rsid w:val="00316EE5"/>
    <w:rsid w:val="003171C1"/>
    <w:rsid w:val="00317E4A"/>
    <w:rsid w:val="00320665"/>
    <w:rsid w:val="00322BE8"/>
    <w:rsid w:val="0032318E"/>
    <w:rsid w:val="00323895"/>
    <w:rsid w:val="00324666"/>
    <w:rsid w:val="00324F2D"/>
    <w:rsid w:val="00325116"/>
    <w:rsid w:val="00325138"/>
    <w:rsid w:val="00325845"/>
    <w:rsid w:val="00325BB5"/>
    <w:rsid w:val="003264F9"/>
    <w:rsid w:val="003266BE"/>
    <w:rsid w:val="00326909"/>
    <w:rsid w:val="003269D0"/>
    <w:rsid w:val="003276E5"/>
    <w:rsid w:val="00327921"/>
    <w:rsid w:val="0033026C"/>
    <w:rsid w:val="0033029F"/>
    <w:rsid w:val="00330887"/>
    <w:rsid w:val="00330D51"/>
    <w:rsid w:val="00330DEE"/>
    <w:rsid w:val="003311B3"/>
    <w:rsid w:val="00331BA0"/>
    <w:rsid w:val="00331D42"/>
    <w:rsid w:val="00331DD6"/>
    <w:rsid w:val="00332138"/>
    <w:rsid w:val="003325A1"/>
    <w:rsid w:val="00332FF8"/>
    <w:rsid w:val="00333540"/>
    <w:rsid w:val="0033358F"/>
    <w:rsid w:val="00333ABB"/>
    <w:rsid w:val="00333DBF"/>
    <w:rsid w:val="00334196"/>
    <w:rsid w:val="00334452"/>
    <w:rsid w:val="00334B25"/>
    <w:rsid w:val="00334C1D"/>
    <w:rsid w:val="00335037"/>
    <w:rsid w:val="00335407"/>
    <w:rsid w:val="00335B75"/>
    <w:rsid w:val="00335B79"/>
    <w:rsid w:val="00336575"/>
    <w:rsid w:val="003365F3"/>
    <w:rsid w:val="0033703F"/>
    <w:rsid w:val="00337120"/>
    <w:rsid w:val="003376F6"/>
    <w:rsid w:val="00337702"/>
    <w:rsid w:val="003378DF"/>
    <w:rsid w:val="00337934"/>
    <w:rsid w:val="00337DD4"/>
    <w:rsid w:val="00337ED6"/>
    <w:rsid w:val="00337FE3"/>
    <w:rsid w:val="003400C6"/>
    <w:rsid w:val="00340948"/>
    <w:rsid w:val="003409D2"/>
    <w:rsid w:val="00340DFB"/>
    <w:rsid w:val="003411EC"/>
    <w:rsid w:val="00341A5E"/>
    <w:rsid w:val="00341EB1"/>
    <w:rsid w:val="0034286C"/>
    <w:rsid w:val="00342AAC"/>
    <w:rsid w:val="00342BCB"/>
    <w:rsid w:val="00343220"/>
    <w:rsid w:val="00343351"/>
    <w:rsid w:val="003435AA"/>
    <w:rsid w:val="003438A3"/>
    <w:rsid w:val="003449C2"/>
    <w:rsid w:val="00344BE6"/>
    <w:rsid w:val="00345126"/>
    <w:rsid w:val="00345495"/>
    <w:rsid w:val="003455DE"/>
    <w:rsid w:val="0034565D"/>
    <w:rsid w:val="00345BE9"/>
    <w:rsid w:val="00346560"/>
    <w:rsid w:val="00346637"/>
    <w:rsid w:val="00346799"/>
    <w:rsid w:val="0034679B"/>
    <w:rsid w:val="0034704A"/>
    <w:rsid w:val="003474AC"/>
    <w:rsid w:val="0034782C"/>
    <w:rsid w:val="00347DF1"/>
    <w:rsid w:val="00350002"/>
    <w:rsid w:val="00350239"/>
    <w:rsid w:val="003504F8"/>
    <w:rsid w:val="0035063E"/>
    <w:rsid w:val="0035073E"/>
    <w:rsid w:val="00351010"/>
    <w:rsid w:val="00351416"/>
    <w:rsid w:val="00351868"/>
    <w:rsid w:val="00351B43"/>
    <w:rsid w:val="00351C0A"/>
    <w:rsid w:val="00351EB8"/>
    <w:rsid w:val="003529CF"/>
    <w:rsid w:val="00352DEE"/>
    <w:rsid w:val="00353B0A"/>
    <w:rsid w:val="0035429B"/>
    <w:rsid w:val="003548B3"/>
    <w:rsid w:val="00354A4A"/>
    <w:rsid w:val="00354FA0"/>
    <w:rsid w:val="00355024"/>
    <w:rsid w:val="003553FE"/>
    <w:rsid w:val="00355879"/>
    <w:rsid w:val="00355A98"/>
    <w:rsid w:val="00355B29"/>
    <w:rsid w:val="00355D22"/>
    <w:rsid w:val="003563DB"/>
    <w:rsid w:val="00356C87"/>
    <w:rsid w:val="00357181"/>
    <w:rsid w:val="00357390"/>
    <w:rsid w:val="00357BEF"/>
    <w:rsid w:val="00357C34"/>
    <w:rsid w:val="0036054D"/>
    <w:rsid w:val="00360638"/>
    <w:rsid w:val="003608BE"/>
    <w:rsid w:val="00360AD5"/>
    <w:rsid w:val="00361017"/>
    <w:rsid w:val="003619AA"/>
    <w:rsid w:val="003619C7"/>
    <w:rsid w:val="00361CDF"/>
    <w:rsid w:val="00361FE9"/>
    <w:rsid w:val="00362C08"/>
    <w:rsid w:val="00362EA8"/>
    <w:rsid w:val="00363B03"/>
    <w:rsid w:val="00363D2B"/>
    <w:rsid w:val="00363DBB"/>
    <w:rsid w:val="00363FEF"/>
    <w:rsid w:val="00364A9E"/>
    <w:rsid w:val="00364D7F"/>
    <w:rsid w:val="00365208"/>
    <w:rsid w:val="0036539C"/>
    <w:rsid w:val="003659F4"/>
    <w:rsid w:val="00365C45"/>
    <w:rsid w:val="00365F4C"/>
    <w:rsid w:val="00366471"/>
    <w:rsid w:val="00366520"/>
    <w:rsid w:val="00367128"/>
    <w:rsid w:val="0036759A"/>
    <w:rsid w:val="00367BD2"/>
    <w:rsid w:val="00367DC2"/>
    <w:rsid w:val="00370181"/>
    <w:rsid w:val="00370A84"/>
    <w:rsid w:val="00370BA3"/>
    <w:rsid w:val="003717C7"/>
    <w:rsid w:val="00371A6C"/>
    <w:rsid w:val="00372672"/>
    <w:rsid w:val="003726A1"/>
    <w:rsid w:val="00372819"/>
    <w:rsid w:val="00372C6E"/>
    <w:rsid w:val="00372F9F"/>
    <w:rsid w:val="00373651"/>
    <w:rsid w:val="0037375D"/>
    <w:rsid w:val="00373A0A"/>
    <w:rsid w:val="00373B15"/>
    <w:rsid w:val="00373B21"/>
    <w:rsid w:val="003740BA"/>
    <w:rsid w:val="00374B69"/>
    <w:rsid w:val="00374DB3"/>
    <w:rsid w:val="00374E10"/>
    <w:rsid w:val="00375039"/>
    <w:rsid w:val="003755D3"/>
    <w:rsid w:val="0037575F"/>
    <w:rsid w:val="00375BF5"/>
    <w:rsid w:val="00375CAF"/>
    <w:rsid w:val="00375E44"/>
    <w:rsid w:val="003760F2"/>
    <w:rsid w:val="0037660C"/>
    <w:rsid w:val="003769C9"/>
    <w:rsid w:val="00376DCC"/>
    <w:rsid w:val="003774A2"/>
    <w:rsid w:val="00380377"/>
    <w:rsid w:val="003809AC"/>
    <w:rsid w:val="00380F9F"/>
    <w:rsid w:val="00380FFD"/>
    <w:rsid w:val="00381AD3"/>
    <w:rsid w:val="00381F11"/>
    <w:rsid w:val="0038230D"/>
    <w:rsid w:val="00382B7A"/>
    <w:rsid w:val="00382BB7"/>
    <w:rsid w:val="0038331F"/>
    <w:rsid w:val="00383765"/>
    <w:rsid w:val="00383893"/>
    <w:rsid w:val="00383C0A"/>
    <w:rsid w:val="00384037"/>
    <w:rsid w:val="00384D52"/>
    <w:rsid w:val="003850CC"/>
    <w:rsid w:val="003850F9"/>
    <w:rsid w:val="003852D7"/>
    <w:rsid w:val="003854FC"/>
    <w:rsid w:val="00385579"/>
    <w:rsid w:val="00385B98"/>
    <w:rsid w:val="00385E05"/>
    <w:rsid w:val="0038689A"/>
    <w:rsid w:val="0038697A"/>
    <w:rsid w:val="00386B13"/>
    <w:rsid w:val="0038774D"/>
    <w:rsid w:val="00387A15"/>
    <w:rsid w:val="00387D3F"/>
    <w:rsid w:val="003909BA"/>
    <w:rsid w:val="00391123"/>
    <w:rsid w:val="0039148C"/>
    <w:rsid w:val="0039172C"/>
    <w:rsid w:val="00391D54"/>
    <w:rsid w:val="00392295"/>
    <w:rsid w:val="003935F2"/>
    <w:rsid w:val="0039420D"/>
    <w:rsid w:val="00394B03"/>
    <w:rsid w:val="00394C2E"/>
    <w:rsid w:val="00394DA6"/>
    <w:rsid w:val="00395CB8"/>
    <w:rsid w:val="003961FD"/>
    <w:rsid w:val="0039689C"/>
    <w:rsid w:val="00396980"/>
    <w:rsid w:val="00396E23"/>
    <w:rsid w:val="00396E35"/>
    <w:rsid w:val="00396E6A"/>
    <w:rsid w:val="00396E74"/>
    <w:rsid w:val="00396FD7"/>
    <w:rsid w:val="00397763"/>
    <w:rsid w:val="003977E1"/>
    <w:rsid w:val="00397A27"/>
    <w:rsid w:val="003A0EAF"/>
    <w:rsid w:val="003A1065"/>
    <w:rsid w:val="003A10D8"/>
    <w:rsid w:val="003A19AF"/>
    <w:rsid w:val="003A1D68"/>
    <w:rsid w:val="003A332A"/>
    <w:rsid w:val="003A3689"/>
    <w:rsid w:val="003A3B41"/>
    <w:rsid w:val="003A3C70"/>
    <w:rsid w:val="003A4757"/>
    <w:rsid w:val="003A51EA"/>
    <w:rsid w:val="003A5619"/>
    <w:rsid w:val="003A5DDA"/>
    <w:rsid w:val="003A78ED"/>
    <w:rsid w:val="003A7FB3"/>
    <w:rsid w:val="003B04F5"/>
    <w:rsid w:val="003B0FFD"/>
    <w:rsid w:val="003B1332"/>
    <w:rsid w:val="003B157E"/>
    <w:rsid w:val="003B169D"/>
    <w:rsid w:val="003B183E"/>
    <w:rsid w:val="003B18D7"/>
    <w:rsid w:val="003B18F8"/>
    <w:rsid w:val="003B2AB4"/>
    <w:rsid w:val="003B3064"/>
    <w:rsid w:val="003B3D1B"/>
    <w:rsid w:val="003B42F9"/>
    <w:rsid w:val="003B4ED3"/>
    <w:rsid w:val="003B5CDB"/>
    <w:rsid w:val="003B6801"/>
    <w:rsid w:val="003B6D41"/>
    <w:rsid w:val="003B6E5C"/>
    <w:rsid w:val="003B7042"/>
    <w:rsid w:val="003B713C"/>
    <w:rsid w:val="003B73F8"/>
    <w:rsid w:val="003B778C"/>
    <w:rsid w:val="003C0201"/>
    <w:rsid w:val="003C0FF9"/>
    <w:rsid w:val="003C1189"/>
    <w:rsid w:val="003C16B0"/>
    <w:rsid w:val="003C16BD"/>
    <w:rsid w:val="003C2204"/>
    <w:rsid w:val="003C281D"/>
    <w:rsid w:val="003C290D"/>
    <w:rsid w:val="003C384E"/>
    <w:rsid w:val="003C3BD3"/>
    <w:rsid w:val="003C3DB8"/>
    <w:rsid w:val="003C5582"/>
    <w:rsid w:val="003C5759"/>
    <w:rsid w:val="003C5B07"/>
    <w:rsid w:val="003C67AA"/>
    <w:rsid w:val="003C7628"/>
    <w:rsid w:val="003D071E"/>
    <w:rsid w:val="003D0920"/>
    <w:rsid w:val="003D1E74"/>
    <w:rsid w:val="003D238F"/>
    <w:rsid w:val="003D27AE"/>
    <w:rsid w:val="003D33C0"/>
    <w:rsid w:val="003D3B9A"/>
    <w:rsid w:val="003D3F4A"/>
    <w:rsid w:val="003D4089"/>
    <w:rsid w:val="003D462E"/>
    <w:rsid w:val="003D4B10"/>
    <w:rsid w:val="003D4D72"/>
    <w:rsid w:val="003D4E5C"/>
    <w:rsid w:val="003D4E8D"/>
    <w:rsid w:val="003D545A"/>
    <w:rsid w:val="003D5729"/>
    <w:rsid w:val="003D5E18"/>
    <w:rsid w:val="003D65C3"/>
    <w:rsid w:val="003D753A"/>
    <w:rsid w:val="003D771B"/>
    <w:rsid w:val="003D7A73"/>
    <w:rsid w:val="003D7E1E"/>
    <w:rsid w:val="003E00B3"/>
    <w:rsid w:val="003E0A1E"/>
    <w:rsid w:val="003E0B5B"/>
    <w:rsid w:val="003E0BB7"/>
    <w:rsid w:val="003E113E"/>
    <w:rsid w:val="003E17A8"/>
    <w:rsid w:val="003E1F04"/>
    <w:rsid w:val="003E30E8"/>
    <w:rsid w:val="003E3278"/>
    <w:rsid w:val="003E3619"/>
    <w:rsid w:val="003E3956"/>
    <w:rsid w:val="003E3AF4"/>
    <w:rsid w:val="003E3B5B"/>
    <w:rsid w:val="003E50DC"/>
    <w:rsid w:val="003E5F65"/>
    <w:rsid w:val="003E6805"/>
    <w:rsid w:val="003E6967"/>
    <w:rsid w:val="003E69C6"/>
    <w:rsid w:val="003F0030"/>
    <w:rsid w:val="003F0394"/>
    <w:rsid w:val="003F0922"/>
    <w:rsid w:val="003F0D1C"/>
    <w:rsid w:val="003F0FB4"/>
    <w:rsid w:val="003F13B9"/>
    <w:rsid w:val="003F2093"/>
    <w:rsid w:val="003F21F4"/>
    <w:rsid w:val="003F2721"/>
    <w:rsid w:val="003F2B06"/>
    <w:rsid w:val="003F2E49"/>
    <w:rsid w:val="003F30F8"/>
    <w:rsid w:val="003F3487"/>
    <w:rsid w:val="003F3A4F"/>
    <w:rsid w:val="003F44E0"/>
    <w:rsid w:val="003F4C2F"/>
    <w:rsid w:val="003F4DD4"/>
    <w:rsid w:val="003F50FC"/>
    <w:rsid w:val="003F5950"/>
    <w:rsid w:val="003F5D3C"/>
    <w:rsid w:val="003F6045"/>
    <w:rsid w:val="003F67EA"/>
    <w:rsid w:val="003F69C0"/>
    <w:rsid w:val="003F6B16"/>
    <w:rsid w:val="003F6CD5"/>
    <w:rsid w:val="003F6E1D"/>
    <w:rsid w:val="003F6FAD"/>
    <w:rsid w:val="003F76C6"/>
    <w:rsid w:val="003F7CA0"/>
    <w:rsid w:val="003F7E39"/>
    <w:rsid w:val="0040095F"/>
    <w:rsid w:val="004010E5"/>
    <w:rsid w:val="00401694"/>
    <w:rsid w:val="0040190F"/>
    <w:rsid w:val="00402057"/>
    <w:rsid w:val="00402869"/>
    <w:rsid w:val="00402F2B"/>
    <w:rsid w:val="00403148"/>
    <w:rsid w:val="00403507"/>
    <w:rsid w:val="004047EE"/>
    <w:rsid w:val="00404A11"/>
    <w:rsid w:val="00404E09"/>
    <w:rsid w:val="00405303"/>
    <w:rsid w:val="00405673"/>
    <w:rsid w:val="00405C7B"/>
    <w:rsid w:val="0040618B"/>
    <w:rsid w:val="00406775"/>
    <w:rsid w:val="00406F09"/>
    <w:rsid w:val="004079D0"/>
    <w:rsid w:val="00407D69"/>
    <w:rsid w:val="00410A9C"/>
    <w:rsid w:val="00410BD0"/>
    <w:rsid w:val="00412EE0"/>
    <w:rsid w:val="00413873"/>
    <w:rsid w:val="00414851"/>
    <w:rsid w:val="00414DAB"/>
    <w:rsid w:val="004150BA"/>
    <w:rsid w:val="004151A5"/>
    <w:rsid w:val="00415462"/>
    <w:rsid w:val="00415535"/>
    <w:rsid w:val="0041583E"/>
    <w:rsid w:val="004159C5"/>
    <w:rsid w:val="00416769"/>
    <w:rsid w:val="00416E9E"/>
    <w:rsid w:val="004176CA"/>
    <w:rsid w:val="00417B82"/>
    <w:rsid w:val="00417D80"/>
    <w:rsid w:val="00417EE4"/>
    <w:rsid w:val="0042034F"/>
    <w:rsid w:val="0042041F"/>
    <w:rsid w:val="0042084A"/>
    <w:rsid w:val="0042086C"/>
    <w:rsid w:val="0042091D"/>
    <w:rsid w:val="00420BA4"/>
    <w:rsid w:val="00421A01"/>
    <w:rsid w:val="00422A45"/>
    <w:rsid w:val="00422C1F"/>
    <w:rsid w:val="00422CE0"/>
    <w:rsid w:val="004241C2"/>
    <w:rsid w:val="004247F2"/>
    <w:rsid w:val="00424EFF"/>
    <w:rsid w:val="0042570D"/>
    <w:rsid w:val="00425FCD"/>
    <w:rsid w:val="00427730"/>
    <w:rsid w:val="004300EA"/>
    <w:rsid w:val="0043023F"/>
    <w:rsid w:val="004305E1"/>
    <w:rsid w:val="00430F3A"/>
    <w:rsid w:val="004315E3"/>
    <w:rsid w:val="00431EC5"/>
    <w:rsid w:val="004323A7"/>
    <w:rsid w:val="004323BA"/>
    <w:rsid w:val="00432A46"/>
    <w:rsid w:val="00432C06"/>
    <w:rsid w:val="004336BD"/>
    <w:rsid w:val="0043391B"/>
    <w:rsid w:val="00433E26"/>
    <w:rsid w:val="0043422E"/>
    <w:rsid w:val="00434453"/>
    <w:rsid w:val="00435214"/>
    <w:rsid w:val="004353C7"/>
    <w:rsid w:val="00435A4E"/>
    <w:rsid w:val="00435CA1"/>
    <w:rsid w:val="00436351"/>
    <w:rsid w:val="00436487"/>
    <w:rsid w:val="004364C3"/>
    <w:rsid w:val="004368AA"/>
    <w:rsid w:val="00436A76"/>
    <w:rsid w:val="00436AEE"/>
    <w:rsid w:val="00436CAF"/>
    <w:rsid w:val="004370ED"/>
    <w:rsid w:val="00437285"/>
    <w:rsid w:val="004375CC"/>
    <w:rsid w:val="00437A50"/>
    <w:rsid w:val="00437CAF"/>
    <w:rsid w:val="00437DDF"/>
    <w:rsid w:val="00437E83"/>
    <w:rsid w:val="00440104"/>
    <w:rsid w:val="00440227"/>
    <w:rsid w:val="00440258"/>
    <w:rsid w:val="004405AD"/>
    <w:rsid w:val="00440973"/>
    <w:rsid w:val="00440C55"/>
    <w:rsid w:val="004418B7"/>
    <w:rsid w:val="0044196D"/>
    <w:rsid w:val="00441B5C"/>
    <w:rsid w:val="00442028"/>
    <w:rsid w:val="00442434"/>
    <w:rsid w:val="00442DC2"/>
    <w:rsid w:val="0044347D"/>
    <w:rsid w:val="00443CFE"/>
    <w:rsid w:val="00443E9C"/>
    <w:rsid w:val="004440E6"/>
    <w:rsid w:val="0044481E"/>
    <w:rsid w:val="00444C57"/>
    <w:rsid w:val="00444E27"/>
    <w:rsid w:val="00445720"/>
    <w:rsid w:val="00446706"/>
    <w:rsid w:val="00446ACC"/>
    <w:rsid w:val="0044750B"/>
    <w:rsid w:val="004475CE"/>
    <w:rsid w:val="00447612"/>
    <w:rsid w:val="00447941"/>
    <w:rsid w:val="00447AB7"/>
    <w:rsid w:val="00447B17"/>
    <w:rsid w:val="00447B24"/>
    <w:rsid w:val="004503AA"/>
    <w:rsid w:val="00450458"/>
    <w:rsid w:val="004507FB"/>
    <w:rsid w:val="0045094E"/>
    <w:rsid w:val="00450A81"/>
    <w:rsid w:val="004516DC"/>
    <w:rsid w:val="00451779"/>
    <w:rsid w:val="00451B87"/>
    <w:rsid w:val="004528C3"/>
    <w:rsid w:val="00453258"/>
    <w:rsid w:val="004532D7"/>
    <w:rsid w:val="0045347F"/>
    <w:rsid w:val="004534F9"/>
    <w:rsid w:val="00453DB1"/>
    <w:rsid w:val="00454FD7"/>
    <w:rsid w:val="00455D85"/>
    <w:rsid w:val="00456085"/>
    <w:rsid w:val="00456D3E"/>
    <w:rsid w:val="0045775C"/>
    <w:rsid w:val="0046024A"/>
    <w:rsid w:val="00460809"/>
    <w:rsid w:val="00460A0B"/>
    <w:rsid w:val="00460DD3"/>
    <w:rsid w:val="004611D1"/>
    <w:rsid w:val="0046194B"/>
    <w:rsid w:val="004619E6"/>
    <w:rsid w:val="00462342"/>
    <w:rsid w:val="0046296C"/>
    <w:rsid w:val="00462BB5"/>
    <w:rsid w:val="00463251"/>
    <w:rsid w:val="00463284"/>
    <w:rsid w:val="0046336C"/>
    <w:rsid w:val="004634D4"/>
    <w:rsid w:val="004636C5"/>
    <w:rsid w:val="004643C8"/>
    <w:rsid w:val="00464419"/>
    <w:rsid w:val="00464556"/>
    <w:rsid w:val="00465A00"/>
    <w:rsid w:val="004672F0"/>
    <w:rsid w:val="00467ACF"/>
    <w:rsid w:val="00467FBF"/>
    <w:rsid w:val="004709BD"/>
    <w:rsid w:val="004714ED"/>
    <w:rsid w:val="0047161B"/>
    <w:rsid w:val="00471708"/>
    <w:rsid w:val="00471F70"/>
    <w:rsid w:val="00471FCA"/>
    <w:rsid w:val="004722AD"/>
    <w:rsid w:val="00472ADA"/>
    <w:rsid w:val="00472CFA"/>
    <w:rsid w:val="00472F2E"/>
    <w:rsid w:val="00472FC1"/>
    <w:rsid w:val="00473678"/>
    <w:rsid w:val="00473EA0"/>
    <w:rsid w:val="00473FC5"/>
    <w:rsid w:val="004740FD"/>
    <w:rsid w:val="004744BC"/>
    <w:rsid w:val="00475155"/>
    <w:rsid w:val="00475CA6"/>
    <w:rsid w:val="00476006"/>
    <w:rsid w:val="00476750"/>
    <w:rsid w:val="00477467"/>
    <w:rsid w:val="00477D57"/>
    <w:rsid w:val="00477ED3"/>
    <w:rsid w:val="00480068"/>
    <w:rsid w:val="00480298"/>
    <w:rsid w:val="0048052A"/>
    <w:rsid w:val="004808D7"/>
    <w:rsid w:val="00481EF7"/>
    <w:rsid w:val="00482F0A"/>
    <w:rsid w:val="00482F5F"/>
    <w:rsid w:val="00483B29"/>
    <w:rsid w:val="00483BB1"/>
    <w:rsid w:val="00483C1E"/>
    <w:rsid w:val="00483F04"/>
    <w:rsid w:val="004844C4"/>
    <w:rsid w:val="004844DC"/>
    <w:rsid w:val="00484DCE"/>
    <w:rsid w:val="00485525"/>
    <w:rsid w:val="00485815"/>
    <w:rsid w:val="004865CD"/>
    <w:rsid w:val="00486DA7"/>
    <w:rsid w:val="004873CF"/>
    <w:rsid w:val="00487CE2"/>
    <w:rsid w:val="0049022A"/>
    <w:rsid w:val="0049051E"/>
    <w:rsid w:val="004906DB"/>
    <w:rsid w:val="00490A6B"/>
    <w:rsid w:val="00490C2B"/>
    <w:rsid w:val="004912E2"/>
    <w:rsid w:val="0049199E"/>
    <w:rsid w:val="00491F12"/>
    <w:rsid w:val="004928CF"/>
    <w:rsid w:val="00492C02"/>
    <w:rsid w:val="00492C7F"/>
    <w:rsid w:val="00492EB7"/>
    <w:rsid w:val="004931AB"/>
    <w:rsid w:val="00493900"/>
    <w:rsid w:val="00493A6D"/>
    <w:rsid w:val="00494196"/>
    <w:rsid w:val="00494CD0"/>
    <w:rsid w:val="00495043"/>
    <w:rsid w:val="004954CD"/>
    <w:rsid w:val="004956DE"/>
    <w:rsid w:val="004956E2"/>
    <w:rsid w:val="00495A1A"/>
    <w:rsid w:val="00495A6F"/>
    <w:rsid w:val="00496480"/>
    <w:rsid w:val="00497413"/>
    <w:rsid w:val="004974A1"/>
    <w:rsid w:val="00497B66"/>
    <w:rsid w:val="004A0435"/>
    <w:rsid w:val="004A04CB"/>
    <w:rsid w:val="004A07A1"/>
    <w:rsid w:val="004A0806"/>
    <w:rsid w:val="004A08BD"/>
    <w:rsid w:val="004A1C82"/>
    <w:rsid w:val="004A21F9"/>
    <w:rsid w:val="004A226C"/>
    <w:rsid w:val="004A2782"/>
    <w:rsid w:val="004A36EA"/>
    <w:rsid w:val="004A3832"/>
    <w:rsid w:val="004A3C5C"/>
    <w:rsid w:val="004A3EC2"/>
    <w:rsid w:val="004A42DC"/>
    <w:rsid w:val="004A4366"/>
    <w:rsid w:val="004A499A"/>
    <w:rsid w:val="004A4CCC"/>
    <w:rsid w:val="004A4D82"/>
    <w:rsid w:val="004A5032"/>
    <w:rsid w:val="004A50B6"/>
    <w:rsid w:val="004A5ADC"/>
    <w:rsid w:val="004A5E78"/>
    <w:rsid w:val="004A65A0"/>
    <w:rsid w:val="004A6956"/>
    <w:rsid w:val="004A7077"/>
    <w:rsid w:val="004A7199"/>
    <w:rsid w:val="004A74D9"/>
    <w:rsid w:val="004A7973"/>
    <w:rsid w:val="004A7BA6"/>
    <w:rsid w:val="004A7F20"/>
    <w:rsid w:val="004B0444"/>
    <w:rsid w:val="004B05B8"/>
    <w:rsid w:val="004B099B"/>
    <w:rsid w:val="004B11B6"/>
    <w:rsid w:val="004B11CA"/>
    <w:rsid w:val="004B19A7"/>
    <w:rsid w:val="004B211F"/>
    <w:rsid w:val="004B2255"/>
    <w:rsid w:val="004B296F"/>
    <w:rsid w:val="004B2B12"/>
    <w:rsid w:val="004B2F07"/>
    <w:rsid w:val="004B3296"/>
    <w:rsid w:val="004B359A"/>
    <w:rsid w:val="004B389C"/>
    <w:rsid w:val="004B4613"/>
    <w:rsid w:val="004B4CD4"/>
    <w:rsid w:val="004B55C4"/>
    <w:rsid w:val="004B55C8"/>
    <w:rsid w:val="004B5900"/>
    <w:rsid w:val="004B67B4"/>
    <w:rsid w:val="004B6D7A"/>
    <w:rsid w:val="004B6F4D"/>
    <w:rsid w:val="004B7021"/>
    <w:rsid w:val="004B750F"/>
    <w:rsid w:val="004B7D1B"/>
    <w:rsid w:val="004B7F7A"/>
    <w:rsid w:val="004C0519"/>
    <w:rsid w:val="004C0830"/>
    <w:rsid w:val="004C09B4"/>
    <w:rsid w:val="004C1279"/>
    <w:rsid w:val="004C1377"/>
    <w:rsid w:val="004C17B2"/>
    <w:rsid w:val="004C1853"/>
    <w:rsid w:val="004C1F3E"/>
    <w:rsid w:val="004C1FB6"/>
    <w:rsid w:val="004C20F2"/>
    <w:rsid w:val="004C2E91"/>
    <w:rsid w:val="004C3D0D"/>
    <w:rsid w:val="004C425E"/>
    <w:rsid w:val="004C49C3"/>
    <w:rsid w:val="004C4E92"/>
    <w:rsid w:val="004C4FB9"/>
    <w:rsid w:val="004C59FE"/>
    <w:rsid w:val="004C5A8F"/>
    <w:rsid w:val="004C5AC8"/>
    <w:rsid w:val="004C60B7"/>
    <w:rsid w:val="004C61EB"/>
    <w:rsid w:val="004C6623"/>
    <w:rsid w:val="004C6780"/>
    <w:rsid w:val="004C6F04"/>
    <w:rsid w:val="004C72A9"/>
    <w:rsid w:val="004C746B"/>
    <w:rsid w:val="004C747E"/>
    <w:rsid w:val="004C7807"/>
    <w:rsid w:val="004C7C8D"/>
    <w:rsid w:val="004D0113"/>
    <w:rsid w:val="004D02F0"/>
    <w:rsid w:val="004D11C0"/>
    <w:rsid w:val="004D1697"/>
    <w:rsid w:val="004D1A2B"/>
    <w:rsid w:val="004D1C1F"/>
    <w:rsid w:val="004D20E9"/>
    <w:rsid w:val="004D3E82"/>
    <w:rsid w:val="004D3F7E"/>
    <w:rsid w:val="004D430D"/>
    <w:rsid w:val="004D46AA"/>
    <w:rsid w:val="004D4792"/>
    <w:rsid w:val="004D4EA7"/>
    <w:rsid w:val="004D60A5"/>
    <w:rsid w:val="004D681D"/>
    <w:rsid w:val="004D6CDA"/>
    <w:rsid w:val="004D7A6B"/>
    <w:rsid w:val="004D7C2D"/>
    <w:rsid w:val="004E0234"/>
    <w:rsid w:val="004E040B"/>
    <w:rsid w:val="004E0504"/>
    <w:rsid w:val="004E0902"/>
    <w:rsid w:val="004E146E"/>
    <w:rsid w:val="004E1A10"/>
    <w:rsid w:val="004E1C41"/>
    <w:rsid w:val="004E1EC3"/>
    <w:rsid w:val="004E246E"/>
    <w:rsid w:val="004E24D3"/>
    <w:rsid w:val="004E2832"/>
    <w:rsid w:val="004E2905"/>
    <w:rsid w:val="004E2B18"/>
    <w:rsid w:val="004E36EF"/>
    <w:rsid w:val="004E3AE8"/>
    <w:rsid w:val="004E496C"/>
    <w:rsid w:val="004E4DA1"/>
    <w:rsid w:val="004E5467"/>
    <w:rsid w:val="004E5554"/>
    <w:rsid w:val="004E5944"/>
    <w:rsid w:val="004E5AD9"/>
    <w:rsid w:val="004E6C4A"/>
    <w:rsid w:val="004E6D99"/>
    <w:rsid w:val="004E7971"/>
    <w:rsid w:val="004E7D3D"/>
    <w:rsid w:val="004F0018"/>
    <w:rsid w:val="004F0714"/>
    <w:rsid w:val="004F1275"/>
    <w:rsid w:val="004F1302"/>
    <w:rsid w:val="004F1755"/>
    <w:rsid w:val="004F1988"/>
    <w:rsid w:val="004F1B02"/>
    <w:rsid w:val="004F296E"/>
    <w:rsid w:val="004F2993"/>
    <w:rsid w:val="004F2F28"/>
    <w:rsid w:val="004F3245"/>
    <w:rsid w:val="004F3AFE"/>
    <w:rsid w:val="004F3E70"/>
    <w:rsid w:val="004F3FB1"/>
    <w:rsid w:val="004F448A"/>
    <w:rsid w:val="004F5025"/>
    <w:rsid w:val="004F56AB"/>
    <w:rsid w:val="004F5F71"/>
    <w:rsid w:val="004F666B"/>
    <w:rsid w:val="004F66D0"/>
    <w:rsid w:val="004F6D60"/>
    <w:rsid w:val="004F6ED4"/>
    <w:rsid w:val="004F7525"/>
    <w:rsid w:val="004F77A1"/>
    <w:rsid w:val="004F7A14"/>
    <w:rsid w:val="004F7BE4"/>
    <w:rsid w:val="004F7F2E"/>
    <w:rsid w:val="004F7FE2"/>
    <w:rsid w:val="00500146"/>
    <w:rsid w:val="005006B5"/>
    <w:rsid w:val="005006DF"/>
    <w:rsid w:val="00500773"/>
    <w:rsid w:val="00500E0A"/>
    <w:rsid w:val="0050125A"/>
    <w:rsid w:val="00501695"/>
    <w:rsid w:val="0050189D"/>
    <w:rsid w:val="00501A6D"/>
    <w:rsid w:val="00501AAE"/>
    <w:rsid w:val="00502357"/>
    <w:rsid w:val="005027E6"/>
    <w:rsid w:val="00502BC7"/>
    <w:rsid w:val="00502C48"/>
    <w:rsid w:val="00503109"/>
    <w:rsid w:val="00503CF7"/>
    <w:rsid w:val="00504286"/>
    <w:rsid w:val="005043B7"/>
    <w:rsid w:val="005048DA"/>
    <w:rsid w:val="005048F0"/>
    <w:rsid w:val="005051AE"/>
    <w:rsid w:val="00505F7C"/>
    <w:rsid w:val="005062E8"/>
    <w:rsid w:val="005068F5"/>
    <w:rsid w:val="00506A6E"/>
    <w:rsid w:val="005071B4"/>
    <w:rsid w:val="00507270"/>
    <w:rsid w:val="005076AA"/>
    <w:rsid w:val="00507FB6"/>
    <w:rsid w:val="0051019D"/>
    <w:rsid w:val="005107D3"/>
    <w:rsid w:val="00510DAB"/>
    <w:rsid w:val="00511827"/>
    <w:rsid w:val="005118DD"/>
    <w:rsid w:val="005119A6"/>
    <w:rsid w:val="00511B29"/>
    <w:rsid w:val="00511BF0"/>
    <w:rsid w:val="00511D7A"/>
    <w:rsid w:val="00512C92"/>
    <w:rsid w:val="0051378C"/>
    <w:rsid w:val="005139D3"/>
    <w:rsid w:val="00513D35"/>
    <w:rsid w:val="00514D31"/>
    <w:rsid w:val="0051505F"/>
    <w:rsid w:val="00515742"/>
    <w:rsid w:val="005165BE"/>
    <w:rsid w:val="00516930"/>
    <w:rsid w:val="005174BB"/>
    <w:rsid w:val="0052026D"/>
    <w:rsid w:val="0052242D"/>
    <w:rsid w:val="0052272A"/>
    <w:rsid w:val="00522F62"/>
    <w:rsid w:val="00524267"/>
    <w:rsid w:val="0052496A"/>
    <w:rsid w:val="005249AE"/>
    <w:rsid w:val="00525050"/>
    <w:rsid w:val="0052526E"/>
    <w:rsid w:val="005254A4"/>
    <w:rsid w:val="005256D6"/>
    <w:rsid w:val="0052604C"/>
    <w:rsid w:val="005266BC"/>
    <w:rsid w:val="00526F57"/>
    <w:rsid w:val="005275A7"/>
    <w:rsid w:val="005275BD"/>
    <w:rsid w:val="00527CC3"/>
    <w:rsid w:val="005301C1"/>
    <w:rsid w:val="00530693"/>
    <w:rsid w:val="00530B17"/>
    <w:rsid w:val="00530FA1"/>
    <w:rsid w:val="00531188"/>
    <w:rsid w:val="00531624"/>
    <w:rsid w:val="00531CD0"/>
    <w:rsid w:val="00531FB9"/>
    <w:rsid w:val="0053207C"/>
    <w:rsid w:val="005324EB"/>
    <w:rsid w:val="00532BAD"/>
    <w:rsid w:val="00533CC7"/>
    <w:rsid w:val="005349D4"/>
    <w:rsid w:val="00534D25"/>
    <w:rsid w:val="00535228"/>
    <w:rsid w:val="00535D0D"/>
    <w:rsid w:val="005361A5"/>
    <w:rsid w:val="0053624E"/>
    <w:rsid w:val="0053637A"/>
    <w:rsid w:val="005363B4"/>
    <w:rsid w:val="00536493"/>
    <w:rsid w:val="005367DF"/>
    <w:rsid w:val="00536B24"/>
    <w:rsid w:val="005372A1"/>
    <w:rsid w:val="005372F5"/>
    <w:rsid w:val="005377D4"/>
    <w:rsid w:val="00537F73"/>
    <w:rsid w:val="00537FE7"/>
    <w:rsid w:val="00540315"/>
    <w:rsid w:val="00540385"/>
    <w:rsid w:val="0054042D"/>
    <w:rsid w:val="00540B69"/>
    <w:rsid w:val="00540D5D"/>
    <w:rsid w:val="005419B7"/>
    <w:rsid w:val="00541D57"/>
    <w:rsid w:val="00542922"/>
    <w:rsid w:val="00542C73"/>
    <w:rsid w:val="00542E39"/>
    <w:rsid w:val="00543CF0"/>
    <w:rsid w:val="00543DBE"/>
    <w:rsid w:val="00543F21"/>
    <w:rsid w:val="005442BE"/>
    <w:rsid w:val="00544C61"/>
    <w:rsid w:val="00544E09"/>
    <w:rsid w:val="00544FAF"/>
    <w:rsid w:val="00545081"/>
    <w:rsid w:val="005459CD"/>
    <w:rsid w:val="00545AC5"/>
    <w:rsid w:val="005460AC"/>
    <w:rsid w:val="00546CC8"/>
    <w:rsid w:val="00546F08"/>
    <w:rsid w:val="005472F5"/>
    <w:rsid w:val="00550064"/>
    <w:rsid w:val="005508F5"/>
    <w:rsid w:val="005516A3"/>
    <w:rsid w:val="00551D24"/>
    <w:rsid w:val="005520F7"/>
    <w:rsid w:val="005524C8"/>
    <w:rsid w:val="0055255E"/>
    <w:rsid w:val="00553308"/>
    <w:rsid w:val="00553728"/>
    <w:rsid w:val="00553D0E"/>
    <w:rsid w:val="00554807"/>
    <w:rsid w:val="00554A88"/>
    <w:rsid w:val="00554BD3"/>
    <w:rsid w:val="00554C75"/>
    <w:rsid w:val="00554D46"/>
    <w:rsid w:val="00554D7D"/>
    <w:rsid w:val="00554D93"/>
    <w:rsid w:val="0055573F"/>
    <w:rsid w:val="00555B00"/>
    <w:rsid w:val="00556C02"/>
    <w:rsid w:val="005570F0"/>
    <w:rsid w:val="00557845"/>
    <w:rsid w:val="005578BC"/>
    <w:rsid w:val="005605A6"/>
    <w:rsid w:val="00560EA7"/>
    <w:rsid w:val="005611EF"/>
    <w:rsid w:val="005615B8"/>
    <w:rsid w:val="0056178F"/>
    <w:rsid w:val="00561B72"/>
    <w:rsid w:val="00561C6D"/>
    <w:rsid w:val="00561FB2"/>
    <w:rsid w:val="005624C8"/>
    <w:rsid w:val="00562737"/>
    <w:rsid w:val="00562841"/>
    <w:rsid w:val="0056298F"/>
    <w:rsid w:val="00562CC4"/>
    <w:rsid w:val="00563A93"/>
    <w:rsid w:val="00563CF8"/>
    <w:rsid w:val="00564588"/>
    <w:rsid w:val="00564BDC"/>
    <w:rsid w:val="00565365"/>
    <w:rsid w:val="00565558"/>
    <w:rsid w:val="0056573D"/>
    <w:rsid w:val="0056608E"/>
    <w:rsid w:val="0056677C"/>
    <w:rsid w:val="005669CA"/>
    <w:rsid w:val="0056700D"/>
    <w:rsid w:val="005672CB"/>
    <w:rsid w:val="0056743E"/>
    <w:rsid w:val="00567A1E"/>
    <w:rsid w:val="00567DBF"/>
    <w:rsid w:val="00567F16"/>
    <w:rsid w:val="00567FE8"/>
    <w:rsid w:val="005700E6"/>
    <w:rsid w:val="005703E6"/>
    <w:rsid w:val="005707F0"/>
    <w:rsid w:val="00570910"/>
    <w:rsid w:val="005712E2"/>
    <w:rsid w:val="00571559"/>
    <w:rsid w:val="005715FE"/>
    <w:rsid w:val="005719A3"/>
    <w:rsid w:val="00572116"/>
    <w:rsid w:val="00572694"/>
    <w:rsid w:val="00572D3D"/>
    <w:rsid w:val="00572DE2"/>
    <w:rsid w:val="005732AE"/>
    <w:rsid w:val="00573AC5"/>
    <w:rsid w:val="00573B32"/>
    <w:rsid w:val="00574BE5"/>
    <w:rsid w:val="00574C01"/>
    <w:rsid w:val="005751DE"/>
    <w:rsid w:val="00575EEC"/>
    <w:rsid w:val="0057636C"/>
    <w:rsid w:val="00576D3F"/>
    <w:rsid w:val="0057752E"/>
    <w:rsid w:val="0057763D"/>
    <w:rsid w:val="00580B50"/>
    <w:rsid w:val="005814CD"/>
    <w:rsid w:val="00581F07"/>
    <w:rsid w:val="00582029"/>
    <w:rsid w:val="00582140"/>
    <w:rsid w:val="00582866"/>
    <w:rsid w:val="005831D9"/>
    <w:rsid w:val="00583255"/>
    <w:rsid w:val="0058395B"/>
    <w:rsid w:val="00583A3C"/>
    <w:rsid w:val="00583A8C"/>
    <w:rsid w:val="00583CFC"/>
    <w:rsid w:val="00583D82"/>
    <w:rsid w:val="00583F0C"/>
    <w:rsid w:val="00584064"/>
    <w:rsid w:val="005840CB"/>
    <w:rsid w:val="005842E5"/>
    <w:rsid w:val="00584646"/>
    <w:rsid w:val="00584878"/>
    <w:rsid w:val="00585232"/>
    <w:rsid w:val="00585A00"/>
    <w:rsid w:val="00585F4D"/>
    <w:rsid w:val="005861A0"/>
    <w:rsid w:val="00586B81"/>
    <w:rsid w:val="005875DE"/>
    <w:rsid w:val="005877A1"/>
    <w:rsid w:val="00587F76"/>
    <w:rsid w:val="00590463"/>
    <w:rsid w:val="005906AE"/>
    <w:rsid w:val="00590C34"/>
    <w:rsid w:val="00590ED3"/>
    <w:rsid w:val="00590F3E"/>
    <w:rsid w:val="00591567"/>
    <w:rsid w:val="00591E06"/>
    <w:rsid w:val="0059258B"/>
    <w:rsid w:val="005928E4"/>
    <w:rsid w:val="00593070"/>
    <w:rsid w:val="005947E4"/>
    <w:rsid w:val="00595278"/>
    <w:rsid w:val="00595498"/>
    <w:rsid w:val="005959CB"/>
    <w:rsid w:val="00595C9A"/>
    <w:rsid w:val="00595E57"/>
    <w:rsid w:val="00595ECF"/>
    <w:rsid w:val="00596071"/>
    <w:rsid w:val="005960F5"/>
    <w:rsid w:val="005961C0"/>
    <w:rsid w:val="005962AF"/>
    <w:rsid w:val="0059676B"/>
    <w:rsid w:val="00596780"/>
    <w:rsid w:val="0059722C"/>
    <w:rsid w:val="005A0042"/>
    <w:rsid w:val="005A01DA"/>
    <w:rsid w:val="005A105F"/>
    <w:rsid w:val="005A12C0"/>
    <w:rsid w:val="005A16F3"/>
    <w:rsid w:val="005A190F"/>
    <w:rsid w:val="005A1DFB"/>
    <w:rsid w:val="005A2638"/>
    <w:rsid w:val="005A270E"/>
    <w:rsid w:val="005A387E"/>
    <w:rsid w:val="005A3C7A"/>
    <w:rsid w:val="005A4375"/>
    <w:rsid w:val="005A438D"/>
    <w:rsid w:val="005A4C67"/>
    <w:rsid w:val="005A4D2B"/>
    <w:rsid w:val="005A5500"/>
    <w:rsid w:val="005A56B2"/>
    <w:rsid w:val="005A5934"/>
    <w:rsid w:val="005A593A"/>
    <w:rsid w:val="005A5C1D"/>
    <w:rsid w:val="005A6ABB"/>
    <w:rsid w:val="005A6BB7"/>
    <w:rsid w:val="005A6C34"/>
    <w:rsid w:val="005A7015"/>
    <w:rsid w:val="005A7834"/>
    <w:rsid w:val="005B0387"/>
    <w:rsid w:val="005B07A3"/>
    <w:rsid w:val="005B07CA"/>
    <w:rsid w:val="005B0F91"/>
    <w:rsid w:val="005B10BF"/>
    <w:rsid w:val="005B1578"/>
    <w:rsid w:val="005B1904"/>
    <w:rsid w:val="005B1A8E"/>
    <w:rsid w:val="005B21A9"/>
    <w:rsid w:val="005B2826"/>
    <w:rsid w:val="005B29CE"/>
    <w:rsid w:val="005B2CB8"/>
    <w:rsid w:val="005B2DEB"/>
    <w:rsid w:val="005B34AB"/>
    <w:rsid w:val="005B3704"/>
    <w:rsid w:val="005B3C71"/>
    <w:rsid w:val="005B436A"/>
    <w:rsid w:val="005B43A6"/>
    <w:rsid w:val="005B4C8A"/>
    <w:rsid w:val="005B54F6"/>
    <w:rsid w:val="005B5A98"/>
    <w:rsid w:val="005B5D29"/>
    <w:rsid w:val="005B5DB6"/>
    <w:rsid w:val="005B6A36"/>
    <w:rsid w:val="005B6A39"/>
    <w:rsid w:val="005B6CEB"/>
    <w:rsid w:val="005B7F97"/>
    <w:rsid w:val="005B7FAA"/>
    <w:rsid w:val="005C00F2"/>
    <w:rsid w:val="005C0857"/>
    <w:rsid w:val="005C089B"/>
    <w:rsid w:val="005C0A04"/>
    <w:rsid w:val="005C0A20"/>
    <w:rsid w:val="005C0B8E"/>
    <w:rsid w:val="005C0C95"/>
    <w:rsid w:val="005C0DE2"/>
    <w:rsid w:val="005C1040"/>
    <w:rsid w:val="005C10AA"/>
    <w:rsid w:val="005C13CC"/>
    <w:rsid w:val="005C1C7D"/>
    <w:rsid w:val="005C1DF2"/>
    <w:rsid w:val="005C259B"/>
    <w:rsid w:val="005C25F7"/>
    <w:rsid w:val="005C277C"/>
    <w:rsid w:val="005C2ABC"/>
    <w:rsid w:val="005C2BA7"/>
    <w:rsid w:val="005C2D19"/>
    <w:rsid w:val="005C2E95"/>
    <w:rsid w:val="005C3361"/>
    <w:rsid w:val="005C346B"/>
    <w:rsid w:val="005C39BE"/>
    <w:rsid w:val="005C3C3A"/>
    <w:rsid w:val="005C40C5"/>
    <w:rsid w:val="005C42DC"/>
    <w:rsid w:val="005C4AF1"/>
    <w:rsid w:val="005C4BF0"/>
    <w:rsid w:val="005C5011"/>
    <w:rsid w:val="005C5057"/>
    <w:rsid w:val="005C53C6"/>
    <w:rsid w:val="005C556B"/>
    <w:rsid w:val="005C5994"/>
    <w:rsid w:val="005C5E2C"/>
    <w:rsid w:val="005C6090"/>
    <w:rsid w:val="005C60D1"/>
    <w:rsid w:val="005C6515"/>
    <w:rsid w:val="005C65A5"/>
    <w:rsid w:val="005C6706"/>
    <w:rsid w:val="005C68BC"/>
    <w:rsid w:val="005C68ED"/>
    <w:rsid w:val="005C6DE6"/>
    <w:rsid w:val="005C6DE7"/>
    <w:rsid w:val="005C711F"/>
    <w:rsid w:val="005C7541"/>
    <w:rsid w:val="005C797B"/>
    <w:rsid w:val="005C7CC0"/>
    <w:rsid w:val="005C7E14"/>
    <w:rsid w:val="005C7F84"/>
    <w:rsid w:val="005D05EA"/>
    <w:rsid w:val="005D061E"/>
    <w:rsid w:val="005D0A7C"/>
    <w:rsid w:val="005D110E"/>
    <w:rsid w:val="005D12C4"/>
    <w:rsid w:val="005D15AE"/>
    <w:rsid w:val="005D18D3"/>
    <w:rsid w:val="005D1A47"/>
    <w:rsid w:val="005D1D9E"/>
    <w:rsid w:val="005D2B45"/>
    <w:rsid w:val="005D2F57"/>
    <w:rsid w:val="005D2FB0"/>
    <w:rsid w:val="005D3014"/>
    <w:rsid w:val="005D30AA"/>
    <w:rsid w:val="005D47F1"/>
    <w:rsid w:val="005D4CC1"/>
    <w:rsid w:val="005D5164"/>
    <w:rsid w:val="005D52A0"/>
    <w:rsid w:val="005D5949"/>
    <w:rsid w:val="005D5E63"/>
    <w:rsid w:val="005D6089"/>
    <w:rsid w:val="005D729E"/>
    <w:rsid w:val="005D76C3"/>
    <w:rsid w:val="005D7860"/>
    <w:rsid w:val="005E0398"/>
    <w:rsid w:val="005E0547"/>
    <w:rsid w:val="005E13F8"/>
    <w:rsid w:val="005E15EA"/>
    <w:rsid w:val="005E1781"/>
    <w:rsid w:val="005E2387"/>
    <w:rsid w:val="005E2682"/>
    <w:rsid w:val="005E2855"/>
    <w:rsid w:val="005E2904"/>
    <w:rsid w:val="005E3094"/>
    <w:rsid w:val="005E3B79"/>
    <w:rsid w:val="005E4795"/>
    <w:rsid w:val="005E4A1B"/>
    <w:rsid w:val="005E4A32"/>
    <w:rsid w:val="005E4FBA"/>
    <w:rsid w:val="005E522C"/>
    <w:rsid w:val="005E525C"/>
    <w:rsid w:val="005E570D"/>
    <w:rsid w:val="005E5B27"/>
    <w:rsid w:val="005E5CE5"/>
    <w:rsid w:val="005E6022"/>
    <w:rsid w:val="005E6656"/>
    <w:rsid w:val="005E66D4"/>
    <w:rsid w:val="005E6973"/>
    <w:rsid w:val="005E6A20"/>
    <w:rsid w:val="005E70A4"/>
    <w:rsid w:val="005E7246"/>
    <w:rsid w:val="005E72D3"/>
    <w:rsid w:val="005E7527"/>
    <w:rsid w:val="005E76C4"/>
    <w:rsid w:val="005E7E6D"/>
    <w:rsid w:val="005E7FCD"/>
    <w:rsid w:val="005F049A"/>
    <w:rsid w:val="005F0804"/>
    <w:rsid w:val="005F0F00"/>
    <w:rsid w:val="005F0F91"/>
    <w:rsid w:val="005F13A9"/>
    <w:rsid w:val="005F1885"/>
    <w:rsid w:val="005F1B02"/>
    <w:rsid w:val="005F1FD4"/>
    <w:rsid w:val="005F219E"/>
    <w:rsid w:val="005F2227"/>
    <w:rsid w:val="005F317F"/>
    <w:rsid w:val="005F4A68"/>
    <w:rsid w:val="005F4C36"/>
    <w:rsid w:val="005F4EC3"/>
    <w:rsid w:val="005F4F4D"/>
    <w:rsid w:val="005F524F"/>
    <w:rsid w:val="005F58F0"/>
    <w:rsid w:val="005F5AE4"/>
    <w:rsid w:val="005F62C7"/>
    <w:rsid w:val="005F6418"/>
    <w:rsid w:val="005F64BE"/>
    <w:rsid w:val="005F656F"/>
    <w:rsid w:val="005F6E00"/>
    <w:rsid w:val="005F6F12"/>
    <w:rsid w:val="0060005D"/>
    <w:rsid w:val="00600187"/>
    <w:rsid w:val="006005A0"/>
    <w:rsid w:val="00600C09"/>
    <w:rsid w:val="00600CE9"/>
    <w:rsid w:val="00600D4C"/>
    <w:rsid w:val="00601C70"/>
    <w:rsid w:val="00602222"/>
    <w:rsid w:val="006023EB"/>
    <w:rsid w:val="00602F05"/>
    <w:rsid w:val="0060315F"/>
    <w:rsid w:val="0060375D"/>
    <w:rsid w:val="00604340"/>
    <w:rsid w:val="00604735"/>
    <w:rsid w:val="00604B18"/>
    <w:rsid w:val="0060523F"/>
    <w:rsid w:val="0060551E"/>
    <w:rsid w:val="00605ACE"/>
    <w:rsid w:val="00606528"/>
    <w:rsid w:val="006066FA"/>
    <w:rsid w:val="00606852"/>
    <w:rsid w:val="006068D3"/>
    <w:rsid w:val="006069A1"/>
    <w:rsid w:val="00606EF6"/>
    <w:rsid w:val="00606F52"/>
    <w:rsid w:val="006077C8"/>
    <w:rsid w:val="006079C4"/>
    <w:rsid w:val="00607AB8"/>
    <w:rsid w:val="00607E12"/>
    <w:rsid w:val="00610283"/>
    <w:rsid w:val="00610541"/>
    <w:rsid w:val="0061061A"/>
    <w:rsid w:val="00611A38"/>
    <w:rsid w:val="00612D71"/>
    <w:rsid w:val="006133FB"/>
    <w:rsid w:val="00613689"/>
    <w:rsid w:val="00613A01"/>
    <w:rsid w:val="00613ED0"/>
    <w:rsid w:val="00613F2C"/>
    <w:rsid w:val="00614A02"/>
    <w:rsid w:val="00614C92"/>
    <w:rsid w:val="00614F8F"/>
    <w:rsid w:val="00614FEC"/>
    <w:rsid w:val="0061548E"/>
    <w:rsid w:val="00615BBD"/>
    <w:rsid w:val="00615F4B"/>
    <w:rsid w:val="006160B9"/>
    <w:rsid w:val="006163C9"/>
    <w:rsid w:val="0061691B"/>
    <w:rsid w:val="006200EB"/>
    <w:rsid w:val="00620783"/>
    <w:rsid w:val="006208B4"/>
    <w:rsid w:val="00621284"/>
    <w:rsid w:val="00621981"/>
    <w:rsid w:val="00621A4C"/>
    <w:rsid w:val="00621C18"/>
    <w:rsid w:val="00621FF2"/>
    <w:rsid w:val="006222A7"/>
    <w:rsid w:val="006222E0"/>
    <w:rsid w:val="00622BCB"/>
    <w:rsid w:val="00622DB3"/>
    <w:rsid w:val="00622F5F"/>
    <w:rsid w:val="006230DC"/>
    <w:rsid w:val="00623CF1"/>
    <w:rsid w:val="00623DF9"/>
    <w:rsid w:val="006240A5"/>
    <w:rsid w:val="0062434D"/>
    <w:rsid w:val="00624629"/>
    <w:rsid w:val="0062465F"/>
    <w:rsid w:val="00624901"/>
    <w:rsid w:val="00624E88"/>
    <w:rsid w:val="00624EF7"/>
    <w:rsid w:val="0062503C"/>
    <w:rsid w:val="0062567D"/>
    <w:rsid w:val="0062618B"/>
    <w:rsid w:val="006307A9"/>
    <w:rsid w:val="006309EB"/>
    <w:rsid w:val="0063241E"/>
    <w:rsid w:val="00632908"/>
    <w:rsid w:val="00632DEC"/>
    <w:rsid w:val="0063451A"/>
    <w:rsid w:val="0063527A"/>
    <w:rsid w:val="00635558"/>
    <w:rsid w:val="006357ED"/>
    <w:rsid w:val="00635DDD"/>
    <w:rsid w:val="0063696C"/>
    <w:rsid w:val="00636B10"/>
    <w:rsid w:val="00636BB9"/>
    <w:rsid w:val="00637208"/>
    <w:rsid w:val="00637835"/>
    <w:rsid w:val="00637915"/>
    <w:rsid w:val="00637B46"/>
    <w:rsid w:val="00640322"/>
    <w:rsid w:val="00641277"/>
    <w:rsid w:val="006419AC"/>
    <w:rsid w:val="00642098"/>
    <w:rsid w:val="00642272"/>
    <w:rsid w:val="0064296F"/>
    <w:rsid w:val="006431CA"/>
    <w:rsid w:val="006432E7"/>
    <w:rsid w:val="0064372B"/>
    <w:rsid w:val="00643A62"/>
    <w:rsid w:val="00643BA9"/>
    <w:rsid w:val="00643F21"/>
    <w:rsid w:val="00643F97"/>
    <w:rsid w:val="0064470E"/>
    <w:rsid w:val="00645CCF"/>
    <w:rsid w:val="00645D72"/>
    <w:rsid w:val="0064614D"/>
    <w:rsid w:val="006462CA"/>
    <w:rsid w:val="00646B59"/>
    <w:rsid w:val="00646C2A"/>
    <w:rsid w:val="00647559"/>
    <w:rsid w:val="0064766E"/>
    <w:rsid w:val="006476EF"/>
    <w:rsid w:val="00650DD4"/>
    <w:rsid w:val="00650EBD"/>
    <w:rsid w:val="00650FDF"/>
    <w:rsid w:val="0065102A"/>
    <w:rsid w:val="0065152E"/>
    <w:rsid w:val="00651FC6"/>
    <w:rsid w:val="00652028"/>
    <w:rsid w:val="00652091"/>
    <w:rsid w:val="0065284E"/>
    <w:rsid w:val="00652CC2"/>
    <w:rsid w:val="00653039"/>
    <w:rsid w:val="00654093"/>
    <w:rsid w:val="006549CD"/>
    <w:rsid w:val="00654A41"/>
    <w:rsid w:val="0065548F"/>
    <w:rsid w:val="00655501"/>
    <w:rsid w:val="00655985"/>
    <w:rsid w:val="00656068"/>
    <w:rsid w:val="00656303"/>
    <w:rsid w:val="006571E9"/>
    <w:rsid w:val="00657918"/>
    <w:rsid w:val="0066055B"/>
    <w:rsid w:val="00660796"/>
    <w:rsid w:val="00660CC0"/>
    <w:rsid w:val="00660EBB"/>
    <w:rsid w:val="006614F9"/>
    <w:rsid w:val="006616CD"/>
    <w:rsid w:val="0066190E"/>
    <w:rsid w:val="00661F04"/>
    <w:rsid w:val="006623F2"/>
    <w:rsid w:val="0066266E"/>
    <w:rsid w:val="006627C0"/>
    <w:rsid w:val="00662B97"/>
    <w:rsid w:val="00663BC8"/>
    <w:rsid w:val="006648AE"/>
    <w:rsid w:val="00664B15"/>
    <w:rsid w:val="00664E30"/>
    <w:rsid w:val="00665092"/>
    <w:rsid w:val="00665625"/>
    <w:rsid w:val="00665A11"/>
    <w:rsid w:val="0066611A"/>
    <w:rsid w:val="006661CC"/>
    <w:rsid w:val="00666275"/>
    <w:rsid w:val="00666A86"/>
    <w:rsid w:val="00666C06"/>
    <w:rsid w:val="0066774B"/>
    <w:rsid w:val="006679AF"/>
    <w:rsid w:val="00667B7E"/>
    <w:rsid w:val="00667FA2"/>
    <w:rsid w:val="00670AC9"/>
    <w:rsid w:val="00670DFF"/>
    <w:rsid w:val="00671D28"/>
    <w:rsid w:val="00671F18"/>
    <w:rsid w:val="00672F0D"/>
    <w:rsid w:val="00673617"/>
    <w:rsid w:val="0067396D"/>
    <w:rsid w:val="00673DD9"/>
    <w:rsid w:val="0067435A"/>
    <w:rsid w:val="006745A2"/>
    <w:rsid w:val="00674628"/>
    <w:rsid w:val="00674C2B"/>
    <w:rsid w:val="0067502D"/>
    <w:rsid w:val="00677248"/>
    <w:rsid w:val="006772DE"/>
    <w:rsid w:val="006772E2"/>
    <w:rsid w:val="0067771C"/>
    <w:rsid w:val="00677F0F"/>
    <w:rsid w:val="00680031"/>
    <w:rsid w:val="006801A2"/>
    <w:rsid w:val="006803A4"/>
    <w:rsid w:val="006804C3"/>
    <w:rsid w:val="00680B2C"/>
    <w:rsid w:val="006812A0"/>
    <w:rsid w:val="006819E2"/>
    <w:rsid w:val="00681B77"/>
    <w:rsid w:val="00681F18"/>
    <w:rsid w:val="006822E0"/>
    <w:rsid w:val="006823DE"/>
    <w:rsid w:val="0068327B"/>
    <w:rsid w:val="006832DA"/>
    <w:rsid w:val="0068362B"/>
    <w:rsid w:val="00683EFB"/>
    <w:rsid w:val="006847F2"/>
    <w:rsid w:val="00684DF7"/>
    <w:rsid w:val="0068642E"/>
    <w:rsid w:val="00686577"/>
    <w:rsid w:val="00686D1D"/>
    <w:rsid w:val="00686DE8"/>
    <w:rsid w:val="006879FC"/>
    <w:rsid w:val="00690F50"/>
    <w:rsid w:val="00691DDA"/>
    <w:rsid w:val="00692279"/>
    <w:rsid w:val="00692590"/>
    <w:rsid w:val="00693136"/>
    <w:rsid w:val="006932C0"/>
    <w:rsid w:val="006933A1"/>
    <w:rsid w:val="00693BD1"/>
    <w:rsid w:val="00694270"/>
    <w:rsid w:val="006954C4"/>
    <w:rsid w:val="006959F3"/>
    <w:rsid w:val="00695CB7"/>
    <w:rsid w:val="00696658"/>
    <w:rsid w:val="00696D14"/>
    <w:rsid w:val="006979FB"/>
    <w:rsid w:val="00697AF1"/>
    <w:rsid w:val="006A0667"/>
    <w:rsid w:val="006A088A"/>
    <w:rsid w:val="006A1070"/>
    <w:rsid w:val="006A1154"/>
    <w:rsid w:val="006A1B86"/>
    <w:rsid w:val="006A1FBC"/>
    <w:rsid w:val="006A2185"/>
    <w:rsid w:val="006A2319"/>
    <w:rsid w:val="006A256B"/>
    <w:rsid w:val="006A26A1"/>
    <w:rsid w:val="006A2E25"/>
    <w:rsid w:val="006A2FEA"/>
    <w:rsid w:val="006A478C"/>
    <w:rsid w:val="006A4E2E"/>
    <w:rsid w:val="006A52D2"/>
    <w:rsid w:val="006A69B1"/>
    <w:rsid w:val="006A6C9C"/>
    <w:rsid w:val="006A757D"/>
    <w:rsid w:val="006A7D9A"/>
    <w:rsid w:val="006A7F92"/>
    <w:rsid w:val="006B027A"/>
    <w:rsid w:val="006B0CDD"/>
    <w:rsid w:val="006B14E3"/>
    <w:rsid w:val="006B17D1"/>
    <w:rsid w:val="006B1A6C"/>
    <w:rsid w:val="006B22CB"/>
    <w:rsid w:val="006B2C9F"/>
    <w:rsid w:val="006B2FDD"/>
    <w:rsid w:val="006B3075"/>
    <w:rsid w:val="006B30C9"/>
    <w:rsid w:val="006B4636"/>
    <w:rsid w:val="006B4F66"/>
    <w:rsid w:val="006B5172"/>
    <w:rsid w:val="006B52CD"/>
    <w:rsid w:val="006B54D1"/>
    <w:rsid w:val="006B5E64"/>
    <w:rsid w:val="006B6130"/>
    <w:rsid w:val="006B63CC"/>
    <w:rsid w:val="006B67D9"/>
    <w:rsid w:val="006B6876"/>
    <w:rsid w:val="006B69A7"/>
    <w:rsid w:val="006B6B51"/>
    <w:rsid w:val="006B6BC2"/>
    <w:rsid w:val="006B6D24"/>
    <w:rsid w:val="006B6E47"/>
    <w:rsid w:val="006B7239"/>
    <w:rsid w:val="006B735D"/>
    <w:rsid w:val="006B7381"/>
    <w:rsid w:val="006B74AD"/>
    <w:rsid w:val="006B768D"/>
    <w:rsid w:val="006B7733"/>
    <w:rsid w:val="006B786F"/>
    <w:rsid w:val="006B7D4F"/>
    <w:rsid w:val="006B7EF3"/>
    <w:rsid w:val="006C029E"/>
    <w:rsid w:val="006C09D7"/>
    <w:rsid w:val="006C1550"/>
    <w:rsid w:val="006C1730"/>
    <w:rsid w:val="006C1B04"/>
    <w:rsid w:val="006C24C6"/>
    <w:rsid w:val="006C25EA"/>
    <w:rsid w:val="006C2ACB"/>
    <w:rsid w:val="006C395F"/>
    <w:rsid w:val="006C41F3"/>
    <w:rsid w:val="006C4246"/>
    <w:rsid w:val="006C4D07"/>
    <w:rsid w:val="006C4DD7"/>
    <w:rsid w:val="006C5786"/>
    <w:rsid w:val="006C58CE"/>
    <w:rsid w:val="006C59E8"/>
    <w:rsid w:val="006C5B54"/>
    <w:rsid w:val="006C6266"/>
    <w:rsid w:val="006C7919"/>
    <w:rsid w:val="006C7A77"/>
    <w:rsid w:val="006C7D06"/>
    <w:rsid w:val="006D0C83"/>
    <w:rsid w:val="006D1962"/>
    <w:rsid w:val="006D1B03"/>
    <w:rsid w:val="006D1E18"/>
    <w:rsid w:val="006D2201"/>
    <w:rsid w:val="006D2878"/>
    <w:rsid w:val="006D3B73"/>
    <w:rsid w:val="006D4517"/>
    <w:rsid w:val="006D4AF5"/>
    <w:rsid w:val="006D4F09"/>
    <w:rsid w:val="006D5E51"/>
    <w:rsid w:val="006D6514"/>
    <w:rsid w:val="006D65EA"/>
    <w:rsid w:val="006D6B22"/>
    <w:rsid w:val="006D6C7C"/>
    <w:rsid w:val="006D6EB0"/>
    <w:rsid w:val="006D79A5"/>
    <w:rsid w:val="006D7EC1"/>
    <w:rsid w:val="006E0160"/>
    <w:rsid w:val="006E0834"/>
    <w:rsid w:val="006E0994"/>
    <w:rsid w:val="006E0C0C"/>
    <w:rsid w:val="006E1553"/>
    <w:rsid w:val="006E1F47"/>
    <w:rsid w:val="006E2F0B"/>
    <w:rsid w:val="006E303B"/>
    <w:rsid w:val="006E3495"/>
    <w:rsid w:val="006E37E0"/>
    <w:rsid w:val="006E38DA"/>
    <w:rsid w:val="006E3C06"/>
    <w:rsid w:val="006E4193"/>
    <w:rsid w:val="006E4674"/>
    <w:rsid w:val="006E4B84"/>
    <w:rsid w:val="006E4F37"/>
    <w:rsid w:val="006E659A"/>
    <w:rsid w:val="006E65E4"/>
    <w:rsid w:val="006E71EA"/>
    <w:rsid w:val="006E78F0"/>
    <w:rsid w:val="006E7D7B"/>
    <w:rsid w:val="006F04B0"/>
    <w:rsid w:val="006F0684"/>
    <w:rsid w:val="006F0E13"/>
    <w:rsid w:val="006F180A"/>
    <w:rsid w:val="006F195A"/>
    <w:rsid w:val="006F1B3F"/>
    <w:rsid w:val="006F1F11"/>
    <w:rsid w:val="006F3719"/>
    <w:rsid w:val="006F3E44"/>
    <w:rsid w:val="006F4440"/>
    <w:rsid w:val="006F4EFF"/>
    <w:rsid w:val="006F5107"/>
    <w:rsid w:val="006F521E"/>
    <w:rsid w:val="006F52DF"/>
    <w:rsid w:val="006F54EC"/>
    <w:rsid w:val="006F55F4"/>
    <w:rsid w:val="006F5D51"/>
    <w:rsid w:val="006F5F56"/>
    <w:rsid w:val="006F600B"/>
    <w:rsid w:val="006F6299"/>
    <w:rsid w:val="006F6ABB"/>
    <w:rsid w:val="006F70E1"/>
    <w:rsid w:val="006F7109"/>
    <w:rsid w:val="006F7298"/>
    <w:rsid w:val="006F7312"/>
    <w:rsid w:val="006F7461"/>
    <w:rsid w:val="006F7E23"/>
    <w:rsid w:val="00700B4B"/>
    <w:rsid w:val="00700DA2"/>
    <w:rsid w:val="00701E16"/>
    <w:rsid w:val="007020EE"/>
    <w:rsid w:val="00702607"/>
    <w:rsid w:val="00703E75"/>
    <w:rsid w:val="0070425C"/>
    <w:rsid w:val="00704426"/>
    <w:rsid w:val="00704A2B"/>
    <w:rsid w:val="00704B8E"/>
    <w:rsid w:val="00704EED"/>
    <w:rsid w:val="00704EFC"/>
    <w:rsid w:val="00705911"/>
    <w:rsid w:val="00705927"/>
    <w:rsid w:val="00705A68"/>
    <w:rsid w:val="00706EB8"/>
    <w:rsid w:val="0070715B"/>
    <w:rsid w:val="00707165"/>
    <w:rsid w:val="007076BF"/>
    <w:rsid w:val="007104B7"/>
    <w:rsid w:val="00711775"/>
    <w:rsid w:val="00711C02"/>
    <w:rsid w:val="00711E5D"/>
    <w:rsid w:val="00713811"/>
    <w:rsid w:val="00713DFF"/>
    <w:rsid w:val="00713E10"/>
    <w:rsid w:val="00713FD7"/>
    <w:rsid w:val="00713FFE"/>
    <w:rsid w:val="0071438A"/>
    <w:rsid w:val="0071508C"/>
    <w:rsid w:val="00715C24"/>
    <w:rsid w:val="00716171"/>
    <w:rsid w:val="00716922"/>
    <w:rsid w:val="007203E7"/>
    <w:rsid w:val="00720855"/>
    <w:rsid w:val="007209DE"/>
    <w:rsid w:val="00720CB3"/>
    <w:rsid w:val="007210D3"/>
    <w:rsid w:val="00721679"/>
    <w:rsid w:val="0072294E"/>
    <w:rsid w:val="00722C24"/>
    <w:rsid w:val="007237D8"/>
    <w:rsid w:val="00723B56"/>
    <w:rsid w:val="00723B5C"/>
    <w:rsid w:val="00724182"/>
    <w:rsid w:val="00724C03"/>
    <w:rsid w:val="00724CF5"/>
    <w:rsid w:val="00724D03"/>
    <w:rsid w:val="007253A5"/>
    <w:rsid w:val="007260DC"/>
    <w:rsid w:val="00726BF9"/>
    <w:rsid w:val="00726CE4"/>
    <w:rsid w:val="00726D98"/>
    <w:rsid w:val="00727D72"/>
    <w:rsid w:val="00727FFD"/>
    <w:rsid w:val="00730172"/>
    <w:rsid w:val="0073018F"/>
    <w:rsid w:val="0073038A"/>
    <w:rsid w:val="00730BBC"/>
    <w:rsid w:val="007312A2"/>
    <w:rsid w:val="007321BC"/>
    <w:rsid w:val="007324EB"/>
    <w:rsid w:val="00732979"/>
    <w:rsid w:val="00732B29"/>
    <w:rsid w:val="007332C8"/>
    <w:rsid w:val="0073345B"/>
    <w:rsid w:val="0073388B"/>
    <w:rsid w:val="00733D40"/>
    <w:rsid w:val="00734606"/>
    <w:rsid w:val="00734C77"/>
    <w:rsid w:val="00734E21"/>
    <w:rsid w:val="00735038"/>
    <w:rsid w:val="007353FC"/>
    <w:rsid w:val="00735626"/>
    <w:rsid w:val="007358D9"/>
    <w:rsid w:val="00735A0E"/>
    <w:rsid w:val="00735A86"/>
    <w:rsid w:val="00736164"/>
    <w:rsid w:val="007366B9"/>
    <w:rsid w:val="00736DDA"/>
    <w:rsid w:val="00736E95"/>
    <w:rsid w:val="00737155"/>
    <w:rsid w:val="0073728B"/>
    <w:rsid w:val="00737AA0"/>
    <w:rsid w:val="00737D5C"/>
    <w:rsid w:val="00740179"/>
    <w:rsid w:val="0074046C"/>
    <w:rsid w:val="007405DA"/>
    <w:rsid w:val="00741414"/>
    <w:rsid w:val="00741F47"/>
    <w:rsid w:val="007421AD"/>
    <w:rsid w:val="0074246B"/>
    <w:rsid w:val="007426AF"/>
    <w:rsid w:val="007430CA"/>
    <w:rsid w:val="007432A5"/>
    <w:rsid w:val="0074364C"/>
    <w:rsid w:val="00743982"/>
    <w:rsid w:val="007444F6"/>
    <w:rsid w:val="00744F77"/>
    <w:rsid w:val="007450B0"/>
    <w:rsid w:val="007450F6"/>
    <w:rsid w:val="00745259"/>
    <w:rsid w:val="00745365"/>
    <w:rsid w:val="007454B0"/>
    <w:rsid w:val="0074581C"/>
    <w:rsid w:val="00745C31"/>
    <w:rsid w:val="0074638F"/>
    <w:rsid w:val="0074644E"/>
    <w:rsid w:val="00746493"/>
    <w:rsid w:val="007468E4"/>
    <w:rsid w:val="0074700F"/>
    <w:rsid w:val="00747A7E"/>
    <w:rsid w:val="00747FBF"/>
    <w:rsid w:val="007505C8"/>
    <w:rsid w:val="00750CEA"/>
    <w:rsid w:val="00750F46"/>
    <w:rsid w:val="00751140"/>
    <w:rsid w:val="00751FEC"/>
    <w:rsid w:val="00751FF2"/>
    <w:rsid w:val="00752909"/>
    <w:rsid w:val="00753238"/>
    <w:rsid w:val="007538A5"/>
    <w:rsid w:val="007539AC"/>
    <w:rsid w:val="00753B45"/>
    <w:rsid w:val="00753C52"/>
    <w:rsid w:val="00753F3B"/>
    <w:rsid w:val="00754751"/>
    <w:rsid w:val="00754809"/>
    <w:rsid w:val="00754841"/>
    <w:rsid w:val="00754A00"/>
    <w:rsid w:val="00754A80"/>
    <w:rsid w:val="00754C43"/>
    <w:rsid w:val="00754D29"/>
    <w:rsid w:val="007550A7"/>
    <w:rsid w:val="00755504"/>
    <w:rsid w:val="00755727"/>
    <w:rsid w:val="00755737"/>
    <w:rsid w:val="0075573F"/>
    <w:rsid w:val="0075685C"/>
    <w:rsid w:val="00756BA1"/>
    <w:rsid w:val="00756BFE"/>
    <w:rsid w:val="00757462"/>
    <w:rsid w:val="0075749C"/>
    <w:rsid w:val="00757EA3"/>
    <w:rsid w:val="00757EE6"/>
    <w:rsid w:val="00757F22"/>
    <w:rsid w:val="007604C3"/>
    <w:rsid w:val="00760550"/>
    <w:rsid w:val="00760D4A"/>
    <w:rsid w:val="00760D60"/>
    <w:rsid w:val="00761004"/>
    <w:rsid w:val="007612B8"/>
    <w:rsid w:val="007616D7"/>
    <w:rsid w:val="00761A6F"/>
    <w:rsid w:val="00761BF4"/>
    <w:rsid w:val="00761DD7"/>
    <w:rsid w:val="00762824"/>
    <w:rsid w:val="00762936"/>
    <w:rsid w:val="00762970"/>
    <w:rsid w:val="007633DC"/>
    <w:rsid w:val="00763D91"/>
    <w:rsid w:val="007644CD"/>
    <w:rsid w:val="00764A07"/>
    <w:rsid w:val="00764FD1"/>
    <w:rsid w:val="00765374"/>
    <w:rsid w:val="007654D9"/>
    <w:rsid w:val="00766BDE"/>
    <w:rsid w:val="00766C82"/>
    <w:rsid w:val="00766DE3"/>
    <w:rsid w:val="0076729C"/>
    <w:rsid w:val="007678E8"/>
    <w:rsid w:val="00770895"/>
    <w:rsid w:val="00770CF3"/>
    <w:rsid w:val="007712B7"/>
    <w:rsid w:val="00771455"/>
    <w:rsid w:val="0077181F"/>
    <w:rsid w:val="007719E5"/>
    <w:rsid w:val="00772C4F"/>
    <w:rsid w:val="007733CD"/>
    <w:rsid w:val="007736CC"/>
    <w:rsid w:val="00773FC7"/>
    <w:rsid w:val="007746E2"/>
    <w:rsid w:val="00774CA4"/>
    <w:rsid w:val="007751D5"/>
    <w:rsid w:val="00775573"/>
    <w:rsid w:val="00775B9C"/>
    <w:rsid w:val="007762D8"/>
    <w:rsid w:val="00776469"/>
    <w:rsid w:val="00776843"/>
    <w:rsid w:val="00776F10"/>
    <w:rsid w:val="00776FE8"/>
    <w:rsid w:val="00777199"/>
    <w:rsid w:val="00777E04"/>
    <w:rsid w:val="00780455"/>
    <w:rsid w:val="007804A1"/>
    <w:rsid w:val="007806A3"/>
    <w:rsid w:val="007814D5"/>
    <w:rsid w:val="00781960"/>
    <w:rsid w:val="00781C68"/>
    <w:rsid w:val="00781F82"/>
    <w:rsid w:val="007822E4"/>
    <w:rsid w:val="0078265E"/>
    <w:rsid w:val="00782DEB"/>
    <w:rsid w:val="007832B6"/>
    <w:rsid w:val="00783673"/>
    <w:rsid w:val="00783678"/>
    <w:rsid w:val="00783A61"/>
    <w:rsid w:val="00783FDE"/>
    <w:rsid w:val="00784B23"/>
    <w:rsid w:val="00784E08"/>
    <w:rsid w:val="00785403"/>
    <w:rsid w:val="007854D3"/>
    <w:rsid w:val="007855E8"/>
    <w:rsid w:val="007857AB"/>
    <w:rsid w:val="00785911"/>
    <w:rsid w:val="00785FDD"/>
    <w:rsid w:val="00786A50"/>
    <w:rsid w:val="007871E9"/>
    <w:rsid w:val="007875C4"/>
    <w:rsid w:val="00787915"/>
    <w:rsid w:val="0078792C"/>
    <w:rsid w:val="0078799C"/>
    <w:rsid w:val="007879C0"/>
    <w:rsid w:val="007902C5"/>
    <w:rsid w:val="0079048A"/>
    <w:rsid w:val="007905CF"/>
    <w:rsid w:val="00790BFA"/>
    <w:rsid w:val="007913FC"/>
    <w:rsid w:val="00791A42"/>
    <w:rsid w:val="00792088"/>
    <w:rsid w:val="00792C27"/>
    <w:rsid w:val="00793890"/>
    <w:rsid w:val="00793920"/>
    <w:rsid w:val="00793A45"/>
    <w:rsid w:val="0079403C"/>
    <w:rsid w:val="007941C9"/>
    <w:rsid w:val="00794C20"/>
    <w:rsid w:val="00794D82"/>
    <w:rsid w:val="00795009"/>
    <w:rsid w:val="00795866"/>
    <w:rsid w:val="0079671D"/>
    <w:rsid w:val="00797508"/>
    <w:rsid w:val="00797992"/>
    <w:rsid w:val="00797B9E"/>
    <w:rsid w:val="00797CB8"/>
    <w:rsid w:val="007A0C8F"/>
    <w:rsid w:val="007A0D1E"/>
    <w:rsid w:val="007A1157"/>
    <w:rsid w:val="007A1280"/>
    <w:rsid w:val="007A1532"/>
    <w:rsid w:val="007A1B1D"/>
    <w:rsid w:val="007A2114"/>
    <w:rsid w:val="007A286C"/>
    <w:rsid w:val="007A4010"/>
    <w:rsid w:val="007A4294"/>
    <w:rsid w:val="007A49D4"/>
    <w:rsid w:val="007A4EDA"/>
    <w:rsid w:val="007A53A2"/>
    <w:rsid w:val="007A5A22"/>
    <w:rsid w:val="007A67BF"/>
    <w:rsid w:val="007A6D7E"/>
    <w:rsid w:val="007A6DD7"/>
    <w:rsid w:val="007A6EB1"/>
    <w:rsid w:val="007A7799"/>
    <w:rsid w:val="007A785D"/>
    <w:rsid w:val="007B019F"/>
    <w:rsid w:val="007B0297"/>
    <w:rsid w:val="007B0744"/>
    <w:rsid w:val="007B0C58"/>
    <w:rsid w:val="007B0F08"/>
    <w:rsid w:val="007B166A"/>
    <w:rsid w:val="007B1B23"/>
    <w:rsid w:val="007B1B9A"/>
    <w:rsid w:val="007B1CB0"/>
    <w:rsid w:val="007B1E88"/>
    <w:rsid w:val="007B226C"/>
    <w:rsid w:val="007B26BF"/>
    <w:rsid w:val="007B2B9B"/>
    <w:rsid w:val="007B2EF0"/>
    <w:rsid w:val="007B312E"/>
    <w:rsid w:val="007B3816"/>
    <w:rsid w:val="007B4864"/>
    <w:rsid w:val="007B4B15"/>
    <w:rsid w:val="007B5332"/>
    <w:rsid w:val="007B5A95"/>
    <w:rsid w:val="007B5BBF"/>
    <w:rsid w:val="007B5C43"/>
    <w:rsid w:val="007B60D6"/>
    <w:rsid w:val="007B61D9"/>
    <w:rsid w:val="007B6590"/>
    <w:rsid w:val="007B69A6"/>
    <w:rsid w:val="007B7966"/>
    <w:rsid w:val="007B7A57"/>
    <w:rsid w:val="007B7FA2"/>
    <w:rsid w:val="007C09AD"/>
    <w:rsid w:val="007C0CBB"/>
    <w:rsid w:val="007C0D60"/>
    <w:rsid w:val="007C0EA1"/>
    <w:rsid w:val="007C16F8"/>
    <w:rsid w:val="007C1860"/>
    <w:rsid w:val="007C2318"/>
    <w:rsid w:val="007C2363"/>
    <w:rsid w:val="007C294E"/>
    <w:rsid w:val="007C2C89"/>
    <w:rsid w:val="007C2CE0"/>
    <w:rsid w:val="007C3291"/>
    <w:rsid w:val="007C33CD"/>
    <w:rsid w:val="007C33D7"/>
    <w:rsid w:val="007C36A8"/>
    <w:rsid w:val="007C3AD2"/>
    <w:rsid w:val="007C3CB2"/>
    <w:rsid w:val="007C48F7"/>
    <w:rsid w:val="007C4A97"/>
    <w:rsid w:val="007C4FCD"/>
    <w:rsid w:val="007C50CB"/>
    <w:rsid w:val="007C54F0"/>
    <w:rsid w:val="007C5618"/>
    <w:rsid w:val="007C5AC5"/>
    <w:rsid w:val="007C6AEF"/>
    <w:rsid w:val="007C6D88"/>
    <w:rsid w:val="007C71FF"/>
    <w:rsid w:val="007C728A"/>
    <w:rsid w:val="007C744F"/>
    <w:rsid w:val="007C7471"/>
    <w:rsid w:val="007C7765"/>
    <w:rsid w:val="007C7A56"/>
    <w:rsid w:val="007C7D88"/>
    <w:rsid w:val="007C7E6A"/>
    <w:rsid w:val="007C7E9B"/>
    <w:rsid w:val="007D09A4"/>
    <w:rsid w:val="007D0F69"/>
    <w:rsid w:val="007D108A"/>
    <w:rsid w:val="007D149A"/>
    <w:rsid w:val="007D16DB"/>
    <w:rsid w:val="007D19E5"/>
    <w:rsid w:val="007D1C4D"/>
    <w:rsid w:val="007D1C88"/>
    <w:rsid w:val="007D25F7"/>
    <w:rsid w:val="007D284C"/>
    <w:rsid w:val="007D2C4C"/>
    <w:rsid w:val="007D3600"/>
    <w:rsid w:val="007D364F"/>
    <w:rsid w:val="007D427D"/>
    <w:rsid w:val="007D45F3"/>
    <w:rsid w:val="007D484A"/>
    <w:rsid w:val="007D4B66"/>
    <w:rsid w:val="007D4C03"/>
    <w:rsid w:val="007D4D66"/>
    <w:rsid w:val="007D6B95"/>
    <w:rsid w:val="007D7239"/>
    <w:rsid w:val="007D7C63"/>
    <w:rsid w:val="007E0338"/>
    <w:rsid w:val="007E08E7"/>
    <w:rsid w:val="007E0AFE"/>
    <w:rsid w:val="007E0BEF"/>
    <w:rsid w:val="007E0EBB"/>
    <w:rsid w:val="007E0F48"/>
    <w:rsid w:val="007E13D2"/>
    <w:rsid w:val="007E1B39"/>
    <w:rsid w:val="007E1F4F"/>
    <w:rsid w:val="007E1FD4"/>
    <w:rsid w:val="007E32F3"/>
    <w:rsid w:val="007E3512"/>
    <w:rsid w:val="007E3EC3"/>
    <w:rsid w:val="007E4307"/>
    <w:rsid w:val="007E4A0B"/>
    <w:rsid w:val="007E50A2"/>
    <w:rsid w:val="007E5304"/>
    <w:rsid w:val="007E5553"/>
    <w:rsid w:val="007E5CC8"/>
    <w:rsid w:val="007E5E4B"/>
    <w:rsid w:val="007E6675"/>
    <w:rsid w:val="007E6677"/>
    <w:rsid w:val="007E68E5"/>
    <w:rsid w:val="007E6F92"/>
    <w:rsid w:val="007E7222"/>
    <w:rsid w:val="007E73EB"/>
    <w:rsid w:val="007E754D"/>
    <w:rsid w:val="007E7CFF"/>
    <w:rsid w:val="007E7D18"/>
    <w:rsid w:val="007E7F05"/>
    <w:rsid w:val="007F052E"/>
    <w:rsid w:val="007F0680"/>
    <w:rsid w:val="007F0ED1"/>
    <w:rsid w:val="007F155C"/>
    <w:rsid w:val="007F16E1"/>
    <w:rsid w:val="007F2126"/>
    <w:rsid w:val="007F2831"/>
    <w:rsid w:val="007F2D31"/>
    <w:rsid w:val="007F3430"/>
    <w:rsid w:val="007F350A"/>
    <w:rsid w:val="007F4C73"/>
    <w:rsid w:val="007F51E2"/>
    <w:rsid w:val="007F5B93"/>
    <w:rsid w:val="007F6216"/>
    <w:rsid w:val="007F6226"/>
    <w:rsid w:val="007F6679"/>
    <w:rsid w:val="007F6CA0"/>
    <w:rsid w:val="007F7315"/>
    <w:rsid w:val="007F7424"/>
    <w:rsid w:val="007F7921"/>
    <w:rsid w:val="007F7BA9"/>
    <w:rsid w:val="007F7DBC"/>
    <w:rsid w:val="00800380"/>
    <w:rsid w:val="008008B4"/>
    <w:rsid w:val="00801307"/>
    <w:rsid w:val="0080149F"/>
    <w:rsid w:val="00801FB7"/>
    <w:rsid w:val="00802CED"/>
    <w:rsid w:val="00803914"/>
    <w:rsid w:val="00803CA6"/>
    <w:rsid w:val="008041C7"/>
    <w:rsid w:val="00804259"/>
    <w:rsid w:val="00804444"/>
    <w:rsid w:val="00804AE6"/>
    <w:rsid w:val="00804E9F"/>
    <w:rsid w:val="008055B9"/>
    <w:rsid w:val="008059EF"/>
    <w:rsid w:val="00805CA3"/>
    <w:rsid w:val="008061DA"/>
    <w:rsid w:val="00806805"/>
    <w:rsid w:val="00806B5F"/>
    <w:rsid w:val="00806C4D"/>
    <w:rsid w:val="008072FC"/>
    <w:rsid w:val="00807566"/>
    <w:rsid w:val="008077EA"/>
    <w:rsid w:val="00811ECE"/>
    <w:rsid w:val="0081215C"/>
    <w:rsid w:val="00812481"/>
    <w:rsid w:val="00812571"/>
    <w:rsid w:val="00812A4D"/>
    <w:rsid w:val="00812AA1"/>
    <w:rsid w:val="0081338A"/>
    <w:rsid w:val="008135A6"/>
    <w:rsid w:val="00813A88"/>
    <w:rsid w:val="00813D79"/>
    <w:rsid w:val="00813F06"/>
    <w:rsid w:val="0081443A"/>
    <w:rsid w:val="00814524"/>
    <w:rsid w:val="00814C23"/>
    <w:rsid w:val="00814C2D"/>
    <w:rsid w:val="00814F98"/>
    <w:rsid w:val="008158D0"/>
    <w:rsid w:val="00816725"/>
    <w:rsid w:val="00816912"/>
    <w:rsid w:val="008170BE"/>
    <w:rsid w:val="0081743F"/>
    <w:rsid w:val="00817E6A"/>
    <w:rsid w:val="00817F71"/>
    <w:rsid w:val="00820032"/>
    <w:rsid w:val="008204C9"/>
    <w:rsid w:val="00820A5F"/>
    <w:rsid w:val="00821108"/>
    <w:rsid w:val="00821BD8"/>
    <w:rsid w:val="00821E28"/>
    <w:rsid w:val="00821E4B"/>
    <w:rsid w:val="00822584"/>
    <w:rsid w:val="0082289E"/>
    <w:rsid w:val="00822907"/>
    <w:rsid w:val="00822C39"/>
    <w:rsid w:val="00822D23"/>
    <w:rsid w:val="00822FF0"/>
    <w:rsid w:val="0082425B"/>
    <w:rsid w:val="00824B81"/>
    <w:rsid w:val="00824CA3"/>
    <w:rsid w:val="00824D73"/>
    <w:rsid w:val="00824F63"/>
    <w:rsid w:val="008253D6"/>
    <w:rsid w:val="00825407"/>
    <w:rsid w:val="0082633D"/>
    <w:rsid w:val="0082670D"/>
    <w:rsid w:val="00826FF0"/>
    <w:rsid w:val="0082720F"/>
    <w:rsid w:val="008276A6"/>
    <w:rsid w:val="00827AD9"/>
    <w:rsid w:val="00830255"/>
    <w:rsid w:val="0083037C"/>
    <w:rsid w:val="008303B5"/>
    <w:rsid w:val="0083071A"/>
    <w:rsid w:val="00831581"/>
    <w:rsid w:val="00831744"/>
    <w:rsid w:val="00831A34"/>
    <w:rsid w:val="00831EE9"/>
    <w:rsid w:val="00832551"/>
    <w:rsid w:val="008328FE"/>
    <w:rsid w:val="00832BAD"/>
    <w:rsid w:val="00833169"/>
    <w:rsid w:val="00833EDB"/>
    <w:rsid w:val="00833FCA"/>
    <w:rsid w:val="00835286"/>
    <w:rsid w:val="0083553B"/>
    <w:rsid w:val="008357A6"/>
    <w:rsid w:val="0083598E"/>
    <w:rsid w:val="00835CF2"/>
    <w:rsid w:val="00835E43"/>
    <w:rsid w:val="00836A39"/>
    <w:rsid w:val="00836F43"/>
    <w:rsid w:val="00837EFE"/>
    <w:rsid w:val="00837F56"/>
    <w:rsid w:val="00837FF9"/>
    <w:rsid w:val="0084114B"/>
    <w:rsid w:val="00841545"/>
    <w:rsid w:val="00841740"/>
    <w:rsid w:val="0084174C"/>
    <w:rsid w:val="00841D07"/>
    <w:rsid w:val="00842250"/>
    <w:rsid w:val="0084272E"/>
    <w:rsid w:val="008429C4"/>
    <w:rsid w:val="008430BE"/>
    <w:rsid w:val="00844073"/>
    <w:rsid w:val="00844F2F"/>
    <w:rsid w:val="008453F5"/>
    <w:rsid w:val="00845493"/>
    <w:rsid w:val="00845847"/>
    <w:rsid w:val="00845A4D"/>
    <w:rsid w:val="008462F9"/>
    <w:rsid w:val="0084655C"/>
    <w:rsid w:val="00846691"/>
    <w:rsid w:val="0084692C"/>
    <w:rsid w:val="008469E9"/>
    <w:rsid w:val="00846DC8"/>
    <w:rsid w:val="0084711C"/>
    <w:rsid w:val="00847796"/>
    <w:rsid w:val="00847BAB"/>
    <w:rsid w:val="00847FBB"/>
    <w:rsid w:val="008506C5"/>
    <w:rsid w:val="008507DB"/>
    <w:rsid w:val="008511CF"/>
    <w:rsid w:val="00851D5A"/>
    <w:rsid w:val="00852A5D"/>
    <w:rsid w:val="00852F6D"/>
    <w:rsid w:val="008556DC"/>
    <w:rsid w:val="00855B27"/>
    <w:rsid w:val="00855BC2"/>
    <w:rsid w:val="00855D4F"/>
    <w:rsid w:val="00856669"/>
    <w:rsid w:val="008568AC"/>
    <w:rsid w:val="00856EE9"/>
    <w:rsid w:val="0085768F"/>
    <w:rsid w:val="008576A6"/>
    <w:rsid w:val="00857B99"/>
    <w:rsid w:val="00857C95"/>
    <w:rsid w:val="00860097"/>
    <w:rsid w:val="008603E2"/>
    <w:rsid w:val="008619B4"/>
    <w:rsid w:val="00861F17"/>
    <w:rsid w:val="008623E8"/>
    <w:rsid w:val="00862C52"/>
    <w:rsid w:val="00862DCA"/>
    <w:rsid w:val="008636B7"/>
    <w:rsid w:val="0086373C"/>
    <w:rsid w:val="00863E8D"/>
    <w:rsid w:val="0086416B"/>
    <w:rsid w:val="00864AFC"/>
    <w:rsid w:val="00864B66"/>
    <w:rsid w:val="00864E73"/>
    <w:rsid w:val="00864F3E"/>
    <w:rsid w:val="008655D6"/>
    <w:rsid w:val="00865CE9"/>
    <w:rsid w:val="00866119"/>
    <w:rsid w:val="00866596"/>
    <w:rsid w:val="008668B9"/>
    <w:rsid w:val="00867140"/>
    <w:rsid w:val="00867624"/>
    <w:rsid w:val="008679F3"/>
    <w:rsid w:val="00867E90"/>
    <w:rsid w:val="008700C5"/>
    <w:rsid w:val="008701E8"/>
    <w:rsid w:val="0087021B"/>
    <w:rsid w:val="00870787"/>
    <w:rsid w:val="00870AB8"/>
    <w:rsid w:val="008713F0"/>
    <w:rsid w:val="00871457"/>
    <w:rsid w:val="00871524"/>
    <w:rsid w:val="00871535"/>
    <w:rsid w:val="00871F4F"/>
    <w:rsid w:val="0087248B"/>
    <w:rsid w:val="00872F16"/>
    <w:rsid w:val="00872F74"/>
    <w:rsid w:val="00873069"/>
    <w:rsid w:val="00873570"/>
    <w:rsid w:val="008739CC"/>
    <w:rsid w:val="008739E0"/>
    <w:rsid w:val="00873BF4"/>
    <w:rsid w:val="00873D69"/>
    <w:rsid w:val="00874252"/>
    <w:rsid w:val="008744A0"/>
    <w:rsid w:val="00874B47"/>
    <w:rsid w:val="00875229"/>
    <w:rsid w:val="0087555B"/>
    <w:rsid w:val="008758EA"/>
    <w:rsid w:val="008761E0"/>
    <w:rsid w:val="00876DE9"/>
    <w:rsid w:val="00877BF7"/>
    <w:rsid w:val="00877E2A"/>
    <w:rsid w:val="00881133"/>
    <w:rsid w:val="008813C0"/>
    <w:rsid w:val="00881659"/>
    <w:rsid w:val="00882093"/>
    <w:rsid w:val="00882D07"/>
    <w:rsid w:val="00882E5D"/>
    <w:rsid w:val="008838EE"/>
    <w:rsid w:val="00884174"/>
    <w:rsid w:val="00884928"/>
    <w:rsid w:val="00884F32"/>
    <w:rsid w:val="00885165"/>
    <w:rsid w:val="00885D14"/>
    <w:rsid w:val="008861B6"/>
    <w:rsid w:val="00886414"/>
    <w:rsid w:val="00886595"/>
    <w:rsid w:val="008866F9"/>
    <w:rsid w:val="008867DF"/>
    <w:rsid w:val="00886A3A"/>
    <w:rsid w:val="00886CA7"/>
    <w:rsid w:val="00890819"/>
    <w:rsid w:val="00891916"/>
    <w:rsid w:val="00891C92"/>
    <w:rsid w:val="00891E19"/>
    <w:rsid w:val="00891FBD"/>
    <w:rsid w:val="00893201"/>
    <w:rsid w:val="00893B04"/>
    <w:rsid w:val="00893EF7"/>
    <w:rsid w:val="00893F8D"/>
    <w:rsid w:val="00894349"/>
    <w:rsid w:val="008956CF"/>
    <w:rsid w:val="00895D5D"/>
    <w:rsid w:val="00897988"/>
    <w:rsid w:val="008A0A8C"/>
    <w:rsid w:val="008A0FE6"/>
    <w:rsid w:val="008A135B"/>
    <w:rsid w:val="008A13BA"/>
    <w:rsid w:val="008A16F1"/>
    <w:rsid w:val="008A1993"/>
    <w:rsid w:val="008A2362"/>
    <w:rsid w:val="008A3AF7"/>
    <w:rsid w:val="008A3E68"/>
    <w:rsid w:val="008A4A98"/>
    <w:rsid w:val="008A4D29"/>
    <w:rsid w:val="008A4EB7"/>
    <w:rsid w:val="008A51AA"/>
    <w:rsid w:val="008A5895"/>
    <w:rsid w:val="008A6B64"/>
    <w:rsid w:val="008A6E2D"/>
    <w:rsid w:val="008A6EC5"/>
    <w:rsid w:val="008A70C1"/>
    <w:rsid w:val="008A716A"/>
    <w:rsid w:val="008A7977"/>
    <w:rsid w:val="008A7C0A"/>
    <w:rsid w:val="008A7DD9"/>
    <w:rsid w:val="008A7F8C"/>
    <w:rsid w:val="008B00B8"/>
    <w:rsid w:val="008B012A"/>
    <w:rsid w:val="008B0B42"/>
    <w:rsid w:val="008B0FA2"/>
    <w:rsid w:val="008B1368"/>
    <w:rsid w:val="008B198F"/>
    <w:rsid w:val="008B1F1D"/>
    <w:rsid w:val="008B2679"/>
    <w:rsid w:val="008B2A60"/>
    <w:rsid w:val="008B38F3"/>
    <w:rsid w:val="008B3950"/>
    <w:rsid w:val="008B4AB6"/>
    <w:rsid w:val="008B55F8"/>
    <w:rsid w:val="008B5B39"/>
    <w:rsid w:val="008B60E8"/>
    <w:rsid w:val="008B6867"/>
    <w:rsid w:val="008B699F"/>
    <w:rsid w:val="008B7007"/>
    <w:rsid w:val="008B705C"/>
    <w:rsid w:val="008B7DDA"/>
    <w:rsid w:val="008C0362"/>
    <w:rsid w:val="008C08B3"/>
    <w:rsid w:val="008C1056"/>
    <w:rsid w:val="008C1312"/>
    <w:rsid w:val="008C134D"/>
    <w:rsid w:val="008C19F1"/>
    <w:rsid w:val="008C20E0"/>
    <w:rsid w:val="008C2483"/>
    <w:rsid w:val="008C24D2"/>
    <w:rsid w:val="008C2887"/>
    <w:rsid w:val="008C28F6"/>
    <w:rsid w:val="008C2C05"/>
    <w:rsid w:val="008C2E53"/>
    <w:rsid w:val="008C4346"/>
    <w:rsid w:val="008C4D8F"/>
    <w:rsid w:val="008C4DAB"/>
    <w:rsid w:val="008C515D"/>
    <w:rsid w:val="008C51F8"/>
    <w:rsid w:val="008C53BB"/>
    <w:rsid w:val="008C59A7"/>
    <w:rsid w:val="008C5A28"/>
    <w:rsid w:val="008C6BBF"/>
    <w:rsid w:val="008C6DBD"/>
    <w:rsid w:val="008C71D1"/>
    <w:rsid w:val="008C71E1"/>
    <w:rsid w:val="008C7338"/>
    <w:rsid w:val="008D1030"/>
    <w:rsid w:val="008D12D3"/>
    <w:rsid w:val="008D15AD"/>
    <w:rsid w:val="008D15D8"/>
    <w:rsid w:val="008D1782"/>
    <w:rsid w:val="008D1A38"/>
    <w:rsid w:val="008D1CB7"/>
    <w:rsid w:val="008D2024"/>
    <w:rsid w:val="008D2D5B"/>
    <w:rsid w:val="008D2EA0"/>
    <w:rsid w:val="008D30FF"/>
    <w:rsid w:val="008D3748"/>
    <w:rsid w:val="008D3D55"/>
    <w:rsid w:val="008D426F"/>
    <w:rsid w:val="008D4978"/>
    <w:rsid w:val="008D4A4F"/>
    <w:rsid w:val="008D4B77"/>
    <w:rsid w:val="008D4BC8"/>
    <w:rsid w:val="008D4BEF"/>
    <w:rsid w:val="008D58E5"/>
    <w:rsid w:val="008D5998"/>
    <w:rsid w:val="008D6344"/>
    <w:rsid w:val="008D6383"/>
    <w:rsid w:val="008D673D"/>
    <w:rsid w:val="008D731D"/>
    <w:rsid w:val="008D73F5"/>
    <w:rsid w:val="008D7AA6"/>
    <w:rsid w:val="008D7F29"/>
    <w:rsid w:val="008E21D2"/>
    <w:rsid w:val="008E21D6"/>
    <w:rsid w:val="008E2830"/>
    <w:rsid w:val="008E3A47"/>
    <w:rsid w:val="008E3B4A"/>
    <w:rsid w:val="008E3E20"/>
    <w:rsid w:val="008E3FFD"/>
    <w:rsid w:val="008E4244"/>
    <w:rsid w:val="008E45E1"/>
    <w:rsid w:val="008E4A23"/>
    <w:rsid w:val="008E4AE1"/>
    <w:rsid w:val="008E4EF5"/>
    <w:rsid w:val="008E4FD5"/>
    <w:rsid w:val="008E5700"/>
    <w:rsid w:val="008E6586"/>
    <w:rsid w:val="008E6FB4"/>
    <w:rsid w:val="008E7871"/>
    <w:rsid w:val="008E7CF4"/>
    <w:rsid w:val="008E7D0A"/>
    <w:rsid w:val="008F009C"/>
    <w:rsid w:val="008F0636"/>
    <w:rsid w:val="008F0AA9"/>
    <w:rsid w:val="008F11AE"/>
    <w:rsid w:val="008F13EF"/>
    <w:rsid w:val="008F1757"/>
    <w:rsid w:val="008F1C21"/>
    <w:rsid w:val="008F1FB4"/>
    <w:rsid w:val="008F20EE"/>
    <w:rsid w:val="008F2243"/>
    <w:rsid w:val="008F228A"/>
    <w:rsid w:val="008F2646"/>
    <w:rsid w:val="008F28A9"/>
    <w:rsid w:val="008F28FC"/>
    <w:rsid w:val="008F31EE"/>
    <w:rsid w:val="008F37FF"/>
    <w:rsid w:val="008F3F2F"/>
    <w:rsid w:val="008F49D3"/>
    <w:rsid w:val="008F4A70"/>
    <w:rsid w:val="008F53A5"/>
    <w:rsid w:val="008F5F54"/>
    <w:rsid w:val="008F5F5B"/>
    <w:rsid w:val="008F67F5"/>
    <w:rsid w:val="008F74F6"/>
    <w:rsid w:val="008F75DC"/>
    <w:rsid w:val="0090085E"/>
    <w:rsid w:val="00900BC4"/>
    <w:rsid w:val="00900EB3"/>
    <w:rsid w:val="00900ECB"/>
    <w:rsid w:val="00901369"/>
    <w:rsid w:val="00901DA7"/>
    <w:rsid w:val="009027B5"/>
    <w:rsid w:val="009032DB"/>
    <w:rsid w:val="0090338D"/>
    <w:rsid w:val="009033F4"/>
    <w:rsid w:val="00903983"/>
    <w:rsid w:val="00903C6A"/>
    <w:rsid w:val="009041DF"/>
    <w:rsid w:val="00904431"/>
    <w:rsid w:val="009044DC"/>
    <w:rsid w:val="00905DA3"/>
    <w:rsid w:val="0090638E"/>
    <w:rsid w:val="009063EB"/>
    <w:rsid w:val="00906595"/>
    <w:rsid w:val="00906E6F"/>
    <w:rsid w:val="00906F48"/>
    <w:rsid w:val="009070F7"/>
    <w:rsid w:val="009075B7"/>
    <w:rsid w:val="00907992"/>
    <w:rsid w:val="00907D30"/>
    <w:rsid w:val="009105FA"/>
    <w:rsid w:val="009109C5"/>
    <w:rsid w:val="00910EBA"/>
    <w:rsid w:val="00910FBF"/>
    <w:rsid w:val="0091189E"/>
    <w:rsid w:val="00911A5C"/>
    <w:rsid w:val="0091206B"/>
    <w:rsid w:val="0091267E"/>
    <w:rsid w:val="0091307D"/>
    <w:rsid w:val="009130D2"/>
    <w:rsid w:val="00913460"/>
    <w:rsid w:val="00913FC6"/>
    <w:rsid w:val="009141AE"/>
    <w:rsid w:val="00914556"/>
    <w:rsid w:val="009147E1"/>
    <w:rsid w:val="0091484A"/>
    <w:rsid w:val="00914DE0"/>
    <w:rsid w:val="009159AD"/>
    <w:rsid w:val="00915E2B"/>
    <w:rsid w:val="0091676E"/>
    <w:rsid w:val="009174F5"/>
    <w:rsid w:val="009177EB"/>
    <w:rsid w:val="009177FF"/>
    <w:rsid w:val="00917933"/>
    <w:rsid w:val="009179B8"/>
    <w:rsid w:val="0092006C"/>
    <w:rsid w:val="009201BA"/>
    <w:rsid w:val="00920932"/>
    <w:rsid w:val="00920BC4"/>
    <w:rsid w:val="00920C59"/>
    <w:rsid w:val="00920E58"/>
    <w:rsid w:val="0092129B"/>
    <w:rsid w:val="00921503"/>
    <w:rsid w:val="00921594"/>
    <w:rsid w:val="0092182E"/>
    <w:rsid w:val="009218E2"/>
    <w:rsid w:val="00921E29"/>
    <w:rsid w:val="00921E66"/>
    <w:rsid w:val="00922077"/>
    <w:rsid w:val="009227F5"/>
    <w:rsid w:val="00922973"/>
    <w:rsid w:val="00923136"/>
    <w:rsid w:val="0092326E"/>
    <w:rsid w:val="009233D5"/>
    <w:rsid w:val="0092452C"/>
    <w:rsid w:val="00924BF4"/>
    <w:rsid w:val="00924C09"/>
    <w:rsid w:val="00924FC3"/>
    <w:rsid w:val="0092517E"/>
    <w:rsid w:val="00925195"/>
    <w:rsid w:val="00926056"/>
    <w:rsid w:val="009265B3"/>
    <w:rsid w:val="009265C8"/>
    <w:rsid w:val="00926950"/>
    <w:rsid w:val="00927018"/>
    <w:rsid w:val="00927CF5"/>
    <w:rsid w:val="00930B8B"/>
    <w:rsid w:val="00930F4B"/>
    <w:rsid w:val="00931384"/>
    <w:rsid w:val="00931A48"/>
    <w:rsid w:val="00931D6A"/>
    <w:rsid w:val="00931D80"/>
    <w:rsid w:val="009326DE"/>
    <w:rsid w:val="00932860"/>
    <w:rsid w:val="00932C8B"/>
    <w:rsid w:val="00933117"/>
    <w:rsid w:val="009331C2"/>
    <w:rsid w:val="0093322E"/>
    <w:rsid w:val="00934022"/>
    <w:rsid w:val="009340EF"/>
    <w:rsid w:val="009342D9"/>
    <w:rsid w:val="0093459F"/>
    <w:rsid w:val="00934A58"/>
    <w:rsid w:val="00935147"/>
    <w:rsid w:val="00935525"/>
    <w:rsid w:val="009358BC"/>
    <w:rsid w:val="0093653C"/>
    <w:rsid w:val="00936626"/>
    <w:rsid w:val="00936703"/>
    <w:rsid w:val="009368C0"/>
    <w:rsid w:val="00937885"/>
    <w:rsid w:val="009379BF"/>
    <w:rsid w:val="00937E26"/>
    <w:rsid w:val="009402D6"/>
    <w:rsid w:val="009409BE"/>
    <w:rsid w:val="00940B57"/>
    <w:rsid w:val="00940BDB"/>
    <w:rsid w:val="009419C0"/>
    <w:rsid w:val="0094212C"/>
    <w:rsid w:val="009422A4"/>
    <w:rsid w:val="0094290D"/>
    <w:rsid w:val="009429FB"/>
    <w:rsid w:val="00944847"/>
    <w:rsid w:val="00944C6C"/>
    <w:rsid w:val="009452BF"/>
    <w:rsid w:val="009452EA"/>
    <w:rsid w:val="00945708"/>
    <w:rsid w:val="00945AEC"/>
    <w:rsid w:val="00945B64"/>
    <w:rsid w:val="00945CD4"/>
    <w:rsid w:val="00945D06"/>
    <w:rsid w:val="00945F00"/>
    <w:rsid w:val="00946375"/>
    <w:rsid w:val="00946453"/>
    <w:rsid w:val="00946BF1"/>
    <w:rsid w:val="0094751B"/>
    <w:rsid w:val="0094760C"/>
    <w:rsid w:val="00950007"/>
    <w:rsid w:val="00950BD4"/>
    <w:rsid w:val="009516E2"/>
    <w:rsid w:val="00951A1F"/>
    <w:rsid w:val="00951C06"/>
    <w:rsid w:val="009521F3"/>
    <w:rsid w:val="0095252F"/>
    <w:rsid w:val="00952539"/>
    <w:rsid w:val="00952600"/>
    <w:rsid w:val="00952863"/>
    <w:rsid w:val="0095288A"/>
    <w:rsid w:val="0095314A"/>
    <w:rsid w:val="00953663"/>
    <w:rsid w:val="00953A34"/>
    <w:rsid w:val="00954185"/>
    <w:rsid w:val="00954343"/>
    <w:rsid w:val="009545AA"/>
    <w:rsid w:val="00954D94"/>
    <w:rsid w:val="00954DDC"/>
    <w:rsid w:val="00955593"/>
    <w:rsid w:val="0095571A"/>
    <w:rsid w:val="00955F85"/>
    <w:rsid w:val="0095620E"/>
    <w:rsid w:val="009563B7"/>
    <w:rsid w:val="0095681D"/>
    <w:rsid w:val="009569E9"/>
    <w:rsid w:val="00956BAE"/>
    <w:rsid w:val="00957040"/>
    <w:rsid w:val="00957AD9"/>
    <w:rsid w:val="00960430"/>
    <w:rsid w:val="009609A5"/>
    <w:rsid w:val="00960B49"/>
    <w:rsid w:val="009610A6"/>
    <w:rsid w:val="00962739"/>
    <w:rsid w:val="00962E71"/>
    <w:rsid w:val="00963092"/>
    <w:rsid w:val="009634CA"/>
    <w:rsid w:val="00963698"/>
    <w:rsid w:val="00966508"/>
    <w:rsid w:val="00966782"/>
    <w:rsid w:val="00966AC8"/>
    <w:rsid w:val="00967697"/>
    <w:rsid w:val="00967862"/>
    <w:rsid w:val="00967CBF"/>
    <w:rsid w:val="00967F42"/>
    <w:rsid w:val="009700C4"/>
    <w:rsid w:val="00970594"/>
    <w:rsid w:val="00970976"/>
    <w:rsid w:val="0097189C"/>
    <w:rsid w:val="00971C69"/>
    <w:rsid w:val="009726EF"/>
    <w:rsid w:val="00972888"/>
    <w:rsid w:val="00974410"/>
    <w:rsid w:val="00975077"/>
    <w:rsid w:val="00975490"/>
    <w:rsid w:val="0097578F"/>
    <w:rsid w:val="0097579C"/>
    <w:rsid w:val="00976162"/>
    <w:rsid w:val="0097647A"/>
    <w:rsid w:val="009769A8"/>
    <w:rsid w:val="00976E26"/>
    <w:rsid w:val="00977006"/>
    <w:rsid w:val="009771A9"/>
    <w:rsid w:val="009779E4"/>
    <w:rsid w:val="00977FB2"/>
    <w:rsid w:val="00980360"/>
    <w:rsid w:val="0098046C"/>
    <w:rsid w:val="009806C3"/>
    <w:rsid w:val="00980D74"/>
    <w:rsid w:val="00981039"/>
    <w:rsid w:val="00981204"/>
    <w:rsid w:val="009824A4"/>
    <w:rsid w:val="00982E83"/>
    <w:rsid w:val="00983B2B"/>
    <w:rsid w:val="009856F7"/>
    <w:rsid w:val="00985FA2"/>
    <w:rsid w:val="00986040"/>
    <w:rsid w:val="00986123"/>
    <w:rsid w:val="00986160"/>
    <w:rsid w:val="00986442"/>
    <w:rsid w:val="00986672"/>
    <w:rsid w:val="0098693B"/>
    <w:rsid w:val="00986CDC"/>
    <w:rsid w:val="00986D80"/>
    <w:rsid w:val="00987C21"/>
    <w:rsid w:val="00987C8B"/>
    <w:rsid w:val="00987CB9"/>
    <w:rsid w:val="00987E12"/>
    <w:rsid w:val="00990A90"/>
    <w:rsid w:val="00990D58"/>
    <w:rsid w:val="00990DAF"/>
    <w:rsid w:val="009910EF"/>
    <w:rsid w:val="0099224F"/>
    <w:rsid w:val="0099294D"/>
    <w:rsid w:val="0099350F"/>
    <w:rsid w:val="009936E6"/>
    <w:rsid w:val="00993A80"/>
    <w:rsid w:val="0099427B"/>
    <w:rsid w:val="00994298"/>
    <w:rsid w:val="00995038"/>
    <w:rsid w:val="00995392"/>
    <w:rsid w:val="00995904"/>
    <w:rsid w:val="009963FF"/>
    <w:rsid w:val="00996817"/>
    <w:rsid w:val="00996AA5"/>
    <w:rsid w:val="009971CF"/>
    <w:rsid w:val="009A016A"/>
    <w:rsid w:val="009A0F64"/>
    <w:rsid w:val="009A170E"/>
    <w:rsid w:val="009A1B97"/>
    <w:rsid w:val="009A1E9D"/>
    <w:rsid w:val="009A212B"/>
    <w:rsid w:val="009A220C"/>
    <w:rsid w:val="009A2CDF"/>
    <w:rsid w:val="009A312A"/>
    <w:rsid w:val="009A3448"/>
    <w:rsid w:val="009A3879"/>
    <w:rsid w:val="009A3D4C"/>
    <w:rsid w:val="009A3F77"/>
    <w:rsid w:val="009A4AF6"/>
    <w:rsid w:val="009A545F"/>
    <w:rsid w:val="009A5624"/>
    <w:rsid w:val="009A630F"/>
    <w:rsid w:val="009A66CF"/>
    <w:rsid w:val="009A731F"/>
    <w:rsid w:val="009A7781"/>
    <w:rsid w:val="009A7F67"/>
    <w:rsid w:val="009B0713"/>
    <w:rsid w:val="009B0B2C"/>
    <w:rsid w:val="009B0E77"/>
    <w:rsid w:val="009B0F8F"/>
    <w:rsid w:val="009B10BB"/>
    <w:rsid w:val="009B14B7"/>
    <w:rsid w:val="009B2079"/>
    <w:rsid w:val="009B208C"/>
    <w:rsid w:val="009B24D9"/>
    <w:rsid w:val="009B2A8B"/>
    <w:rsid w:val="009B3AEC"/>
    <w:rsid w:val="009B3D35"/>
    <w:rsid w:val="009B4A7D"/>
    <w:rsid w:val="009B5378"/>
    <w:rsid w:val="009B543B"/>
    <w:rsid w:val="009B568A"/>
    <w:rsid w:val="009B5B43"/>
    <w:rsid w:val="009B63FC"/>
    <w:rsid w:val="009B66C3"/>
    <w:rsid w:val="009B6DCE"/>
    <w:rsid w:val="009B75B6"/>
    <w:rsid w:val="009B763D"/>
    <w:rsid w:val="009B7A84"/>
    <w:rsid w:val="009B7E32"/>
    <w:rsid w:val="009C01AB"/>
    <w:rsid w:val="009C03D1"/>
    <w:rsid w:val="009C0831"/>
    <w:rsid w:val="009C10B4"/>
    <w:rsid w:val="009C15CB"/>
    <w:rsid w:val="009C1B26"/>
    <w:rsid w:val="009C1C9D"/>
    <w:rsid w:val="009C246D"/>
    <w:rsid w:val="009C2563"/>
    <w:rsid w:val="009C2601"/>
    <w:rsid w:val="009C27B7"/>
    <w:rsid w:val="009C2B4A"/>
    <w:rsid w:val="009C2F91"/>
    <w:rsid w:val="009C2FC8"/>
    <w:rsid w:val="009C3621"/>
    <w:rsid w:val="009C3674"/>
    <w:rsid w:val="009C3802"/>
    <w:rsid w:val="009C3DEF"/>
    <w:rsid w:val="009C45FD"/>
    <w:rsid w:val="009C4AED"/>
    <w:rsid w:val="009C5399"/>
    <w:rsid w:val="009C5937"/>
    <w:rsid w:val="009C64F1"/>
    <w:rsid w:val="009C6843"/>
    <w:rsid w:val="009C710D"/>
    <w:rsid w:val="009C728A"/>
    <w:rsid w:val="009C7D32"/>
    <w:rsid w:val="009D094A"/>
    <w:rsid w:val="009D0A1F"/>
    <w:rsid w:val="009D1253"/>
    <w:rsid w:val="009D141D"/>
    <w:rsid w:val="009D168A"/>
    <w:rsid w:val="009D1E53"/>
    <w:rsid w:val="009D2012"/>
    <w:rsid w:val="009D2101"/>
    <w:rsid w:val="009D2182"/>
    <w:rsid w:val="009D2484"/>
    <w:rsid w:val="009D34AE"/>
    <w:rsid w:val="009D3522"/>
    <w:rsid w:val="009D3CC8"/>
    <w:rsid w:val="009D41CE"/>
    <w:rsid w:val="009D5078"/>
    <w:rsid w:val="009D50D7"/>
    <w:rsid w:val="009D5569"/>
    <w:rsid w:val="009D5857"/>
    <w:rsid w:val="009D5A86"/>
    <w:rsid w:val="009D5F0B"/>
    <w:rsid w:val="009D5F3A"/>
    <w:rsid w:val="009D5F9B"/>
    <w:rsid w:val="009D60F0"/>
    <w:rsid w:val="009D664D"/>
    <w:rsid w:val="009D6799"/>
    <w:rsid w:val="009D693F"/>
    <w:rsid w:val="009D6A74"/>
    <w:rsid w:val="009D6EA4"/>
    <w:rsid w:val="009D7F31"/>
    <w:rsid w:val="009E0635"/>
    <w:rsid w:val="009E0719"/>
    <w:rsid w:val="009E08B1"/>
    <w:rsid w:val="009E09DB"/>
    <w:rsid w:val="009E0B11"/>
    <w:rsid w:val="009E0C68"/>
    <w:rsid w:val="009E1094"/>
    <w:rsid w:val="009E1286"/>
    <w:rsid w:val="009E12DD"/>
    <w:rsid w:val="009E13EC"/>
    <w:rsid w:val="009E167C"/>
    <w:rsid w:val="009E1A21"/>
    <w:rsid w:val="009E1E29"/>
    <w:rsid w:val="009E21FF"/>
    <w:rsid w:val="009E2A4A"/>
    <w:rsid w:val="009E2B75"/>
    <w:rsid w:val="009E2F32"/>
    <w:rsid w:val="009E366A"/>
    <w:rsid w:val="009E40A6"/>
    <w:rsid w:val="009E4552"/>
    <w:rsid w:val="009E4B0A"/>
    <w:rsid w:val="009E4DAD"/>
    <w:rsid w:val="009E4DCA"/>
    <w:rsid w:val="009E5381"/>
    <w:rsid w:val="009E57D1"/>
    <w:rsid w:val="009E5845"/>
    <w:rsid w:val="009E616E"/>
    <w:rsid w:val="009E6195"/>
    <w:rsid w:val="009E6A52"/>
    <w:rsid w:val="009E715E"/>
    <w:rsid w:val="009E7210"/>
    <w:rsid w:val="009E758D"/>
    <w:rsid w:val="009E7EC1"/>
    <w:rsid w:val="009F019F"/>
    <w:rsid w:val="009F03A1"/>
    <w:rsid w:val="009F06A6"/>
    <w:rsid w:val="009F0A79"/>
    <w:rsid w:val="009F0EB9"/>
    <w:rsid w:val="009F1668"/>
    <w:rsid w:val="009F1754"/>
    <w:rsid w:val="009F19AE"/>
    <w:rsid w:val="009F19CD"/>
    <w:rsid w:val="009F1D84"/>
    <w:rsid w:val="009F1FAA"/>
    <w:rsid w:val="009F2370"/>
    <w:rsid w:val="009F23F2"/>
    <w:rsid w:val="009F2872"/>
    <w:rsid w:val="009F2ABC"/>
    <w:rsid w:val="009F2C7F"/>
    <w:rsid w:val="009F2D81"/>
    <w:rsid w:val="009F367D"/>
    <w:rsid w:val="009F384D"/>
    <w:rsid w:val="009F407F"/>
    <w:rsid w:val="009F4A3E"/>
    <w:rsid w:val="009F4BFC"/>
    <w:rsid w:val="009F517A"/>
    <w:rsid w:val="009F5A31"/>
    <w:rsid w:val="009F5CCC"/>
    <w:rsid w:val="009F5D13"/>
    <w:rsid w:val="009F6369"/>
    <w:rsid w:val="009F64A4"/>
    <w:rsid w:val="009F6B46"/>
    <w:rsid w:val="009F7605"/>
    <w:rsid w:val="009F7FD2"/>
    <w:rsid w:val="00A0020E"/>
    <w:rsid w:val="00A00793"/>
    <w:rsid w:val="00A00ED8"/>
    <w:rsid w:val="00A013B8"/>
    <w:rsid w:val="00A0156A"/>
    <w:rsid w:val="00A01698"/>
    <w:rsid w:val="00A0190F"/>
    <w:rsid w:val="00A023FA"/>
    <w:rsid w:val="00A02690"/>
    <w:rsid w:val="00A027EF"/>
    <w:rsid w:val="00A03A82"/>
    <w:rsid w:val="00A041F7"/>
    <w:rsid w:val="00A042D2"/>
    <w:rsid w:val="00A0451E"/>
    <w:rsid w:val="00A04B12"/>
    <w:rsid w:val="00A0523F"/>
    <w:rsid w:val="00A055C1"/>
    <w:rsid w:val="00A0586C"/>
    <w:rsid w:val="00A0674D"/>
    <w:rsid w:val="00A06789"/>
    <w:rsid w:val="00A069AA"/>
    <w:rsid w:val="00A0700B"/>
    <w:rsid w:val="00A070C7"/>
    <w:rsid w:val="00A07662"/>
    <w:rsid w:val="00A07684"/>
    <w:rsid w:val="00A07AEF"/>
    <w:rsid w:val="00A07B69"/>
    <w:rsid w:val="00A07C4E"/>
    <w:rsid w:val="00A105BB"/>
    <w:rsid w:val="00A10665"/>
    <w:rsid w:val="00A108E1"/>
    <w:rsid w:val="00A11108"/>
    <w:rsid w:val="00A11746"/>
    <w:rsid w:val="00A117FA"/>
    <w:rsid w:val="00A11939"/>
    <w:rsid w:val="00A11CF5"/>
    <w:rsid w:val="00A129D8"/>
    <w:rsid w:val="00A12D4F"/>
    <w:rsid w:val="00A12E37"/>
    <w:rsid w:val="00A14232"/>
    <w:rsid w:val="00A14504"/>
    <w:rsid w:val="00A14944"/>
    <w:rsid w:val="00A1582B"/>
    <w:rsid w:val="00A15C67"/>
    <w:rsid w:val="00A15E52"/>
    <w:rsid w:val="00A15E92"/>
    <w:rsid w:val="00A16021"/>
    <w:rsid w:val="00A160AF"/>
    <w:rsid w:val="00A178A2"/>
    <w:rsid w:val="00A178BB"/>
    <w:rsid w:val="00A179EF"/>
    <w:rsid w:val="00A17A23"/>
    <w:rsid w:val="00A17F82"/>
    <w:rsid w:val="00A20255"/>
    <w:rsid w:val="00A21655"/>
    <w:rsid w:val="00A222B2"/>
    <w:rsid w:val="00A22C1C"/>
    <w:rsid w:val="00A22D3F"/>
    <w:rsid w:val="00A23869"/>
    <w:rsid w:val="00A23D8E"/>
    <w:rsid w:val="00A2463D"/>
    <w:rsid w:val="00A246FD"/>
    <w:rsid w:val="00A24979"/>
    <w:rsid w:val="00A24D93"/>
    <w:rsid w:val="00A24E53"/>
    <w:rsid w:val="00A24E67"/>
    <w:rsid w:val="00A24ECC"/>
    <w:rsid w:val="00A251EF"/>
    <w:rsid w:val="00A25E0F"/>
    <w:rsid w:val="00A26242"/>
    <w:rsid w:val="00A26F1C"/>
    <w:rsid w:val="00A27243"/>
    <w:rsid w:val="00A2737C"/>
    <w:rsid w:val="00A30254"/>
    <w:rsid w:val="00A3079C"/>
    <w:rsid w:val="00A30881"/>
    <w:rsid w:val="00A31476"/>
    <w:rsid w:val="00A314E0"/>
    <w:rsid w:val="00A31709"/>
    <w:rsid w:val="00A31ABD"/>
    <w:rsid w:val="00A31AD3"/>
    <w:rsid w:val="00A31E72"/>
    <w:rsid w:val="00A325B0"/>
    <w:rsid w:val="00A326D2"/>
    <w:rsid w:val="00A32BF9"/>
    <w:rsid w:val="00A32EB4"/>
    <w:rsid w:val="00A33345"/>
    <w:rsid w:val="00A337F7"/>
    <w:rsid w:val="00A3392A"/>
    <w:rsid w:val="00A33C8E"/>
    <w:rsid w:val="00A33DEF"/>
    <w:rsid w:val="00A33E4F"/>
    <w:rsid w:val="00A34430"/>
    <w:rsid w:val="00A3455C"/>
    <w:rsid w:val="00A3478E"/>
    <w:rsid w:val="00A357F8"/>
    <w:rsid w:val="00A35A4D"/>
    <w:rsid w:val="00A35AD7"/>
    <w:rsid w:val="00A35BF0"/>
    <w:rsid w:val="00A35C5E"/>
    <w:rsid w:val="00A36484"/>
    <w:rsid w:val="00A36CC8"/>
    <w:rsid w:val="00A36CE7"/>
    <w:rsid w:val="00A36F3C"/>
    <w:rsid w:val="00A37034"/>
    <w:rsid w:val="00A37D47"/>
    <w:rsid w:val="00A37E3F"/>
    <w:rsid w:val="00A37F9E"/>
    <w:rsid w:val="00A40270"/>
    <w:rsid w:val="00A40574"/>
    <w:rsid w:val="00A40B83"/>
    <w:rsid w:val="00A42445"/>
    <w:rsid w:val="00A42510"/>
    <w:rsid w:val="00A42768"/>
    <w:rsid w:val="00A4297A"/>
    <w:rsid w:val="00A42C23"/>
    <w:rsid w:val="00A431C9"/>
    <w:rsid w:val="00A43C26"/>
    <w:rsid w:val="00A43DAA"/>
    <w:rsid w:val="00A444F3"/>
    <w:rsid w:val="00A44AB6"/>
    <w:rsid w:val="00A45691"/>
    <w:rsid w:val="00A457B9"/>
    <w:rsid w:val="00A459C0"/>
    <w:rsid w:val="00A46184"/>
    <w:rsid w:val="00A46F2A"/>
    <w:rsid w:val="00A47422"/>
    <w:rsid w:val="00A479EA"/>
    <w:rsid w:val="00A47C54"/>
    <w:rsid w:val="00A50322"/>
    <w:rsid w:val="00A50329"/>
    <w:rsid w:val="00A50CAC"/>
    <w:rsid w:val="00A510A4"/>
    <w:rsid w:val="00A5119E"/>
    <w:rsid w:val="00A5121F"/>
    <w:rsid w:val="00A51F95"/>
    <w:rsid w:val="00A529AF"/>
    <w:rsid w:val="00A53C7C"/>
    <w:rsid w:val="00A53CB5"/>
    <w:rsid w:val="00A540F7"/>
    <w:rsid w:val="00A54256"/>
    <w:rsid w:val="00A54715"/>
    <w:rsid w:val="00A554B4"/>
    <w:rsid w:val="00A5583A"/>
    <w:rsid w:val="00A55CF6"/>
    <w:rsid w:val="00A56022"/>
    <w:rsid w:val="00A564C5"/>
    <w:rsid w:val="00A57016"/>
    <w:rsid w:val="00A6059D"/>
    <w:rsid w:val="00A60726"/>
    <w:rsid w:val="00A60A12"/>
    <w:rsid w:val="00A60B78"/>
    <w:rsid w:val="00A60D0A"/>
    <w:rsid w:val="00A60EBC"/>
    <w:rsid w:val="00A61289"/>
    <w:rsid w:val="00A61406"/>
    <w:rsid w:val="00A615DA"/>
    <w:rsid w:val="00A61AB2"/>
    <w:rsid w:val="00A61B62"/>
    <w:rsid w:val="00A61FB5"/>
    <w:rsid w:val="00A6201B"/>
    <w:rsid w:val="00A628CC"/>
    <w:rsid w:val="00A62CE7"/>
    <w:rsid w:val="00A63BAE"/>
    <w:rsid w:val="00A644B3"/>
    <w:rsid w:val="00A647EE"/>
    <w:rsid w:val="00A648FB"/>
    <w:rsid w:val="00A649C8"/>
    <w:rsid w:val="00A64C0F"/>
    <w:rsid w:val="00A65612"/>
    <w:rsid w:val="00A65853"/>
    <w:rsid w:val="00A658A3"/>
    <w:rsid w:val="00A65F34"/>
    <w:rsid w:val="00A65F86"/>
    <w:rsid w:val="00A664EF"/>
    <w:rsid w:val="00A66B18"/>
    <w:rsid w:val="00A67467"/>
    <w:rsid w:val="00A701CE"/>
    <w:rsid w:val="00A702B8"/>
    <w:rsid w:val="00A70350"/>
    <w:rsid w:val="00A704FB"/>
    <w:rsid w:val="00A70949"/>
    <w:rsid w:val="00A70ABA"/>
    <w:rsid w:val="00A70F11"/>
    <w:rsid w:val="00A71E95"/>
    <w:rsid w:val="00A7251B"/>
    <w:rsid w:val="00A72BB4"/>
    <w:rsid w:val="00A72D5C"/>
    <w:rsid w:val="00A7412C"/>
    <w:rsid w:val="00A74545"/>
    <w:rsid w:val="00A74D17"/>
    <w:rsid w:val="00A7502B"/>
    <w:rsid w:val="00A755FC"/>
    <w:rsid w:val="00A755FF"/>
    <w:rsid w:val="00A7561C"/>
    <w:rsid w:val="00A75FFC"/>
    <w:rsid w:val="00A76565"/>
    <w:rsid w:val="00A77C7A"/>
    <w:rsid w:val="00A82C81"/>
    <w:rsid w:val="00A82E65"/>
    <w:rsid w:val="00A832FA"/>
    <w:rsid w:val="00A8345D"/>
    <w:rsid w:val="00A834C4"/>
    <w:rsid w:val="00A83C33"/>
    <w:rsid w:val="00A844EC"/>
    <w:rsid w:val="00A84517"/>
    <w:rsid w:val="00A84DEC"/>
    <w:rsid w:val="00A84E30"/>
    <w:rsid w:val="00A84ED7"/>
    <w:rsid w:val="00A85497"/>
    <w:rsid w:val="00A85668"/>
    <w:rsid w:val="00A85856"/>
    <w:rsid w:val="00A859B9"/>
    <w:rsid w:val="00A85D45"/>
    <w:rsid w:val="00A860CB"/>
    <w:rsid w:val="00A861E6"/>
    <w:rsid w:val="00A86639"/>
    <w:rsid w:val="00A86704"/>
    <w:rsid w:val="00A868B3"/>
    <w:rsid w:val="00A87938"/>
    <w:rsid w:val="00A9019C"/>
    <w:rsid w:val="00A90437"/>
    <w:rsid w:val="00A91340"/>
    <w:rsid w:val="00A9176B"/>
    <w:rsid w:val="00A9213C"/>
    <w:rsid w:val="00A923B2"/>
    <w:rsid w:val="00A92A93"/>
    <w:rsid w:val="00A931AE"/>
    <w:rsid w:val="00A93CA4"/>
    <w:rsid w:val="00A94367"/>
    <w:rsid w:val="00A945E5"/>
    <w:rsid w:val="00A94740"/>
    <w:rsid w:val="00A94D79"/>
    <w:rsid w:val="00A959C9"/>
    <w:rsid w:val="00A95F0A"/>
    <w:rsid w:val="00A95F4E"/>
    <w:rsid w:val="00A961EB"/>
    <w:rsid w:val="00A9690B"/>
    <w:rsid w:val="00A96BAF"/>
    <w:rsid w:val="00A96CCB"/>
    <w:rsid w:val="00A96DFA"/>
    <w:rsid w:val="00A97075"/>
    <w:rsid w:val="00A970BB"/>
    <w:rsid w:val="00A97587"/>
    <w:rsid w:val="00A978CF"/>
    <w:rsid w:val="00A979E2"/>
    <w:rsid w:val="00A97E6A"/>
    <w:rsid w:val="00A97F09"/>
    <w:rsid w:val="00AA0029"/>
    <w:rsid w:val="00AA02E9"/>
    <w:rsid w:val="00AA0DF4"/>
    <w:rsid w:val="00AA1544"/>
    <w:rsid w:val="00AA15EE"/>
    <w:rsid w:val="00AA17EA"/>
    <w:rsid w:val="00AA18DC"/>
    <w:rsid w:val="00AA1CB3"/>
    <w:rsid w:val="00AA1F4B"/>
    <w:rsid w:val="00AA2360"/>
    <w:rsid w:val="00AA26FA"/>
    <w:rsid w:val="00AA2BEB"/>
    <w:rsid w:val="00AA2C56"/>
    <w:rsid w:val="00AA2F79"/>
    <w:rsid w:val="00AA3336"/>
    <w:rsid w:val="00AA3400"/>
    <w:rsid w:val="00AA3548"/>
    <w:rsid w:val="00AA3580"/>
    <w:rsid w:val="00AA3FC4"/>
    <w:rsid w:val="00AA4218"/>
    <w:rsid w:val="00AA42C3"/>
    <w:rsid w:val="00AA42F9"/>
    <w:rsid w:val="00AA5542"/>
    <w:rsid w:val="00AA554D"/>
    <w:rsid w:val="00AA57D6"/>
    <w:rsid w:val="00AA57ED"/>
    <w:rsid w:val="00AA5ADB"/>
    <w:rsid w:val="00AA6AED"/>
    <w:rsid w:val="00AA6D1C"/>
    <w:rsid w:val="00AA738E"/>
    <w:rsid w:val="00AA769F"/>
    <w:rsid w:val="00AA7712"/>
    <w:rsid w:val="00AA7A1C"/>
    <w:rsid w:val="00AA7DFB"/>
    <w:rsid w:val="00AB002F"/>
    <w:rsid w:val="00AB05E1"/>
    <w:rsid w:val="00AB07E6"/>
    <w:rsid w:val="00AB0F9D"/>
    <w:rsid w:val="00AB1239"/>
    <w:rsid w:val="00AB123E"/>
    <w:rsid w:val="00AB16EF"/>
    <w:rsid w:val="00AB26B3"/>
    <w:rsid w:val="00AB27C0"/>
    <w:rsid w:val="00AB2BCB"/>
    <w:rsid w:val="00AB3136"/>
    <w:rsid w:val="00AB343A"/>
    <w:rsid w:val="00AB386F"/>
    <w:rsid w:val="00AB3BE4"/>
    <w:rsid w:val="00AB421D"/>
    <w:rsid w:val="00AB4A24"/>
    <w:rsid w:val="00AB4A5F"/>
    <w:rsid w:val="00AB5707"/>
    <w:rsid w:val="00AB5D99"/>
    <w:rsid w:val="00AB7294"/>
    <w:rsid w:val="00AB74B2"/>
    <w:rsid w:val="00AB79F1"/>
    <w:rsid w:val="00AB7F6E"/>
    <w:rsid w:val="00AC0625"/>
    <w:rsid w:val="00AC08E9"/>
    <w:rsid w:val="00AC15B5"/>
    <w:rsid w:val="00AC1A89"/>
    <w:rsid w:val="00AC1AC6"/>
    <w:rsid w:val="00AC1C3F"/>
    <w:rsid w:val="00AC278A"/>
    <w:rsid w:val="00AC2C81"/>
    <w:rsid w:val="00AC2F04"/>
    <w:rsid w:val="00AC30C0"/>
    <w:rsid w:val="00AC3344"/>
    <w:rsid w:val="00AC341C"/>
    <w:rsid w:val="00AC345A"/>
    <w:rsid w:val="00AC355B"/>
    <w:rsid w:val="00AC38EA"/>
    <w:rsid w:val="00AC4227"/>
    <w:rsid w:val="00AC528F"/>
    <w:rsid w:val="00AC5340"/>
    <w:rsid w:val="00AC53E8"/>
    <w:rsid w:val="00AC589A"/>
    <w:rsid w:val="00AC5E08"/>
    <w:rsid w:val="00AC6B04"/>
    <w:rsid w:val="00AC7025"/>
    <w:rsid w:val="00AC762A"/>
    <w:rsid w:val="00AC79BC"/>
    <w:rsid w:val="00AD09D7"/>
    <w:rsid w:val="00AD1071"/>
    <w:rsid w:val="00AD1F40"/>
    <w:rsid w:val="00AD28F9"/>
    <w:rsid w:val="00AD449F"/>
    <w:rsid w:val="00AD461B"/>
    <w:rsid w:val="00AD4C4D"/>
    <w:rsid w:val="00AD503A"/>
    <w:rsid w:val="00AD53DE"/>
    <w:rsid w:val="00AD5EB6"/>
    <w:rsid w:val="00AD6276"/>
    <w:rsid w:val="00AD6CC1"/>
    <w:rsid w:val="00AD761F"/>
    <w:rsid w:val="00AD7708"/>
    <w:rsid w:val="00AD7794"/>
    <w:rsid w:val="00AD7918"/>
    <w:rsid w:val="00AD7B09"/>
    <w:rsid w:val="00AD7DAE"/>
    <w:rsid w:val="00AD7E7B"/>
    <w:rsid w:val="00AE0438"/>
    <w:rsid w:val="00AE0794"/>
    <w:rsid w:val="00AE0D50"/>
    <w:rsid w:val="00AE0E6B"/>
    <w:rsid w:val="00AE0FE8"/>
    <w:rsid w:val="00AE15F7"/>
    <w:rsid w:val="00AE19A6"/>
    <w:rsid w:val="00AE21F8"/>
    <w:rsid w:val="00AE2230"/>
    <w:rsid w:val="00AE274A"/>
    <w:rsid w:val="00AE2811"/>
    <w:rsid w:val="00AE2B3C"/>
    <w:rsid w:val="00AE3D78"/>
    <w:rsid w:val="00AE3E8E"/>
    <w:rsid w:val="00AE4A55"/>
    <w:rsid w:val="00AE513E"/>
    <w:rsid w:val="00AE548C"/>
    <w:rsid w:val="00AE5571"/>
    <w:rsid w:val="00AE5BDC"/>
    <w:rsid w:val="00AE5FB0"/>
    <w:rsid w:val="00AE663C"/>
    <w:rsid w:val="00AE69F2"/>
    <w:rsid w:val="00AE6C16"/>
    <w:rsid w:val="00AE75B5"/>
    <w:rsid w:val="00AE7D00"/>
    <w:rsid w:val="00AF09EC"/>
    <w:rsid w:val="00AF119A"/>
    <w:rsid w:val="00AF1248"/>
    <w:rsid w:val="00AF2152"/>
    <w:rsid w:val="00AF252F"/>
    <w:rsid w:val="00AF2ACF"/>
    <w:rsid w:val="00AF31EB"/>
    <w:rsid w:val="00AF36C0"/>
    <w:rsid w:val="00AF391E"/>
    <w:rsid w:val="00AF4494"/>
    <w:rsid w:val="00AF4D80"/>
    <w:rsid w:val="00AF4E40"/>
    <w:rsid w:val="00AF4ED0"/>
    <w:rsid w:val="00AF551F"/>
    <w:rsid w:val="00AF5755"/>
    <w:rsid w:val="00AF5D4B"/>
    <w:rsid w:val="00AF5D9A"/>
    <w:rsid w:val="00AF60D0"/>
    <w:rsid w:val="00AF6171"/>
    <w:rsid w:val="00AF749D"/>
    <w:rsid w:val="00AF76F7"/>
    <w:rsid w:val="00AF78CF"/>
    <w:rsid w:val="00AF7965"/>
    <w:rsid w:val="00B00E19"/>
    <w:rsid w:val="00B015F3"/>
    <w:rsid w:val="00B0183B"/>
    <w:rsid w:val="00B02047"/>
    <w:rsid w:val="00B02291"/>
    <w:rsid w:val="00B02465"/>
    <w:rsid w:val="00B02B1A"/>
    <w:rsid w:val="00B02CCA"/>
    <w:rsid w:val="00B02E78"/>
    <w:rsid w:val="00B031D9"/>
    <w:rsid w:val="00B03A7F"/>
    <w:rsid w:val="00B046D0"/>
    <w:rsid w:val="00B04BAE"/>
    <w:rsid w:val="00B04CC7"/>
    <w:rsid w:val="00B05157"/>
    <w:rsid w:val="00B05867"/>
    <w:rsid w:val="00B05CF8"/>
    <w:rsid w:val="00B05E56"/>
    <w:rsid w:val="00B061FB"/>
    <w:rsid w:val="00B0672E"/>
    <w:rsid w:val="00B06B9D"/>
    <w:rsid w:val="00B06C32"/>
    <w:rsid w:val="00B06D07"/>
    <w:rsid w:val="00B06D70"/>
    <w:rsid w:val="00B07BD4"/>
    <w:rsid w:val="00B07FAE"/>
    <w:rsid w:val="00B10741"/>
    <w:rsid w:val="00B10B41"/>
    <w:rsid w:val="00B1102B"/>
    <w:rsid w:val="00B11084"/>
    <w:rsid w:val="00B1176C"/>
    <w:rsid w:val="00B12011"/>
    <w:rsid w:val="00B1232F"/>
    <w:rsid w:val="00B12639"/>
    <w:rsid w:val="00B12899"/>
    <w:rsid w:val="00B1319B"/>
    <w:rsid w:val="00B13930"/>
    <w:rsid w:val="00B140D6"/>
    <w:rsid w:val="00B14174"/>
    <w:rsid w:val="00B141E9"/>
    <w:rsid w:val="00B14240"/>
    <w:rsid w:val="00B15196"/>
    <w:rsid w:val="00B151B6"/>
    <w:rsid w:val="00B15484"/>
    <w:rsid w:val="00B15EC3"/>
    <w:rsid w:val="00B1626B"/>
    <w:rsid w:val="00B164EE"/>
    <w:rsid w:val="00B16CBD"/>
    <w:rsid w:val="00B1719C"/>
    <w:rsid w:val="00B171CC"/>
    <w:rsid w:val="00B17AB6"/>
    <w:rsid w:val="00B17D8C"/>
    <w:rsid w:val="00B17EF5"/>
    <w:rsid w:val="00B17F12"/>
    <w:rsid w:val="00B20120"/>
    <w:rsid w:val="00B203C0"/>
    <w:rsid w:val="00B204DD"/>
    <w:rsid w:val="00B209B8"/>
    <w:rsid w:val="00B20CCF"/>
    <w:rsid w:val="00B20EAB"/>
    <w:rsid w:val="00B2100F"/>
    <w:rsid w:val="00B218E4"/>
    <w:rsid w:val="00B21B75"/>
    <w:rsid w:val="00B21C9A"/>
    <w:rsid w:val="00B21E95"/>
    <w:rsid w:val="00B223A0"/>
    <w:rsid w:val="00B22867"/>
    <w:rsid w:val="00B2321C"/>
    <w:rsid w:val="00B236F1"/>
    <w:rsid w:val="00B23AA6"/>
    <w:rsid w:val="00B23B18"/>
    <w:rsid w:val="00B23C02"/>
    <w:rsid w:val="00B244D3"/>
    <w:rsid w:val="00B248AF"/>
    <w:rsid w:val="00B24B5B"/>
    <w:rsid w:val="00B24DF1"/>
    <w:rsid w:val="00B256BC"/>
    <w:rsid w:val="00B25D59"/>
    <w:rsid w:val="00B271B4"/>
    <w:rsid w:val="00B30238"/>
    <w:rsid w:val="00B30DFB"/>
    <w:rsid w:val="00B32404"/>
    <w:rsid w:val="00B3243F"/>
    <w:rsid w:val="00B327FC"/>
    <w:rsid w:val="00B32A14"/>
    <w:rsid w:val="00B32B5E"/>
    <w:rsid w:val="00B32DD5"/>
    <w:rsid w:val="00B3340E"/>
    <w:rsid w:val="00B335AB"/>
    <w:rsid w:val="00B33EDB"/>
    <w:rsid w:val="00B34C49"/>
    <w:rsid w:val="00B354CA"/>
    <w:rsid w:val="00B3587B"/>
    <w:rsid w:val="00B35E2C"/>
    <w:rsid w:val="00B36056"/>
    <w:rsid w:val="00B36373"/>
    <w:rsid w:val="00B36E3B"/>
    <w:rsid w:val="00B3743F"/>
    <w:rsid w:val="00B374F0"/>
    <w:rsid w:val="00B3776A"/>
    <w:rsid w:val="00B37B31"/>
    <w:rsid w:val="00B37CAA"/>
    <w:rsid w:val="00B37D02"/>
    <w:rsid w:val="00B40B10"/>
    <w:rsid w:val="00B40F87"/>
    <w:rsid w:val="00B41AE6"/>
    <w:rsid w:val="00B41F48"/>
    <w:rsid w:val="00B436CB"/>
    <w:rsid w:val="00B44275"/>
    <w:rsid w:val="00B44C88"/>
    <w:rsid w:val="00B45EA2"/>
    <w:rsid w:val="00B45F59"/>
    <w:rsid w:val="00B46071"/>
    <w:rsid w:val="00B462B7"/>
    <w:rsid w:val="00B46779"/>
    <w:rsid w:val="00B467AD"/>
    <w:rsid w:val="00B46D6C"/>
    <w:rsid w:val="00B472C6"/>
    <w:rsid w:val="00B47EFD"/>
    <w:rsid w:val="00B47F37"/>
    <w:rsid w:val="00B50650"/>
    <w:rsid w:val="00B50844"/>
    <w:rsid w:val="00B50950"/>
    <w:rsid w:val="00B50B0B"/>
    <w:rsid w:val="00B512F7"/>
    <w:rsid w:val="00B5153B"/>
    <w:rsid w:val="00B518A8"/>
    <w:rsid w:val="00B51F21"/>
    <w:rsid w:val="00B52638"/>
    <w:rsid w:val="00B5286A"/>
    <w:rsid w:val="00B52A4B"/>
    <w:rsid w:val="00B5397D"/>
    <w:rsid w:val="00B53A11"/>
    <w:rsid w:val="00B54264"/>
    <w:rsid w:val="00B54636"/>
    <w:rsid w:val="00B54880"/>
    <w:rsid w:val="00B548AB"/>
    <w:rsid w:val="00B549DA"/>
    <w:rsid w:val="00B5524D"/>
    <w:rsid w:val="00B5543B"/>
    <w:rsid w:val="00B55CFA"/>
    <w:rsid w:val="00B56805"/>
    <w:rsid w:val="00B56AC6"/>
    <w:rsid w:val="00B56EB9"/>
    <w:rsid w:val="00B57194"/>
    <w:rsid w:val="00B575C4"/>
    <w:rsid w:val="00B605BC"/>
    <w:rsid w:val="00B60819"/>
    <w:rsid w:val="00B60C87"/>
    <w:rsid w:val="00B6174C"/>
    <w:rsid w:val="00B618DE"/>
    <w:rsid w:val="00B61BD5"/>
    <w:rsid w:val="00B6231E"/>
    <w:rsid w:val="00B62643"/>
    <w:rsid w:val="00B62C33"/>
    <w:rsid w:val="00B635ED"/>
    <w:rsid w:val="00B6377B"/>
    <w:rsid w:val="00B64709"/>
    <w:rsid w:val="00B656DE"/>
    <w:rsid w:val="00B658BF"/>
    <w:rsid w:val="00B65B72"/>
    <w:rsid w:val="00B65BE4"/>
    <w:rsid w:val="00B65CFD"/>
    <w:rsid w:val="00B65FE3"/>
    <w:rsid w:val="00B6762B"/>
    <w:rsid w:val="00B67799"/>
    <w:rsid w:val="00B70636"/>
    <w:rsid w:val="00B70974"/>
    <w:rsid w:val="00B70A88"/>
    <w:rsid w:val="00B710EA"/>
    <w:rsid w:val="00B714A1"/>
    <w:rsid w:val="00B714EE"/>
    <w:rsid w:val="00B71BDC"/>
    <w:rsid w:val="00B71D96"/>
    <w:rsid w:val="00B72420"/>
    <w:rsid w:val="00B727D3"/>
    <w:rsid w:val="00B73CF1"/>
    <w:rsid w:val="00B744E3"/>
    <w:rsid w:val="00B7458F"/>
    <w:rsid w:val="00B74AC4"/>
    <w:rsid w:val="00B74EBD"/>
    <w:rsid w:val="00B75434"/>
    <w:rsid w:val="00B759BB"/>
    <w:rsid w:val="00B76339"/>
    <w:rsid w:val="00B76757"/>
    <w:rsid w:val="00B76DA0"/>
    <w:rsid w:val="00B76EE1"/>
    <w:rsid w:val="00B77361"/>
    <w:rsid w:val="00B77552"/>
    <w:rsid w:val="00B779EC"/>
    <w:rsid w:val="00B77A10"/>
    <w:rsid w:val="00B77CC7"/>
    <w:rsid w:val="00B800FB"/>
    <w:rsid w:val="00B806CA"/>
    <w:rsid w:val="00B8082B"/>
    <w:rsid w:val="00B812FF"/>
    <w:rsid w:val="00B81305"/>
    <w:rsid w:val="00B81C8A"/>
    <w:rsid w:val="00B81EF6"/>
    <w:rsid w:val="00B8208C"/>
    <w:rsid w:val="00B82D7A"/>
    <w:rsid w:val="00B82E31"/>
    <w:rsid w:val="00B82EFA"/>
    <w:rsid w:val="00B83102"/>
    <w:rsid w:val="00B83671"/>
    <w:rsid w:val="00B83F43"/>
    <w:rsid w:val="00B84087"/>
    <w:rsid w:val="00B8453C"/>
    <w:rsid w:val="00B84916"/>
    <w:rsid w:val="00B84B94"/>
    <w:rsid w:val="00B84C28"/>
    <w:rsid w:val="00B84E7B"/>
    <w:rsid w:val="00B8513D"/>
    <w:rsid w:val="00B8538C"/>
    <w:rsid w:val="00B85945"/>
    <w:rsid w:val="00B85AD8"/>
    <w:rsid w:val="00B85B33"/>
    <w:rsid w:val="00B85C67"/>
    <w:rsid w:val="00B85DC1"/>
    <w:rsid w:val="00B860C6"/>
    <w:rsid w:val="00B869E7"/>
    <w:rsid w:val="00B86B70"/>
    <w:rsid w:val="00B86E09"/>
    <w:rsid w:val="00B872C2"/>
    <w:rsid w:val="00B877B8"/>
    <w:rsid w:val="00B87D16"/>
    <w:rsid w:val="00B87D79"/>
    <w:rsid w:val="00B87F69"/>
    <w:rsid w:val="00B90367"/>
    <w:rsid w:val="00B90683"/>
    <w:rsid w:val="00B919E3"/>
    <w:rsid w:val="00B91AD5"/>
    <w:rsid w:val="00B923C4"/>
    <w:rsid w:val="00B928BD"/>
    <w:rsid w:val="00B92D4C"/>
    <w:rsid w:val="00B92D88"/>
    <w:rsid w:val="00B93967"/>
    <w:rsid w:val="00B93B6E"/>
    <w:rsid w:val="00B93BE3"/>
    <w:rsid w:val="00B94042"/>
    <w:rsid w:val="00B9442C"/>
    <w:rsid w:val="00B94C5D"/>
    <w:rsid w:val="00B9534C"/>
    <w:rsid w:val="00B95968"/>
    <w:rsid w:val="00B96181"/>
    <w:rsid w:val="00B96624"/>
    <w:rsid w:val="00B96DF6"/>
    <w:rsid w:val="00B97B7A"/>
    <w:rsid w:val="00B97C3A"/>
    <w:rsid w:val="00B97D9E"/>
    <w:rsid w:val="00BA01CC"/>
    <w:rsid w:val="00BA041D"/>
    <w:rsid w:val="00BA0495"/>
    <w:rsid w:val="00BA0798"/>
    <w:rsid w:val="00BA0909"/>
    <w:rsid w:val="00BA0FEC"/>
    <w:rsid w:val="00BA11A1"/>
    <w:rsid w:val="00BA1C32"/>
    <w:rsid w:val="00BA1FFF"/>
    <w:rsid w:val="00BA2136"/>
    <w:rsid w:val="00BA24BD"/>
    <w:rsid w:val="00BA29D0"/>
    <w:rsid w:val="00BA2A60"/>
    <w:rsid w:val="00BA2B2E"/>
    <w:rsid w:val="00BA2C70"/>
    <w:rsid w:val="00BA2EC9"/>
    <w:rsid w:val="00BA3448"/>
    <w:rsid w:val="00BA36CB"/>
    <w:rsid w:val="00BA3BF0"/>
    <w:rsid w:val="00BA42C1"/>
    <w:rsid w:val="00BA45DC"/>
    <w:rsid w:val="00BA49DD"/>
    <w:rsid w:val="00BA6434"/>
    <w:rsid w:val="00BA66F5"/>
    <w:rsid w:val="00BA6FB4"/>
    <w:rsid w:val="00BA7E07"/>
    <w:rsid w:val="00BB0733"/>
    <w:rsid w:val="00BB0AE6"/>
    <w:rsid w:val="00BB151E"/>
    <w:rsid w:val="00BB1690"/>
    <w:rsid w:val="00BB1905"/>
    <w:rsid w:val="00BB19F7"/>
    <w:rsid w:val="00BB1A08"/>
    <w:rsid w:val="00BB1B86"/>
    <w:rsid w:val="00BB2306"/>
    <w:rsid w:val="00BB2468"/>
    <w:rsid w:val="00BB266D"/>
    <w:rsid w:val="00BB2E95"/>
    <w:rsid w:val="00BB316C"/>
    <w:rsid w:val="00BB317D"/>
    <w:rsid w:val="00BB335F"/>
    <w:rsid w:val="00BB41FF"/>
    <w:rsid w:val="00BB45CE"/>
    <w:rsid w:val="00BB4603"/>
    <w:rsid w:val="00BB49BC"/>
    <w:rsid w:val="00BB4BE8"/>
    <w:rsid w:val="00BB5D6E"/>
    <w:rsid w:val="00BB5E01"/>
    <w:rsid w:val="00BB5FA6"/>
    <w:rsid w:val="00BB61AE"/>
    <w:rsid w:val="00BB656F"/>
    <w:rsid w:val="00BB65E3"/>
    <w:rsid w:val="00BB66BF"/>
    <w:rsid w:val="00BB66C9"/>
    <w:rsid w:val="00BB745E"/>
    <w:rsid w:val="00BB7495"/>
    <w:rsid w:val="00BB754D"/>
    <w:rsid w:val="00BB7A48"/>
    <w:rsid w:val="00BB7ADC"/>
    <w:rsid w:val="00BC100E"/>
    <w:rsid w:val="00BC2329"/>
    <w:rsid w:val="00BC2535"/>
    <w:rsid w:val="00BC3048"/>
    <w:rsid w:val="00BC35CA"/>
    <w:rsid w:val="00BC36B1"/>
    <w:rsid w:val="00BC3857"/>
    <w:rsid w:val="00BC3923"/>
    <w:rsid w:val="00BC3978"/>
    <w:rsid w:val="00BC432A"/>
    <w:rsid w:val="00BC4549"/>
    <w:rsid w:val="00BC4ED1"/>
    <w:rsid w:val="00BC533C"/>
    <w:rsid w:val="00BC56C0"/>
    <w:rsid w:val="00BC637F"/>
    <w:rsid w:val="00BC64A0"/>
    <w:rsid w:val="00BC6681"/>
    <w:rsid w:val="00BC6985"/>
    <w:rsid w:val="00BC6AE6"/>
    <w:rsid w:val="00BC7329"/>
    <w:rsid w:val="00BD09FE"/>
    <w:rsid w:val="00BD0B6D"/>
    <w:rsid w:val="00BD0BD5"/>
    <w:rsid w:val="00BD0C1B"/>
    <w:rsid w:val="00BD122A"/>
    <w:rsid w:val="00BD18C1"/>
    <w:rsid w:val="00BD2752"/>
    <w:rsid w:val="00BD2E82"/>
    <w:rsid w:val="00BD349F"/>
    <w:rsid w:val="00BD3763"/>
    <w:rsid w:val="00BD3792"/>
    <w:rsid w:val="00BD3976"/>
    <w:rsid w:val="00BD3D5C"/>
    <w:rsid w:val="00BD3EB1"/>
    <w:rsid w:val="00BD4190"/>
    <w:rsid w:val="00BD4394"/>
    <w:rsid w:val="00BD5400"/>
    <w:rsid w:val="00BD55EF"/>
    <w:rsid w:val="00BD599A"/>
    <w:rsid w:val="00BD5D4F"/>
    <w:rsid w:val="00BD5FC5"/>
    <w:rsid w:val="00BD60AA"/>
    <w:rsid w:val="00BD6101"/>
    <w:rsid w:val="00BD67DB"/>
    <w:rsid w:val="00BD6CE5"/>
    <w:rsid w:val="00BD7107"/>
    <w:rsid w:val="00BD71E1"/>
    <w:rsid w:val="00BD7562"/>
    <w:rsid w:val="00BD76BE"/>
    <w:rsid w:val="00BD79C4"/>
    <w:rsid w:val="00BD7B85"/>
    <w:rsid w:val="00BE02C0"/>
    <w:rsid w:val="00BE0B20"/>
    <w:rsid w:val="00BE0F01"/>
    <w:rsid w:val="00BE119D"/>
    <w:rsid w:val="00BE11C3"/>
    <w:rsid w:val="00BE1498"/>
    <w:rsid w:val="00BE14CF"/>
    <w:rsid w:val="00BE1A94"/>
    <w:rsid w:val="00BE209E"/>
    <w:rsid w:val="00BE233C"/>
    <w:rsid w:val="00BE2370"/>
    <w:rsid w:val="00BE2653"/>
    <w:rsid w:val="00BE27A5"/>
    <w:rsid w:val="00BE3F4D"/>
    <w:rsid w:val="00BE404E"/>
    <w:rsid w:val="00BE4131"/>
    <w:rsid w:val="00BE41DF"/>
    <w:rsid w:val="00BE4890"/>
    <w:rsid w:val="00BE5367"/>
    <w:rsid w:val="00BE6922"/>
    <w:rsid w:val="00BE69D7"/>
    <w:rsid w:val="00BE6B34"/>
    <w:rsid w:val="00BE776D"/>
    <w:rsid w:val="00BF0157"/>
    <w:rsid w:val="00BF0E1F"/>
    <w:rsid w:val="00BF0FFB"/>
    <w:rsid w:val="00BF18B3"/>
    <w:rsid w:val="00BF1F2A"/>
    <w:rsid w:val="00BF205C"/>
    <w:rsid w:val="00BF21D5"/>
    <w:rsid w:val="00BF2576"/>
    <w:rsid w:val="00BF25B8"/>
    <w:rsid w:val="00BF2D63"/>
    <w:rsid w:val="00BF2E30"/>
    <w:rsid w:val="00BF303A"/>
    <w:rsid w:val="00BF360D"/>
    <w:rsid w:val="00BF366B"/>
    <w:rsid w:val="00BF3BD9"/>
    <w:rsid w:val="00BF489D"/>
    <w:rsid w:val="00BF4B92"/>
    <w:rsid w:val="00BF51E3"/>
    <w:rsid w:val="00BF54DE"/>
    <w:rsid w:val="00BF58E3"/>
    <w:rsid w:val="00BF597F"/>
    <w:rsid w:val="00BF5C0B"/>
    <w:rsid w:val="00BF6118"/>
    <w:rsid w:val="00BF6343"/>
    <w:rsid w:val="00BF65D8"/>
    <w:rsid w:val="00BF6F7D"/>
    <w:rsid w:val="00BF7A9F"/>
    <w:rsid w:val="00C006DB"/>
    <w:rsid w:val="00C00778"/>
    <w:rsid w:val="00C00800"/>
    <w:rsid w:val="00C00C48"/>
    <w:rsid w:val="00C01B3E"/>
    <w:rsid w:val="00C021BF"/>
    <w:rsid w:val="00C026B3"/>
    <w:rsid w:val="00C02748"/>
    <w:rsid w:val="00C02A64"/>
    <w:rsid w:val="00C02ABF"/>
    <w:rsid w:val="00C02C59"/>
    <w:rsid w:val="00C030D5"/>
    <w:rsid w:val="00C039A3"/>
    <w:rsid w:val="00C0422C"/>
    <w:rsid w:val="00C04BD4"/>
    <w:rsid w:val="00C054DD"/>
    <w:rsid w:val="00C05AFC"/>
    <w:rsid w:val="00C05BEA"/>
    <w:rsid w:val="00C0615B"/>
    <w:rsid w:val="00C066E4"/>
    <w:rsid w:val="00C0732D"/>
    <w:rsid w:val="00C073E4"/>
    <w:rsid w:val="00C0769A"/>
    <w:rsid w:val="00C07DDF"/>
    <w:rsid w:val="00C1231D"/>
    <w:rsid w:val="00C126EE"/>
    <w:rsid w:val="00C12BE3"/>
    <w:rsid w:val="00C1388E"/>
    <w:rsid w:val="00C13DCE"/>
    <w:rsid w:val="00C1409D"/>
    <w:rsid w:val="00C143AC"/>
    <w:rsid w:val="00C147C8"/>
    <w:rsid w:val="00C14A4F"/>
    <w:rsid w:val="00C14DDB"/>
    <w:rsid w:val="00C14E93"/>
    <w:rsid w:val="00C15190"/>
    <w:rsid w:val="00C155D9"/>
    <w:rsid w:val="00C15C1A"/>
    <w:rsid w:val="00C1672E"/>
    <w:rsid w:val="00C16BF3"/>
    <w:rsid w:val="00C17023"/>
    <w:rsid w:val="00C1759E"/>
    <w:rsid w:val="00C177A6"/>
    <w:rsid w:val="00C17AD1"/>
    <w:rsid w:val="00C17AE6"/>
    <w:rsid w:val="00C2010B"/>
    <w:rsid w:val="00C20721"/>
    <w:rsid w:val="00C20DDA"/>
    <w:rsid w:val="00C21106"/>
    <w:rsid w:val="00C21CDA"/>
    <w:rsid w:val="00C22A86"/>
    <w:rsid w:val="00C22ACC"/>
    <w:rsid w:val="00C22D8B"/>
    <w:rsid w:val="00C23574"/>
    <w:rsid w:val="00C23620"/>
    <w:rsid w:val="00C23956"/>
    <w:rsid w:val="00C23D05"/>
    <w:rsid w:val="00C24822"/>
    <w:rsid w:val="00C2499D"/>
    <w:rsid w:val="00C24FD7"/>
    <w:rsid w:val="00C252F3"/>
    <w:rsid w:val="00C25D92"/>
    <w:rsid w:val="00C26BD8"/>
    <w:rsid w:val="00C26BE4"/>
    <w:rsid w:val="00C277B7"/>
    <w:rsid w:val="00C27A11"/>
    <w:rsid w:val="00C27E5E"/>
    <w:rsid w:val="00C30904"/>
    <w:rsid w:val="00C30BA1"/>
    <w:rsid w:val="00C31AA4"/>
    <w:rsid w:val="00C31C17"/>
    <w:rsid w:val="00C31CF7"/>
    <w:rsid w:val="00C31E15"/>
    <w:rsid w:val="00C32879"/>
    <w:rsid w:val="00C328D0"/>
    <w:rsid w:val="00C3295D"/>
    <w:rsid w:val="00C329CA"/>
    <w:rsid w:val="00C32B34"/>
    <w:rsid w:val="00C32F44"/>
    <w:rsid w:val="00C3319A"/>
    <w:rsid w:val="00C333C4"/>
    <w:rsid w:val="00C335BA"/>
    <w:rsid w:val="00C3397D"/>
    <w:rsid w:val="00C33C34"/>
    <w:rsid w:val="00C33CA9"/>
    <w:rsid w:val="00C33E83"/>
    <w:rsid w:val="00C3448B"/>
    <w:rsid w:val="00C346A4"/>
    <w:rsid w:val="00C34716"/>
    <w:rsid w:val="00C34B07"/>
    <w:rsid w:val="00C35864"/>
    <w:rsid w:val="00C36BE4"/>
    <w:rsid w:val="00C37365"/>
    <w:rsid w:val="00C37EF8"/>
    <w:rsid w:val="00C40457"/>
    <w:rsid w:val="00C40486"/>
    <w:rsid w:val="00C40C98"/>
    <w:rsid w:val="00C41E58"/>
    <w:rsid w:val="00C41ECB"/>
    <w:rsid w:val="00C42100"/>
    <w:rsid w:val="00C42457"/>
    <w:rsid w:val="00C4264E"/>
    <w:rsid w:val="00C436E1"/>
    <w:rsid w:val="00C438F6"/>
    <w:rsid w:val="00C43E20"/>
    <w:rsid w:val="00C4410B"/>
    <w:rsid w:val="00C44251"/>
    <w:rsid w:val="00C44485"/>
    <w:rsid w:val="00C44725"/>
    <w:rsid w:val="00C44BF7"/>
    <w:rsid w:val="00C44D8E"/>
    <w:rsid w:val="00C4509A"/>
    <w:rsid w:val="00C4513C"/>
    <w:rsid w:val="00C45B1E"/>
    <w:rsid w:val="00C45BF7"/>
    <w:rsid w:val="00C45CCC"/>
    <w:rsid w:val="00C45D42"/>
    <w:rsid w:val="00C463F3"/>
    <w:rsid w:val="00C46837"/>
    <w:rsid w:val="00C4728B"/>
    <w:rsid w:val="00C47AC9"/>
    <w:rsid w:val="00C47DBF"/>
    <w:rsid w:val="00C502BF"/>
    <w:rsid w:val="00C504ED"/>
    <w:rsid w:val="00C51568"/>
    <w:rsid w:val="00C51828"/>
    <w:rsid w:val="00C51AB8"/>
    <w:rsid w:val="00C52795"/>
    <w:rsid w:val="00C52D49"/>
    <w:rsid w:val="00C52F65"/>
    <w:rsid w:val="00C53D67"/>
    <w:rsid w:val="00C53D9A"/>
    <w:rsid w:val="00C54B90"/>
    <w:rsid w:val="00C54C37"/>
    <w:rsid w:val="00C551F3"/>
    <w:rsid w:val="00C5558C"/>
    <w:rsid w:val="00C556DE"/>
    <w:rsid w:val="00C55739"/>
    <w:rsid w:val="00C557B8"/>
    <w:rsid w:val="00C5583E"/>
    <w:rsid w:val="00C55ACF"/>
    <w:rsid w:val="00C56A7B"/>
    <w:rsid w:val="00C56F3C"/>
    <w:rsid w:val="00C57536"/>
    <w:rsid w:val="00C57571"/>
    <w:rsid w:val="00C575D5"/>
    <w:rsid w:val="00C57691"/>
    <w:rsid w:val="00C600D6"/>
    <w:rsid w:val="00C601C7"/>
    <w:rsid w:val="00C60EFB"/>
    <w:rsid w:val="00C614C1"/>
    <w:rsid w:val="00C6168C"/>
    <w:rsid w:val="00C6197E"/>
    <w:rsid w:val="00C61A32"/>
    <w:rsid w:val="00C61C2D"/>
    <w:rsid w:val="00C61F73"/>
    <w:rsid w:val="00C62115"/>
    <w:rsid w:val="00C622E6"/>
    <w:rsid w:val="00C62A1F"/>
    <w:rsid w:val="00C63431"/>
    <w:rsid w:val="00C634F1"/>
    <w:rsid w:val="00C6387A"/>
    <w:rsid w:val="00C640DF"/>
    <w:rsid w:val="00C64671"/>
    <w:rsid w:val="00C64923"/>
    <w:rsid w:val="00C64C83"/>
    <w:rsid w:val="00C64CE3"/>
    <w:rsid w:val="00C6534B"/>
    <w:rsid w:val="00C65375"/>
    <w:rsid w:val="00C6574F"/>
    <w:rsid w:val="00C6576D"/>
    <w:rsid w:val="00C6632F"/>
    <w:rsid w:val="00C66922"/>
    <w:rsid w:val="00C66EC3"/>
    <w:rsid w:val="00C66F35"/>
    <w:rsid w:val="00C67031"/>
    <w:rsid w:val="00C67165"/>
    <w:rsid w:val="00C70D0B"/>
    <w:rsid w:val="00C70D15"/>
    <w:rsid w:val="00C70DE1"/>
    <w:rsid w:val="00C71D9A"/>
    <w:rsid w:val="00C7200D"/>
    <w:rsid w:val="00C723CF"/>
    <w:rsid w:val="00C72C57"/>
    <w:rsid w:val="00C72D50"/>
    <w:rsid w:val="00C72F96"/>
    <w:rsid w:val="00C7383C"/>
    <w:rsid w:val="00C7388D"/>
    <w:rsid w:val="00C73CF9"/>
    <w:rsid w:val="00C73F5D"/>
    <w:rsid w:val="00C73F79"/>
    <w:rsid w:val="00C744EA"/>
    <w:rsid w:val="00C74A8F"/>
    <w:rsid w:val="00C75054"/>
    <w:rsid w:val="00C7533B"/>
    <w:rsid w:val="00C75480"/>
    <w:rsid w:val="00C75632"/>
    <w:rsid w:val="00C75F52"/>
    <w:rsid w:val="00C7628E"/>
    <w:rsid w:val="00C763AD"/>
    <w:rsid w:val="00C76CF7"/>
    <w:rsid w:val="00C76FCC"/>
    <w:rsid w:val="00C771E6"/>
    <w:rsid w:val="00C8008F"/>
    <w:rsid w:val="00C80784"/>
    <w:rsid w:val="00C80DEB"/>
    <w:rsid w:val="00C8104D"/>
    <w:rsid w:val="00C8138D"/>
    <w:rsid w:val="00C81730"/>
    <w:rsid w:val="00C8215D"/>
    <w:rsid w:val="00C82439"/>
    <w:rsid w:val="00C82465"/>
    <w:rsid w:val="00C82521"/>
    <w:rsid w:val="00C82598"/>
    <w:rsid w:val="00C82E0C"/>
    <w:rsid w:val="00C83909"/>
    <w:rsid w:val="00C839D8"/>
    <w:rsid w:val="00C83F06"/>
    <w:rsid w:val="00C84658"/>
    <w:rsid w:val="00C846F8"/>
    <w:rsid w:val="00C84A24"/>
    <w:rsid w:val="00C84C22"/>
    <w:rsid w:val="00C84DC6"/>
    <w:rsid w:val="00C84ED5"/>
    <w:rsid w:val="00C85307"/>
    <w:rsid w:val="00C854CE"/>
    <w:rsid w:val="00C85648"/>
    <w:rsid w:val="00C85F00"/>
    <w:rsid w:val="00C85FBD"/>
    <w:rsid w:val="00C8614E"/>
    <w:rsid w:val="00C86C97"/>
    <w:rsid w:val="00C873C1"/>
    <w:rsid w:val="00C87F72"/>
    <w:rsid w:val="00C90E9C"/>
    <w:rsid w:val="00C90F20"/>
    <w:rsid w:val="00C91600"/>
    <w:rsid w:val="00C921E7"/>
    <w:rsid w:val="00C925CA"/>
    <w:rsid w:val="00C926C0"/>
    <w:rsid w:val="00C9278C"/>
    <w:rsid w:val="00C92891"/>
    <w:rsid w:val="00C9310A"/>
    <w:rsid w:val="00C9336C"/>
    <w:rsid w:val="00C9339A"/>
    <w:rsid w:val="00C938DC"/>
    <w:rsid w:val="00C93A52"/>
    <w:rsid w:val="00C93B70"/>
    <w:rsid w:val="00C94778"/>
    <w:rsid w:val="00C947CA"/>
    <w:rsid w:val="00C94F82"/>
    <w:rsid w:val="00C95261"/>
    <w:rsid w:val="00C953CF"/>
    <w:rsid w:val="00C955EE"/>
    <w:rsid w:val="00C9564B"/>
    <w:rsid w:val="00C95703"/>
    <w:rsid w:val="00C95F0F"/>
    <w:rsid w:val="00C95F57"/>
    <w:rsid w:val="00C96085"/>
    <w:rsid w:val="00C9613C"/>
    <w:rsid w:val="00C96611"/>
    <w:rsid w:val="00C968F0"/>
    <w:rsid w:val="00C969D6"/>
    <w:rsid w:val="00C9707C"/>
    <w:rsid w:val="00C9709A"/>
    <w:rsid w:val="00C97120"/>
    <w:rsid w:val="00C97315"/>
    <w:rsid w:val="00C9742A"/>
    <w:rsid w:val="00C97781"/>
    <w:rsid w:val="00C97AC2"/>
    <w:rsid w:val="00C97FEB"/>
    <w:rsid w:val="00CA01C8"/>
    <w:rsid w:val="00CA09CF"/>
    <w:rsid w:val="00CA0A9C"/>
    <w:rsid w:val="00CA12C7"/>
    <w:rsid w:val="00CA1A60"/>
    <w:rsid w:val="00CA1B23"/>
    <w:rsid w:val="00CA1CCC"/>
    <w:rsid w:val="00CA20D8"/>
    <w:rsid w:val="00CA2162"/>
    <w:rsid w:val="00CA2449"/>
    <w:rsid w:val="00CA30DC"/>
    <w:rsid w:val="00CA319C"/>
    <w:rsid w:val="00CA34E1"/>
    <w:rsid w:val="00CA4352"/>
    <w:rsid w:val="00CA54E0"/>
    <w:rsid w:val="00CA58B1"/>
    <w:rsid w:val="00CA64AE"/>
    <w:rsid w:val="00CA7210"/>
    <w:rsid w:val="00CA722D"/>
    <w:rsid w:val="00CA72B0"/>
    <w:rsid w:val="00CA77A4"/>
    <w:rsid w:val="00CA7A97"/>
    <w:rsid w:val="00CB0A5D"/>
    <w:rsid w:val="00CB0BB4"/>
    <w:rsid w:val="00CB1423"/>
    <w:rsid w:val="00CB1DD8"/>
    <w:rsid w:val="00CB20B1"/>
    <w:rsid w:val="00CB2938"/>
    <w:rsid w:val="00CB2BA5"/>
    <w:rsid w:val="00CB2F7F"/>
    <w:rsid w:val="00CB331B"/>
    <w:rsid w:val="00CB3E09"/>
    <w:rsid w:val="00CB42BE"/>
    <w:rsid w:val="00CB44DE"/>
    <w:rsid w:val="00CB457D"/>
    <w:rsid w:val="00CB5001"/>
    <w:rsid w:val="00CB511A"/>
    <w:rsid w:val="00CB511D"/>
    <w:rsid w:val="00CB53AE"/>
    <w:rsid w:val="00CB5421"/>
    <w:rsid w:val="00CB5898"/>
    <w:rsid w:val="00CB61B0"/>
    <w:rsid w:val="00CB6F08"/>
    <w:rsid w:val="00CB742D"/>
    <w:rsid w:val="00CB773F"/>
    <w:rsid w:val="00CB7B9A"/>
    <w:rsid w:val="00CC0D65"/>
    <w:rsid w:val="00CC107E"/>
    <w:rsid w:val="00CC2FE7"/>
    <w:rsid w:val="00CC35AA"/>
    <w:rsid w:val="00CC3BE0"/>
    <w:rsid w:val="00CC4759"/>
    <w:rsid w:val="00CC55DA"/>
    <w:rsid w:val="00CC5BD0"/>
    <w:rsid w:val="00CC5FA4"/>
    <w:rsid w:val="00CC7028"/>
    <w:rsid w:val="00CC71AD"/>
    <w:rsid w:val="00CC74CA"/>
    <w:rsid w:val="00CC776A"/>
    <w:rsid w:val="00CC7C1B"/>
    <w:rsid w:val="00CD1044"/>
    <w:rsid w:val="00CD1EE7"/>
    <w:rsid w:val="00CD204B"/>
    <w:rsid w:val="00CD2B0D"/>
    <w:rsid w:val="00CD2CE0"/>
    <w:rsid w:val="00CD3620"/>
    <w:rsid w:val="00CD4231"/>
    <w:rsid w:val="00CD433C"/>
    <w:rsid w:val="00CD4D2A"/>
    <w:rsid w:val="00CD5638"/>
    <w:rsid w:val="00CD56C3"/>
    <w:rsid w:val="00CD66BD"/>
    <w:rsid w:val="00CD6BD7"/>
    <w:rsid w:val="00CD6E0A"/>
    <w:rsid w:val="00CD7333"/>
    <w:rsid w:val="00CD78A9"/>
    <w:rsid w:val="00CD7B24"/>
    <w:rsid w:val="00CD7D78"/>
    <w:rsid w:val="00CD7E07"/>
    <w:rsid w:val="00CE02CA"/>
    <w:rsid w:val="00CE05D8"/>
    <w:rsid w:val="00CE0772"/>
    <w:rsid w:val="00CE0C70"/>
    <w:rsid w:val="00CE1049"/>
    <w:rsid w:val="00CE15E2"/>
    <w:rsid w:val="00CE1AD7"/>
    <w:rsid w:val="00CE1D26"/>
    <w:rsid w:val="00CE1E71"/>
    <w:rsid w:val="00CE2202"/>
    <w:rsid w:val="00CE247E"/>
    <w:rsid w:val="00CE2B8B"/>
    <w:rsid w:val="00CE2D37"/>
    <w:rsid w:val="00CE3A7E"/>
    <w:rsid w:val="00CE4318"/>
    <w:rsid w:val="00CE4607"/>
    <w:rsid w:val="00CE4D10"/>
    <w:rsid w:val="00CE5F51"/>
    <w:rsid w:val="00CE6057"/>
    <w:rsid w:val="00CE62A1"/>
    <w:rsid w:val="00CE684B"/>
    <w:rsid w:val="00CE6864"/>
    <w:rsid w:val="00CE7785"/>
    <w:rsid w:val="00CE7B65"/>
    <w:rsid w:val="00CF02D0"/>
    <w:rsid w:val="00CF0364"/>
    <w:rsid w:val="00CF0776"/>
    <w:rsid w:val="00CF0EE1"/>
    <w:rsid w:val="00CF0FD9"/>
    <w:rsid w:val="00CF115C"/>
    <w:rsid w:val="00CF1235"/>
    <w:rsid w:val="00CF1896"/>
    <w:rsid w:val="00CF1FDD"/>
    <w:rsid w:val="00CF3215"/>
    <w:rsid w:val="00CF48CB"/>
    <w:rsid w:val="00CF514F"/>
    <w:rsid w:val="00CF5350"/>
    <w:rsid w:val="00CF60D0"/>
    <w:rsid w:val="00CF644E"/>
    <w:rsid w:val="00CF6F1E"/>
    <w:rsid w:val="00CF7CE2"/>
    <w:rsid w:val="00D0117E"/>
    <w:rsid w:val="00D022F4"/>
    <w:rsid w:val="00D0291B"/>
    <w:rsid w:val="00D02D0F"/>
    <w:rsid w:val="00D02DDB"/>
    <w:rsid w:val="00D02ED5"/>
    <w:rsid w:val="00D03739"/>
    <w:rsid w:val="00D03A69"/>
    <w:rsid w:val="00D03BCA"/>
    <w:rsid w:val="00D04C4F"/>
    <w:rsid w:val="00D05523"/>
    <w:rsid w:val="00D05758"/>
    <w:rsid w:val="00D0744D"/>
    <w:rsid w:val="00D07EAE"/>
    <w:rsid w:val="00D10A62"/>
    <w:rsid w:val="00D10BA5"/>
    <w:rsid w:val="00D10BAC"/>
    <w:rsid w:val="00D10F2A"/>
    <w:rsid w:val="00D1153D"/>
    <w:rsid w:val="00D1181C"/>
    <w:rsid w:val="00D11EF9"/>
    <w:rsid w:val="00D12C23"/>
    <w:rsid w:val="00D1353C"/>
    <w:rsid w:val="00D13A94"/>
    <w:rsid w:val="00D14305"/>
    <w:rsid w:val="00D143D6"/>
    <w:rsid w:val="00D14D8E"/>
    <w:rsid w:val="00D14EA2"/>
    <w:rsid w:val="00D1530C"/>
    <w:rsid w:val="00D1541B"/>
    <w:rsid w:val="00D1546A"/>
    <w:rsid w:val="00D1558D"/>
    <w:rsid w:val="00D15865"/>
    <w:rsid w:val="00D158D4"/>
    <w:rsid w:val="00D1606C"/>
    <w:rsid w:val="00D16993"/>
    <w:rsid w:val="00D16B76"/>
    <w:rsid w:val="00D16E44"/>
    <w:rsid w:val="00D17DF3"/>
    <w:rsid w:val="00D17FE1"/>
    <w:rsid w:val="00D201C6"/>
    <w:rsid w:val="00D202E4"/>
    <w:rsid w:val="00D20432"/>
    <w:rsid w:val="00D20522"/>
    <w:rsid w:val="00D20FF7"/>
    <w:rsid w:val="00D210CB"/>
    <w:rsid w:val="00D211AD"/>
    <w:rsid w:val="00D219F4"/>
    <w:rsid w:val="00D23265"/>
    <w:rsid w:val="00D233A3"/>
    <w:rsid w:val="00D237A4"/>
    <w:rsid w:val="00D23ABD"/>
    <w:rsid w:val="00D23ECC"/>
    <w:rsid w:val="00D2458D"/>
    <w:rsid w:val="00D246CB"/>
    <w:rsid w:val="00D248CE"/>
    <w:rsid w:val="00D24956"/>
    <w:rsid w:val="00D252AD"/>
    <w:rsid w:val="00D25398"/>
    <w:rsid w:val="00D255BC"/>
    <w:rsid w:val="00D25653"/>
    <w:rsid w:val="00D25714"/>
    <w:rsid w:val="00D259B5"/>
    <w:rsid w:val="00D261ED"/>
    <w:rsid w:val="00D2698B"/>
    <w:rsid w:val="00D26C47"/>
    <w:rsid w:val="00D276F9"/>
    <w:rsid w:val="00D27806"/>
    <w:rsid w:val="00D27841"/>
    <w:rsid w:val="00D27DBF"/>
    <w:rsid w:val="00D27EA9"/>
    <w:rsid w:val="00D27F30"/>
    <w:rsid w:val="00D300B5"/>
    <w:rsid w:val="00D3118C"/>
    <w:rsid w:val="00D31607"/>
    <w:rsid w:val="00D31F5B"/>
    <w:rsid w:val="00D3204E"/>
    <w:rsid w:val="00D32381"/>
    <w:rsid w:val="00D32408"/>
    <w:rsid w:val="00D32625"/>
    <w:rsid w:val="00D32816"/>
    <w:rsid w:val="00D32D9D"/>
    <w:rsid w:val="00D32E1D"/>
    <w:rsid w:val="00D3327A"/>
    <w:rsid w:val="00D333AB"/>
    <w:rsid w:val="00D33BF0"/>
    <w:rsid w:val="00D33FBB"/>
    <w:rsid w:val="00D3422B"/>
    <w:rsid w:val="00D34365"/>
    <w:rsid w:val="00D34511"/>
    <w:rsid w:val="00D349BC"/>
    <w:rsid w:val="00D34A28"/>
    <w:rsid w:val="00D34B2E"/>
    <w:rsid w:val="00D35366"/>
    <w:rsid w:val="00D35465"/>
    <w:rsid w:val="00D3565D"/>
    <w:rsid w:val="00D35943"/>
    <w:rsid w:val="00D35AB9"/>
    <w:rsid w:val="00D35FB8"/>
    <w:rsid w:val="00D36443"/>
    <w:rsid w:val="00D36555"/>
    <w:rsid w:val="00D37062"/>
    <w:rsid w:val="00D37BD1"/>
    <w:rsid w:val="00D404D8"/>
    <w:rsid w:val="00D405AE"/>
    <w:rsid w:val="00D40A51"/>
    <w:rsid w:val="00D41348"/>
    <w:rsid w:val="00D41D52"/>
    <w:rsid w:val="00D4209A"/>
    <w:rsid w:val="00D42642"/>
    <w:rsid w:val="00D43163"/>
    <w:rsid w:val="00D43241"/>
    <w:rsid w:val="00D43277"/>
    <w:rsid w:val="00D43742"/>
    <w:rsid w:val="00D43BD2"/>
    <w:rsid w:val="00D443AA"/>
    <w:rsid w:val="00D44C61"/>
    <w:rsid w:val="00D4535B"/>
    <w:rsid w:val="00D46135"/>
    <w:rsid w:val="00D4623E"/>
    <w:rsid w:val="00D4629F"/>
    <w:rsid w:val="00D46800"/>
    <w:rsid w:val="00D47535"/>
    <w:rsid w:val="00D47938"/>
    <w:rsid w:val="00D47A30"/>
    <w:rsid w:val="00D47BB3"/>
    <w:rsid w:val="00D507AC"/>
    <w:rsid w:val="00D50860"/>
    <w:rsid w:val="00D510F3"/>
    <w:rsid w:val="00D51357"/>
    <w:rsid w:val="00D52376"/>
    <w:rsid w:val="00D527B8"/>
    <w:rsid w:val="00D52887"/>
    <w:rsid w:val="00D52B58"/>
    <w:rsid w:val="00D52E30"/>
    <w:rsid w:val="00D53044"/>
    <w:rsid w:val="00D531CF"/>
    <w:rsid w:val="00D53609"/>
    <w:rsid w:val="00D53966"/>
    <w:rsid w:val="00D53EDE"/>
    <w:rsid w:val="00D5455C"/>
    <w:rsid w:val="00D54DCC"/>
    <w:rsid w:val="00D55486"/>
    <w:rsid w:val="00D55E34"/>
    <w:rsid w:val="00D55F8B"/>
    <w:rsid w:val="00D56429"/>
    <w:rsid w:val="00D566AC"/>
    <w:rsid w:val="00D5675A"/>
    <w:rsid w:val="00D57285"/>
    <w:rsid w:val="00D572CA"/>
    <w:rsid w:val="00D5751F"/>
    <w:rsid w:val="00D57B44"/>
    <w:rsid w:val="00D57F3E"/>
    <w:rsid w:val="00D603DE"/>
    <w:rsid w:val="00D6085F"/>
    <w:rsid w:val="00D60A81"/>
    <w:rsid w:val="00D60B0C"/>
    <w:rsid w:val="00D60B4C"/>
    <w:rsid w:val="00D60BAB"/>
    <w:rsid w:val="00D614BD"/>
    <w:rsid w:val="00D61525"/>
    <w:rsid w:val="00D61550"/>
    <w:rsid w:val="00D615CB"/>
    <w:rsid w:val="00D61825"/>
    <w:rsid w:val="00D61BCA"/>
    <w:rsid w:val="00D61F76"/>
    <w:rsid w:val="00D62208"/>
    <w:rsid w:val="00D6235C"/>
    <w:rsid w:val="00D628C3"/>
    <w:rsid w:val="00D62A06"/>
    <w:rsid w:val="00D62B7E"/>
    <w:rsid w:val="00D62CAA"/>
    <w:rsid w:val="00D631C5"/>
    <w:rsid w:val="00D63204"/>
    <w:rsid w:val="00D646CC"/>
    <w:rsid w:val="00D64789"/>
    <w:rsid w:val="00D6648C"/>
    <w:rsid w:val="00D66672"/>
    <w:rsid w:val="00D7045E"/>
    <w:rsid w:val="00D707BD"/>
    <w:rsid w:val="00D709D4"/>
    <w:rsid w:val="00D71026"/>
    <w:rsid w:val="00D71F5B"/>
    <w:rsid w:val="00D7257C"/>
    <w:rsid w:val="00D725FD"/>
    <w:rsid w:val="00D72C7B"/>
    <w:rsid w:val="00D73714"/>
    <w:rsid w:val="00D73935"/>
    <w:rsid w:val="00D73BA2"/>
    <w:rsid w:val="00D73BF8"/>
    <w:rsid w:val="00D74222"/>
    <w:rsid w:val="00D7444A"/>
    <w:rsid w:val="00D74637"/>
    <w:rsid w:val="00D74669"/>
    <w:rsid w:val="00D74BCC"/>
    <w:rsid w:val="00D75192"/>
    <w:rsid w:val="00D751AE"/>
    <w:rsid w:val="00D756C8"/>
    <w:rsid w:val="00D758BA"/>
    <w:rsid w:val="00D75A54"/>
    <w:rsid w:val="00D77351"/>
    <w:rsid w:val="00D775A0"/>
    <w:rsid w:val="00D778BF"/>
    <w:rsid w:val="00D77D7F"/>
    <w:rsid w:val="00D77D85"/>
    <w:rsid w:val="00D80006"/>
    <w:rsid w:val="00D80618"/>
    <w:rsid w:val="00D80829"/>
    <w:rsid w:val="00D80B52"/>
    <w:rsid w:val="00D80F0E"/>
    <w:rsid w:val="00D80F4F"/>
    <w:rsid w:val="00D814F6"/>
    <w:rsid w:val="00D81653"/>
    <w:rsid w:val="00D82C50"/>
    <w:rsid w:val="00D82D23"/>
    <w:rsid w:val="00D82E58"/>
    <w:rsid w:val="00D831F3"/>
    <w:rsid w:val="00D833E5"/>
    <w:rsid w:val="00D8367E"/>
    <w:rsid w:val="00D83D38"/>
    <w:rsid w:val="00D83E73"/>
    <w:rsid w:val="00D84704"/>
    <w:rsid w:val="00D855F3"/>
    <w:rsid w:val="00D85614"/>
    <w:rsid w:val="00D8564B"/>
    <w:rsid w:val="00D85AFD"/>
    <w:rsid w:val="00D85DAC"/>
    <w:rsid w:val="00D85F6B"/>
    <w:rsid w:val="00D86410"/>
    <w:rsid w:val="00D86CDB"/>
    <w:rsid w:val="00D86ED9"/>
    <w:rsid w:val="00D871E8"/>
    <w:rsid w:val="00D877FE"/>
    <w:rsid w:val="00D879CC"/>
    <w:rsid w:val="00D87D59"/>
    <w:rsid w:val="00D901F7"/>
    <w:rsid w:val="00D91C85"/>
    <w:rsid w:val="00D922BC"/>
    <w:rsid w:val="00D927EC"/>
    <w:rsid w:val="00D92D46"/>
    <w:rsid w:val="00D93240"/>
    <w:rsid w:val="00D93286"/>
    <w:rsid w:val="00D9339B"/>
    <w:rsid w:val="00D934D1"/>
    <w:rsid w:val="00D9371A"/>
    <w:rsid w:val="00D9393B"/>
    <w:rsid w:val="00D94430"/>
    <w:rsid w:val="00D944A0"/>
    <w:rsid w:val="00D948C1"/>
    <w:rsid w:val="00D952EB"/>
    <w:rsid w:val="00D952FC"/>
    <w:rsid w:val="00D95D32"/>
    <w:rsid w:val="00D9646A"/>
    <w:rsid w:val="00D964D6"/>
    <w:rsid w:val="00D96DCC"/>
    <w:rsid w:val="00D975B2"/>
    <w:rsid w:val="00D97920"/>
    <w:rsid w:val="00D97FC0"/>
    <w:rsid w:val="00DA025A"/>
    <w:rsid w:val="00DA0B74"/>
    <w:rsid w:val="00DA0E6A"/>
    <w:rsid w:val="00DA116F"/>
    <w:rsid w:val="00DA1293"/>
    <w:rsid w:val="00DA1A77"/>
    <w:rsid w:val="00DA1AC6"/>
    <w:rsid w:val="00DA24BA"/>
    <w:rsid w:val="00DA27C8"/>
    <w:rsid w:val="00DA2B6B"/>
    <w:rsid w:val="00DA2C2F"/>
    <w:rsid w:val="00DA379A"/>
    <w:rsid w:val="00DA4A99"/>
    <w:rsid w:val="00DA4DBE"/>
    <w:rsid w:val="00DA5378"/>
    <w:rsid w:val="00DA59D2"/>
    <w:rsid w:val="00DA630A"/>
    <w:rsid w:val="00DA6F26"/>
    <w:rsid w:val="00DA704C"/>
    <w:rsid w:val="00DA72B1"/>
    <w:rsid w:val="00DA736F"/>
    <w:rsid w:val="00DA7475"/>
    <w:rsid w:val="00DA7E76"/>
    <w:rsid w:val="00DB0B54"/>
    <w:rsid w:val="00DB0D6A"/>
    <w:rsid w:val="00DB1DB1"/>
    <w:rsid w:val="00DB1DE2"/>
    <w:rsid w:val="00DB1ED4"/>
    <w:rsid w:val="00DB2316"/>
    <w:rsid w:val="00DB286C"/>
    <w:rsid w:val="00DB2C2F"/>
    <w:rsid w:val="00DB3090"/>
    <w:rsid w:val="00DB333D"/>
    <w:rsid w:val="00DB393C"/>
    <w:rsid w:val="00DB4909"/>
    <w:rsid w:val="00DB49D0"/>
    <w:rsid w:val="00DB4F4C"/>
    <w:rsid w:val="00DB4FD3"/>
    <w:rsid w:val="00DB5353"/>
    <w:rsid w:val="00DB5C66"/>
    <w:rsid w:val="00DB607F"/>
    <w:rsid w:val="00DB646D"/>
    <w:rsid w:val="00DB6757"/>
    <w:rsid w:val="00DB680C"/>
    <w:rsid w:val="00DB6998"/>
    <w:rsid w:val="00DB6BB4"/>
    <w:rsid w:val="00DB6C16"/>
    <w:rsid w:val="00DB75D1"/>
    <w:rsid w:val="00DB78F7"/>
    <w:rsid w:val="00DB7D0F"/>
    <w:rsid w:val="00DB7D22"/>
    <w:rsid w:val="00DC003B"/>
    <w:rsid w:val="00DC0344"/>
    <w:rsid w:val="00DC09B7"/>
    <w:rsid w:val="00DC0F89"/>
    <w:rsid w:val="00DC11E4"/>
    <w:rsid w:val="00DC14FD"/>
    <w:rsid w:val="00DC1A3C"/>
    <w:rsid w:val="00DC2288"/>
    <w:rsid w:val="00DC2A5D"/>
    <w:rsid w:val="00DC44EB"/>
    <w:rsid w:val="00DC4B28"/>
    <w:rsid w:val="00DC5919"/>
    <w:rsid w:val="00DC5C66"/>
    <w:rsid w:val="00DC6315"/>
    <w:rsid w:val="00DC6330"/>
    <w:rsid w:val="00DC66E9"/>
    <w:rsid w:val="00DC6BC9"/>
    <w:rsid w:val="00DC6D24"/>
    <w:rsid w:val="00DC7007"/>
    <w:rsid w:val="00DC78D4"/>
    <w:rsid w:val="00DD02A3"/>
    <w:rsid w:val="00DD149F"/>
    <w:rsid w:val="00DD183D"/>
    <w:rsid w:val="00DD1930"/>
    <w:rsid w:val="00DD246C"/>
    <w:rsid w:val="00DD2749"/>
    <w:rsid w:val="00DD281F"/>
    <w:rsid w:val="00DD286D"/>
    <w:rsid w:val="00DD2A8B"/>
    <w:rsid w:val="00DD2D8B"/>
    <w:rsid w:val="00DD315F"/>
    <w:rsid w:val="00DD3492"/>
    <w:rsid w:val="00DD4718"/>
    <w:rsid w:val="00DD487B"/>
    <w:rsid w:val="00DD4945"/>
    <w:rsid w:val="00DD4DF6"/>
    <w:rsid w:val="00DD534A"/>
    <w:rsid w:val="00DD5787"/>
    <w:rsid w:val="00DD579B"/>
    <w:rsid w:val="00DD57F6"/>
    <w:rsid w:val="00DD6B77"/>
    <w:rsid w:val="00DD6F06"/>
    <w:rsid w:val="00DD6F35"/>
    <w:rsid w:val="00DD79D6"/>
    <w:rsid w:val="00DD7C97"/>
    <w:rsid w:val="00DE08E3"/>
    <w:rsid w:val="00DE19D8"/>
    <w:rsid w:val="00DE1B71"/>
    <w:rsid w:val="00DE1F3F"/>
    <w:rsid w:val="00DE20FC"/>
    <w:rsid w:val="00DE2129"/>
    <w:rsid w:val="00DE28B4"/>
    <w:rsid w:val="00DE2A3C"/>
    <w:rsid w:val="00DE2BD3"/>
    <w:rsid w:val="00DE2BD4"/>
    <w:rsid w:val="00DE3147"/>
    <w:rsid w:val="00DE32B9"/>
    <w:rsid w:val="00DE33A7"/>
    <w:rsid w:val="00DE34BA"/>
    <w:rsid w:val="00DE385E"/>
    <w:rsid w:val="00DE3A83"/>
    <w:rsid w:val="00DE3EFD"/>
    <w:rsid w:val="00DE41B6"/>
    <w:rsid w:val="00DE41C8"/>
    <w:rsid w:val="00DE46BB"/>
    <w:rsid w:val="00DE4A7C"/>
    <w:rsid w:val="00DE4D68"/>
    <w:rsid w:val="00DE574E"/>
    <w:rsid w:val="00DE5CDD"/>
    <w:rsid w:val="00DE60E9"/>
    <w:rsid w:val="00DE6191"/>
    <w:rsid w:val="00DE6682"/>
    <w:rsid w:val="00DE6D5F"/>
    <w:rsid w:val="00DE7036"/>
    <w:rsid w:val="00DE714F"/>
    <w:rsid w:val="00DE71C8"/>
    <w:rsid w:val="00DE7866"/>
    <w:rsid w:val="00DF0A37"/>
    <w:rsid w:val="00DF0B48"/>
    <w:rsid w:val="00DF138A"/>
    <w:rsid w:val="00DF13F8"/>
    <w:rsid w:val="00DF18D4"/>
    <w:rsid w:val="00DF1B3D"/>
    <w:rsid w:val="00DF1C0D"/>
    <w:rsid w:val="00DF212C"/>
    <w:rsid w:val="00DF23D7"/>
    <w:rsid w:val="00DF26B3"/>
    <w:rsid w:val="00DF2A81"/>
    <w:rsid w:val="00DF3035"/>
    <w:rsid w:val="00DF31CA"/>
    <w:rsid w:val="00DF378A"/>
    <w:rsid w:val="00DF3AF7"/>
    <w:rsid w:val="00DF3EB0"/>
    <w:rsid w:val="00DF443F"/>
    <w:rsid w:val="00DF4615"/>
    <w:rsid w:val="00DF4ABB"/>
    <w:rsid w:val="00DF50A3"/>
    <w:rsid w:val="00DF5794"/>
    <w:rsid w:val="00DF6181"/>
    <w:rsid w:val="00DF780E"/>
    <w:rsid w:val="00DF7AC7"/>
    <w:rsid w:val="00DF7AD5"/>
    <w:rsid w:val="00DF7B93"/>
    <w:rsid w:val="00E001FF"/>
    <w:rsid w:val="00E008E3"/>
    <w:rsid w:val="00E00CE4"/>
    <w:rsid w:val="00E01134"/>
    <w:rsid w:val="00E013BE"/>
    <w:rsid w:val="00E0144E"/>
    <w:rsid w:val="00E01A5A"/>
    <w:rsid w:val="00E01B51"/>
    <w:rsid w:val="00E022B9"/>
    <w:rsid w:val="00E02A8B"/>
    <w:rsid w:val="00E0398C"/>
    <w:rsid w:val="00E03BF0"/>
    <w:rsid w:val="00E03CD9"/>
    <w:rsid w:val="00E0454D"/>
    <w:rsid w:val="00E0499A"/>
    <w:rsid w:val="00E04CD0"/>
    <w:rsid w:val="00E04FFB"/>
    <w:rsid w:val="00E05D90"/>
    <w:rsid w:val="00E06305"/>
    <w:rsid w:val="00E06761"/>
    <w:rsid w:val="00E076AB"/>
    <w:rsid w:val="00E078C1"/>
    <w:rsid w:val="00E079FC"/>
    <w:rsid w:val="00E07D48"/>
    <w:rsid w:val="00E07EBF"/>
    <w:rsid w:val="00E11817"/>
    <w:rsid w:val="00E1195C"/>
    <w:rsid w:val="00E11B62"/>
    <w:rsid w:val="00E11F5D"/>
    <w:rsid w:val="00E1262C"/>
    <w:rsid w:val="00E126AC"/>
    <w:rsid w:val="00E12E9E"/>
    <w:rsid w:val="00E13695"/>
    <w:rsid w:val="00E13F13"/>
    <w:rsid w:val="00E1418A"/>
    <w:rsid w:val="00E14A10"/>
    <w:rsid w:val="00E14B42"/>
    <w:rsid w:val="00E14C30"/>
    <w:rsid w:val="00E15728"/>
    <w:rsid w:val="00E15AE0"/>
    <w:rsid w:val="00E16423"/>
    <w:rsid w:val="00E16873"/>
    <w:rsid w:val="00E168E9"/>
    <w:rsid w:val="00E171A8"/>
    <w:rsid w:val="00E1779E"/>
    <w:rsid w:val="00E17D09"/>
    <w:rsid w:val="00E17F16"/>
    <w:rsid w:val="00E20705"/>
    <w:rsid w:val="00E20B80"/>
    <w:rsid w:val="00E20EE3"/>
    <w:rsid w:val="00E2116F"/>
    <w:rsid w:val="00E21C37"/>
    <w:rsid w:val="00E22459"/>
    <w:rsid w:val="00E22BAE"/>
    <w:rsid w:val="00E23C3F"/>
    <w:rsid w:val="00E240D9"/>
    <w:rsid w:val="00E24EFC"/>
    <w:rsid w:val="00E251B7"/>
    <w:rsid w:val="00E25459"/>
    <w:rsid w:val="00E258F4"/>
    <w:rsid w:val="00E259A1"/>
    <w:rsid w:val="00E25D23"/>
    <w:rsid w:val="00E2619C"/>
    <w:rsid w:val="00E26911"/>
    <w:rsid w:val="00E26C9B"/>
    <w:rsid w:val="00E26EB2"/>
    <w:rsid w:val="00E271F4"/>
    <w:rsid w:val="00E27883"/>
    <w:rsid w:val="00E27B32"/>
    <w:rsid w:val="00E300A2"/>
    <w:rsid w:val="00E306B6"/>
    <w:rsid w:val="00E30D0A"/>
    <w:rsid w:val="00E3151D"/>
    <w:rsid w:val="00E318F9"/>
    <w:rsid w:val="00E31B19"/>
    <w:rsid w:val="00E31C64"/>
    <w:rsid w:val="00E31CFD"/>
    <w:rsid w:val="00E32B3B"/>
    <w:rsid w:val="00E32D67"/>
    <w:rsid w:val="00E33848"/>
    <w:rsid w:val="00E33CE8"/>
    <w:rsid w:val="00E33D74"/>
    <w:rsid w:val="00E33DA9"/>
    <w:rsid w:val="00E34285"/>
    <w:rsid w:val="00E3494B"/>
    <w:rsid w:val="00E351C6"/>
    <w:rsid w:val="00E36570"/>
    <w:rsid w:val="00E36870"/>
    <w:rsid w:val="00E36F09"/>
    <w:rsid w:val="00E36F9A"/>
    <w:rsid w:val="00E37A34"/>
    <w:rsid w:val="00E37D32"/>
    <w:rsid w:val="00E4026E"/>
    <w:rsid w:val="00E402F9"/>
    <w:rsid w:val="00E40A34"/>
    <w:rsid w:val="00E4137F"/>
    <w:rsid w:val="00E426A3"/>
    <w:rsid w:val="00E42A9F"/>
    <w:rsid w:val="00E43172"/>
    <w:rsid w:val="00E43587"/>
    <w:rsid w:val="00E4374B"/>
    <w:rsid w:val="00E43AA2"/>
    <w:rsid w:val="00E44318"/>
    <w:rsid w:val="00E444D2"/>
    <w:rsid w:val="00E44EB5"/>
    <w:rsid w:val="00E454A8"/>
    <w:rsid w:val="00E458F0"/>
    <w:rsid w:val="00E46052"/>
    <w:rsid w:val="00E46EF1"/>
    <w:rsid w:val="00E473C8"/>
    <w:rsid w:val="00E479B4"/>
    <w:rsid w:val="00E47F38"/>
    <w:rsid w:val="00E50529"/>
    <w:rsid w:val="00E506B3"/>
    <w:rsid w:val="00E50A27"/>
    <w:rsid w:val="00E51487"/>
    <w:rsid w:val="00E51643"/>
    <w:rsid w:val="00E51F8E"/>
    <w:rsid w:val="00E528EB"/>
    <w:rsid w:val="00E52DCC"/>
    <w:rsid w:val="00E52FE2"/>
    <w:rsid w:val="00E531EE"/>
    <w:rsid w:val="00E532F5"/>
    <w:rsid w:val="00E5358A"/>
    <w:rsid w:val="00E53AC6"/>
    <w:rsid w:val="00E5429F"/>
    <w:rsid w:val="00E54484"/>
    <w:rsid w:val="00E54B2D"/>
    <w:rsid w:val="00E54B91"/>
    <w:rsid w:val="00E5543B"/>
    <w:rsid w:val="00E5556D"/>
    <w:rsid w:val="00E5571F"/>
    <w:rsid w:val="00E55721"/>
    <w:rsid w:val="00E558FB"/>
    <w:rsid w:val="00E55D92"/>
    <w:rsid w:val="00E55DBF"/>
    <w:rsid w:val="00E560C3"/>
    <w:rsid w:val="00E56623"/>
    <w:rsid w:val="00E56E15"/>
    <w:rsid w:val="00E56FBF"/>
    <w:rsid w:val="00E57740"/>
    <w:rsid w:val="00E57E7A"/>
    <w:rsid w:val="00E60835"/>
    <w:rsid w:val="00E60C40"/>
    <w:rsid w:val="00E60D55"/>
    <w:rsid w:val="00E60F2B"/>
    <w:rsid w:val="00E610E3"/>
    <w:rsid w:val="00E6151A"/>
    <w:rsid w:val="00E61D51"/>
    <w:rsid w:val="00E62801"/>
    <w:rsid w:val="00E62A54"/>
    <w:rsid w:val="00E62A75"/>
    <w:rsid w:val="00E63C18"/>
    <w:rsid w:val="00E63C2E"/>
    <w:rsid w:val="00E6443C"/>
    <w:rsid w:val="00E6448D"/>
    <w:rsid w:val="00E64897"/>
    <w:rsid w:val="00E64964"/>
    <w:rsid w:val="00E64BBF"/>
    <w:rsid w:val="00E6556D"/>
    <w:rsid w:val="00E663D0"/>
    <w:rsid w:val="00E66517"/>
    <w:rsid w:val="00E666B8"/>
    <w:rsid w:val="00E678EC"/>
    <w:rsid w:val="00E67A47"/>
    <w:rsid w:val="00E67B6F"/>
    <w:rsid w:val="00E67FFE"/>
    <w:rsid w:val="00E7062A"/>
    <w:rsid w:val="00E70E06"/>
    <w:rsid w:val="00E71141"/>
    <w:rsid w:val="00E71846"/>
    <w:rsid w:val="00E719BB"/>
    <w:rsid w:val="00E71C26"/>
    <w:rsid w:val="00E71E67"/>
    <w:rsid w:val="00E720C5"/>
    <w:rsid w:val="00E72A38"/>
    <w:rsid w:val="00E73238"/>
    <w:rsid w:val="00E73D34"/>
    <w:rsid w:val="00E73DDB"/>
    <w:rsid w:val="00E73E15"/>
    <w:rsid w:val="00E740B0"/>
    <w:rsid w:val="00E743FF"/>
    <w:rsid w:val="00E7491D"/>
    <w:rsid w:val="00E74AF6"/>
    <w:rsid w:val="00E750A8"/>
    <w:rsid w:val="00E750A9"/>
    <w:rsid w:val="00E753FE"/>
    <w:rsid w:val="00E7685C"/>
    <w:rsid w:val="00E76C2A"/>
    <w:rsid w:val="00E77345"/>
    <w:rsid w:val="00E80573"/>
    <w:rsid w:val="00E80835"/>
    <w:rsid w:val="00E81177"/>
    <w:rsid w:val="00E81288"/>
    <w:rsid w:val="00E81622"/>
    <w:rsid w:val="00E81BBC"/>
    <w:rsid w:val="00E81F41"/>
    <w:rsid w:val="00E820F0"/>
    <w:rsid w:val="00E82318"/>
    <w:rsid w:val="00E824AD"/>
    <w:rsid w:val="00E84040"/>
    <w:rsid w:val="00E84243"/>
    <w:rsid w:val="00E843A4"/>
    <w:rsid w:val="00E844B4"/>
    <w:rsid w:val="00E84634"/>
    <w:rsid w:val="00E84DF9"/>
    <w:rsid w:val="00E85763"/>
    <w:rsid w:val="00E85E61"/>
    <w:rsid w:val="00E85EEE"/>
    <w:rsid w:val="00E86695"/>
    <w:rsid w:val="00E86CB6"/>
    <w:rsid w:val="00E86E2C"/>
    <w:rsid w:val="00E87A99"/>
    <w:rsid w:val="00E90346"/>
    <w:rsid w:val="00E90938"/>
    <w:rsid w:val="00E90B77"/>
    <w:rsid w:val="00E90E78"/>
    <w:rsid w:val="00E90E95"/>
    <w:rsid w:val="00E91308"/>
    <w:rsid w:val="00E91591"/>
    <w:rsid w:val="00E91C79"/>
    <w:rsid w:val="00E927CE"/>
    <w:rsid w:val="00E92B27"/>
    <w:rsid w:val="00E92D91"/>
    <w:rsid w:val="00E9315D"/>
    <w:rsid w:val="00E932E8"/>
    <w:rsid w:val="00E93A28"/>
    <w:rsid w:val="00E94090"/>
    <w:rsid w:val="00E942A3"/>
    <w:rsid w:val="00E94659"/>
    <w:rsid w:val="00E94C51"/>
    <w:rsid w:val="00E9547A"/>
    <w:rsid w:val="00E9557D"/>
    <w:rsid w:val="00E9580F"/>
    <w:rsid w:val="00E95840"/>
    <w:rsid w:val="00E95847"/>
    <w:rsid w:val="00E96E45"/>
    <w:rsid w:val="00E979AF"/>
    <w:rsid w:val="00E97DBE"/>
    <w:rsid w:val="00E97F42"/>
    <w:rsid w:val="00EA128D"/>
    <w:rsid w:val="00EA172D"/>
    <w:rsid w:val="00EA17B9"/>
    <w:rsid w:val="00EA1B32"/>
    <w:rsid w:val="00EA25EF"/>
    <w:rsid w:val="00EA2702"/>
    <w:rsid w:val="00EA2BE1"/>
    <w:rsid w:val="00EA2EE7"/>
    <w:rsid w:val="00EA3359"/>
    <w:rsid w:val="00EA35DD"/>
    <w:rsid w:val="00EA41F7"/>
    <w:rsid w:val="00EA483D"/>
    <w:rsid w:val="00EA48A1"/>
    <w:rsid w:val="00EA4FD3"/>
    <w:rsid w:val="00EA5311"/>
    <w:rsid w:val="00EA5354"/>
    <w:rsid w:val="00EA577C"/>
    <w:rsid w:val="00EA5FF0"/>
    <w:rsid w:val="00EA6795"/>
    <w:rsid w:val="00EB0734"/>
    <w:rsid w:val="00EB07C3"/>
    <w:rsid w:val="00EB1769"/>
    <w:rsid w:val="00EB2C83"/>
    <w:rsid w:val="00EB3391"/>
    <w:rsid w:val="00EB35FF"/>
    <w:rsid w:val="00EB3915"/>
    <w:rsid w:val="00EB44C3"/>
    <w:rsid w:val="00EB494B"/>
    <w:rsid w:val="00EB49AF"/>
    <w:rsid w:val="00EB5014"/>
    <w:rsid w:val="00EB5E78"/>
    <w:rsid w:val="00EB6569"/>
    <w:rsid w:val="00EB6AA1"/>
    <w:rsid w:val="00EB6EA0"/>
    <w:rsid w:val="00EB7865"/>
    <w:rsid w:val="00EC0559"/>
    <w:rsid w:val="00EC1580"/>
    <w:rsid w:val="00EC1619"/>
    <w:rsid w:val="00EC1853"/>
    <w:rsid w:val="00EC1B84"/>
    <w:rsid w:val="00EC23E8"/>
    <w:rsid w:val="00EC270D"/>
    <w:rsid w:val="00EC2AA8"/>
    <w:rsid w:val="00EC2D19"/>
    <w:rsid w:val="00EC3062"/>
    <w:rsid w:val="00EC3586"/>
    <w:rsid w:val="00EC373B"/>
    <w:rsid w:val="00EC3CDC"/>
    <w:rsid w:val="00EC3DE0"/>
    <w:rsid w:val="00EC423A"/>
    <w:rsid w:val="00EC480A"/>
    <w:rsid w:val="00EC4A33"/>
    <w:rsid w:val="00EC50FC"/>
    <w:rsid w:val="00EC51EF"/>
    <w:rsid w:val="00EC5566"/>
    <w:rsid w:val="00EC55AB"/>
    <w:rsid w:val="00EC67B8"/>
    <w:rsid w:val="00EC718F"/>
    <w:rsid w:val="00EC72C2"/>
    <w:rsid w:val="00EC7884"/>
    <w:rsid w:val="00EC7A9F"/>
    <w:rsid w:val="00ED01E5"/>
    <w:rsid w:val="00ED0352"/>
    <w:rsid w:val="00ED074D"/>
    <w:rsid w:val="00ED0CD5"/>
    <w:rsid w:val="00ED1D6F"/>
    <w:rsid w:val="00ED1FB4"/>
    <w:rsid w:val="00ED2782"/>
    <w:rsid w:val="00ED2E0F"/>
    <w:rsid w:val="00ED3B57"/>
    <w:rsid w:val="00ED4ADD"/>
    <w:rsid w:val="00ED4C91"/>
    <w:rsid w:val="00ED55FD"/>
    <w:rsid w:val="00ED5AFE"/>
    <w:rsid w:val="00ED6195"/>
    <w:rsid w:val="00ED6654"/>
    <w:rsid w:val="00ED6720"/>
    <w:rsid w:val="00ED6C59"/>
    <w:rsid w:val="00ED7693"/>
    <w:rsid w:val="00ED77A1"/>
    <w:rsid w:val="00ED786F"/>
    <w:rsid w:val="00EE03A0"/>
    <w:rsid w:val="00EE088A"/>
    <w:rsid w:val="00EE0C44"/>
    <w:rsid w:val="00EE0F87"/>
    <w:rsid w:val="00EE1150"/>
    <w:rsid w:val="00EE168F"/>
    <w:rsid w:val="00EE1C44"/>
    <w:rsid w:val="00EE2455"/>
    <w:rsid w:val="00EE2804"/>
    <w:rsid w:val="00EE28A8"/>
    <w:rsid w:val="00EE2CFE"/>
    <w:rsid w:val="00EE319F"/>
    <w:rsid w:val="00EE3DF2"/>
    <w:rsid w:val="00EE3FC8"/>
    <w:rsid w:val="00EE416E"/>
    <w:rsid w:val="00EE43CE"/>
    <w:rsid w:val="00EE45FD"/>
    <w:rsid w:val="00EE4EAC"/>
    <w:rsid w:val="00EE55CB"/>
    <w:rsid w:val="00EE5640"/>
    <w:rsid w:val="00EE598F"/>
    <w:rsid w:val="00EE5E80"/>
    <w:rsid w:val="00EE6164"/>
    <w:rsid w:val="00EE648B"/>
    <w:rsid w:val="00EE6BEA"/>
    <w:rsid w:val="00EE6F47"/>
    <w:rsid w:val="00EE6FB4"/>
    <w:rsid w:val="00EE7A96"/>
    <w:rsid w:val="00EE7DD3"/>
    <w:rsid w:val="00EF00D2"/>
    <w:rsid w:val="00EF0282"/>
    <w:rsid w:val="00EF02CD"/>
    <w:rsid w:val="00EF1013"/>
    <w:rsid w:val="00EF1121"/>
    <w:rsid w:val="00EF1E46"/>
    <w:rsid w:val="00EF225C"/>
    <w:rsid w:val="00EF2379"/>
    <w:rsid w:val="00EF2D18"/>
    <w:rsid w:val="00EF2E61"/>
    <w:rsid w:val="00EF3167"/>
    <w:rsid w:val="00EF3267"/>
    <w:rsid w:val="00EF36D2"/>
    <w:rsid w:val="00EF3810"/>
    <w:rsid w:val="00EF3AD7"/>
    <w:rsid w:val="00EF3B96"/>
    <w:rsid w:val="00EF4303"/>
    <w:rsid w:val="00EF4E5B"/>
    <w:rsid w:val="00EF4EEC"/>
    <w:rsid w:val="00EF50D2"/>
    <w:rsid w:val="00EF50D9"/>
    <w:rsid w:val="00EF5264"/>
    <w:rsid w:val="00EF5327"/>
    <w:rsid w:val="00EF591F"/>
    <w:rsid w:val="00EF6021"/>
    <w:rsid w:val="00EF636F"/>
    <w:rsid w:val="00EF6F4F"/>
    <w:rsid w:val="00EF7429"/>
    <w:rsid w:val="00EF775C"/>
    <w:rsid w:val="00F001EF"/>
    <w:rsid w:val="00F00309"/>
    <w:rsid w:val="00F009A9"/>
    <w:rsid w:val="00F00FDC"/>
    <w:rsid w:val="00F012DD"/>
    <w:rsid w:val="00F013EA"/>
    <w:rsid w:val="00F015C2"/>
    <w:rsid w:val="00F01F5C"/>
    <w:rsid w:val="00F03839"/>
    <w:rsid w:val="00F043A9"/>
    <w:rsid w:val="00F044E4"/>
    <w:rsid w:val="00F04738"/>
    <w:rsid w:val="00F050F2"/>
    <w:rsid w:val="00F051DA"/>
    <w:rsid w:val="00F054AF"/>
    <w:rsid w:val="00F056AF"/>
    <w:rsid w:val="00F05703"/>
    <w:rsid w:val="00F0587F"/>
    <w:rsid w:val="00F062A5"/>
    <w:rsid w:val="00F0655B"/>
    <w:rsid w:val="00F06F92"/>
    <w:rsid w:val="00F073BE"/>
    <w:rsid w:val="00F07410"/>
    <w:rsid w:val="00F10C74"/>
    <w:rsid w:val="00F1112B"/>
    <w:rsid w:val="00F115AF"/>
    <w:rsid w:val="00F11E58"/>
    <w:rsid w:val="00F11FA7"/>
    <w:rsid w:val="00F1232E"/>
    <w:rsid w:val="00F124F0"/>
    <w:rsid w:val="00F12974"/>
    <w:rsid w:val="00F131CA"/>
    <w:rsid w:val="00F13ADD"/>
    <w:rsid w:val="00F13DC3"/>
    <w:rsid w:val="00F143EB"/>
    <w:rsid w:val="00F14743"/>
    <w:rsid w:val="00F15043"/>
    <w:rsid w:val="00F15376"/>
    <w:rsid w:val="00F166D4"/>
    <w:rsid w:val="00F16C0B"/>
    <w:rsid w:val="00F2007E"/>
    <w:rsid w:val="00F207A8"/>
    <w:rsid w:val="00F2093B"/>
    <w:rsid w:val="00F2100F"/>
    <w:rsid w:val="00F213C3"/>
    <w:rsid w:val="00F220A9"/>
    <w:rsid w:val="00F237B4"/>
    <w:rsid w:val="00F23C54"/>
    <w:rsid w:val="00F23C90"/>
    <w:rsid w:val="00F2425C"/>
    <w:rsid w:val="00F24960"/>
    <w:rsid w:val="00F24A9E"/>
    <w:rsid w:val="00F25122"/>
    <w:rsid w:val="00F2519B"/>
    <w:rsid w:val="00F2568E"/>
    <w:rsid w:val="00F25759"/>
    <w:rsid w:val="00F25BBF"/>
    <w:rsid w:val="00F26B21"/>
    <w:rsid w:val="00F26CD2"/>
    <w:rsid w:val="00F26D80"/>
    <w:rsid w:val="00F26F70"/>
    <w:rsid w:val="00F27738"/>
    <w:rsid w:val="00F27B3D"/>
    <w:rsid w:val="00F312E0"/>
    <w:rsid w:val="00F31772"/>
    <w:rsid w:val="00F31C8F"/>
    <w:rsid w:val="00F32021"/>
    <w:rsid w:val="00F329FC"/>
    <w:rsid w:val="00F32F80"/>
    <w:rsid w:val="00F336BA"/>
    <w:rsid w:val="00F33A19"/>
    <w:rsid w:val="00F33C53"/>
    <w:rsid w:val="00F33C8C"/>
    <w:rsid w:val="00F3404D"/>
    <w:rsid w:val="00F34273"/>
    <w:rsid w:val="00F34509"/>
    <w:rsid w:val="00F3455F"/>
    <w:rsid w:val="00F34913"/>
    <w:rsid w:val="00F3508A"/>
    <w:rsid w:val="00F35253"/>
    <w:rsid w:val="00F37D53"/>
    <w:rsid w:val="00F41980"/>
    <w:rsid w:val="00F41A46"/>
    <w:rsid w:val="00F4322E"/>
    <w:rsid w:val="00F43524"/>
    <w:rsid w:val="00F4377E"/>
    <w:rsid w:val="00F43C30"/>
    <w:rsid w:val="00F44C73"/>
    <w:rsid w:val="00F4500E"/>
    <w:rsid w:val="00F456C8"/>
    <w:rsid w:val="00F4598E"/>
    <w:rsid w:val="00F459BE"/>
    <w:rsid w:val="00F45A2B"/>
    <w:rsid w:val="00F46271"/>
    <w:rsid w:val="00F464DB"/>
    <w:rsid w:val="00F46AAD"/>
    <w:rsid w:val="00F46D4E"/>
    <w:rsid w:val="00F47234"/>
    <w:rsid w:val="00F47408"/>
    <w:rsid w:val="00F4746B"/>
    <w:rsid w:val="00F5002F"/>
    <w:rsid w:val="00F50415"/>
    <w:rsid w:val="00F50CA1"/>
    <w:rsid w:val="00F50FA0"/>
    <w:rsid w:val="00F510B2"/>
    <w:rsid w:val="00F513B3"/>
    <w:rsid w:val="00F5181F"/>
    <w:rsid w:val="00F51D20"/>
    <w:rsid w:val="00F51EC6"/>
    <w:rsid w:val="00F52618"/>
    <w:rsid w:val="00F539E3"/>
    <w:rsid w:val="00F53A25"/>
    <w:rsid w:val="00F53C7A"/>
    <w:rsid w:val="00F543E7"/>
    <w:rsid w:val="00F54532"/>
    <w:rsid w:val="00F55582"/>
    <w:rsid w:val="00F55663"/>
    <w:rsid w:val="00F56029"/>
    <w:rsid w:val="00F5617F"/>
    <w:rsid w:val="00F56205"/>
    <w:rsid w:val="00F56A85"/>
    <w:rsid w:val="00F56FE2"/>
    <w:rsid w:val="00F57AD2"/>
    <w:rsid w:val="00F57D95"/>
    <w:rsid w:val="00F57EF7"/>
    <w:rsid w:val="00F60271"/>
    <w:rsid w:val="00F60524"/>
    <w:rsid w:val="00F60637"/>
    <w:rsid w:val="00F606C7"/>
    <w:rsid w:val="00F60A37"/>
    <w:rsid w:val="00F60CE6"/>
    <w:rsid w:val="00F60F1D"/>
    <w:rsid w:val="00F61A72"/>
    <w:rsid w:val="00F61D16"/>
    <w:rsid w:val="00F61F63"/>
    <w:rsid w:val="00F6213F"/>
    <w:rsid w:val="00F623EC"/>
    <w:rsid w:val="00F626C6"/>
    <w:rsid w:val="00F62D07"/>
    <w:rsid w:val="00F635A0"/>
    <w:rsid w:val="00F637CD"/>
    <w:rsid w:val="00F63979"/>
    <w:rsid w:val="00F63E6F"/>
    <w:rsid w:val="00F64E3C"/>
    <w:rsid w:val="00F64E5D"/>
    <w:rsid w:val="00F65184"/>
    <w:rsid w:val="00F655C9"/>
    <w:rsid w:val="00F65B6C"/>
    <w:rsid w:val="00F65D68"/>
    <w:rsid w:val="00F66158"/>
    <w:rsid w:val="00F6646C"/>
    <w:rsid w:val="00F664C6"/>
    <w:rsid w:val="00F6670D"/>
    <w:rsid w:val="00F66B89"/>
    <w:rsid w:val="00F671B1"/>
    <w:rsid w:val="00F671E1"/>
    <w:rsid w:val="00F6723E"/>
    <w:rsid w:val="00F67C6E"/>
    <w:rsid w:val="00F67E1B"/>
    <w:rsid w:val="00F708D0"/>
    <w:rsid w:val="00F70A4C"/>
    <w:rsid w:val="00F71140"/>
    <w:rsid w:val="00F711A5"/>
    <w:rsid w:val="00F7134F"/>
    <w:rsid w:val="00F71373"/>
    <w:rsid w:val="00F715A9"/>
    <w:rsid w:val="00F71FC9"/>
    <w:rsid w:val="00F72263"/>
    <w:rsid w:val="00F7230A"/>
    <w:rsid w:val="00F7230C"/>
    <w:rsid w:val="00F72A6B"/>
    <w:rsid w:val="00F72B55"/>
    <w:rsid w:val="00F72E9C"/>
    <w:rsid w:val="00F72E9F"/>
    <w:rsid w:val="00F7360A"/>
    <w:rsid w:val="00F73B63"/>
    <w:rsid w:val="00F73D6D"/>
    <w:rsid w:val="00F74213"/>
    <w:rsid w:val="00F74B75"/>
    <w:rsid w:val="00F75179"/>
    <w:rsid w:val="00F75617"/>
    <w:rsid w:val="00F7562B"/>
    <w:rsid w:val="00F75647"/>
    <w:rsid w:val="00F7579F"/>
    <w:rsid w:val="00F75B2A"/>
    <w:rsid w:val="00F75FCA"/>
    <w:rsid w:val="00F765FE"/>
    <w:rsid w:val="00F76AB0"/>
    <w:rsid w:val="00F773D2"/>
    <w:rsid w:val="00F77AA8"/>
    <w:rsid w:val="00F77B33"/>
    <w:rsid w:val="00F8086A"/>
    <w:rsid w:val="00F81093"/>
    <w:rsid w:val="00F810FD"/>
    <w:rsid w:val="00F81691"/>
    <w:rsid w:val="00F8185D"/>
    <w:rsid w:val="00F818AE"/>
    <w:rsid w:val="00F81EEE"/>
    <w:rsid w:val="00F825A3"/>
    <w:rsid w:val="00F82946"/>
    <w:rsid w:val="00F82C53"/>
    <w:rsid w:val="00F83388"/>
    <w:rsid w:val="00F83506"/>
    <w:rsid w:val="00F835FD"/>
    <w:rsid w:val="00F8429C"/>
    <w:rsid w:val="00F849E1"/>
    <w:rsid w:val="00F84D84"/>
    <w:rsid w:val="00F85640"/>
    <w:rsid w:val="00F862B2"/>
    <w:rsid w:val="00F86E5F"/>
    <w:rsid w:val="00F90185"/>
    <w:rsid w:val="00F9086B"/>
    <w:rsid w:val="00F90AF8"/>
    <w:rsid w:val="00F90C6D"/>
    <w:rsid w:val="00F91112"/>
    <w:rsid w:val="00F91591"/>
    <w:rsid w:val="00F91745"/>
    <w:rsid w:val="00F91C86"/>
    <w:rsid w:val="00F91F08"/>
    <w:rsid w:val="00F9225D"/>
    <w:rsid w:val="00F92632"/>
    <w:rsid w:val="00F9288F"/>
    <w:rsid w:val="00F93284"/>
    <w:rsid w:val="00F93444"/>
    <w:rsid w:val="00F9396A"/>
    <w:rsid w:val="00F94428"/>
    <w:rsid w:val="00F94492"/>
    <w:rsid w:val="00F94D3A"/>
    <w:rsid w:val="00F953B9"/>
    <w:rsid w:val="00F954B8"/>
    <w:rsid w:val="00F9550A"/>
    <w:rsid w:val="00F955BD"/>
    <w:rsid w:val="00F957D1"/>
    <w:rsid w:val="00F95C52"/>
    <w:rsid w:val="00F96791"/>
    <w:rsid w:val="00F97BF7"/>
    <w:rsid w:val="00FA06BB"/>
    <w:rsid w:val="00FA09FE"/>
    <w:rsid w:val="00FA10AA"/>
    <w:rsid w:val="00FA1D65"/>
    <w:rsid w:val="00FA280C"/>
    <w:rsid w:val="00FA2886"/>
    <w:rsid w:val="00FA2D94"/>
    <w:rsid w:val="00FA375A"/>
    <w:rsid w:val="00FA3861"/>
    <w:rsid w:val="00FA3885"/>
    <w:rsid w:val="00FA3B3C"/>
    <w:rsid w:val="00FA3E3E"/>
    <w:rsid w:val="00FA49B3"/>
    <w:rsid w:val="00FA4A6A"/>
    <w:rsid w:val="00FA4FFE"/>
    <w:rsid w:val="00FA6040"/>
    <w:rsid w:val="00FA616B"/>
    <w:rsid w:val="00FA6517"/>
    <w:rsid w:val="00FA65C9"/>
    <w:rsid w:val="00FA6B7B"/>
    <w:rsid w:val="00FA6CDD"/>
    <w:rsid w:val="00FA6FFE"/>
    <w:rsid w:val="00FA7B5A"/>
    <w:rsid w:val="00FA7DAE"/>
    <w:rsid w:val="00FB02B3"/>
    <w:rsid w:val="00FB0369"/>
    <w:rsid w:val="00FB058F"/>
    <w:rsid w:val="00FB073E"/>
    <w:rsid w:val="00FB1940"/>
    <w:rsid w:val="00FB1A08"/>
    <w:rsid w:val="00FB1A7D"/>
    <w:rsid w:val="00FB1B39"/>
    <w:rsid w:val="00FB1DA5"/>
    <w:rsid w:val="00FB23FD"/>
    <w:rsid w:val="00FB25E9"/>
    <w:rsid w:val="00FB29B3"/>
    <w:rsid w:val="00FB2E4E"/>
    <w:rsid w:val="00FB37C3"/>
    <w:rsid w:val="00FB3C8D"/>
    <w:rsid w:val="00FB46A0"/>
    <w:rsid w:val="00FB48BD"/>
    <w:rsid w:val="00FB4F6F"/>
    <w:rsid w:val="00FB503A"/>
    <w:rsid w:val="00FB54A0"/>
    <w:rsid w:val="00FB557A"/>
    <w:rsid w:val="00FB5664"/>
    <w:rsid w:val="00FB5B17"/>
    <w:rsid w:val="00FB5F31"/>
    <w:rsid w:val="00FB608F"/>
    <w:rsid w:val="00FB63B9"/>
    <w:rsid w:val="00FB78DD"/>
    <w:rsid w:val="00FB7F59"/>
    <w:rsid w:val="00FC0366"/>
    <w:rsid w:val="00FC051B"/>
    <w:rsid w:val="00FC06C6"/>
    <w:rsid w:val="00FC0939"/>
    <w:rsid w:val="00FC0E38"/>
    <w:rsid w:val="00FC0F34"/>
    <w:rsid w:val="00FC1214"/>
    <w:rsid w:val="00FC127E"/>
    <w:rsid w:val="00FC1663"/>
    <w:rsid w:val="00FC1CFB"/>
    <w:rsid w:val="00FC21C0"/>
    <w:rsid w:val="00FC2846"/>
    <w:rsid w:val="00FC2997"/>
    <w:rsid w:val="00FC34E5"/>
    <w:rsid w:val="00FC4029"/>
    <w:rsid w:val="00FC42C8"/>
    <w:rsid w:val="00FC4301"/>
    <w:rsid w:val="00FC433D"/>
    <w:rsid w:val="00FC45FF"/>
    <w:rsid w:val="00FC4F15"/>
    <w:rsid w:val="00FC5457"/>
    <w:rsid w:val="00FC57B0"/>
    <w:rsid w:val="00FC5A40"/>
    <w:rsid w:val="00FC5DFD"/>
    <w:rsid w:val="00FC6354"/>
    <w:rsid w:val="00FC695D"/>
    <w:rsid w:val="00FC72BF"/>
    <w:rsid w:val="00FC7900"/>
    <w:rsid w:val="00FC7E7E"/>
    <w:rsid w:val="00FD0456"/>
    <w:rsid w:val="00FD0688"/>
    <w:rsid w:val="00FD06D4"/>
    <w:rsid w:val="00FD07A6"/>
    <w:rsid w:val="00FD0C56"/>
    <w:rsid w:val="00FD0F9B"/>
    <w:rsid w:val="00FD19B3"/>
    <w:rsid w:val="00FD227F"/>
    <w:rsid w:val="00FD263F"/>
    <w:rsid w:val="00FD268A"/>
    <w:rsid w:val="00FD2940"/>
    <w:rsid w:val="00FD2F3E"/>
    <w:rsid w:val="00FD3160"/>
    <w:rsid w:val="00FD327D"/>
    <w:rsid w:val="00FD32F8"/>
    <w:rsid w:val="00FD34CC"/>
    <w:rsid w:val="00FD38E6"/>
    <w:rsid w:val="00FD3B4E"/>
    <w:rsid w:val="00FD3B6C"/>
    <w:rsid w:val="00FD3FD0"/>
    <w:rsid w:val="00FD4258"/>
    <w:rsid w:val="00FD4432"/>
    <w:rsid w:val="00FD473F"/>
    <w:rsid w:val="00FD48CE"/>
    <w:rsid w:val="00FD4A9A"/>
    <w:rsid w:val="00FD4E37"/>
    <w:rsid w:val="00FD4EF9"/>
    <w:rsid w:val="00FD56E6"/>
    <w:rsid w:val="00FD59B0"/>
    <w:rsid w:val="00FD5D49"/>
    <w:rsid w:val="00FD65E4"/>
    <w:rsid w:val="00FD72BF"/>
    <w:rsid w:val="00FD7B1C"/>
    <w:rsid w:val="00FE004E"/>
    <w:rsid w:val="00FE0292"/>
    <w:rsid w:val="00FE0AEC"/>
    <w:rsid w:val="00FE0FAF"/>
    <w:rsid w:val="00FE11EC"/>
    <w:rsid w:val="00FE1656"/>
    <w:rsid w:val="00FE16B7"/>
    <w:rsid w:val="00FE1F78"/>
    <w:rsid w:val="00FE2E75"/>
    <w:rsid w:val="00FE3875"/>
    <w:rsid w:val="00FE38C1"/>
    <w:rsid w:val="00FE3ABF"/>
    <w:rsid w:val="00FE3F99"/>
    <w:rsid w:val="00FE4B12"/>
    <w:rsid w:val="00FE4D0C"/>
    <w:rsid w:val="00FE5424"/>
    <w:rsid w:val="00FE5ABC"/>
    <w:rsid w:val="00FE5C89"/>
    <w:rsid w:val="00FE5D7F"/>
    <w:rsid w:val="00FE611F"/>
    <w:rsid w:val="00FE66B4"/>
    <w:rsid w:val="00FE6800"/>
    <w:rsid w:val="00FE69E2"/>
    <w:rsid w:val="00FE6BF2"/>
    <w:rsid w:val="00FE6C3B"/>
    <w:rsid w:val="00FE6C6F"/>
    <w:rsid w:val="00FE6DD8"/>
    <w:rsid w:val="00FE72B5"/>
    <w:rsid w:val="00FE7797"/>
    <w:rsid w:val="00FE7894"/>
    <w:rsid w:val="00FE7F8E"/>
    <w:rsid w:val="00FF09A9"/>
    <w:rsid w:val="00FF0ECC"/>
    <w:rsid w:val="00FF10B6"/>
    <w:rsid w:val="00FF118B"/>
    <w:rsid w:val="00FF16A0"/>
    <w:rsid w:val="00FF1758"/>
    <w:rsid w:val="00FF1CEC"/>
    <w:rsid w:val="00FF1F61"/>
    <w:rsid w:val="00FF1FBD"/>
    <w:rsid w:val="00FF22D5"/>
    <w:rsid w:val="00FF3014"/>
    <w:rsid w:val="00FF35EB"/>
    <w:rsid w:val="00FF3E23"/>
    <w:rsid w:val="00FF3F31"/>
    <w:rsid w:val="00FF4142"/>
    <w:rsid w:val="00FF41D3"/>
    <w:rsid w:val="00FF469A"/>
    <w:rsid w:val="00FF542F"/>
    <w:rsid w:val="00FF5586"/>
    <w:rsid w:val="00FF5EE1"/>
    <w:rsid w:val="00FF60E1"/>
    <w:rsid w:val="00FF64A1"/>
    <w:rsid w:val="00FF6937"/>
    <w:rsid w:val="00FF6E3D"/>
    <w:rsid w:val="00FF70C0"/>
    <w:rsid w:val="00FF7167"/>
    <w:rsid w:val="00FF7180"/>
    <w:rsid w:val="00FF77C9"/>
    <w:rsid w:val="00FF7CBA"/>
    <w:rsid w:val="00FF7CC9"/>
    <w:rsid w:val="010E5CE7"/>
    <w:rsid w:val="0129695B"/>
    <w:rsid w:val="02177B2A"/>
    <w:rsid w:val="02732FC3"/>
    <w:rsid w:val="031A4EEC"/>
    <w:rsid w:val="03773AF8"/>
    <w:rsid w:val="03924AE2"/>
    <w:rsid w:val="03967785"/>
    <w:rsid w:val="03A35772"/>
    <w:rsid w:val="03BC6C40"/>
    <w:rsid w:val="03CF68AC"/>
    <w:rsid w:val="03E5067C"/>
    <w:rsid w:val="04610BE7"/>
    <w:rsid w:val="04695477"/>
    <w:rsid w:val="047C19A2"/>
    <w:rsid w:val="04BC2BE6"/>
    <w:rsid w:val="04C6436C"/>
    <w:rsid w:val="04D36235"/>
    <w:rsid w:val="05230C46"/>
    <w:rsid w:val="05662380"/>
    <w:rsid w:val="056E3A7C"/>
    <w:rsid w:val="05D163BB"/>
    <w:rsid w:val="06524E00"/>
    <w:rsid w:val="07580235"/>
    <w:rsid w:val="078A08CB"/>
    <w:rsid w:val="08415E09"/>
    <w:rsid w:val="089C18D1"/>
    <w:rsid w:val="08EF5238"/>
    <w:rsid w:val="09255183"/>
    <w:rsid w:val="094D4C85"/>
    <w:rsid w:val="096E6101"/>
    <w:rsid w:val="09C31E1A"/>
    <w:rsid w:val="09EF045B"/>
    <w:rsid w:val="0A0F018B"/>
    <w:rsid w:val="0AD46EA8"/>
    <w:rsid w:val="0AD81D42"/>
    <w:rsid w:val="0B583B7D"/>
    <w:rsid w:val="0B5E666E"/>
    <w:rsid w:val="0C156959"/>
    <w:rsid w:val="0C451208"/>
    <w:rsid w:val="0C495B32"/>
    <w:rsid w:val="0D3D6F3E"/>
    <w:rsid w:val="0D8E66BD"/>
    <w:rsid w:val="0E0E30A3"/>
    <w:rsid w:val="0EA67611"/>
    <w:rsid w:val="0F6662EA"/>
    <w:rsid w:val="0F9B6E89"/>
    <w:rsid w:val="0FBC49E3"/>
    <w:rsid w:val="103143A3"/>
    <w:rsid w:val="108C632B"/>
    <w:rsid w:val="10B24B86"/>
    <w:rsid w:val="10BC1EED"/>
    <w:rsid w:val="10E93799"/>
    <w:rsid w:val="116F6D08"/>
    <w:rsid w:val="119A617D"/>
    <w:rsid w:val="11B576E3"/>
    <w:rsid w:val="125C7357"/>
    <w:rsid w:val="12C83A53"/>
    <w:rsid w:val="13317941"/>
    <w:rsid w:val="142E17DA"/>
    <w:rsid w:val="144539E9"/>
    <w:rsid w:val="14E2587C"/>
    <w:rsid w:val="1585349C"/>
    <w:rsid w:val="15A802F8"/>
    <w:rsid w:val="168D6AB1"/>
    <w:rsid w:val="16984E41"/>
    <w:rsid w:val="16EB1286"/>
    <w:rsid w:val="16F25DCF"/>
    <w:rsid w:val="17067D7C"/>
    <w:rsid w:val="17AF55FC"/>
    <w:rsid w:val="18370380"/>
    <w:rsid w:val="184B5D3E"/>
    <w:rsid w:val="18676084"/>
    <w:rsid w:val="18B2485D"/>
    <w:rsid w:val="18C57140"/>
    <w:rsid w:val="18CD23D3"/>
    <w:rsid w:val="18D32A0B"/>
    <w:rsid w:val="19172CB7"/>
    <w:rsid w:val="19404FD3"/>
    <w:rsid w:val="19AA6926"/>
    <w:rsid w:val="19B75F57"/>
    <w:rsid w:val="1A1C5111"/>
    <w:rsid w:val="1A620C9D"/>
    <w:rsid w:val="1A77266E"/>
    <w:rsid w:val="1AAF0C33"/>
    <w:rsid w:val="1ABF191E"/>
    <w:rsid w:val="1B280280"/>
    <w:rsid w:val="1B390139"/>
    <w:rsid w:val="1B90634D"/>
    <w:rsid w:val="1BBC1312"/>
    <w:rsid w:val="1CBF6BA0"/>
    <w:rsid w:val="1CCF1611"/>
    <w:rsid w:val="1D690B8A"/>
    <w:rsid w:val="1D9E61DE"/>
    <w:rsid w:val="1DC62F77"/>
    <w:rsid w:val="1E0372B9"/>
    <w:rsid w:val="1E4C6DE8"/>
    <w:rsid w:val="1F3A68D5"/>
    <w:rsid w:val="1F456C29"/>
    <w:rsid w:val="20100020"/>
    <w:rsid w:val="206B675B"/>
    <w:rsid w:val="207B5BD5"/>
    <w:rsid w:val="20CA1F84"/>
    <w:rsid w:val="20D709F1"/>
    <w:rsid w:val="20E70DA3"/>
    <w:rsid w:val="211B275E"/>
    <w:rsid w:val="21364CC5"/>
    <w:rsid w:val="217342FE"/>
    <w:rsid w:val="21E03913"/>
    <w:rsid w:val="22395CC1"/>
    <w:rsid w:val="23102B33"/>
    <w:rsid w:val="236E1A48"/>
    <w:rsid w:val="23DD371A"/>
    <w:rsid w:val="25D24B2C"/>
    <w:rsid w:val="2626173C"/>
    <w:rsid w:val="26581F4F"/>
    <w:rsid w:val="26914B3A"/>
    <w:rsid w:val="26C31A61"/>
    <w:rsid w:val="27040D09"/>
    <w:rsid w:val="27336097"/>
    <w:rsid w:val="27693D9D"/>
    <w:rsid w:val="28606D50"/>
    <w:rsid w:val="28BA0C10"/>
    <w:rsid w:val="29494E67"/>
    <w:rsid w:val="29653EAD"/>
    <w:rsid w:val="2A5714A6"/>
    <w:rsid w:val="2A9D15BF"/>
    <w:rsid w:val="2ADF26BC"/>
    <w:rsid w:val="2AF77F16"/>
    <w:rsid w:val="2B0E1A84"/>
    <w:rsid w:val="2BE8388D"/>
    <w:rsid w:val="2C410222"/>
    <w:rsid w:val="2D6F640E"/>
    <w:rsid w:val="2D7014B4"/>
    <w:rsid w:val="2DD15C2D"/>
    <w:rsid w:val="2E8002C9"/>
    <w:rsid w:val="2EAC6830"/>
    <w:rsid w:val="2ED92D32"/>
    <w:rsid w:val="2EE365FC"/>
    <w:rsid w:val="2EE81D5E"/>
    <w:rsid w:val="2F4233EF"/>
    <w:rsid w:val="2F9247CE"/>
    <w:rsid w:val="2FDB415F"/>
    <w:rsid w:val="300F358A"/>
    <w:rsid w:val="30367B0A"/>
    <w:rsid w:val="30553398"/>
    <w:rsid w:val="3074469C"/>
    <w:rsid w:val="30B070EB"/>
    <w:rsid w:val="30BF351A"/>
    <w:rsid w:val="322A01D5"/>
    <w:rsid w:val="3286378B"/>
    <w:rsid w:val="32910F1A"/>
    <w:rsid w:val="32B32D42"/>
    <w:rsid w:val="32F702F5"/>
    <w:rsid w:val="330D74CD"/>
    <w:rsid w:val="332E3362"/>
    <w:rsid w:val="338634D3"/>
    <w:rsid w:val="342144A3"/>
    <w:rsid w:val="34582AAB"/>
    <w:rsid w:val="34804BB6"/>
    <w:rsid w:val="349039E9"/>
    <w:rsid w:val="34D20487"/>
    <w:rsid w:val="34FF4BF4"/>
    <w:rsid w:val="35B619AC"/>
    <w:rsid w:val="35BF6A9A"/>
    <w:rsid w:val="35E13AF2"/>
    <w:rsid w:val="37484CE3"/>
    <w:rsid w:val="376F778F"/>
    <w:rsid w:val="37896537"/>
    <w:rsid w:val="37A379BD"/>
    <w:rsid w:val="37AC1952"/>
    <w:rsid w:val="37DE0783"/>
    <w:rsid w:val="382F037B"/>
    <w:rsid w:val="3849674B"/>
    <w:rsid w:val="39664A8F"/>
    <w:rsid w:val="39BB7201"/>
    <w:rsid w:val="39F42B83"/>
    <w:rsid w:val="3A04302A"/>
    <w:rsid w:val="3A1E14BE"/>
    <w:rsid w:val="3AE81FC2"/>
    <w:rsid w:val="3B97244D"/>
    <w:rsid w:val="3C834395"/>
    <w:rsid w:val="3CC203DB"/>
    <w:rsid w:val="3D333661"/>
    <w:rsid w:val="3E3E7249"/>
    <w:rsid w:val="3E6A1AB6"/>
    <w:rsid w:val="3F080AE3"/>
    <w:rsid w:val="3FAA43B4"/>
    <w:rsid w:val="3FC63D7D"/>
    <w:rsid w:val="3FD0386C"/>
    <w:rsid w:val="40036537"/>
    <w:rsid w:val="40142712"/>
    <w:rsid w:val="40192464"/>
    <w:rsid w:val="40B255EF"/>
    <w:rsid w:val="40F91EC7"/>
    <w:rsid w:val="410D67AC"/>
    <w:rsid w:val="417B7C8D"/>
    <w:rsid w:val="420A3884"/>
    <w:rsid w:val="42281E78"/>
    <w:rsid w:val="43C74954"/>
    <w:rsid w:val="43EB385E"/>
    <w:rsid w:val="44331A64"/>
    <w:rsid w:val="44E95507"/>
    <w:rsid w:val="458A1252"/>
    <w:rsid w:val="467A2BB9"/>
    <w:rsid w:val="46B411BE"/>
    <w:rsid w:val="476A6916"/>
    <w:rsid w:val="476E4868"/>
    <w:rsid w:val="47E772CE"/>
    <w:rsid w:val="49002FF6"/>
    <w:rsid w:val="497B6881"/>
    <w:rsid w:val="499B7B68"/>
    <w:rsid w:val="49D371FF"/>
    <w:rsid w:val="49D40476"/>
    <w:rsid w:val="49EF37CC"/>
    <w:rsid w:val="4A881776"/>
    <w:rsid w:val="4B7C1A63"/>
    <w:rsid w:val="4B9D049F"/>
    <w:rsid w:val="4BD40208"/>
    <w:rsid w:val="4BE95A8F"/>
    <w:rsid w:val="4C297CF1"/>
    <w:rsid w:val="4CC30189"/>
    <w:rsid w:val="4D0F6B20"/>
    <w:rsid w:val="4D53501D"/>
    <w:rsid w:val="4DB25024"/>
    <w:rsid w:val="4DFB6333"/>
    <w:rsid w:val="4E14715E"/>
    <w:rsid w:val="4E5217FA"/>
    <w:rsid w:val="4E7E448E"/>
    <w:rsid w:val="4F222619"/>
    <w:rsid w:val="4FAA0A93"/>
    <w:rsid w:val="4FD804A7"/>
    <w:rsid w:val="4FE80206"/>
    <w:rsid w:val="50343552"/>
    <w:rsid w:val="504E7F04"/>
    <w:rsid w:val="50E06837"/>
    <w:rsid w:val="50E109F1"/>
    <w:rsid w:val="51564B6D"/>
    <w:rsid w:val="516E78E8"/>
    <w:rsid w:val="52C942CC"/>
    <w:rsid w:val="537C42BD"/>
    <w:rsid w:val="53E61813"/>
    <w:rsid w:val="540D5826"/>
    <w:rsid w:val="54B13782"/>
    <w:rsid w:val="54B313EE"/>
    <w:rsid w:val="54E85DDD"/>
    <w:rsid w:val="55207B5F"/>
    <w:rsid w:val="552B014E"/>
    <w:rsid w:val="55C20DF3"/>
    <w:rsid w:val="55F519E4"/>
    <w:rsid w:val="560F5615"/>
    <w:rsid w:val="5696372C"/>
    <w:rsid w:val="56CC62A9"/>
    <w:rsid w:val="56E16575"/>
    <w:rsid w:val="56EA1D6E"/>
    <w:rsid w:val="57742B3B"/>
    <w:rsid w:val="57853D70"/>
    <w:rsid w:val="57B60831"/>
    <w:rsid w:val="58085F23"/>
    <w:rsid w:val="58D77CE0"/>
    <w:rsid w:val="59327B4B"/>
    <w:rsid w:val="59970946"/>
    <w:rsid w:val="5A2C6824"/>
    <w:rsid w:val="5A3C7E38"/>
    <w:rsid w:val="5A625670"/>
    <w:rsid w:val="5A7B4B3E"/>
    <w:rsid w:val="5AA91A57"/>
    <w:rsid w:val="5AAC7475"/>
    <w:rsid w:val="5ADF4EC1"/>
    <w:rsid w:val="5B5C7602"/>
    <w:rsid w:val="5BFE43CF"/>
    <w:rsid w:val="5BFE7205"/>
    <w:rsid w:val="5C1D3A3A"/>
    <w:rsid w:val="5C4171C3"/>
    <w:rsid w:val="5C772C4A"/>
    <w:rsid w:val="5CB80517"/>
    <w:rsid w:val="5CC03F07"/>
    <w:rsid w:val="5CE7257E"/>
    <w:rsid w:val="5D5B7D6F"/>
    <w:rsid w:val="5DA33791"/>
    <w:rsid w:val="5EA671ED"/>
    <w:rsid w:val="5F4162C9"/>
    <w:rsid w:val="5F592DF7"/>
    <w:rsid w:val="5F7C783C"/>
    <w:rsid w:val="5FEB38CE"/>
    <w:rsid w:val="601143B0"/>
    <w:rsid w:val="610E7A3E"/>
    <w:rsid w:val="6141247E"/>
    <w:rsid w:val="614A35CE"/>
    <w:rsid w:val="617E4CC8"/>
    <w:rsid w:val="62784D7D"/>
    <w:rsid w:val="62F71F2B"/>
    <w:rsid w:val="6339509D"/>
    <w:rsid w:val="635F597F"/>
    <w:rsid w:val="63E467EE"/>
    <w:rsid w:val="641D2F49"/>
    <w:rsid w:val="64332A73"/>
    <w:rsid w:val="644F13BE"/>
    <w:rsid w:val="64F72E91"/>
    <w:rsid w:val="653E72AD"/>
    <w:rsid w:val="65A8110B"/>
    <w:rsid w:val="65BA1F97"/>
    <w:rsid w:val="65DD74ED"/>
    <w:rsid w:val="65FD2AE2"/>
    <w:rsid w:val="668B23C1"/>
    <w:rsid w:val="66FA3432"/>
    <w:rsid w:val="67355EE3"/>
    <w:rsid w:val="6770460E"/>
    <w:rsid w:val="67B67214"/>
    <w:rsid w:val="680255C3"/>
    <w:rsid w:val="68111FEB"/>
    <w:rsid w:val="695D19B4"/>
    <w:rsid w:val="69614C8B"/>
    <w:rsid w:val="69F5651C"/>
    <w:rsid w:val="69F84CE6"/>
    <w:rsid w:val="6A931338"/>
    <w:rsid w:val="6B68069A"/>
    <w:rsid w:val="6B7636E1"/>
    <w:rsid w:val="6C2F19CC"/>
    <w:rsid w:val="6C647C25"/>
    <w:rsid w:val="6C653456"/>
    <w:rsid w:val="6C9F1619"/>
    <w:rsid w:val="6D4B2114"/>
    <w:rsid w:val="6D594F8D"/>
    <w:rsid w:val="6DB33E12"/>
    <w:rsid w:val="6E4E3C70"/>
    <w:rsid w:val="6E82774B"/>
    <w:rsid w:val="6ECD52FC"/>
    <w:rsid w:val="6EED1D92"/>
    <w:rsid w:val="6F3D18A5"/>
    <w:rsid w:val="6F78082C"/>
    <w:rsid w:val="6FC52E16"/>
    <w:rsid w:val="6FC852C9"/>
    <w:rsid w:val="704E3C32"/>
    <w:rsid w:val="704F2655"/>
    <w:rsid w:val="7068032C"/>
    <w:rsid w:val="709D0A6E"/>
    <w:rsid w:val="70B13759"/>
    <w:rsid w:val="70EB12C0"/>
    <w:rsid w:val="70F26F7B"/>
    <w:rsid w:val="711508BF"/>
    <w:rsid w:val="72043E7B"/>
    <w:rsid w:val="72151F56"/>
    <w:rsid w:val="72744AFB"/>
    <w:rsid w:val="72892B64"/>
    <w:rsid w:val="729D240D"/>
    <w:rsid w:val="72A9562C"/>
    <w:rsid w:val="732C6BDA"/>
    <w:rsid w:val="74E831E2"/>
    <w:rsid w:val="758E0434"/>
    <w:rsid w:val="759266F2"/>
    <w:rsid w:val="75CA3F0A"/>
    <w:rsid w:val="760F11A8"/>
    <w:rsid w:val="764916F8"/>
    <w:rsid w:val="7661022E"/>
    <w:rsid w:val="768F3838"/>
    <w:rsid w:val="76950E64"/>
    <w:rsid w:val="77261A46"/>
    <w:rsid w:val="77372ED3"/>
    <w:rsid w:val="7773362F"/>
    <w:rsid w:val="77816EF8"/>
    <w:rsid w:val="778A7303"/>
    <w:rsid w:val="782814A1"/>
    <w:rsid w:val="78926819"/>
    <w:rsid w:val="78C60997"/>
    <w:rsid w:val="78E23188"/>
    <w:rsid w:val="78E77B50"/>
    <w:rsid w:val="78F039C4"/>
    <w:rsid w:val="794A1258"/>
    <w:rsid w:val="79656648"/>
    <w:rsid w:val="796E5336"/>
    <w:rsid w:val="79800861"/>
    <w:rsid w:val="79BD520E"/>
    <w:rsid w:val="79D24936"/>
    <w:rsid w:val="79FD5401"/>
    <w:rsid w:val="7A104FC6"/>
    <w:rsid w:val="7A2F74C7"/>
    <w:rsid w:val="7A3E5352"/>
    <w:rsid w:val="7A495348"/>
    <w:rsid w:val="7B241153"/>
    <w:rsid w:val="7B7E3A1F"/>
    <w:rsid w:val="7BD058A3"/>
    <w:rsid w:val="7BD9201F"/>
    <w:rsid w:val="7C1F4948"/>
    <w:rsid w:val="7C496C1F"/>
    <w:rsid w:val="7C5074B3"/>
    <w:rsid w:val="7C802F50"/>
    <w:rsid w:val="7CC41217"/>
    <w:rsid w:val="7CD612A2"/>
    <w:rsid w:val="7CD93470"/>
    <w:rsid w:val="7CEF54DB"/>
    <w:rsid w:val="7D4C0502"/>
    <w:rsid w:val="7D836FD9"/>
    <w:rsid w:val="7D9D1E6F"/>
    <w:rsid w:val="7F1C6C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semiHidden="0" w:name="toc 9"/>
    <w:lsdException w:uiPriority="99"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1"/>
    <w:autoRedefine/>
    <w:qFormat/>
    <w:uiPriority w:val="0"/>
    <w:pPr>
      <w:keepNext/>
      <w:keepLines/>
      <w:tabs>
        <w:tab w:val="left" w:pos="425"/>
      </w:tabs>
      <w:spacing w:before="340" w:after="330" w:line="576" w:lineRule="auto"/>
      <w:ind w:left="425" w:hanging="425"/>
      <w:outlineLvl w:val="0"/>
    </w:pPr>
    <w:rPr>
      <w:b/>
      <w:kern w:val="44"/>
      <w:sz w:val="44"/>
    </w:rPr>
  </w:style>
  <w:style w:type="paragraph" w:styleId="5">
    <w:name w:val="heading 2"/>
    <w:basedOn w:val="1"/>
    <w:next w:val="1"/>
    <w:link w:val="42"/>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3"/>
    <w:autoRedefine/>
    <w:qFormat/>
    <w:uiPriority w:val="0"/>
    <w:pPr>
      <w:keepNext/>
      <w:keepLines/>
      <w:spacing w:before="260" w:after="260" w:line="416" w:lineRule="auto"/>
      <w:outlineLvl w:val="2"/>
    </w:pPr>
    <w:rPr>
      <w:b/>
      <w:bCs/>
      <w:sz w:val="32"/>
      <w:szCs w:val="32"/>
    </w:rPr>
  </w:style>
  <w:style w:type="paragraph" w:styleId="7">
    <w:name w:val="heading 4"/>
    <w:basedOn w:val="1"/>
    <w:next w:val="1"/>
    <w:autoRedefine/>
    <w:semiHidden/>
    <w:unhideWhenUsed/>
    <w:qFormat/>
    <w:uiPriority w:val="9"/>
    <w:pPr>
      <w:spacing w:beforeAutospacing="1" w:afterAutospacing="1"/>
      <w:jc w:val="left"/>
      <w:outlineLvl w:val="3"/>
    </w:pPr>
    <w:rPr>
      <w:rFonts w:hint="eastAsia" w:ascii="宋体" w:hAnsi="宋体"/>
      <w:b/>
      <w:kern w:val="0"/>
      <w:sz w:val="24"/>
      <w:szCs w:val="24"/>
    </w:rPr>
  </w:style>
  <w:style w:type="character" w:default="1" w:styleId="32">
    <w:name w:val="Default Paragraph Font"/>
    <w:autoRedefine/>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97"/>
    <w:autoRedefine/>
    <w:qFormat/>
    <w:uiPriority w:val="0"/>
    <w:pPr>
      <w:tabs>
        <w:tab w:val="left" w:pos="460"/>
        <w:tab w:val="left" w:pos="1701"/>
        <w:tab w:val="left" w:pos="2127"/>
      </w:tabs>
      <w:snapToGrid w:val="0"/>
      <w:spacing w:after="0" w:line="360" w:lineRule="auto"/>
      <w:ind w:firstLine="210"/>
      <w:jc w:val="center"/>
    </w:pPr>
    <w:rPr>
      <w:b/>
      <w:szCs w:val="24"/>
    </w:rPr>
  </w:style>
  <w:style w:type="paragraph" w:styleId="3">
    <w:name w:val="Body Text"/>
    <w:basedOn w:val="1"/>
    <w:link w:val="85"/>
    <w:autoRedefine/>
    <w:qFormat/>
    <w:uiPriority w:val="99"/>
    <w:pPr>
      <w:spacing w:after="120"/>
    </w:pPr>
  </w:style>
  <w:style w:type="paragraph" w:styleId="8">
    <w:name w:val="toc 7"/>
    <w:basedOn w:val="1"/>
    <w:next w:val="1"/>
    <w:autoRedefine/>
    <w:semiHidden/>
    <w:qFormat/>
    <w:uiPriority w:val="0"/>
    <w:pPr>
      <w:ind w:left="1260"/>
      <w:jc w:val="left"/>
    </w:pPr>
    <w:rPr>
      <w:sz w:val="18"/>
      <w:szCs w:val="18"/>
    </w:rPr>
  </w:style>
  <w:style w:type="paragraph" w:styleId="9">
    <w:name w:val="Document Map"/>
    <w:basedOn w:val="1"/>
    <w:link w:val="61"/>
    <w:autoRedefine/>
    <w:semiHidden/>
    <w:qFormat/>
    <w:uiPriority w:val="0"/>
    <w:pPr>
      <w:shd w:val="clear" w:color="auto" w:fill="000080"/>
    </w:pPr>
  </w:style>
  <w:style w:type="paragraph" w:styleId="10">
    <w:name w:val="annotation text"/>
    <w:basedOn w:val="1"/>
    <w:link w:val="59"/>
    <w:autoRedefine/>
    <w:qFormat/>
    <w:uiPriority w:val="99"/>
    <w:pPr>
      <w:jc w:val="left"/>
    </w:pPr>
  </w:style>
  <w:style w:type="paragraph" w:styleId="11">
    <w:name w:val="Body Text Indent"/>
    <w:basedOn w:val="1"/>
    <w:link w:val="63"/>
    <w:autoRedefine/>
    <w:qFormat/>
    <w:uiPriority w:val="0"/>
    <w:pPr>
      <w:ind w:firstLine="420" w:firstLineChars="200"/>
    </w:pPr>
    <w:rPr>
      <w:rFonts w:eastAsia="楷体_GB2312"/>
    </w:rPr>
  </w:style>
  <w:style w:type="paragraph" w:styleId="12">
    <w:name w:val="toc 5"/>
    <w:basedOn w:val="1"/>
    <w:next w:val="1"/>
    <w:autoRedefine/>
    <w:semiHidden/>
    <w:qFormat/>
    <w:uiPriority w:val="0"/>
    <w:pPr>
      <w:ind w:left="840"/>
      <w:jc w:val="left"/>
    </w:pPr>
    <w:rPr>
      <w:sz w:val="18"/>
      <w:szCs w:val="18"/>
    </w:rPr>
  </w:style>
  <w:style w:type="paragraph" w:styleId="13">
    <w:name w:val="toc 3"/>
    <w:basedOn w:val="1"/>
    <w:next w:val="1"/>
    <w:autoRedefine/>
    <w:semiHidden/>
    <w:qFormat/>
    <w:uiPriority w:val="0"/>
    <w:pPr>
      <w:ind w:left="420"/>
      <w:jc w:val="left"/>
    </w:pPr>
    <w:rPr>
      <w:i/>
      <w:iCs/>
      <w:sz w:val="20"/>
    </w:rPr>
  </w:style>
  <w:style w:type="paragraph" w:styleId="14">
    <w:name w:val="Plain Text"/>
    <w:basedOn w:val="1"/>
    <w:link w:val="47"/>
    <w:autoRedefine/>
    <w:qFormat/>
    <w:uiPriority w:val="0"/>
    <w:rPr>
      <w:rFonts w:ascii="宋体" w:hAnsi="Courier New"/>
    </w:rPr>
  </w:style>
  <w:style w:type="paragraph" w:styleId="15">
    <w:name w:val="toc 8"/>
    <w:basedOn w:val="1"/>
    <w:next w:val="1"/>
    <w:autoRedefine/>
    <w:semiHidden/>
    <w:qFormat/>
    <w:uiPriority w:val="0"/>
    <w:pPr>
      <w:ind w:left="1470"/>
      <w:jc w:val="left"/>
    </w:pPr>
    <w:rPr>
      <w:sz w:val="18"/>
      <w:szCs w:val="18"/>
    </w:rPr>
  </w:style>
  <w:style w:type="paragraph" w:styleId="16">
    <w:name w:val="Date"/>
    <w:basedOn w:val="1"/>
    <w:next w:val="1"/>
    <w:link w:val="65"/>
    <w:autoRedefine/>
    <w:qFormat/>
    <w:uiPriority w:val="0"/>
    <w:rPr>
      <w:rFonts w:ascii="黑体"/>
      <w:b/>
    </w:rPr>
  </w:style>
  <w:style w:type="paragraph" w:styleId="17">
    <w:name w:val="Body Text Indent 2"/>
    <w:basedOn w:val="1"/>
    <w:link w:val="76"/>
    <w:autoRedefine/>
    <w:qFormat/>
    <w:uiPriority w:val="0"/>
    <w:pPr>
      <w:spacing w:after="120" w:line="480" w:lineRule="auto"/>
      <w:ind w:left="420" w:leftChars="200"/>
    </w:pPr>
  </w:style>
  <w:style w:type="paragraph" w:styleId="18">
    <w:name w:val="Balloon Text"/>
    <w:basedOn w:val="1"/>
    <w:link w:val="56"/>
    <w:autoRedefine/>
    <w:semiHidden/>
    <w:qFormat/>
    <w:uiPriority w:val="0"/>
    <w:rPr>
      <w:sz w:val="18"/>
      <w:szCs w:val="18"/>
    </w:rPr>
  </w:style>
  <w:style w:type="paragraph" w:styleId="19">
    <w:name w:val="footer"/>
    <w:basedOn w:val="1"/>
    <w:link w:val="40"/>
    <w:autoRedefine/>
    <w:unhideWhenUsed/>
    <w:qFormat/>
    <w:uiPriority w:val="99"/>
    <w:pPr>
      <w:tabs>
        <w:tab w:val="center" w:pos="4153"/>
        <w:tab w:val="right" w:pos="8306"/>
      </w:tabs>
      <w:snapToGrid w:val="0"/>
      <w:jc w:val="left"/>
    </w:pPr>
    <w:rPr>
      <w:sz w:val="18"/>
      <w:szCs w:val="18"/>
    </w:rPr>
  </w:style>
  <w:style w:type="paragraph" w:styleId="20">
    <w:name w:val="header"/>
    <w:basedOn w:val="1"/>
    <w:link w:val="39"/>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pPr>
      <w:tabs>
        <w:tab w:val="left" w:pos="0"/>
        <w:tab w:val="right" w:leader="dot" w:pos="8222"/>
      </w:tabs>
      <w:adjustRightInd w:val="0"/>
      <w:spacing w:line="360" w:lineRule="auto"/>
      <w:ind w:right="84" w:rightChars="40" w:firstLine="12" w:firstLineChars="5"/>
      <w:jc w:val="distribute"/>
    </w:pPr>
    <w:rPr>
      <w:rFonts w:eastAsiaTheme="minorEastAsia"/>
      <w:b/>
      <w:bCs/>
      <w:caps/>
      <w:sz w:val="24"/>
      <w:szCs w:val="24"/>
    </w:rPr>
  </w:style>
  <w:style w:type="paragraph" w:styleId="22">
    <w:name w:val="toc 4"/>
    <w:basedOn w:val="1"/>
    <w:next w:val="1"/>
    <w:autoRedefine/>
    <w:semiHidden/>
    <w:qFormat/>
    <w:uiPriority w:val="0"/>
    <w:pPr>
      <w:ind w:left="630"/>
      <w:jc w:val="left"/>
    </w:pPr>
    <w:rPr>
      <w:sz w:val="18"/>
      <w:szCs w:val="18"/>
    </w:rPr>
  </w:style>
  <w:style w:type="paragraph" w:styleId="23">
    <w:name w:val="toc 6"/>
    <w:basedOn w:val="1"/>
    <w:next w:val="1"/>
    <w:autoRedefine/>
    <w:semiHidden/>
    <w:qFormat/>
    <w:uiPriority w:val="0"/>
    <w:pPr>
      <w:ind w:left="1050"/>
      <w:jc w:val="left"/>
    </w:pPr>
    <w:rPr>
      <w:sz w:val="18"/>
      <w:szCs w:val="18"/>
    </w:rPr>
  </w:style>
  <w:style w:type="paragraph" w:styleId="24">
    <w:name w:val="Body Text Indent 3"/>
    <w:basedOn w:val="1"/>
    <w:link w:val="75"/>
    <w:autoRedefine/>
    <w:qFormat/>
    <w:uiPriority w:val="0"/>
    <w:pPr>
      <w:spacing w:line="300" w:lineRule="auto"/>
      <w:ind w:firstLine="435"/>
    </w:pPr>
    <w:rPr>
      <w:rFonts w:ascii="楷体_GB2312" w:eastAsia="仿宋_GB2312"/>
      <w:sz w:val="24"/>
    </w:rPr>
  </w:style>
  <w:style w:type="paragraph" w:styleId="25">
    <w:name w:val="toc 2"/>
    <w:basedOn w:val="1"/>
    <w:next w:val="1"/>
    <w:autoRedefine/>
    <w:qFormat/>
    <w:uiPriority w:val="39"/>
    <w:pPr>
      <w:tabs>
        <w:tab w:val="right" w:leader="dot" w:pos="8222"/>
      </w:tabs>
      <w:spacing w:line="360" w:lineRule="auto"/>
      <w:ind w:left="210"/>
      <w:jc w:val="left"/>
    </w:pPr>
    <w:rPr>
      <w:smallCaps/>
      <w:sz w:val="20"/>
    </w:rPr>
  </w:style>
  <w:style w:type="paragraph" w:styleId="26">
    <w:name w:val="toc 9"/>
    <w:basedOn w:val="1"/>
    <w:next w:val="1"/>
    <w:autoRedefine/>
    <w:qFormat/>
    <w:uiPriority w:val="0"/>
    <w:pPr>
      <w:ind w:left="1680"/>
      <w:jc w:val="left"/>
    </w:pPr>
    <w:rPr>
      <w:sz w:val="18"/>
      <w:szCs w:val="18"/>
    </w:rPr>
  </w:style>
  <w:style w:type="paragraph" w:styleId="27">
    <w:name w:val="HTML Preformatted"/>
    <w:basedOn w:val="1"/>
    <w:link w:val="1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hAnsi="Lucida Console" w:cs="宋体"/>
      <w:kern w:val="0"/>
      <w:sz w:val="24"/>
      <w:szCs w:val="24"/>
    </w:rPr>
  </w:style>
  <w:style w:type="paragraph" w:styleId="28">
    <w:name w:val="Normal (Web)"/>
    <w:basedOn w:val="1"/>
    <w:autoRedefine/>
    <w:qFormat/>
    <w:uiPriority w:val="99"/>
    <w:pPr>
      <w:widowControl/>
      <w:spacing w:before="100" w:beforeAutospacing="1" w:after="100" w:afterAutospacing="1" w:line="314" w:lineRule="atLeast"/>
      <w:jc w:val="left"/>
    </w:pPr>
    <w:rPr>
      <w:rFonts w:ascii="宋体" w:hAnsi="宋体" w:cs="宋体"/>
      <w:kern w:val="0"/>
      <w:sz w:val="22"/>
      <w:szCs w:val="22"/>
    </w:rPr>
  </w:style>
  <w:style w:type="paragraph" w:styleId="29">
    <w:name w:val="annotation subject"/>
    <w:basedOn w:val="10"/>
    <w:next w:val="10"/>
    <w:link w:val="60"/>
    <w:autoRedefine/>
    <w:semiHidden/>
    <w:qFormat/>
    <w:uiPriority w:val="0"/>
    <w:rPr>
      <w:b/>
      <w:bCs/>
    </w:rPr>
  </w:style>
  <w:style w:type="table" w:styleId="31">
    <w:name w:val="Table Grid"/>
    <w:basedOn w:val="3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autoRedefine/>
    <w:qFormat/>
    <w:uiPriority w:val="0"/>
    <w:rPr>
      <w:b/>
    </w:rPr>
  </w:style>
  <w:style w:type="character" w:styleId="34">
    <w:name w:val="page number"/>
    <w:basedOn w:val="32"/>
    <w:autoRedefine/>
    <w:qFormat/>
    <w:uiPriority w:val="0"/>
  </w:style>
  <w:style w:type="character" w:styleId="35">
    <w:name w:val="FollowedHyperlink"/>
    <w:basedOn w:val="32"/>
    <w:autoRedefine/>
    <w:semiHidden/>
    <w:unhideWhenUsed/>
    <w:qFormat/>
    <w:uiPriority w:val="99"/>
    <w:rPr>
      <w:color w:val="800080" w:themeColor="followedHyperlink"/>
      <w:u w:val="single"/>
      <w14:textFill>
        <w14:solidFill>
          <w14:schemeClr w14:val="folHlink"/>
        </w14:solidFill>
      </w14:textFill>
    </w:rPr>
  </w:style>
  <w:style w:type="character" w:styleId="36">
    <w:name w:val="Emphasis"/>
    <w:basedOn w:val="32"/>
    <w:autoRedefine/>
    <w:qFormat/>
    <w:uiPriority w:val="20"/>
    <w:rPr>
      <w:i/>
      <w:iCs/>
    </w:rPr>
  </w:style>
  <w:style w:type="character" w:styleId="37">
    <w:name w:val="Hyperlink"/>
    <w:autoRedefine/>
    <w:qFormat/>
    <w:uiPriority w:val="99"/>
    <w:rPr>
      <w:color w:val="0000FF"/>
      <w:u w:val="single"/>
    </w:rPr>
  </w:style>
  <w:style w:type="character" w:styleId="38">
    <w:name w:val="annotation reference"/>
    <w:autoRedefine/>
    <w:qFormat/>
    <w:uiPriority w:val="99"/>
    <w:rPr>
      <w:sz w:val="21"/>
      <w:szCs w:val="21"/>
    </w:rPr>
  </w:style>
  <w:style w:type="character" w:customStyle="1" w:styleId="39">
    <w:name w:val="页眉 Char"/>
    <w:basedOn w:val="32"/>
    <w:link w:val="20"/>
    <w:autoRedefine/>
    <w:qFormat/>
    <w:uiPriority w:val="0"/>
    <w:rPr>
      <w:sz w:val="18"/>
      <w:szCs w:val="18"/>
    </w:rPr>
  </w:style>
  <w:style w:type="character" w:customStyle="1" w:styleId="40">
    <w:name w:val="页脚 Char"/>
    <w:basedOn w:val="32"/>
    <w:link w:val="19"/>
    <w:autoRedefine/>
    <w:qFormat/>
    <w:uiPriority w:val="99"/>
    <w:rPr>
      <w:sz w:val="18"/>
      <w:szCs w:val="18"/>
    </w:rPr>
  </w:style>
  <w:style w:type="character" w:customStyle="1" w:styleId="41">
    <w:name w:val="标题 1 Char"/>
    <w:basedOn w:val="32"/>
    <w:link w:val="4"/>
    <w:autoRedefine/>
    <w:qFormat/>
    <w:uiPriority w:val="0"/>
    <w:rPr>
      <w:rFonts w:ascii="Times New Roman" w:hAnsi="Times New Roman" w:eastAsia="宋体" w:cs="Times New Roman"/>
      <w:b/>
      <w:kern w:val="44"/>
      <w:sz w:val="44"/>
      <w:szCs w:val="20"/>
    </w:rPr>
  </w:style>
  <w:style w:type="character" w:customStyle="1" w:styleId="42">
    <w:name w:val="标题 2 Char"/>
    <w:basedOn w:val="32"/>
    <w:link w:val="5"/>
    <w:autoRedefine/>
    <w:qFormat/>
    <w:uiPriority w:val="0"/>
    <w:rPr>
      <w:rFonts w:ascii="Arial" w:hAnsi="Arial" w:eastAsia="黑体" w:cs="Times New Roman"/>
      <w:b/>
      <w:bCs/>
      <w:sz w:val="32"/>
      <w:szCs w:val="32"/>
    </w:rPr>
  </w:style>
  <w:style w:type="character" w:customStyle="1" w:styleId="43">
    <w:name w:val="标题 3 Char"/>
    <w:basedOn w:val="32"/>
    <w:link w:val="6"/>
    <w:autoRedefine/>
    <w:qFormat/>
    <w:uiPriority w:val="0"/>
    <w:rPr>
      <w:rFonts w:ascii="Times New Roman" w:hAnsi="Times New Roman" w:eastAsia="宋体" w:cs="Times New Roman"/>
      <w:b/>
      <w:bCs/>
      <w:sz w:val="32"/>
      <w:szCs w:val="32"/>
    </w:rPr>
  </w:style>
  <w:style w:type="paragraph" w:customStyle="1" w:styleId="44">
    <w:name w:val="Char1 Char Char Char"/>
    <w:basedOn w:val="1"/>
    <w:autoRedefine/>
    <w:qFormat/>
    <w:uiPriority w:val="0"/>
    <w:pPr>
      <w:widowControl/>
      <w:spacing w:after="160" w:line="240" w:lineRule="exact"/>
      <w:ind w:firstLine="200" w:firstLineChars="200"/>
      <w:jc w:val="left"/>
    </w:pPr>
  </w:style>
  <w:style w:type="paragraph" w:customStyle="1" w:styleId="45">
    <w:name w:val="章"/>
    <w:basedOn w:val="1"/>
    <w:link w:val="99"/>
    <w:autoRedefine/>
    <w:qFormat/>
    <w:uiPriority w:val="99"/>
    <w:pPr>
      <w:spacing w:beforeLines="100" w:afterLines="100" w:line="300" w:lineRule="auto"/>
      <w:jc w:val="center"/>
      <w:outlineLvl w:val="0"/>
    </w:pPr>
    <w:rPr>
      <w:b/>
      <w:sz w:val="28"/>
    </w:rPr>
  </w:style>
  <w:style w:type="paragraph" w:customStyle="1" w:styleId="46">
    <w:name w:val="节"/>
    <w:basedOn w:val="1"/>
    <w:autoRedefine/>
    <w:qFormat/>
    <w:uiPriority w:val="99"/>
    <w:pPr>
      <w:spacing w:before="156" w:beforeLines="50" w:after="156" w:afterLines="50" w:line="360" w:lineRule="auto"/>
      <w:jc w:val="center"/>
      <w:outlineLvl w:val="1"/>
    </w:pPr>
    <w:rPr>
      <w:b/>
      <w:sz w:val="24"/>
    </w:rPr>
  </w:style>
  <w:style w:type="character" w:customStyle="1" w:styleId="47">
    <w:name w:val="纯文本 Char"/>
    <w:basedOn w:val="32"/>
    <w:link w:val="14"/>
    <w:autoRedefine/>
    <w:qFormat/>
    <w:uiPriority w:val="0"/>
    <w:rPr>
      <w:rFonts w:ascii="宋体" w:hAnsi="Courier New" w:eastAsia="宋体" w:cs="Times New Roman"/>
      <w:szCs w:val="20"/>
    </w:rPr>
  </w:style>
  <w:style w:type="paragraph" w:customStyle="1" w:styleId="48">
    <w:name w:val="Char Char Char Char Char Char Char"/>
    <w:basedOn w:val="1"/>
    <w:autoRedefine/>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49">
    <w:name w:val="注"/>
    <w:basedOn w:val="1"/>
    <w:link w:val="58"/>
    <w:autoRedefine/>
    <w:qFormat/>
    <w:uiPriority w:val="0"/>
    <w:pPr>
      <w:ind w:left="788" w:leftChars="200" w:hanging="368" w:hangingChars="175"/>
    </w:pPr>
  </w:style>
  <w:style w:type="paragraph" w:customStyle="1" w:styleId="50">
    <w:name w:val="分条"/>
    <w:basedOn w:val="1"/>
    <w:link w:val="64"/>
    <w:autoRedefine/>
    <w:qFormat/>
    <w:uiPriority w:val="0"/>
    <w:pPr>
      <w:spacing w:line="360" w:lineRule="auto"/>
      <w:ind w:firstLine="200" w:firstLineChars="200"/>
    </w:pPr>
    <w:rPr>
      <w:sz w:val="24"/>
    </w:rPr>
  </w:style>
  <w:style w:type="paragraph" w:customStyle="1" w:styleId="51">
    <w:name w:val="公式"/>
    <w:basedOn w:val="1"/>
    <w:link w:val="57"/>
    <w:autoRedefine/>
    <w:qFormat/>
    <w:uiPriority w:val="0"/>
    <w:pPr>
      <w:spacing w:line="360" w:lineRule="auto"/>
      <w:jc w:val="right"/>
    </w:pPr>
    <w:rPr>
      <w:sz w:val="24"/>
    </w:rPr>
  </w:style>
  <w:style w:type="paragraph" w:customStyle="1" w:styleId="52">
    <w:name w:val="表"/>
    <w:basedOn w:val="1"/>
    <w:autoRedefine/>
    <w:qFormat/>
    <w:uiPriority w:val="0"/>
    <w:pPr>
      <w:spacing w:line="300" w:lineRule="auto"/>
      <w:jc w:val="center"/>
    </w:pPr>
  </w:style>
  <w:style w:type="paragraph" w:customStyle="1" w:styleId="53">
    <w:name w:val="表头"/>
    <w:basedOn w:val="1"/>
    <w:autoRedefine/>
    <w:qFormat/>
    <w:uiPriority w:val="0"/>
    <w:pPr>
      <w:spacing w:beforeLines="50" w:afterLines="50" w:line="300" w:lineRule="auto"/>
      <w:jc w:val="center"/>
    </w:pPr>
    <w:rPr>
      <w:b/>
    </w:rPr>
  </w:style>
  <w:style w:type="paragraph" w:customStyle="1" w:styleId="54">
    <w:name w:val="条文1"/>
    <w:basedOn w:val="1"/>
    <w:autoRedefine/>
    <w:qFormat/>
    <w:uiPriority w:val="0"/>
    <w:pPr>
      <w:spacing w:line="240" w:lineRule="atLeast"/>
      <w:ind w:firstLine="454"/>
    </w:pPr>
    <w:rPr>
      <w:sz w:val="24"/>
    </w:rPr>
  </w:style>
  <w:style w:type="paragraph" w:customStyle="1" w:styleId="55">
    <w:name w:val="条文"/>
    <w:basedOn w:val="1"/>
    <w:autoRedefine/>
    <w:qFormat/>
    <w:uiPriority w:val="99"/>
    <w:pPr>
      <w:spacing w:line="240" w:lineRule="atLeast"/>
    </w:pPr>
    <w:rPr>
      <w:sz w:val="24"/>
    </w:rPr>
  </w:style>
  <w:style w:type="character" w:customStyle="1" w:styleId="56">
    <w:name w:val="批注框文本 Char"/>
    <w:basedOn w:val="32"/>
    <w:link w:val="18"/>
    <w:autoRedefine/>
    <w:semiHidden/>
    <w:qFormat/>
    <w:uiPriority w:val="0"/>
    <w:rPr>
      <w:rFonts w:ascii="Times New Roman" w:hAnsi="Times New Roman" w:eastAsia="宋体" w:cs="Times New Roman"/>
      <w:sz w:val="18"/>
      <w:szCs w:val="18"/>
    </w:rPr>
  </w:style>
  <w:style w:type="character" w:customStyle="1" w:styleId="57">
    <w:name w:val="公式 Char"/>
    <w:link w:val="51"/>
    <w:autoRedefine/>
    <w:qFormat/>
    <w:uiPriority w:val="0"/>
    <w:rPr>
      <w:rFonts w:ascii="Times New Roman" w:hAnsi="Times New Roman" w:eastAsia="宋体" w:cs="Times New Roman"/>
      <w:sz w:val="24"/>
      <w:szCs w:val="20"/>
    </w:rPr>
  </w:style>
  <w:style w:type="character" w:customStyle="1" w:styleId="58">
    <w:name w:val="注 Char"/>
    <w:link w:val="49"/>
    <w:autoRedefine/>
    <w:qFormat/>
    <w:uiPriority w:val="0"/>
    <w:rPr>
      <w:rFonts w:ascii="Times New Roman" w:hAnsi="Times New Roman" w:eastAsia="宋体" w:cs="Times New Roman"/>
      <w:szCs w:val="20"/>
    </w:rPr>
  </w:style>
  <w:style w:type="character" w:customStyle="1" w:styleId="59">
    <w:name w:val="批注文字 Char"/>
    <w:basedOn w:val="32"/>
    <w:link w:val="10"/>
    <w:autoRedefine/>
    <w:qFormat/>
    <w:uiPriority w:val="99"/>
    <w:rPr>
      <w:kern w:val="2"/>
      <w:sz w:val="21"/>
    </w:rPr>
  </w:style>
  <w:style w:type="character" w:customStyle="1" w:styleId="60">
    <w:name w:val="批注主题 Char"/>
    <w:basedOn w:val="59"/>
    <w:link w:val="29"/>
    <w:autoRedefine/>
    <w:semiHidden/>
    <w:qFormat/>
    <w:uiPriority w:val="0"/>
    <w:rPr>
      <w:rFonts w:ascii="Times New Roman" w:hAnsi="Times New Roman" w:eastAsia="宋体" w:cs="Times New Roman"/>
      <w:b/>
      <w:bCs/>
      <w:kern w:val="2"/>
      <w:sz w:val="21"/>
      <w:szCs w:val="20"/>
    </w:rPr>
  </w:style>
  <w:style w:type="character" w:customStyle="1" w:styleId="61">
    <w:name w:val="文档结构图 Char"/>
    <w:basedOn w:val="32"/>
    <w:link w:val="9"/>
    <w:autoRedefine/>
    <w:semiHidden/>
    <w:qFormat/>
    <w:uiPriority w:val="0"/>
    <w:rPr>
      <w:rFonts w:ascii="Times New Roman" w:hAnsi="Times New Roman" w:eastAsia="宋体" w:cs="Times New Roman"/>
      <w:szCs w:val="20"/>
      <w:shd w:val="clear" w:color="auto" w:fill="000080"/>
    </w:rPr>
  </w:style>
  <w:style w:type="paragraph" w:customStyle="1" w:styleId="62">
    <w:name w:val="标题3"/>
    <w:basedOn w:val="1"/>
    <w:autoRedefine/>
    <w:qFormat/>
    <w:uiPriority w:val="0"/>
    <w:pPr>
      <w:adjustRightInd w:val="0"/>
      <w:spacing w:before="120" w:after="120"/>
      <w:jc w:val="center"/>
      <w:textAlignment w:val="baseline"/>
    </w:pPr>
    <w:rPr>
      <w:b/>
      <w:kern w:val="0"/>
      <w:sz w:val="18"/>
    </w:rPr>
  </w:style>
  <w:style w:type="character" w:customStyle="1" w:styleId="63">
    <w:name w:val="正文文本缩进 Char"/>
    <w:basedOn w:val="32"/>
    <w:link w:val="11"/>
    <w:autoRedefine/>
    <w:qFormat/>
    <w:uiPriority w:val="0"/>
    <w:rPr>
      <w:rFonts w:ascii="Times New Roman" w:hAnsi="Times New Roman" w:eastAsia="楷体_GB2312" w:cs="Times New Roman"/>
      <w:szCs w:val="20"/>
    </w:rPr>
  </w:style>
  <w:style w:type="character" w:customStyle="1" w:styleId="64">
    <w:name w:val="分条 Char"/>
    <w:link w:val="50"/>
    <w:autoRedefine/>
    <w:qFormat/>
    <w:locked/>
    <w:uiPriority w:val="0"/>
    <w:rPr>
      <w:rFonts w:ascii="Times New Roman" w:hAnsi="Times New Roman" w:eastAsia="宋体" w:cs="Times New Roman"/>
      <w:sz w:val="24"/>
      <w:szCs w:val="20"/>
    </w:rPr>
  </w:style>
  <w:style w:type="character" w:customStyle="1" w:styleId="65">
    <w:name w:val="日期 Char"/>
    <w:basedOn w:val="32"/>
    <w:link w:val="16"/>
    <w:autoRedefine/>
    <w:qFormat/>
    <w:uiPriority w:val="0"/>
    <w:rPr>
      <w:rFonts w:ascii="黑体" w:hAnsi="Times New Roman" w:eastAsia="宋体" w:cs="Times New Roman"/>
      <w:b/>
      <w:szCs w:val="20"/>
    </w:rPr>
  </w:style>
  <w:style w:type="paragraph" w:customStyle="1" w:styleId="66">
    <w:name w:val="样式 小四 首行缩进:  0.85 厘米 行距: 固定值 20 磅"/>
    <w:basedOn w:val="1"/>
    <w:autoRedefine/>
    <w:qFormat/>
    <w:uiPriority w:val="0"/>
    <w:pPr>
      <w:adjustRightInd w:val="0"/>
      <w:spacing w:line="360" w:lineRule="auto"/>
      <w:ind w:firstLine="482"/>
    </w:pPr>
    <w:rPr>
      <w:sz w:val="24"/>
    </w:rPr>
  </w:style>
  <w:style w:type="paragraph" w:customStyle="1" w:styleId="67">
    <w:name w:val="报告正文"/>
    <w:basedOn w:val="1"/>
    <w:autoRedefine/>
    <w:qFormat/>
    <w:uiPriority w:val="0"/>
    <w:pPr>
      <w:snapToGrid w:val="0"/>
      <w:spacing w:line="400" w:lineRule="exact"/>
      <w:ind w:firstLine="482"/>
    </w:pPr>
    <w:rPr>
      <w:sz w:val="24"/>
    </w:rPr>
  </w:style>
  <w:style w:type="paragraph" w:customStyle="1" w:styleId="68">
    <w:name w:val="Char"/>
    <w:basedOn w:val="1"/>
    <w:autoRedefine/>
    <w:qFormat/>
    <w:uiPriority w:val="0"/>
    <w:rPr>
      <w:sz w:val="28"/>
      <w:szCs w:val="28"/>
    </w:rPr>
  </w:style>
  <w:style w:type="character" w:customStyle="1" w:styleId="69">
    <w:name w:val="样式3 Char"/>
    <w:link w:val="70"/>
    <w:autoRedefine/>
    <w:qFormat/>
    <w:uiPriority w:val="0"/>
    <w:rPr>
      <w:rFonts w:ascii="宋体" w:hAnsi="宋体" w:eastAsia="宋体"/>
    </w:rPr>
  </w:style>
  <w:style w:type="paragraph" w:customStyle="1" w:styleId="70">
    <w:name w:val="样式3"/>
    <w:basedOn w:val="1"/>
    <w:link w:val="69"/>
    <w:autoRedefine/>
    <w:qFormat/>
    <w:uiPriority w:val="0"/>
    <w:pPr>
      <w:ind w:firstLine="420"/>
      <w:jc w:val="left"/>
    </w:pPr>
    <w:rPr>
      <w:rFonts w:ascii="宋体" w:hAnsi="宋体" w:cstheme="minorBidi"/>
      <w:szCs w:val="22"/>
    </w:rPr>
  </w:style>
  <w:style w:type="character" w:customStyle="1" w:styleId="71">
    <w:name w:val="新条文 Char"/>
    <w:link w:val="72"/>
    <w:autoRedefine/>
    <w:qFormat/>
    <w:uiPriority w:val="0"/>
    <w:rPr>
      <w:sz w:val="24"/>
    </w:rPr>
  </w:style>
  <w:style w:type="paragraph" w:customStyle="1" w:styleId="72">
    <w:name w:val="新条文"/>
    <w:link w:val="71"/>
    <w:autoRedefine/>
    <w:qFormat/>
    <w:uiPriority w:val="0"/>
    <w:pPr>
      <w:tabs>
        <w:tab w:val="left" w:pos="432"/>
        <w:tab w:val="left" w:pos="735"/>
      </w:tabs>
      <w:spacing w:line="400" w:lineRule="atLeast"/>
      <w:ind w:left="735" w:hanging="735"/>
    </w:pPr>
    <w:rPr>
      <w:rFonts w:asciiTheme="minorHAnsi" w:hAnsiTheme="minorHAnsi" w:eastAsiaTheme="minorEastAsia" w:cstheme="minorBidi"/>
      <w:kern w:val="2"/>
      <w:sz w:val="24"/>
      <w:szCs w:val="22"/>
      <w:lang w:val="en-US" w:eastAsia="zh-CN" w:bidi="ar-SA"/>
    </w:rPr>
  </w:style>
  <w:style w:type="character" w:customStyle="1" w:styleId="73">
    <w:name w:val="说明 Char1"/>
    <w:link w:val="74"/>
    <w:autoRedefine/>
    <w:qFormat/>
    <w:uiPriority w:val="0"/>
    <w:rPr>
      <w:rFonts w:ascii="楷体_GB2312" w:eastAsia="楷体_GB2312"/>
      <w:sz w:val="24"/>
    </w:rPr>
  </w:style>
  <w:style w:type="paragraph" w:customStyle="1" w:styleId="74">
    <w:name w:val="说明"/>
    <w:basedOn w:val="1"/>
    <w:link w:val="73"/>
    <w:autoRedefine/>
    <w:qFormat/>
    <w:uiPriority w:val="0"/>
    <w:pPr>
      <w:spacing w:line="400" w:lineRule="atLeast"/>
    </w:pPr>
    <w:rPr>
      <w:rFonts w:ascii="楷体_GB2312" w:eastAsia="楷体_GB2312" w:hAnsiTheme="minorHAnsi" w:cstheme="minorBidi"/>
      <w:sz w:val="24"/>
      <w:szCs w:val="22"/>
    </w:rPr>
  </w:style>
  <w:style w:type="character" w:customStyle="1" w:styleId="75">
    <w:name w:val="正文文本缩进 3 Char"/>
    <w:basedOn w:val="32"/>
    <w:link w:val="24"/>
    <w:autoRedefine/>
    <w:qFormat/>
    <w:uiPriority w:val="0"/>
    <w:rPr>
      <w:rFonts w:ascii="楷体_GB2312" w:hAnsi="Times New Roman" w:eastAsia="仿宋_GB2312" w:cs="Times New Roman"/>
      <w:sz w:val="24"/>
      <w:szCs w:val="20"/>
    </w:rPr>
  </w:style>
  <w:style w:type="character" w:customStyle="1" w:styleId="76">
    <w:name w:val="正文文本缩进 2 Char"/>
    <w:basedOn w:val="32"/>
    <w:link w:val="17"/>
    <w:autoRedefine/>
    <w:qFormat/>
    <w:uiPriority w:val="0"/>
    <w:rPr>
      <w:rFonts w:ascii="Times New Roman" w:hAnsi="Times New Roman" w:eastAsia="宋体" w:cs="Times New Roman"/>
      <w:szCs w:val="20"/>
    </w:rPr>
  </w:style>
  <w:style w:type="paragraph" w:customStyle="1" w:styleId="77">
    <w:name w:val="段落样式"/>
    <w:basedOn w:val="1"/>
    <w:link w:val="78"/>
    <w:autoRedefine/>
    <w:qFormat/>
    <w:uiPriority w:val="0"/>
    <w:pPr>
      <w:spacing w:line="400" w:lineRule="exact"/>
      <w:ind w:firstLine="480" w:firstLineChars="200"/>
    </w:pPr>
    <w:rPr>
      <w:sz w:val="24"/>
    </w:rPr>
  </w:style>
  <w:style w:type="character" w:customStyle="1" w:styleId="78">
    <w:name w:val="段落样式 Char"/>
    <w:link w:val="77"/>
    <w:autoRedefine/>
    <w:qFormat/>
    <w:uiPriority w:val="0"/>
    <w:rPr>
      <w:rFonts w:ascii="Times New Roman" w:hAnsi="Times New Roman" w:eastAsia="宋体" w:cs="Times New Roman"/>
      <w:sz w:val="24"/>
      <w:szCs w:val="20"/>
    </w:rPr>
  </w:style>
  <w:style w:type="paragraph" w:customStyle="1" w:styleId="79">
    <w:name w:val="样式7"/>
    <w:basedOn w:val="1"/>
    <w:autoRedefine/>
    <w:qFormat/>
    <w:uiPriority w:val="0"/>
    <w:pPr>
      <w:ind w:firstLine="420"/>
    </w:pPr>
  </w:style>
  <w:style w:type="paragraph" w:customStyle="1" w:styleId="80">
    <w:name w:val="Char4"/>
    <w:basedOn w:val="1"/>
    <w:autoRedefine/>
    <w:qFormat/>
    <w:uiPriority w:val="0"/>
    <w:rPr>
      <w:rFonts w:ascii="Tahoma" w:hAnsi="Tahoma"/>
      <w:sz w:val="24"/>
    </w:rPr>
  </w:style>
  <w:style w:type="paragraph" w:styleId="81">
    <w:name w:val="List Paragraph"/>
    <w:basedOn w:val="1"/>
    <w:link w:val="120"/>
    <w:autoRedefine/>
    <w:qFormat/>
    <w:uiPriority w:val="1"/>
    <w:pPr>
      <w:spacing w:line="300" w:lineRule="auto"/>
      <w:ind w:firstLine="420" w:firstLineChars="200"/>
    </w:pPr>
    <w:rPr>
      <w:rFonts w:ascii="Calibri" w:hAnsi="Calibri"/>
      <w:szCs w:val="22"/>
    </w:rPr>
  </w:style>
  <w:style w:type="paragraph" w:customStyle="1" w:styleId="82">
    <w:name w:val="样式 正文首行缩进:  2 字符 + 宋体 首行缩进:  2 字符"/>
    <w:basedOn w:val="1"/>
    <w:autoRedefine/>
    <w:qFormat/>
    <w:uiPriority w:val="0"/>
    <w:pPr>
      <w:spacing w:line="400" w:lineRule="exact"/>
      <w:ind w:firstLine="200" w:firstLineChars="200"/>
    </w:pPr>
    <w:rPr>
      <w:sz w:val="24"/>
      <w:szCs w:val="24"/>
    </w:rPr>
  </w:style>
  <w:style w:type="paragraph" w:customStyle="1" w:styleId="83">
    <w:name w:val="样式 正文首行缩进:  2 字符 + 首行缩进:  2 字符"/>
    <w:basedOn w:val="1"/>
    <w:autoRedefine/>
    <w:qFormat/>
    <w:uiPriority w:val="0"/>
    <w:pPr>
      <w:spacing w:line="400" w:lineRule="exact"/>
      <w:ind w:firstLine="200" w:firstLineChars="200"/>
    </w:pPr>
    <w:rPr>
      <w:sz w:val="24"/>
    </w:rPr>
  </w:style>
  <w:style w:type="paragraph" w:customStyle="1" w:styleId="84">
    <w:name w:val="Char41"/>
    <w:basedOn w:val="1"/>
    <w:autoRedefine/>
    <w:qFormat/>
    <w:uiPriority w:val="0"/>
    <w:rPr>
      <w:rFonts w:ascii="Tahoma" w:hAnsi="Tahoma"/>
      <w:sz w:val="24"/>
    </w:rPr>
  </w:style>
  <w:style w:type="character" w:customStyle="1" w:styleId="85">
    <w:name w:val="正文文本 Char"/>
    <w:basedOn w:val="32"/>
    <w:link w:val="3"/>
    <w:autoRedefine/>
    <w:qFormat/>
    <w:uiPriority w:val="99"/>
    <w:rPr>
      <w:rFonts w:ascii="Times New Roman" w:hAnsi="Times New Roman" w:eastAsia="宋体" w:cs="Times New Roman"/>
      <w:szCs w:val="20"/>
    </w:rPr>
  </w:style>
  <w:style w:type="paragraph" w:customStyle="1" w:styleId="86">
    <w:name w:val="正文首行缩进:  2 字符"/>
    <w:basedOn w:val="3"/>
    <w:autoRedefine/>
    <w:qFormat/>
    <w:uiPriority w:val="0"/>
    <w:pPr>
      <w:spacing w:line="398" w:lineRule="auto"/>
      <w:ind w:firstLine="200" w:firstLineChars="200"/>
    </w:pPr>
    <w:rPr>
      <w:sz w:val="24"/>
    </w:rPr>
  </w:style>
  <w:style w:type="paragraph" w:customStyle="1" w:styleId="87">
    <w:name w:val="Char1"/>
    <w:basedOn w:val="1"/>
    <w:autoRedefine/>
    <w:qFormat/>
    <w:uiPriority w:val="0"/>
    <w:rPr>
      <w:szCs w:val="24"/>
    </w:rPr>
  </w:style>
  <w:style w:type="character" w:customStyle="1" w:styleId="88">
    <w:name w:val="三级标题标题无缩进 Char"/>
    <w:link w:val="89"/>
    <w:autoRedefine/>
    <w:qFormat/>
    <w:uiPriority w:val="0"/>
    <w:rPr>
      <w:rFonts w:eastAsia="宋体"/>
      <w:sz w:val="28"/>
      <w:szCs w:val="24"/>
    </w:rPr>
  </w:style>
  <w:style w:type="paragraph" w:customStyle="1" w:styleId="89">
    <w:name w:val="三级标题标题无缩进"/>
    <w:basedOn w:val="1"/>
    <w:link w:val="88"/>
    <w:autoRedefine/>
    <w:qFormat/>
    <w:uiPriority w:val="0"/>
    <w:pPr>
      <w:snapToGrid w:val="0"/>
      <w:spacing w:line="400" w:lineRule="exact"/>
    </w:pPr>
    <w:rPr>
      <w:rFonts w:asciiTheme="minorHAnsi" w:hAnsiTheme="minorHAnsi" w:cstheme="minorBidi"/>
      <w:sz w:val="28"/>
      <w:szCs w:val="24"/>
    </w:rPr>
  </w:style>
  <w:style w:type="paragraph" w:customStyle="1" w:styleId="90">
    <w:name w:val="Char Char Char Char Char Char Char1"/>
    <w:basedOn w:val="1"/>
    <w:autoRedefine/>
    <w:qFormat/>
    <w:uiPriority w:val="0"/>
    <w:pPr>
      <w:widowControl/>
      <w:spacing w:after="160" w:line="240" w:lineRule="exact"/>
      <w:jc w:val="left"/>
    </w:pPr>
    <w:rPr>
      <w:rFonts w:ascii="Arial" w:hAnsi="Arial" w:eastAsia="Times New Roman" w:cs="Verdana"/>
      <w:b/>
      <w:kern w:val="0"/>
      <w:sz w:val="24"/>
      <w:szCs w:val="21"/>
      <w:lang w:eastAsia="en-US"/>
    </w:rPr>
  </w:style>
  <w:style w:type="character" w:customStyle="1" w:styleId="91">
    <w:name w:val="规范正文 Char"/>
    <w:link w:val="92"/>
    <w:autoRedefine/>
    <w:qFormat/>
    <w:uiPriority w:val="0"/>
    <w:rPr>
      <w:rFonts w:eastAsia="宋体"/>
      <w:sz w:val="28"/>
      <w:szCs w:val="21"/>
    </w:rPr>
  </w:style>
  <w:style w:type="paragraph" w:customStyle="1" w:styleId="92">
    <w:name w:val="规范正文"/>
    <w:basedOn w:val="82"/>
    <w:link w:val="91"/>
    <w:autoRedefine/>
    <w:qFormat/>
    <w:uiPriority w:val="0"/>
    <w:rPr>
      <w:rFonts w:asciiTheme="minorHAnsi" w:hAnsiTheme="minorHAnsi" w:cstheme="minorBidi"/>
      <w:sz w:val="28"/>
      <w:szCs w:val="21"/>
    </w:rPr>
  </w:style>
  <w:style w:type="character" w:customStyle="1" w:styleId="93">
    <w:name w:val="正文数字 Char"/>
    <w:link w:val="94"/>
    <w:autoRedefine/>
    <w:qFormat/>
    <w:uiPriority w:val="0"/>
    <w:rPr>
      <w:rFonts w:eastAsia="宋体"/>
      <w:b/>
      <w:sz w:val="28"/>
      <w:szCs w:val="24"/>
    </w:rPr>
  </w:style>
  <w:style w:type="paragraph" w:customStyle="1" w:styleId="94">
    <w:name w:val="正文数字"/>
    <w:basedOn w:val="89"/>
    <w:link w:val="93"/>
    <w:autoRedefine/>
    <w:qFormat/>
    <w:uiPriority w:val="0"/>
    <w:rPr>
      <w:b/>
    </w:rPr>
  </w:style>
  <w:style w:type="character" w:customStyle="1" w:styleId="95">
    <w:name w:val="单独标题3 Char"/>
    <w:link w:val="96"/>
    <w:autoRedefine/>
    <w:qFormat/>
    <w:uiPriority w:val="0"/>
    <w:rPr>
      <w:rFonts w:ascii="Arial" w:hAnsi="Arial" w:eastAsia="黑体" w:cs="宋体"/>
      <w:b/>
      <w:bCs/>
      <w:sz w:val="28"/>
      <w:szCs w:val="32"/>
    </w:rPr>
  </w:style>
  <w:style w:type="paragraph" w:customStyle="1" w:styleId="96">
    <w:name w:val="单独标题3"/>
    <w:basedOn w:val="1"/>
    <w:link w:val="95"/>
    <w:autoRedefine/>
    <w:qFormat/>
    <w:uiPriority w:val="0"/>
    <w:pPr>
      <w:keepNext/>
      <w:keepLines/>
      <w:spacing w:before="260" w:after="260" w:line="413" w:lineRule="auto"/>
      <w:jc w:val="center"/>
      <w:outlineLvl w:val="1"/>
    </w:pPr>
    <w:rPr>
      <w:rFonts w:ascii="Arial" w:hAnsi="Arial" w:eastAsia="黑体" w:cs="宋体"/>
      <w:b/>
      <w:bCs/>
      <w:sz w:val="28"/>
      <w:szCs w:val="32"/>
    </w:rPr>
  </w:style>
  <w:style w:type="character" w:customStyle="1" w:styleId="97">
    <w:name w:val="正文首行缩进 Char"/>
    <w:basedOn w:val="85"/>
    <w:link w:val="2"/>
    <w:autoRedefine/>
    <w:qFormat/>
    <w:uiPriority w:val="0"/>
    <w:rPr>
      <w:rFonts w:ascii="Times New Roman" w:hAnsi="Times New Roman" w:eastAsia="宋体" w:cs="Times New Roman"/>
      <w:b/>
      <w:kern w:val="2"/>
      <w:sz w:val="21"/>
      <w:szCs w:val="24"/>
    </w:rPr>
  </w:style>
  <w:style w:type="paragraph" w:customStyle="1" w:styleId="98">
    <w:name w:val="Char Char Char Char"/>
    <w:basedOn w:val="1"/>
    <w:autoRedefine/>
    <w:qFormat/>
    <w:uiPriority w:val="0"/>
    <w:rPr>
      <w:rFonts w:ascii="Tahoma" w:hAnsi="Tahoma"/>
      <w:sz w:val="24"/>
    </w:rPr>
  </w:style>
  <w:style w:type="character" w:customStyle="1" w:styleId="99">
    <w:name w:val="章 Char"/>
    <w:link w:val="45"/>
    <w:autoRedefine/>
    <w:qFormat/>
    <w:uiPriority w:val="99"/>
    <w:rPr>
      <w:rFonts w:ascii="Times New Roman" w:hAnsi="Times New Roman" w:eastAsia="宋体" w:cs="Times New Roman"/>
      <w:b/>
      <w:sz w:val="28"/>
      <w:szCs w:val="20"/>
    </w:rPr>
  </w:style>
  <w:style w:type="paragraph" w:customStyle="1" w:styleId="100">
    <w:name w:val="条文说明"/>
    <w:basedOn w:val="50"/>
    <w:autoRedefine/>
    <w:qFormat/>
    <w:uiPriority w:val="0"/>
    <w:pPr>
      <w:ind w:firstLine="480"/>
    </w:pPr>
    <w:rPr>
      <w:rFonts w:eastAsia="仿宋_GB2312"/>
      <w:szCs w:val="24"/>
    </w:rPr>
  </w:style>
  <w:style w:type="character" w:customStyle="1" w:styleId="101">
    <w:name w:val="HTML 预设格式 Char"/>
    <w:basedOn w:val="32"/>
    <w:link w:val="27"/>
    <w:autoRedefine/>
    <w:qFormat/>
    <w:uiPriority w:val="0"/>
    <w:rPr>
      <w:rFonts w:ascii="Lucida Console" w:hAnsi="Lucida Console" w:eastAsia="宋体" w:cs="宋体"/>
      <w:kern w:val="0"/>
      <w:sz w:val="24"/>
      <w:szCs w:val="24"/>
    </w:rPr>
  </w:style>
  <w:style w:type="character" w:customStyle="1" w:styleId="102">
    <w:name w:val="样式 标题 2 + 居中 Char"/>
    <w:link w:val="103"/>
    <w:autoRedefine/>
    <w:qFormat/>
    <w:uiPriority w:val="0"/>
    <w:rPr>
      <w:rFonts w:ascii="Arial" w:hAnsi="Arial" w:eastAsia="黑体" w:cs="宋体"/>
      <w:b/>
      <w:bCs/>
      <w:sz w:val="28"/>
      <w:szCs w:val="32"/>
    </w:rPr>
  </w:style>
  <w:style w:type="paragraph" w:customStyle="1" w:styleId="103">
    <w:name w:val="样式 标题 2 + 居中"/>
    <w:basedOn w:val="5"/>
    <w:link w:val="102"/>
    <w:autoRedefine/>
    <w:qFormat/>
    <w:uiPriority w:val="0"/>
    <w:pPr>
      <w:spacing w:line="413" w:lineRule="auto"/>
      <w:jc w:val="center"/>
    </w:pPr>
    <w:rPr>
      <w:rFonts w:cs="宋体"/>
      <w:sz w:val="28"/>
    </w:rPr>
  </w:style>
  <w:style w:type="paragraph" w:customStyle="1" w:styleId="104">
    <w:name w:val="样式 标题 1 + 二号 居中"/>
    <w:basedOn w:val="4"/>
    <w:autoRedefine/>
    <w:qFormat/>
    <w:uiPriority w:val="0"/>
    <w:pPr>
      <w:tabs>
        <w:tab w:val="clear" w:pos="425"/>
      </w:tabs>
      <w:ind w:left="0" w:firstLine="0"/>
      <w:jc w:val="center"/>
    </w:pPr>
    <w:rPr>
      <w:rFonts w:cs="宋体"/>
      <w:bCs/>
    </w:rPr>
  </w:style>
  <w:style w:type="paragraph" w:customStyle="1" w:styleId="105">
    <w:name w:val="一太郎"/>
    <w:autoRedefine/>
    <w:qFormat/>
    <w:uiPriority w:val="0"/>
    <w:pPr>
      <w:widowControl w:val="0"/>
      <w:wordWrap w:val="0"/>
      <w:autoSpaceDE w:val="0"/>
      <w:autoSpaceDN w:val="0"/>
      <w:adjustRightInd w:val="0"/>
      <w:spacing w:line="309" w:lineRule="exact"/>
      <w:jc w:val="both"/>
    </w:pPr>
    <w:rPr>
      <w:rFonts w:ascii="Times New Roman" w:hAnsi="Times New Roman" w:eastAsia="MS Mincho" w:cs="MS Mincho"/>
      <w:sz w:val="21"/>
      <w:szCs w:val="21"/>
      <w:lang w:val="en-US" w:eastAsia="ja-JP" w:bidi="ar-SA"/>
    </w:rPr>
  </w:style>
  <w:style w:type="paragraph" w:customStyle="1" w:styleId="106">
    <w:name w:val="Char Char Char Char Char Char"/>
    <w:basedOn w:val="1"/>
    <w:autoRedefine/>
    <w:qFormat/>
    <w:uiPriority w:val="0"/>
    <w:pPr>
      <w:widowControl/>
      <w:spacing w:after="160" w:line="240" w:lineRule="exact"/>
      <w:ind w:firstLine="200" w:firstLineChars="200"/>
      <w:jc w:val="left"/>
    </w:pPr>
  </w:style>
  <w:style w:type="paragraph" w:customStyle="1" w:styleId="107">
    <w:name w:val="修订1"/>
    <w:autoRedefine/>
    <w:hidden/>
    <w:semiHidden/>
    <w:qFormat/>
    <w:uiPriority w:val="99"/>
    <w:rPr>
      <w:rFonts w:ascii="Times New Roman" w:hAnsi="Times New Roman" w:eastAsia="宋体" w:cs="Times New Roman"/>
      <w:kern w:val="2"/>
      <w:sz w:val="21"/>
      <w:lang w:val="en-US" w:eastAsia="zh-CN" w:bidi="ar-SA"/>
    </w:rPr>
  </w:style>
  <w:style w:type="paragraph" w:customStyle="1" w:styleId="108">
    <w:name w:val="Char Char Char Char Char Char Char Char Char Char Char Char Char Char Char"/>
    <w:basedOn w:val="1"/>
    <w:autoRedefine/>
    <w:qFormat/>
    <w:uiPriority w:val="0"/>
    <w:pPr>
      <w:widowControl/>
      <w:spacing w:after="160" w:line="240" w:lineRule="exact"/>
      <w:ind w:firstLine="200" w:firstLineChars="200"/>
      <w:jc w:val="left"/>
    </w:pPr>
  </w:style>
  <w:style w:type="paragraph" w:customStyle="1" w:styleId="109">
    <w:name w:val="Char Char Char Char Char Char Char Char Char Char Char Char Char Char Char Char Char Char Char Char Char Char Char Char Char"/>
    <w:basedOn w:val="1"/>
    <w:autoRedefine/>
    <w:qFormat/>
    <w:uiPriority w:val="0"/>
    <w:pPr>
      <w:widowControl/>
      <w:spacing w:after="160" w:line="240" w:lineRule="exact"/>
      <w:ind w:firstLine="200" w:firstLineChars="200"/>
      <w:jc w:val="left"/>
    </w:pPr>
  </w:style>
  <w:style w:type="paragraph" w:customStyle="1" w:styleId="110">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111">
    <w:name w:val="段 Char"/>
    <w:link w:val="112"/>
    <w:autoRedefine/>
    <w:qFormat/>
    <w:uiPriority w:val="0"/>
    <w:rPr>
      <w:rFonts w:ascii="宋体"/>
    </w:rPr>
  </w:style>
  <w:style w:type="paragraph" w:customStyle="1" w:styleId="112">
    <w:name w:val="段"/>
    <w:link w:val="111"/>
    <w:autoRedefine/>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113">
    <w:name w:val="一级条标题"/>
    <w:next w:val="112"/>
    <w:autoRedefine/>
    <w:qFormat/>
    <w:uiPriority w:val="0"/>
    <w:pPr>
      <w:tabs>
        <w:tab w:val="left" w:pos="1680"/>
      </w:tabs>
      <w:spacing w:beforeLines="50" w:afterLines="50"/>
      <w:ind w:left="1260" w:hanging="420"/>
      <w:outlineLvl w:val="2"/>
    </w:pPr>
    <w:rPr>
      <w:rFonts w:ascii="黑体" w:hAnsi="Times New Roman" w:eastAsia="黑体" w:cs="Times New Roman"/>
      <w:sz w:val="21"/>
      <w:szCs w:val="21"/>
      <w:lang w:val="en-US" w:eastAsia="zh-CN" w:bidi="ar-SA"/>
    </w:rPr>
  </w:style>
  <w:style w:type="character" w:customStyle="1" w:styleId="114">
    <w:name w:val="def"/>
    <w:basedOn w:val="32"/>
    <w:autoRedefine/>
    <w:qFormat/>
    <w:uiPriority w:val="0"/>
  </w:style>
  <w:style w:type="paragraph" w:customStyle="1" w:styleId="115">
    <w:name w:val="Char Char Char Char Char Char Char2"/>
    <w:basedOn w:val="1"/>
    <w:autoRedefine/>
    <w:qFormat/>
    <w:uiPriority w:val="0"/>
    <w:pPr>
      <w:widowControl/>
      <w:topLinePunct/>
      <w:adjustRightInd w:val="0"/>
      <w:spacing w:after="160" w:line="240" w:lineRule="exact"/>
      <w:jc w:val="left"/>
    </w:pPr>
    <w:rPr>
      <w:rFonts w:ascii="Arial" w:hAnsi="Arial" w:eastAsia="Times New Roman" w:cs="Verdana"/>
      <w:b/>
      <w:kern w:val="0"/>
      <w:sz w:val="24"/>
      <w:szCs w:val="24"/>
      <w:lang w:eastAsia="en-US"/>
    </w:rPr>
  </w:style>
  <w:style w:type="character" w:customStyle="1" w:styleId="116">
    <w:name w:val="标准正文 Char"/>
    <w:link w:val="117"/>
    <w:autoRedefine/>
    <w:qFormat/>
    <w:uiPriority w:val="0"/>
    <w:rPr>
      <w:rFonts w:ascii="宋体" w:hAnsi="宋体"/>
      <w:color w:val="000000"/>
      <w:szCs w:val="21"/>
    </w:rPr>
  </w:style>
  <w:style w:type="paragraph" w:customStyle="1" w:styleId="117">
    <w:name w:val="标准正文"/>
    <w:basedOn w:val="1"/>
    <w:link w:val="116"/>
    <w:autoRedefine/>
    <w:qFormat/>
    <w:uiPriority w:val="0"/>
    <w:pPr>
      <w:tabs>
        <w:tab w:val="left" w:pos="540"/>
        <w:tab w:val="left" w:pos="720"/>
        <w:tab w:val="left" w:pos="900"/>
        <w:tab w:val="left" w:pos="1080"/>
      </w:tabs>
      <w:snapToGrid w:val="0"/>
      <w:spacing w:line="288" w:lineRule="auto"/>
    </w:pPr>
    <w:rPr>
      <w:rFonts w:ascii="宋体" w:hAnsi="宋体" w:eastAsiaTheme="minorEastAsia" w:cstheme="minorBidi"/>
      <w:color w:val="000000"/>
      <w:szCs w:val="21"/>
    </w:rPr>
  </w:style>
  <w:style w:type="paragraph" w:customStyle="1" w:styleId="118">
    <w:name w:val="表格中的文字"/>
    <w:basedOn w:val="1"/>
    <w:autoRedefine/>
    <w:qFormat/>
    <w:uiPriority w:val="0"/>
    <w:pPr>
      <w:autoSpaceDE w:val="0"/>
      <w:autoSpaceDN w:val="0"/>
      <w:adjustRightInd w:val="0"/>
      <w:spacing w:line="288" w:lineRule="auto"/>
      <w:jc w:val="center"/>
    </w:pPr>
    <w:rPr>
      <w:rFonts w:ascii="宋体" w:hAnsi="宋体"/>
      <w:color w:val="000000"/>
      <w:kern w:val="0"/>
      <w:sz w:val="15"/>
      <w:szCs w:val="15"/>
    </w:rPr>
  </w:style>
  <w:style w:type="paragraph" w:customStyle="1" w:styleId="119">
    <w:name w:val="表题及表序号"/>
    <w:basedOn w:val="1"/>
    <w:autoRedefine/>
    <w:qFormat/>
    <w:uiPriority w:val="0"/>
    <w:pPr>
      <w:widowControl/>
      <w:autoSpaceDE w:val="0"/>
      <w:autoSpaceDN w:val="0"/>
      <w:spacing w:line="288" w:lineRule="auto"/>
      <w:ind w:firstLine="180" w:firstLineChars="100"/>
      <w:jc w:val="center"/>
    </w:pPr>
    <w:rPr>
      <w:rFonts w:ascii="黑体" w:eastAsia="黑体"/>
      <w:kern w:val="0"/>
      <w:sz w:val="18"/>
      <w:szCs w:val="18"/>
    </w:rPr>
  </w:style>
  <w:style w:type="character" w:customStyle="1" w:styleId="120">
    <w:name w:val="列出段落 Char"/>
    <w:link w:val="81"/>
    <w:autoRedefine/>
    <w:qFormat/>
    <w:locked/>
    <w:uiPriority w:val="99"/>
    <w:rPr>
      <w:rFonts w:ascii="Calibri" w:hAnsi="Calibri" w:eastAsia="宋体" w:cs="Times New Roman"/>
    </w:rPr>
  </w:style>
  <w:style w:type="paragraph" w:customStyle="1" w:styleId="121">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图片文字"/>
    <w:next w:val="1"/>
    <w:autoRedefine/>
    <w:qFormat/>
    <w:uiPriority w:val="99"/>
    <w:pPr>
      <w:spacing w:line="360" w:lineRule="auto"/>
      <w:jc w:val="center"/>
    </w:pPr>
    <w:rPr>
      <w:rFonts w:ascii="Times New Roman" w:hAnsi="Times New Roman" w:eastAsia="宋体" w:cs="Times New Roman"/>
      <w:lang w:val="en-US" w:eastAsia="zh-CN" w:bidi="ar-SA"/>
    </w:rPr>
  </w:style>
  <w:style w:type="paragraph" w:customStyle="1" w:styleId="123">
    <w:name w:val="列出段落1"/>
    <w:basedOn w:val="1"/>
    <w:autoRedefine/>
    <w:qFormat/>
    <w:uiPriority w:val="34"/>
    <w:pPr>
      <w:ind w:firstLine="420" w:firstLineChars="200"/>
    </w:pPr>
    <w:rPr>
      <w:rFonts w:ascii="Calibri" w:hAnsi="Calibri"/>
      <w:szCs w:val="22"/>
    </w:rPr>
  </w:style>
  <w:style w:type="paragraph" w:styleId="124">
    <w:name w:val="No Spacing"/>
    <w:basedOn w:val="1"/>
    <w:link w:val="125"/>
    <w:autoRedefine/>
    <w:qFormat/>
    <w:uiPriority w:val="99"/>
    <w:pPr>
      <w:widowControl/>
      <w:jc w:val="left"/>
    </w:pPr>
    <w:rPr>
      <w:rFonts w:ascii="Calibri" w:hAnsi="Calibri"/>
      <w:kern w:val="0"/>
      <w:sz w:val="24"/>
      <w:szCs w:val="32"/>
      <w:lang w:eastAsia="en-US" w:bidi="en-US"/>
    </w:rPr>
  </w:style>
  <w:style w:type="character" w:customStyle="1" w:styleId="125">
    <w:name w:val="无间隔 Char"/>
    <w:link w:val="124"/>
    <w:autoRedefine/>
    <w:qFormat/>
    <w:uiPriority w:val="1"/>
    <w:rPr>
      <w:rFonts w:ascii="Calibri" w:hAnsi="Calibri" w:eastAsia="宋体" w:cs="Times New Roman"/>
      <w:kern w:val="0"/>
      <w:sz w:val="24"/>
      <w:szCs w:val="32"/>
      <w:lang w:eastAsia="en-US" w:bidi="en-US"/>
    </w:rPr>
  </w:style>
  <w:style w:type="character" w:customStyle="1" w:styleId="126">
    <w:name w:val="三级标题标题无缩进 Char Char"/>
    <w:autoRedefine/>
    <w:qFormat/>
    <w:locked/>
    <w:uiPriority w:val="0"/>
    <w:rPr>
      <w:rFonts w:cs="Calibri"/>
      <w:sz w:val="24"/>
    </w:rPr>
  </w:style>
  <w:style w:type="character" w:styleId="127">
    <w:name w:val="Placeholder Text"/>
    <w:basedOn w:val="32"/>
    <w:autoRedefine/>
    <w:semiHidden/>
    <w:qFormat/>
    <w:uiPriority w:val="99"/>
    <w:rPr>
      <w:color w:val="808080"/>
    </w:rPr>
  </w:style>
  <w:style w:type="table" w:customStyle="1" w:styleId="128">
    <w:name w:val="网格型浅色1"/>
    <w:basedOn w:val="30"/>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customStyle="1" w:styleId="129">
    <w:name w:val="条文中图名"/>
    <w:basedOn w:val="1"/>
    <w:autoRedefine/>
    <w:qFormat/>
    <w:uiPriority w:val="99"/>
    <w:pPr>
      <w:jc w:val="center"/>
    </w:pPr>
    <w:rPr>
      <w:rFonts w:ascii="宋体" w:hAnsi="宋体"/>
      <w:sz w:val="18"/>
      <w:szCs w:val="18"/>
    </w:rPr>
  </w:style>
  <w:style w:type="paragraph" w:customStyle="1" w:styleId="130">
    <w:name w:val="列出段落2"/>
    <w:basedOn w:val="1"/>
    <w:autoRedefine/>
    <w:qFormat/>
    <w:uiPriority w:val="99"/>
    <w:rPr>
      <w:rFonts w:ascii="Calibri" w:hAnsi="Calibri" w:cs="Calibri"/>
      <w:szCs w:val="22"/>
    </w:rPr>
  </w:style>
  <w:style w:type="paragraph" w:customStyle="1" w:styleId="131">
    <w:name w:val="缩进正文"/>
    <w:basedOn w:val="1"/>
    <w:link w:val="132"/>
    <w:autoRedefine/>
    <w:qFormat/>
    <w:uiPriority w:val="0"/>
    <w:pPr>
      <w:widowControl/>
      <w:adjustRightInd w:val="0"/>
      <w:snapToGrid w:val="0"/>
      <w:spacing w:line="400" w:lineRule="exact"/>
      <w:ind w:firstLine="200" w:firstLineChars="200"/>
      <w:jc w:val="left"/>
    </w:pPr>
    <w:rPr>
      <w:sz w:val="24"/>
      <w:szCs w:val="24"/>
    </w:rPr>
  </w:style>
  <w:style w:type="character" w:customStyle="1" w:styleId="132">
    <w:name w:val="缩进正文 字符"/>
    <w:basedOn w:val="32"/>
    <w:link w:val="131"/>
    <w:autoRedefine/>
    <w:qFormat/>
    <w:uiPriority w:val="0"/>
    <w:rPr>
      <w:rFonts w:ascii="Times New Roman" w:hAnsi="Times New Roman" w:eastAsia="宋体" w:cs="Times New Roman"/>
      <w:sz w:val="24"/>
      <w:szCs w:val="24"/>
    </w:rPr>
  </w:style>
  <w:style w:type="paragraph" w:customStyle="1" w:styleId="133">
    <w:name w:val="列出段落3"/>
    <w:basedOn w:val="1"/>
    <w:autoRedefine/>
    <w:qFormat/>
    <w:uiPriority w:val="99"/>
    <w:pPr>
      <w:ind w:firstLine="420" w:firstLineChars="200"/>
    </w:pPr>
  </w:style>
  <w:style w:type="paragraph" w:customStyle="1" w:styleId="134">
    <w:name w:val="注×：（正文）"/>
    <w:autoRedefine/>
    <w:qFormat/>
    <w:uiPriority w:val="0"/>
    <w:pPr>
      <w:jc w:val="both"/>
    </w:pPr>
    <w:rPr>
      <w:rFonts w:ascii="宋体" w:hAnsi="Times New Roman" w:eastAsia="宋体" w:cs="Times New Roman"/>
      <w:sz w:val="18"/>
      <w:szCs w:val="18"/>
      <w:lang w:val="en-US" w:eastAsia="zh-CN" w:bidi="ar-SA"/>
    </w:rPr>
  </w:style>
  <w:style w:type="paragraph" w:customStyle="1" w:styleId="135">
    <w:name w:val="C条文说明"/>
    <w:basedOn w:val="1"/>
    <w:autoRedefine/>
    <w:qFormat/>
    <w:uiPriority w:val="0"/>
    <w:pPr>
      <w:adjustRightInd w:val="0"/>
      <w:snapToGrid w:val="0"/>
    </w:pPr>
    <w:rPr>
      <w:rFonts w:eastAsia="楷体_GB2312"/>
      <w:szCs w:val="24"/>
    </w:rPr>
  </w:style>
  <w:style w:type="paragraph" w:customStyle="1" w:styleId="136">
    <w:name w:val="修订2"/>
    <w:autoRedefine/>
    <w:hidden/>
    <w:semiHidden/>
    <w:qFormat/>
    <w:uiPriority w:val="99"/>
    <w:rPr>
      <w:rFonts w:ascii="Times New Roman" w:hAnsi="Times New Roman" w:eastAsia="宋体" w:cs="Times New Roman"/>
      <w:kern w:val="2"/>
      <w:sz w:val="21"/>
      <w:lang w:val="en-US" w:eastAsia="zh-CN" w:bidi="ar-SA"/>
    </w:rPr>
  </w:style>
  <w:style w:type="paragraph" w:customStyle="1" w:styleId="137">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138">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139">
    <w:name w:val="p0"/>
    <w:basedOn w:val="1"/>
    <w:autoRedefine/>
    <w:qFormat/>
    <w:uiPriority w:val="0"/>
    <w:pPr>
      <w:widowControl/>
    </w:pPr>
    <w:rPr>
      <w:kern w:val="0"/>
      <w:szCs w:val="21"/>
    </w:rPr>
  </w:style>
  <w:style w:type="paragraph" w:customStyle="1" w:styleId="140">
    <w:name w:val="修订5"/>
    <w:autoRedefine/>
    <w:hidden/>
    <w:semiHidden/>
    <w:qFormat/>
    <w:uiPriority w:val="99"/>
    <w:rPr>
      <w:rFonts w:ascii="Times New Roman" w:hAnsi="Times New Roman" w:eastAsia="宋体" w:cs="Times New Roman"/>
      <w:kern w:val="2"/>
      <w:sz w:val="21"/>
      <w:lang w:val="en-US" w:eastAsia="zh-CN" w:bidi="ar-SA"/>
    </w:rPr>
  </w:style>
  <w:style w:type="paragraph" w:customStyle="1" w:styleId="141">
    <w:name w:val="修订6"/>
    <w:autoRedefine/>
    <w:hidden/>
    <w:semiHidden/>
    <w:qFormat/>
    <w:uiPriority w:val="99"/>
    <w:rPr>
      <w:rFonts w:ascii="Times New Roman" w:hAnsi="Times New Roman" w:eastAsia="宋体" w:cs="Times New Roman"/>
      <w:kern w:val="2"/>
      <w:sz w:val="21"/>
      <w:lang w:val="en-US" w:eastAsia="zh-CN" w:bidi="ar-SA"/>
    </w:rPr>
  </w:style>
  <w:style w:type="character" w:customStyle="1" w:styleId="142">
    <w:name w:val="标题 1 字符2"/>
    <w:autoRedefine/>
    <w:qFormat/>
    <w:uiPriority w:val="0"/>
    <w:rPr>
      <w:rFonts w:ascii="宋体" w:hAnsi="宋体" w:eastAsia="宋体"/>
      <w:b/>
      <w:kern w:val="2"/>
      <w:sz w:val="32"/>
      <w:szCs w:val="24"/>
    </w:rPr>
  </w:style>
  <w:style w:type="paragraph" w:customStyle="1" w:styleId="14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44">
    <w:name w:val="修订7"/>
    <w:autoRedefine/>
    <w:hidden/>
    <w:semiHidden/>
    <w:qFormat/>
    <w:uiPriority w:val="99"/>
    <w:rPr>
      <w:rFonts w:ascii="Times New Roman" w:hAnsi="Times New Roman" w:eastAsia="宋体" w:cs="Times New Roman"/>
      <w:kern w:val="2"/>
      <w:sz w:val="21"/>
      <w:lang w:val="en-US" w:eastAsia="zh-CN" w:bidi="ar-SA"/>
    </w:rPr>
  </w:style>
  <w:style w:type="paragraph" w:customStyle="1" w:styleId="145">
    <w:name w:val="p_normal"/>
    <w:basedOn w:val="1"/>
    <w:autoRedefine/>
    <w:qFormat/>
    <w:uiPriority w:val="0"/>
    <w:pPr>
      <w:widowControl/>
      <w:spacing w:before="100" w:beforeAutospacing="1" w:after="100" w:afterAutospacing="1"/>
      <w:jc w:val="left"/>
    </w:pPr>
    <w:rPr>
      <w:rFonts w:ascii="宋体" w:hAnsi="宋体" w:cs="宋体"/>
      <w:kern w:val="0"/>
      <w:sz w:val="24"/>
      <w:szCs w:val="24"/>
    </w:rPr>
  </w:style>
  <w:style w:type="table" w:customStyle="1" w:styleId="146">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47">
    <w:name w:val="Table Paragraph"/>
    <w:basedOn w:val="1"/>
    <w:autoRedefine/>
    <w:qFormat/>
    <w:uiPriority w:val="1"/>
    <w:pPr>
      <w:autoSpaceDE w:val="0"/>
      <w:autoSpaceDN w:val="0"/>
      <w:spacing w:before="40"/>
      <w:jc w:val="center"/>
    </w:pPr>
    <w:rPr>
      <w:rFonts w:eastAsia="Times New Roman"/>
      <w:kern w:val="0"/>
      <w:sz w:val="22"/>
      <w:szCs w:val="22"/>
      <w:lang w:eastAsia="en-US"/>
    </w:rPr>
  </w:style>
  <w:style w:type="paragraph" w:customStyle="1" w:styleId="148">
    <w:name w:val="修订8"/>
    <w:autoRedefine/>
    <w:hidden/>
    <w:unhideWhenUsed/>
    <w:qFormat/>
    <w:uiPriority w:val="99"/>
    <w:rPr>
      <w:rFonts w:ascii="Times New Roman" w:hAnsi="Times New Roman" w:eastAsia="宋体" w:cs="Times New Roman"/>
      <w:kern w:val="2"/>
      <w:sz w:val="21"/>
      <w:lang w:val="en-US" w:eastAsia="zh-CN" w:bidi="ar-SA"/>
    </w:rPr>
  </w:style>
  <w:style w:type="paragraph" w:customStyle="1" w:styleId="149">
    <w:name w:val="修订9"/>
    <w:autoRedefine/>
    <w:hidden/>
    <w:unhideWhenUsed/>
    <w:qFormat/>
    <w:uiPriority w:val="99"/>
    <w:rPr>
      <w:rFonts w:ascii="Times New Roman" w:hAnsi="Times New Roman" w:eastAsia="宋体" w:cs="Times New Roman"/>
      <w:kern w:val="2"/>
      <w:sz w:val="21"/>
      <w:lang w:val="en-US" w:eastAsia="zh-CN" w:bidi="ar-SA"/>
    </w:rPr>
  </w:style>
  <w:style w:type="paragraph" w:customStyle="1" w:styleId="150">
    <w:name w:val="修订10"/>
    <w:autoRedefine/>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47.wmf"/><Relationship Id="rId73" Type="http://schemas.openxmlformats.org/officeDocument/2006/relationships/oleObject" Target="embeddings/oleObject17.bin"/><Relationship Id="rId72" Type="http://schemas.openxmlformats.org/officeDocument/2006/relationships/image" Target="media/image46.emf"/><Relationship Id="rId71" Type="http://schemas.openxmlformats.org/officeDocument/2006/relationships/image" Target="media/image45.emf"/><Relationship Id="rId70" Type="http://schemas.openxmlformats.org/officeDocument/2006/relationships/image" Target="media/image44.png"/><Relationship Id="rId7" Type="http://schemas.openxmlformats.org/officeDocument/2006/relationships/footer" Target="footer5.xml"/><Relationship Id="rId69" Type="http://schemas.openxmlformats.org/officeDocument/2006/relationships/image" Target="media/image43.png"/><Relationship Id="rId68" Type="http://schemas.openxmlformats.org/officeDocument/2006/relationships/image" Target="media/image42.emf"/><Relationship Id="rId67" Type="http://schemas.openxmlformats.org/officeDocument/2006/relationships/image" Target="media/image41.emf"/><Relationship Id="rId66" Type="http://schemas.openxmlformats.org/officeDocument/2006/relationships/image" Target="media/image40.emf"/><Relationship Id="rId65" Type="http://schemas.openxmlformats.org/officeDocument/2006/relationships/image" Target="media/image39.emf"/><Relationship Id="rId64" Type="http://schemas.openxmlformats.org/officeDocument/2006/relationships/image" Target="media/image38.emf"/><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4.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emf"/><Relationship Id="rId56" Type="http://schemas.openxmlformats.org/officeDocument/2006/relationships/image" Target="media/image30.emf"/><Relationship Id="rId55" Type="http://schemas.openxmlformats.org/officeDocument/2006/relationships/image" Target="media/image29.emf"/><Relationship Id="rId54" Type="http://schemas.openxmlformats.org/officeDocument/2006/relationships/image" Target="media/image28.emf"/><Relationship Id="rId53" Type="http://schemas.openxmlformats.org/officeDocument/2006/relationships/image" Target="media/image27.emf"/><Relationship Id="rId52" Type="http://schemas.openxmlformats.org/officeDocument/2006/relationships/image" Target="media/image26.png"/><Relationship Id="rId51" Type="http://schemas.openxmlformats.org/officeDocument/2006/relationships/image" Target="media/image25.emf"/><Relationship Id="rId50" Type="http://schemas.openxmlformats.org/officeDocument/2006/relationships/image" Target="media/image24.emf"/><Relationship Id="rId5" Type="http://schemas.openxmlformats.org/officeDocument/2006/relationships/footer" Target="footer3.xml"/><Relationship Id="rId49" Type="http://schemas.openxmlformats.org/officeDocument/2006/relationships/image" Target="media/image23.emf"/><Relationship Id="rId48" Type="http://schemas.openxmlformats.org/officeDocument/2006/relationships/image" Target="media/image22.emf"/><Relationship Id="rId47" Type="http://schemas.openxmlformats.org/officeDocument/2006/relationships/image" Target="media/image21.emf"/><Relationship Id="rId46" Type="http://schemas.openxmlformats.org/officeDocument/2006/relationships/image" Target="media/image20.emf"/><Relationship Id="rId45" Type="http://schemas.openxmlformats.org/officeDocument/2006/relationships/image" Target="media/image19.emf"/><Relationship Id="rId44" Type="http://schemas.openxmlformats.org/officeDocument/2006/relationships/image" Target="media/image18.emf"/><Relationship Id="rId43" Type="http://schemas.openxmlformats.org/officeDocument/2006/relationships/image" Target="media/image17.wmf"/><Relationship Id="rId42" Type="http://schemas.openxmlformats.org/officeDocument/2006/relationships/oleObject" Target="embeddings/oleObject16.bin"/><Relationship Id="rId41" Type="http://schemas.openxmlformats.org/officeDocument/2006/relationships/image" Target="media/image16.w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15.wmf"/><Relationship Id="rId38" Type="http://schemas.openxmlformats.org/officeDocument/2006/relationships/oleObject" Target="embeddings/oleObject14.bin"/><Relationship Id="rId37" Type="http://schemas.openxmlformats.org/officeDocument/2006/relationships/image" Target="media/image14.wmf"/><Relationship Id="rId36" Type="http://schemas.openxmlformats.org/officeDocument/2006/relationships/oleObject" Target="embeddings/oleObject13.bin"/><Relationship Id="rId35" Type="http://schemas.openxmlformats.org/officeDocument/2006/relationships/image" Target="media/image13.wmf"/><Relationship Id="rId34" Type="http://schemas.openxmlformats.org/officeDocument/2006/relationships/oleObject" Target="embeddings/oleObject12.bin"/><Relationship Id="rId33" Type="http://schemas.openxmlformats.org/officeDocument/2006/relationships/image" Target="media/image12.wmf"/><Relationship Id="rId32" Type="http://schemas.openxmlformats.org/officeDocument/2006/relationships/oleObject" Target="embeddings/oleObject11.bin"/><Relationship Id="rId31" Type="http://schemas.openxmlformats.org/officeDocument/2006/relationships/image" Target="media/image11.w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0.wmf"/><Relationship Id="rId28" Type="http://schemas.openxmlformats.org/officeDocument/2006/relationships/oleObject" Target="embeddings/oleObject9.bin"/><Relationship Id="rId27" Type="http://schemas.openxmlformats.org/officeDocument/2006/relationships/image" Target="media/image9.wmf"/><Relationship Id="rId26" Type="http://schemas.openxmlformats.org/officeDocument/2006/relationships/oleObject" Target="embeddings/oleObject8.bin"/><Relationship Id="rId25" Type="http://schemas.openxmlformats.org/officeDocument/2006/relationships/image" Target="media/image8.wmf"/><Relationship Id="rId24" Type="http://schemas.openxmlformats.org/officeDocument/2006/relationships/oleObject" Target="embeddings/oleObject7.bin"/><Relationship Id="rId23" Type="http://schemas.openxmlformats.org/officeDocument/2006/relationships/image" Target="media/image7.wmf"/><Relationship Id="rId22" Type="http://schemas.openxmlformats.org/officeDocument/2006/relationships/oleObject" Target="embeddings/oleObject6.bin"/><Relationship Id="rId21" Type="http://schemas.openxmlformats.org/officeDocument/2006/relationships/image" Target="media/image6.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4.bin"/><Relationship Id="rId17" Type="http://schemas.openxmlformats.org/officeDocument/2006/relationships/image" Target="media/image4.wmf"/><Relationship Id="rId16" Type="http://schemas.openxmlformats.org/officeDocument/2006/relationships/oleObject" Target="embeddings/oleObject3.bin"/><Relationship Id="rId15" Type="http://schemas.openxmlformats.org/officeDocument/2006/relationships/image" Target="media/image3.wmf"/><Relationship Id="rId14" Type="http://schemas.openxmlformats.org/officeDocument/2006/relationships/oleObject" Target="embeddings/oleObject2.bin"/><Relationship Id="rId13" Type="http://schemas.openxmlformats.org/officeDocument/2006/relationships/image" Target="media/image2.w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20FDE4-58EE-4188-A225-B468CCF82B72}">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58</Pages>
  <Words>5166</Words>
  <Characters>29447</Characters>
  <Lines>245</Lines>
  <Paragraphs>69</Paragraphs>
  <TotalTime>2047</TotalTime>
  <ScaleCrop>false</ScaleCrop>
  <LinksUpToDate>false</LinksUpToDate>
  <CharactersWithSpaces>34544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2024-02-29T02:33:00Z</dcterms:created>
  <dc:creator>pc</dc:creator>
  <cp:lastModifiedBy>小助手</cp:lastModifiedBy>
  <cp:lastPrinted>2024-01-08T02:16:00Z</cp:lastPrinted>
  <dcterms:modified xsi:type="dcterms:W3CDTF">2024-04-02T06:56:48Z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rammarlyDocumentId">
    <vt:lpwstr>883a2fe9b44dd6edd962f29203e651af112fc74e0c35eccf04b97c023bf87e39</vt:lpwstr>
  </property>
  <property fmtid="{D5CDD505-2E9C-101B-9397-08002B2CF9AE}" pid="4" name="ICV">
    <vt:lpwstr>34747B607C9C46FE8AC804544763B835_13</vt:lpwstr>
  </property>
</Properties>
</file>