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rPr>
      </w:pPr>
      <w:bookmarkStart w:id="0" w:name="_Hlk518993094"/>
      <w:bookmarkEnd w:id="0"/>
      <w:bookmarkStart w:id="1" w:name="_Toc278960335"/>
    </w:p>
    <w:p>
      <w:pPr>
        <w:rPr>
          <w:rFonts w:ascii="Times New Roman" w:hAnsi="Times New Roman"/>
        </w:rPr>
      </w:pPr>
      <w:r>
        <w:rPr>
          <w:rFonts w:ascii="Times New Roman" w:hAnsi="Times New Roman" w:eastAsia="黑体"/>
          <w:b/>
          <w:sz w:val="32"/>
        </w:rPr>
        <w:drawing>
          <wp:inline distT="0" distB="0" distL="0" distR="0">
            <wp:extent cx="1533525" cy="1057275"/>
            <wp:effectExtent l="0" t="0" r="9525" b="9525"/>
            <wp:docPr id="4" name="图片 4" descr="E:\BIM\P-BIM协会标准\P-BIM标准2016年工作\发布\更新\协会商标（黑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BIM\P-BIM协会标准\P-BIM标准2016年工作\发布\更新\协会商标（黑白）.jpg"/>
                    <pic:cNvPicPr>
                      <a:picLocks noChangeAspect="1" noChangeArrowheads="1"/>
                    </pic:cNvPicPr>
                  </pic:nvPicPr>
                  <pic:blipFill>
                    <a:blip r:embed="rId16">
                      <a:extLst>
                        <a:ext uri="{28A0092B-C50C-407E-A947-70E740481C1C}">
                          <a14:useLocalDpi xmlns:a14="http://schemas.microsoft.com/office/drawing/2010/main" val="0"/>
                        </a:ext>
                      </a:extLst>
                    </a:blip>
                    <a:srcRect l="11160" t="15569" r="13821" b="18562"/>
                    <a:stretch>
                      <a:fillRect/>
                    </a:stretch>
                  </pic:blipFill>
                  <pic:spPr>
                    <a:xfrm>
                      <a:off x="0" y="0"/>
                      <a:ext cx="1533525" cy="1057275"/>
                    </a:xfrm>
                    <a:prstGeom prst="rect">
                      <a:avLst/>
                    </a:prstGeom>
                    <a:noFill/>
                    <a:ln>
                      <a:noFill/>
                    </a:ln>
                  </pic:spPr>
                </pic:pic>
              </a:graphicData>
            </a:graphic>
          </wp:inline>
        </w:drawing>
      </w:r>
      <w:r>
        <w:rPr>
          <w:rFonts w:ascii="Times New Roman" w:hAnsi="Times New Roman"/>
        </w:rPr>
        <w:t xml:space="preserve">                                   </w:t>
      </w:r>
    </w:p>
    <w:p>
      <w:pPr>
        <w:jc w:val="right"/>
        <w:rPr>
          <w:rFonts w:ascii="Times New Roman" w:hAnsi="Times New Roman" w:eastAsia="华文仿宋"/>
          <w:sz w:val="36"/>
          <w:szCs w:val="36"/>
        </w:rPr>
      </w:pPr>
      <w:r>
        <w:rPr>
          <w:rFonts w:ascii="Times New Roman" w:hAnsi="Times New Roman" w:eastAsia="华文仿宋"/>
          <w:sz w:val="36"/>
          <w:szCs w:val="36"/>
        </w:rPr>
        <w:t>T/CECS</w:t>
      </w:r>
      <w:r>
        <w:rPr>
          <w:rFonts w:hint="eastAsia" w:ascii="Times New Roman" w:hAnsi="Times New Roman" w:eastAsia="华文仿宋"/>
          <w:sz w:val="36"/>
          <w:szCs w:val="36"/>
        </w:rPr>
        <w:t>×××</w:t>
      </w:r>
      <w:bookmarkEnd w:id="1"/>
      <w:r>
        <w:rPr>
          <w:rFonts w:ascii="Times New Roman" w:hAnsi="Times New Roman" w:eastAsia="华文仿宋"/>
          <w:sz w:val="36"/>
          <w:szCs w:val="36"/>
        </w:rPr>
        <w:t>-202X</w:t>
      </w:r>
    </w:p>
    <w:p>
      <w:pPr>
        <w:rPr>
          <w:rFonts w:ascii="Times New Roman" w:hAnsi="Times New Roman"/>
        </w:rPr>
      </w:pPr>
      <w:r>
        <w:rPr>
          <w:rFonts w:ascii="Times New Roman" w:hAnsi="Times New Roman"/>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98425</wp:posOffset>
                </wp:positionV>
                <wp:extent cx="5143500" cy="0"/>
                <wp:effectExtent l="0" t="0" r="19050" b="19050"/>
                <wp:wrapNone/>
                <wp:docPr id="88" name="直线 81"/>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ln>
                      </wps:spPr>
                      <wps:bodyPr/>
                    </wps:wsp>
                  </a:graphicData>
                </a:graphic>
              </wp:anchor>
            </w:drawing>
          </mc:Choice>
          <mc:Fallback>
            <w:pict>
              <v:line id="直线 81" o:spid="_x0000_s1026" o:spt="20" style="position:absolute;left:0pt;margin-left:0pt;margin-top:7.75pt;height:0pt;width:405pt;z-index:251659264;mso-width-relative:page;mso-height-relative:page;" filled="f" stroked="t" coordsize="21600,21600" o:gfxdata="UEsDBAoAAAAAAIdO4kAAAAAAAAAAAAAAAAAEAAAAZHJzL1BLAwQUAAAACACHTuJATw+DMdIAAAAG&#10;AQAADwAAAGRycy9kb3ducmV2LnhtbE2PTU/DMAyG70j8h8hIXCaWdNPQVJrusNEbFwaIq9eYtqJx&#10;uib7gF8/Iw5w9PNarx8Xq7Pv1ZHG2AW2kE0NKOI6uI4bC68v1d0SVEzIDvvAZOGLIqzK66sCcxdO&#10;/EzHbWqUlHDM0UKb0pBrHeuWPMZpGIgl+wijxyTj2Gg34knKfa9nxtxrjx3LhRYHWrdUf24P3kKs&#10;3mhffU/qiXmfN4Fm+83TI1p7e5OZB1CJzulvGX70RR1KcdqFA7uoegvySBK6WICSdJkZAbtfoMtC&#10;/9cvL1BLAwQUAAAACACHTuJA01RcitcBAACjAwAADgAAAGRycy9lMm9Eb2MueG1srVPBjtMwEL0j&#10;8Q+W7zRtoahETffQarksUGmXD3AdJ7GwPZbHbdJv4Tc4ceFz9jcYO21hl8seyMGyZ948z3vjrG4G&#10;a9hRBdTgKj6bTDlTTkKtXVvxrw+3b5acYRSuFgacqvhJIb9Zv3616n2p5tCBqVVgROKw7H3Fuxh9&#10;WRQoO2UFTsArR8kGghWRjqEt6iB6YremmE+n74seQu0DSIVI0e2Y5GfG8BJCaBot1RbkwSoXR9ag&#10;jIgkCTvtka9zt02jZPzSNKgiMxUnpTGvdAnt92kt1itRtkH4TstzC+IlLTzTZIV2dOmVaiuiYIeg&#10;/6GyWgZAaOJEgi1GIdkRUjGbPvPmvhNeZS1kNfqr6fj/aOXn4y4wXVd8SXN3wtLEH7//ePz5iy1n&#10;yZ3eY0mgjduFpE8O7t7fgfyGzMGmE65VucuHk6fKXFE8KUkH9HTHvv8ENWHEIUK2amiCTZRkAhvy&#10;RE7XiaghMknBxezd28WUhiUvuUKUl0IfMH5UYFnaVNxol8wSpTjeYaTWCXqBpLCDW21MHrhxrK/4&#10;h8V8kQsQjK5TMsEwtPuNCewo0pPJX/KByJ7AAhxcPcaNo/RF5+jYHurTLqR0itPsMsH5naXH8fc5&#10;o/78W+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w+DMdIAAAAGAQAADwAAAAAAAAABACAAAAAi&#10;AAAAZHJzL2Rvd25yZXYueG1sUEsBAhQAFAAAAAgAh07iQNNUXIrXAQAAowMAAA4AAAAAAAAAAQAg&#10;AAAAIQEAAGRycy9lMm9Eb2MueG1sUEsFBgAAAAAGAAYAWQEAAGoFAAAAAA==&#10;">
                <v:fill on="f" focussize="0,0"/>
                <v:stroke color="#000000" joinstyle="round"/>
                <v:imagedata o:title=""/>
                <o:lock v:ext="edit" aspectratio="f"/>
              </v:line>
            </w:pict>
          </mc:Fallback>
        </mc:AlternateContent>
      </w:r>
    </w:p>
    <w:p>
      <w:pPr>
        <w:rPr>
          <w:rFonts w:ascii="Times New Roman" w:hAnsi="Times New Roman"/>
          <w:sz w:val="21"/>
          <w:szCs w:val="21"/>
        </w:rPr>
      </w:pPr>
    </w:p>
    <w:p>
      <w:pPr>
        <w:rPr>
          <w:rFonts w:ascii="Times New Roman" w:hAnsi="Times New Roman"/>
          <w:sz w:val="21"/>
          <w:szCs w:val="21"/>
        </w:rPr>
      </w:pPr>
    </w:p>
    <w:p>
      <w:pPr>
        <w:ind w:firstLine="720" w:firstLineChars="200"/>
        <w:jc w:val="center"/>
        <w:rPr>
          <w:rFonts w:ascii="Times New Roman" w:hAnsi="Times New Roman" w:eastAsia="黑体"/>
          <w:sz w:val="36"/>
          <w:szCs w:val="36"/>
        </w:rPr>
      </w:pPr>
      <w:r>
        <w:rPr>
          <w:rFonts w:hint="eastAsia" w:ascii="Times New Roman" w:hAnsi="Times New Roman" w:eastAsia="黑体"/>
          <w:sz w:val="36"/>
          <w:szCs w:val="36"/>
        </w:rPr>
        <w:t>中国工程建设标准化协会标准</w:t>
      </w:r>
    </w:p>
    <w:p>
      <w:pPr>
        <w:pStyle w:val="93"/>
        <w:rPr>
          <w:rFonts w:ascii="Times New Roman" w:hAnsi="Times New Roman" w:eastAsia="宋体"/>
        </w:rPr>
      </w:pPr>
    </w:p>
    <w:p>
      <w:pPr>
        <w:pStyle w:val="93"/>
        <w:rPr>
          <w:rFonts w:ascii="Times New Roman" w:hAnsi="Times New Roman" w:eastAsia="宋体"/>
        </w:rPr>
      </w:pPr>
    </w:p>
    <w:p>
      <w:pPr>
        <w:pStyle w:val="93"/>
        <w:rPr>
          <w:rFonts w:ascii="Times New Roman" w:hAnsi="Times New Roman" w:eastAsia="宋体"/>
        </w:rPr>
      </w:pPr>
    </w:p>
    <w:p>
      <w:pPr>
        <w:spacing w:before="156" w:beforeLines="50"/>
        <w:jc w:val="center"/>
        <w:rPr>
          <w:rFonts w:ascii="Times New Roman" w:hAnsi="Times New Roman" w:eastAsia="黑体" w:cs="黑体"/>
          <w:bCs/>
          <w:sz w:val="40"/>
          <w:szCs w:val="40"/>
        </w:rPr>
      </w:pPr>
      <w:r>
        <w:rPr>
          <w:rFonts w:hint="eastAsia" w:ascii="Times New Roman" w:hAnsi="Times New Roman" w:eastAsia="黑体" w:cs="黑体"/>
          <w:bCs/>
          <w:sz w:val="40"/>
          <w:szCs w:val="40"/>
        </w:rPr>
        <w:t>建筑幕墙结构计算标准</w:t>
      </w:r>
    </w:p>
    <w:p>
      <w:pPr>
        <w:pStyle w:val="107"/>
        <w:ind w:left="204"/>
      </w:pPr>
      <w:r>
        <w:t>Standard for structural calculation</w:t>
      </w:r>
      <w:r>
        <w:rPr>
          <w:rFonts w:hint="eastAsia"/>
        </w:rPr>
        <w:t xml:space="preserve"> of </w:t>
      </w:r>
      <w:r>
        <w:t>building curtain wall</w:t>
      </w:r>
    </w:p>
    <w:p>
      <w:pPr>
        <w:pStyle w:val="107"/>
        <w:ind w:left="204"/>
      </w:pPr>
    </w:p>
    <w:p>
      <w:pPr>
        <w:pStyle w:val="107"/>
        <w:ind w:left="204"/>
        <w:rPr>
          <w:rFonts w:eastAsia="宋体"/>
          <w:b/>
          <w:sz w:val="32"/>
          <w:szCs w:val="32"/>
        </w:rPr>
      </w:pPr>
      <w:r>
        <w:rPr>
          <w:rFonts w:hint="eastAsia" w:eastAsia="宋体"/>
          <w:b/>
          <w:sz w:val="32"/>
          <w:szCs w:val="32"/>
        </w:rPr>
        <w:t>（征求意见稿）</w:t>
      </w:r>
    </w:p>
    <w:p>
      <w:pPr>
        <w:pStyle w:val="107"/>
        <w:ind w:left="204"/>
        <w:rPr>
          <w:rFonts w:eastAsia="宋体"/>
        </w:rPr>
      </w:pPr>
    </w:p>
    <w:p>
      <w:pPr>
        <w:pStyle w:val="107"/>
        <w:ind w:left="204"/>
        <w:rPr>
          <w:rFonts w:eastAsia="宋体"/>
        </w:rPr>
      </w:pPr>
    </w:p>
    <w:p>
      <w:pPr>
        <w:pStyle w:val="107"/>
        <w:ind w:left="204"/>
        <w:rPr>
          <w:rFonts w:eastAsia="宋体"/>
        </w:rPr>
      </w:pPr>
    </w:p>
    <w:p>
      <w:pPr>
        <w:pStyle w:val="107"/>
        <w:ind w:left="204"/>
        <w:rPr>
          <w:rFonts w:eastAsia="宋体"/>
        </w:rPr>
      </w:pPr>
    </w:p>
    <w:p>
      <w:pPr>
        <w:pStyle w:val="107"/>
        <w:ind w:left="204"/>
        <w:rPr>
          <w:rFonts w:eastAsia="宋体"/>
        </w:rPr>
      </w:pPr>
    </w:p>
    <w:p>
      <w:pPr>
        <w:pStyle w:val="107"/>
        <w:ind w:left="204"/>
        <w:rPr>
          <w:rFonts w:eastAsia="宋体"/>
        </w:rPr>
      </w:pPr>
    </w:p>
    <w:p>
      <w:pPr>
        <w:pStyle w:val="107"/>
        <w:ind w:left="204"/>
        <w:rPr>
          <w:rFonts w:eastAsia="宋体"/>
        </w:rPr>
      </w:pPr>
    </w:p>
    <w:p>
      <w:pPr>
        <w:pStyle w:val="106"/>
        <w:rPr>
          <w:rFonts w:ascii="Times New Roman" w:hAnsi="Times New Roman"/>
          <w:b/>
          <w:bCs/>
          <w:sz w:val="28"/>
          <w:szCs w:val="28"/>
        </w:rPr>
      </w:pPr>
      <w:r>
        <w:rPr>
          <w:rFonts w:ascii="Times New Roman" w:hAnsi="Times New Roman"/>
          <w:sz w:val="30"/>
          <w:szCs w:val="30"/>
        </w:rPr>
        <w:t>***出版社</w:t>
      </w:r>
    </w:p>
    <w:p>
      <w:pPr>
        <w:jc w:val="center"/>
        <w:rPr>
          <w:rFonts w:ascii="Times New Roman" w:hAnsi="Times New Roman"/>
          <w:b/>
          <w:bCs/>
          <w:sz w:val="28"/>
          <w:szCs w:val="28"/>
        </w:rPr>
      </w:pPr>
    </w:p>
    <w:p>
      <w:pPr>
        <w:rPr>
          <w:rFonts w:ascii="Times New Roman" w:hAnsi="Times New Roman"/>
        </w:rPr>
        <w:sectPr>
          <w:headerReference r:id="rId4" w:type="first"/>
          <w:headerReference r:id="rId3" w:type="default"/>
          <w:pgSz w:w="11906" w:h="16838"/>
          <w:pgMar w:top="1440" w:right="1800" w:bottom="1440" w:left="1800" w:header="851" w:footer="992" w:gutter="0"/>
          <w:pgNumType w:start="10"/>
          <w:cols w:space="720" w:num="1"/>
          <w:titlePg/>
          <w:docGrid w:type="lines" w:linePitch="312" w:charSpace="0"/>
        </w:sectPr>
      </w:pPr>
    </w:p>
    <w:p>
      <w:pPr>
        <w:jc w:val="center"/>
        <w:rPr>
          <w:rFonts w:ascii="Times New Roman" w:hAnsi="Times New Roman" w:eastAsia="黑体"/>
          <w:b/>
          <w:sz w:val="28"/>
          <w:szCs w:val="28"/>
        </w:rPr>
      </w:pPr>
    </w:p>
    <w:p>
      <w:pPr>
        <w:jc w:val="center"/>
        <w:rPr>
          <w:rFonts w:ascii="Times New Roman" w:hAnsi="Times New Roman" w:eastAsia="黑体"/>
          <w:b/>
          <w:sz w:val="28"/>
          <w:szCs w:val="28"/>
        </w:rPr>
      </w:pPr>
    </w:p>
    <w:p>
      <w:pPr>
        <w:jc w:val="center"/>
        <w:rPr>
          <w:rFonts w:ascii="Times New Roman" w:hAnsi="Times New Roman"/>
          <w:sz w:val="36"/>
          <w:szCs w:val="36"/>
        </w:rPr>
      </w:pPr>
      <w:r>
        <w:rPr>
          <w:rFonts w:hint="eastAsia" w:ascii="Times New Roman" w:hAnsi="Times New Roman"/>
          <w:sz w:val="36"/>
          <w:szCs w:val="36"/>
        </w:rPr>
        <w:t>中国工程建设标准化协会标准</w:t>
      </w:r>
    </w:p>
    <w:p>
      <w:pPr>
        <w:jc w:val="center"/>
        <w:rPr>
          <w:rFonts w:ascii="Times New Roman" w:hAnsi="Times New Roman"/>
          <w:sz w:val="36"/>
          <w:szCs w:val="36"/>
        </w:rPr>
      </w:pPr>
    </w:p>
    <w:p>
      <w:pPr>
        <w:jc w:val="center"/>
        <w:rPr>
          <w:rFonts w:ascii="Times New Roman" w:hAnsi="Times New Roman"/>
          <w:sz w:val="36"/>
          <w:szCs w:val="36"/>
        </w:rPr>
      </w:pPr>
    </w:p>
    <w:p>
      <w:pPr>
        <w:jc w:val="center"/>
        <w:rPr>
          <w:rFonts w:ascii="Times New Roman" w:hAnsi="Times New Roman"/>
          <w:sz w:val="36"/>
          <w:szCs w:val="36"/>
        </w:rPr>
      </w:pPr>
    </w:p>
    <w:p>
      <w:pPr>
        <w:jc w:val="center"/>
        <w:rPr>
          <w:rFonts w:ascii="Times New Roman" w:hAnsi="Times New Roman"/>
          <w:sz w:val="36"/>
          <w:szCs w:val="36"/>
        </w:rPr>
      </w:pPr>
    </w:p>
    <w:p>
      <w:pPr>
        <w:spacing w:before="156" w:beforeLines="50"/>
        <w:jc w:val="center"/>
        <w:rPr>
          <w:rFonts w:ascii="Times New Roman" w:hAnsi="Times New Roman" w:cs="黑体"/>
          <w:bCs/>
          <w:sz w:val="40"/>
          <w:szCs w:val="40"/>
        </w:rPr>
      </w:pPr>
      <w:r>
        <w:rPr>
          <w:rFonts w:hint="eastAsia" w:ascii="Times New Roman" w:hAnsi="Times New Roman" w:cs="黑体"/>
          <w:bCs/>
          <w:sz w:val="40"/>
          <w:szCs w:val="40"/>
        </w:rPr>
        <w:t>建筑幕墙结构计算标准</w:t>
      </w:r>
    </w:p>
    <w:p>
      <w:pPr>
        <w:spacing w:before="156" w:beforeLines="50"/>
        <w:jc w:val="center"/>
        <w:rPr>
          <w:rFonts w:ascii="Times New Roman" w:hAnsi="Times New Roman" w:cs="Times New Roman"/>
          <w:bCs/>
          <w:sz w:val="40"/>
          <w:szCs w:val="40"/>
        </w:rPr>
      </w:pPr>
      <w:r>
        <w:rPr>
          <w:rFonts w:ascii="Times New Roman" w:hAnsi="Times New Roman" w:cs="Times New Roman"/>
          <w:bCs/>
          <w:sz w:val="40"/>
          <w:szCs w:val="40"/>
        </w:rPr>
        <w:t>Standard for structural calculation of building curtain wall</w:t>
      </w:r>
    </w:p>
    <w:p>
      <w:pPr>
        <w:tabs>
          <w:tab w:val="left" w:pos="5115"/>
        </w:tabs>
        <w:jc w:val="center"/>
        <w:rPr>
          <w:rFonts w:ascii="Times New Roman" w:hAnsi="Times New Roman"/>
          <w:sz w:val="30"/>
          <w:szCs w:val="30"/>
        </w:rPr>
      </w:pPr>
      <w:r>
        <w:rPr>
          <w:rFonts w:hint="eastAsia" w:ascii="Times New Roman" w:hAnsi="Times New Roman"/>
          <w:sz w:val="30"/>
          <w:szCs w:val="30"/>
        </w:rPr>
        <w:t>（征求意见稿）</w:t>
      </w:r>
    </w:p>
    <w:p>
      <w:pPr>
        <w:jc w:val="center"/>
        <w:rPr>
          <w:rFonts w:ascii="Times New Roman" w:hAnsi="Times New Roman"/>
          <w:b/>
          <w:sz w:val="30"/>
          <w:szCs w:val="30"/>
        </w:rPr>
      </w:pPr>
    </w:p>
    <w:p>
      <w:pPr>
        <w:jc w:val="center"/>
        <w:rPr>
          <w:rFonts w:ascii="Times New Roman" w:hAnsi="Times New Roman"/>
          <w:b/>
          <w:sz w:val="30"/>
          <w:szCs w:val="30"/>
        </w:rPr>
      </w:pPr>
      <w:r>
        <w:rPr>
          <w:rFonts w:ascii="Times New Roman" w:hAnsi="Times New Roman"/>
          <w:b/>
          <w:sz w:val="30"/>
          <w:szCs w:val="30"/>
        </w:rPr>
        <w:t>T/CECS xxx- xxxx</w:t>
      </w:r>
    </w:p>
    <w:p>
      <w:pPr>
        <w:spacing w:line="400" w:lineRule="exact"/>
        <w:ind w:firstLine="1600" w:firstLineChars="500"/>
        <w:rPr>
          <w:rFonts w:ascii="Times New Roman" w:hAnsi="Times New Roman"/>
          <w:sz w:val="32"/>
          <w:szCs w:val="32"/>
        </w:rPr>
      </w:pPr>
    </w:p>
    <w:p>
      <w:pPr>
        <w:spacing w:line="400" w:lineRule="exact"/>
        <w:ind w:firstLine="1600" w:firstLineChars="500"/>
        <w:rPr>
          <w:rFonts w:ascii="Times New Roman" w:hAnsi="Times New Roman"/>
          <w:sz w:val="32"/>
          <w:szCs w:val="32"/>
        </w:rPr>
      </w:pPr>
    </w:p>
    <w:p>
      <w:pPr>
        <w:spacing w:line="400" w:lineRule="exact"/>
        <w:ind w:firstLine="1600" w:firstLineChars="500"/>
        <w:rPr>
          <w:rFonts w:ascii="Times New Roman" w:hAnsi="Times New Roman"/>
          <w:sz w:val="32"/>
          <w:szCs w:val="32"/>
        </w:rPr>
      </w:pPr>
    </w:p>
    <w:p>
      <w:pPr>
        <w:ind w:firstLine="1540" w:firstLineChars="550"/>
        <w:rPr>
          <w:rFonts w:ascii="Times New Roman" w:hAnsi="Times New Roman"/>
          <w:sz w:val="28"/>
          <w:szCs w:val="28"/>
        </w:rPr>
      </w:pPr>
      <w:r>
        <w:rPr>
          <w:rFonts w:hint="eastAsia" w:ascii="Times New Roman" w:hAnsi="Times New Roman"/>
          <w:sz w:val="28"/>
          <w:szCs w:val="28"/>
        </w:rPr>
        <w:t>主编单位：中国建筑科学研究院有限公司</w:t>
      </w:r>
    </w:p>
    <w:p>
      <w:pPr>
        <w:ind w:firstLine="1540" w:firstLineChars="550"/>
        <w:rPr>
          <w:rFonts w:ascii="Times New Roman" w:hAnsi="Times New Roman"/>
          <w:sz w:val="28"/>
          <w:szCs w:val="28"/>
        </w:rPr>
      </w:pPr>
      <w:r>
        <w:rPr>
          <w:rFonts w:hint="eastAsia" w:ascii="Times New Roman" w:hAnsi="Times New Roman"/>
          <w:sz w:val="28"/>
          <w:szCs w:val="28"/>
        </w:rPr>
        <w:t>批准单位：中国工程建设标准化协会</w:t>
      </w:r>
    </w:p>
    <w:p>
      <w:pPr>
        <w:ind w:firstLine="1540" w:firstLineChars="550"/>
        <w:rPr>
          <w:rFonts w:ascii="Times New Roman" w:hAnsi="Times New Roman" w:cs="Times New Roman"/>
          <w:sz w:val="28"/>
          <w:szCs w:val="28"/>
        </w:rPr>
      </w:pPr>
      <w:r>
        <w:rPr>
          <w:rFonts w:hint="eastAsia" w:ascii="Times New Roman" w:hAnsi="Times New Roman" w:cs="Times New Roman"/>
          <w:sz w:val="28"/>
          <w:szCs w:val="28"/>
        </w:rPr>
        <w:t>施行日期：</w:t>
      </w:r>
      <w:r>
        <w:rPr>
          <w:rFonts w:ascii="Times New Roman" w:hAnsi="Times New Roman" w:cs="Times New Roman"/>
          <w:sz w:val="28"/>
          <w:szCs w:val="28"/>
        </w:rPr>
        <w:t>202X</w:t>
      </w:r>
      <w:r>
        <w:rPr>
          <w:rFonts w:hint="eastAsia" w:ascii="Times New Roman" w:hAnsi="Times New Roman" w:cs="Times New Roman"/>
          <w:sz w:val="28"/>
          <w:szCs w:val="28"/>
        </w:rPr>
        <w:t>年</w:t>
      </w:r>
      <w:r>
        <w:rPr>
          <w:rFonts w:ascii="Times New Roman" w:hAnsi="Times New Roman" w:cs="Times New Roman"/>
          <w:sz w:val="28"/>
          <w:szCs w:val="28"/>
        </w:rPr>
        <w:t xml:space="preserve">  </w:t>
      </w:r>
      <w:r>
        <w:rPr>
          <w:rFonts w:hint="eastAsia" w:ascii="Times New Roman" w:hAnsi="Times New Roman" w:cs="Times New Roman"/>
          <w:sz w:val="28"/>
          <w:szCs w:val="28"/>
        </w:rPr>
        <w:t>月</w:t>
      </w:r>
      <w:r>
        <w:rPr>
          <w:rFonts w:ascii="Times New Roman" w:hAnsi="Times New Roman" w:cs="Times New Roman"/>
          <w:sz w:val="28"/>
          <w:szCs w:val="28"/>
        </w:rPr>
        <w:t xml:space="preserve">  </w:t>
      </w:r>
      <w:r>
        <w:rPr>
          <w:rFonts w:hint="eastAsia" w:ascii="Times New Roman" w:hAnsi="Times New Roman" w:cs="Times New Roman"/>
          <w:sz w:val="28"/>
          <w:szCs w:val="28"/>
        </w:rPr>
        <w:t>日</w:t>
      </w:r>
    </w:p>
    <w:p>
      <w:pPr>
        <w:ind w:firstLine="489"/>
        <w:rPr>
          <w:rFonts w:ascii="Times New Roman" w:hAnsi="Times New Roman"/>
          <w:sz w:val="21"/>
          <w:szCs w:val="21"/>
        </w:rPr>
      </w:pPr>
    </w:p>
    <w:p>
      <w:pPr>
        <w:ind w:firstLine="489"/>
        <w:rPr>
          <w:rFonts w:ascii="Times New Roman" w:hAnsi="Times New Roman"/>
          <w:sz w:val="21"/>
          <w:szCs w:val="21"/>
        </w:rPr>
      </w:pPr>
    </w:p>
    <w:p>
      <w:pPr>
        <w:ind w:firstLine="489"/>
        <w:rPr>
          <w:rFonts w:ascii="Times New Roman" w:hAnsi="Times New Roman"/>
          <w:sz w:val="21"/>
          <w:szCs w:val="21"/>
        </w:rPr>
      </w:pPr>
    </w:p>
    <w:p>
      <w:pPr>
        <w:jc w:val="center"/>
        <w:rPr>
          <w:rFonts w:ascii="Times New Roman" w:hAnsi="Times New Roman"/>
          <w:sz w:val="30"/>
          <w:szCs w:val="30"/>
        </w:rPr>
      </w:pPr>
      <w:r>
        <w:rPr>
          <w:rFonts w:ascii="Times New Roman" w:hAnsi="Times New Roman"/>
          <w:sz w:val="30"/>
          <w:szCs w:val="30"/>
        </w:rPr>
        <w:t>***</w:t>
      </w:r>
      <w:r>
        <w:rPr>
          <w:rFonts w:hint="eastAsia" w:ascii="Times New Roman" w:hAnsi="Times New Roman"/>
          <w:sz w:val="30"/>
          <w:szCs w:val="30"/>
        </w:rPr>
        <w:t>出版社</w:t>
      </w:r>
    </w:p>
    <w:p>
      <w:pPr>
        <w:jc w:val="center"/>
        <w:rPr>
          <w:rFonts w:ascii="Times New Roman" w:hAnsi="Times New Roman" w:cs="Times New Roman"/>
          <w:sz w:val="30"/>
          <w:szCs w:val="30"/>
        </w:rPr>
      </w:pPr>
      <w:r>
        <w:rPr>
          <w:rFonts w:ascii="Times New Roman" w:hAnsi="Times New Roman" w:cs="Times New Roman"/>
          <w:sz w:val="30"/>
          <w:szCs w:val="30"/>
        </w:rPr>
        <w:t>202X</w:t>
      </w:r>
      <w:r>
        <w:rPr>
          <w:rFonts w:hint="eastAsia" w:ascii="Times New Roman" w:hAnsi="Times New Roman" w:cs="Times New Roman"/>
          <w:sz w:val="30"/>
          <w:szCs w:val="30"/>
        </w:rPr>
        <w:t>年</w:t>
      </w:r>
      <w:r>
        <w:rPr>
          <w:rFonts w:ascii="Times New Roman" w:hAnsi="Times New Roman" w:cs="Times New Roman"/>
          <w:sz w:val="30"/>
          <w:szCs w:val="30"/>
        </w:rPr>
        <w:t xml:space="preserve">  </w:t>
      </w:r>
      <w:r>
        <w:rPr>
          <w:rFonts w:hint="eastAsia" w:ascii="Times New Roman" w:hAnsi="Times New Roman" w:cs="Times New Roman"/>
          <w:sz w:val="30"/>
          <w:szCs w:val="30"/>
        </w:rPr>
        <w:t>北京</w:t>
      </w:r>
    </w:p>
    <w:p>
      <w:pPr>
        <w:rPr>
          <w:rFonts w:ascii="Times New Roman" w:hAnsi="Times New Roman"/>
        </w:rPr>
        <w:sectPr>
          <w:footerReference r:id="rId6" w:type="first"/>
          <w:footerReference r:id="rId5" w:type="default"/>
          <w:pgSz w:w="11906" w:h="16838"/>
          <w:pgMar w:top="1440" w:right="1800" w:bottom="1440" w:left="1800" w:header="851" w:footer="992" w:gutter="0"/>
          <w:pgNumType w:start="1"/>
          <w:cols w:space="720" w:num="1"/>
          <w:docGrid w:type="lines" w:linePitch="312" w:charSpace="0"/>
        </w:sectPr>
      </w:pPr>
    </w:p>
    <w:p>
      <w:pPr>
        <w:spacing w:before="360" w:beforeLines="150" w:after="360" w:afterLines="150"/>
        <w:jc w:val="center"/>
        <w:rPr>
          <w:rFonts w:ascii="Times New Roman" w:hAnsi="Times New Roman" w:eastAsia="黑体"/>
          <w:b/>
          <w:sz w:val="28"/>
          <w:szCs w:val="28"/>
        </w:rPr>
      </w:pPr>
      <w:r>
        <w:rPr>
          <w:rFonts w:hint="eastAsia" w:ascii="Times New Roman" w:hAnsi="Times New Roman" w:eastAsia="黑体"/>
          <w:b/>
          <w:sz w:val="28"/>
          <w:szCs w:val="28"/>
        </w:rPr>
        <w:t>前</w:t>
      </w:r>
      <w:r>
        <w:rPr>
          <w:rFonts w:ascii="Times New Roman" w:hAnsi="Times New Roman" w:eastAsia="黑体"/>
          <w:b/>
          <w:sz w:val="28"/>
          <w:szCs w:val="28"/>
        </w:rPr>
        <w:t xml:space="preserve">   </w:t>
      </w:r>
      <w:r>
        <w:rPr>
          <w:rFonts w:hint="eastAsia" w:ascii="Times New Roman" w:hAnsi="Times New Roman" w:eastAsia="黑体"/>
          <w:b/>
          <w:sz w:val="28"/>
          <w:szCs w:val="28"/>
        </w:rPr>
        <w:t>言</w:t>
      </w:r>
    </w:p>
    <w:p>
      <w:pPr>
        <w:pStyle w:val="188"/>
        <w:ind w:firstLine="480"/>
      </w:pPr>
      <w:r>
        <w:rPr>
          <w:rFonts w:hint="eastAsia"/>
        </w:rPr>
        <w:t>根据中国工程建设标准化协会《关于印发〈</w:t>
      </w:r>
      <w:r>
        <w:t>2022年第一批协会标准制订、修订计划〉的通知》（建标协字〔2022〕13号）</w:t>
      </w:r>
      <w:r>
        <w:rPr>
          <w:rFonts w:hint="eastAsia"/>
        </w:rPr>
        <w:t>文件要求，标准</w:t>
      </w:r>
      <w:r>
        <w:t>编制组经广泛调查研究，认真总结实践经验，参考有关国</w:t>
      </w:r>
      <w:r>
        <w:rPr>
          <w:rFonts w:hint="eastAsia"/>
        </w:rPr>
        <w:t>内外</w:t>
      </w:r>
      <w:r>
        <w:t>标准，并在广泛征求意见的基础上，</w:t>
      </w:r>
      <w:r>
        <w:rPr>
          <w:rFonts w:hint="eastAsia"/>
        </w:rPr>
        <w:t>制订</w:t>
      </w:r>
      <w:r>
        <w:t>本</w:t>
      </w:r>
      <w:r>
        <w:rPr>
          <w:rFonts w:hint="eastAsia"/>
        </w:rPr>
        <w:t>标准</w:t>
      </w:r>
      <w:r>
        <w:t>。</w:t>
      </w:r>
    </w:p>
    <w:p>
      <w:pPr>
        <w:pStyle w:val="188"/>
        <w:ind w:firstLine="480"/>
      </w:pPr>
      <w:r>
        <w:rPr>
          <w:rFonts w:hint="eastAsia"/>
        </w:rPr>
        <w:t>本标准共分9章，</w:t>
      </w:r>
      <w:r>
        <w:t>主要技术内容是：</w:t>
      </w:r>
      <w:r>
        <w:rPr>
          <w:rFonts w:hint="eastAsia"/>
        </w:rPr>
        <w:t>总则、术语和符号、材料、结构计算基本规定、面板计算、支承结构计算、特殊构造结构计算、连接计算、结构计算表达。</w:t>
      </w:r>
    </w:p>
    <w:p>
      <w:pPr>
        <w:pStyle w:val="188"/>
        <w:ind w:firstLine="480"/>
      </w:pPr>
      <w:r>
        <w:rPr>
          <w:rFonts w:hint="eastAsia"/>
        </w:rPr>
        <w:t>本标准的某些内容可能直接或间接涉及专利，本规程的发布机构不承担识别这些专利的责任。</w:t>
      </w:r>
    </w:p>
    <w:p>
      <w:pPr>
        <w:pStyle w:val="188"/>
        <w:ind w:firstLine="480"/>
      </w:pPr>
      <w:r>
        <w:rPr>
          <w:rFonts w:hint="eastAsia"/>
        </w:rPr>
        <w:t>本标准由中国工程建设标准化协会建筑幕墙门窗专业委员会归口管理</w:t>
      </w:r>
      <w:r>
        <w:t>，由</w:t>
      </w:r>
      <w:r>
        <w:rPr>
          <w:rFonts w:hint="eastAsia"/>
        </w:rPr>
        <w:t>中国建筑科学研究院有限公司</w:t>
      </w:r>
      <w:r>
        <w:t>负责具体技术内容的解释。执行过程中，如有意见或建议，</w:t>
      </w:r>
      <w:r>
        <w:rPr>
          <w:rFonts w:hint="eastAsia"/>
        </w:rPr>
        <w:t>请反馈给中国建研院建科环能科技有限公司</w:t>
      </w:r>
      <w:r>
        <w:t>（地址：北京市北三环东路30号，邮政编码：100013，</w:t>
      </w:r>
      <w:r>
        <w:rPr>
          <w:rFonts w:hint="eastAsia"/>
        </w:rPr>
        <w:t>邮箱：c</w:t>
      </w:r>
      <w:r>
        <w:t>ecs@cabr-bctc.com）。</w:t>
      </w:r>
    </w:p>
    <w:p>
      <w:pPr>
        <w:rPr>
          <w:rFonts w:ascii="Times New Roman" w:hAnsi="Times New Roman"/>
        </w:rPr>
      </w:pPr>
    </w:p>
    <w:p>
      <w:pPr>
        <w:rPr>
          <w:rFonts w:ascii="Times New Roman" w:hAnsi="Times New Roman"/>
        </w:rPr>
      </w:pPr>
      <w:r>
        <w:rPr>
          <w:rFonts w:hint="eastAsia" w:ascii="Times New Roman" w:hAnsi="Times New Roman"/>
          <w:b/>
          <w:bCs/>
        </w:rPr>
        <w:t>主</w:t>
      </w:r>
      <w:r>
        <w:rPr>
          <w:rFonts w:ascii="Times New Roman" w:hAnsi="Times New Roman"/>
          <w:b/>
          <w:bCs/>
        </w:rPr>
        <w:t xml:space="preserve"> </w:t>
      </w:r>
      <w:r>
        <w:rPr>
          <w:rFonts w:hint="eastAsia" w:ascii="Times New Roman" w:hAnsi="Times New Roman"/>
          <w:b/>
          <w:bCs/>
        </w:rPr>
        <w:t>编</w:t>
      </w:r>
      <w:r>
        <w:rPr>
          <w:rFonts w:ascii="Times New Roman" w:hAnsi="Times New Roman"/>
          <w:b/>
          <w:bCs/>
        </w:rPr>
        <w:t xml:space="preserve"> </w:t>
      </w:r>
      <w:r>
        <w:rPr>
          <w:rFonts w:hint="eastAsia" w:ascii="Times New Roman" w:hAnsi="Times New Roman"/>
          <w:b/>
          <w:bCs/>
        </w:rPr>
        <w:t>单</w:t>
      </w:r>
      <w:r>
        <w:rPr>
          <w:rFonts w:ascii="Times New Roman" w:hAnsi="Times New Roman"/>
          <w:b/>
          <w:bCs/>
        </w:rPr>
        <w:t xml:space="preserve"> </w:t>
      </w:r>
      <w:r>
        <w:rPr>
          <w:rFonts w:hint="eastAsia" w:ascii="Times New Roman" w:hAnsi="Times New Roman"/>
          <w:b/>
          <w:bCs/>
        </w:rPr>
        <w:t>位：</w:t>
      </w:r>
      <w:r>
        <w:rPr>
          <w:rFonts w:hint="eastAsia" w:ascii="Times New Roman" w:hAnsi="Times New Roman"/>
        </w:rPr>
        <w:t>中国建筑科学研究院有限公司</w:t>
      </w:r>
    </w:p>
    <w:p>
      <w:pPr>
        <w:pStyle w:val="189"/>
      </w:pPr>
    </w:p>
    <w:p>
      <w:pPr>
        <w:pStyle w:val="189"/>
      </w:pPr>
      <w:r>
        <w:rPr>
          <w:rFonts w:hint="eastAsia"/>
        </w:rPr>
        <w:t xml:space="preserve">参 编 单 位： </w:t>
      </w:r>
    </w:p>
    <w:p>
      <w:pPr>
        <w:pStyle w:val="189"/>
      </w:pPr>
    </w:p>
    <w:p>
      <w:pPr>
        <w:pStyle w:val="189"/>
      </w:pPr>
    </w:p>
    <w:p>
      <w:pPr>
        <w:pStyle w:val="189"/>
      </w:pPr>
      <w:r>
        <w:rPr>
          <w:rFonts w:hint="eastAsia"/>
        </w:rPr>
        <w:t>主要起草人：</w:t>
      </w:r>
    </w:p>
    <w:p>
      <w:pPr>
        <w:pStyle w:val="189"/>
      </w:pPr>
    </w:p>
    <w:p>
      <w:pPr>
        <w:pStyle w:val="189"/>
      </w:pPr>
    </w:p>
    <w:p>
      <w:pPr>
        <w:pStyle w:val="189"/>
      </w:pPr>
    </w:p>
    <w:p>
      <w:pPr>
        <w:pStyle w:val="189"/>
      </w:pPr>
      <w:r>
        <w:rPr>
          <w:rFonts w:hint="eastAsia"/>
        </w:rPr>
        <w:t>主要审查人：</w:t>
      </w:r>
    </w:p>
    <w:p>
      <w:pPr>
        <w:pStyle w:val="189"/>
      </w:pPr>
    </w:p>
    <w:p>
      <w:pPr>
        <w:pStyle w:val="189"/>
      </w:pPr>
    </w:p>
    <w:p>
      <w:pPr>
        <w:pStyle w:val="189"/>
      </w:pPr>
    </w:p>
    <w:p>
      <w:pPr>
        <w:pStyle w:val="189"/>
      </w:pPr>
    </w:p>
    <w:p>
      <w:pPr>
        <w:pStyle w:val="189"/>
        <w:sectPr>
          <w:footerReference r:id="rId8" w:type="first"/>
          <w:footerReference r:id="rId7" w:type="default"/>
          <w:pgSz w:w="11906" w:h="16838"/>
          <w:pgMar w:top="1418" w:right="1418" w:bottom="1418" w:left="1418" w:header="851" w:footer="992" w:gutter="0"/>
          <w:pgNumType w:fmt="upperRoman" w:start="3"/>
          <w:cols w:space="720" w:num="1"/>
          <w:docGrid w:linePitch="326" w:charSpace="0"/>
        </w:sectPr>
      </w:pPr>
    </w:p>
    <w:p>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目 次</w:t>
      </w:r>
    </w:p>
    <w:p>
      <w:pPr>
        <w:spacing w:line="360" w:lineRule="auto"/>
        <w:jc w:val="center"/>
        <w:rPr>
          <w:rFonts w:ascii="Times New Roman" w:hAnsi="Times New Roman" w:cs="Times New Roman"/>
          <w:b/>
          <w:bCs/>
          <w:sz w:val="28"/>
          <w:szCs w:val="28"/>
        </w:rPr>
      </w:pP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cs="Times New Roman"/>
          <w:bCs/>
        </w:rPr>
        <w:fldChar w:fldCharType="begin"/>
      </w:r>
      <w:r>
        <w:rPr>
          <w:rFonts w:ascii="Times New Roman" w:hAnsi="Times New Roman" w:cs="Times New Roman"/>
          <w:bCs/>
        </w:rPr>
        <w:instrText xml:space="preserve"> TOC \o "1-2" \h \z \u </w:instrText>
      </w:r>
      <w:r>
        <w:rPr>
          <w:rFonts w:ascii="Times New Roman" w:hAnsi="Times New Roman" w:cs="Times New Roman"/>
          <w:bCs/>
        </w:rPr>
        <w:fldChar w:fldCharType="separate"/>
      </w:r>
      <w:r>
        <w:rPr>
          <w:rFonts w:ascii="Times New Roman" w:hAnsi="Times New Roman"/>
        </w:rPr>
        <w:fldChar w:fldCharType="begin"/>
      </w:r>
      <w:r>
        <w:rPr>
          <w:rFonts w:ascii="Times New Roman" w:hAnsi="Times New Roman"/>
        </w:rPr>
        <w:instrText xml:space="preserve">HYPERLINK \l "_Toc162996200"</w:instrText>
      </w:r>
      <w:r>
        <w:rPr>
          <w:rFonts w:ascii="Times New Roman" w:hAnsi="Times New Roman" w:cs="宋体"/>
        </w:rPr>
        <w:fldChar w:fldCharType="separate"/>
      </w:r>
      <w:r>
        <w:rPr>
          <w:rStyle w:val="44"/>
          <w:rFonts w:ascii="Times New Roman" w:hAnsi="Times New Roman"/>
        </w:rPr>
        <w:t>1 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_Toc162996200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"_Toc162996201"</w:instrText>
      </w:r>
      <w:r>
        <w:rPr>
          <w:rFonts w:ascii="Times New Roman" w:hAnsi="Times New Roman" w:cs="宋体"/>
        </w:rPr>
        <w:fldChar w:fldCharType="separate"/>
      </w:r>
      <w:r>
        <w:rPr>
          <w:rStyle w:val="44"/>
          <w:rFonts w:ascii="Times New Roman" w:hAnsi="Times New Roman"/>
        </w:rPr>
        <w:t>2 术语和符号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_Toc162996201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"_Toc162996202"</w:instrText>
      </w:r>
      <w:r>
        <w:rPr>
          <w:rFonts w:ascii="Times New Roman" w:hAnsi="Times New Roman" w:cs="宋体"/>
        </w:rPr>
        <w:fldChar w:fldCharType="separate"/>
      </w:r>
      <w:r>
        <w:rPr>
          <w:rStyle w:val="44"/>
          <w:rFonts w:ascii="Times New Roman" w:hAnsi="Times New Roman"/>
        </w:rPr>
        <w:t>2.1 术语</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_Toc162996202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"_Toc162996203"</w:instrText>
      </w:r>
      <w:r>
        <w:rPr>
          <w:rFonts w:ascii="Times New Roman" w:hAnsi="Times New Roman" w:cs="宋体"/>
        </w:rPr>
        <w:fldChar w:fldCharType="separate"/>
      </w:r>
      <w:r>
        <w:rPr>
          <w:rStyle w:val="44"/>
          <w:rFonts w:ascii="Times New Roman" w:hAnsi="Times New Roman"/>
        </w:rPr>
        <w:t>2.2 主要符号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_Toc162996203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"_Toc162996204"</w:instrText>
      </w:r>
      <w:r>
        <w:rPr>
          <w:rFonts w:ascii="Times New Roman" w:hAnsi="Times New Roman" w:cs="宋体"/>
        </w:rPr>
        <w:fldChar w:fldCharType="separate"/>
      </w:r>
      <w:r>
        <w:rPr>
          <w:rStyle w:val="44"/>
          <w:rFonts w:ascii="Times New Roman" w:hAnsi="Times New Roman"/>
        </w:rPr>
        <w:t>3 材料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_Toc162996204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"_Toc162996205"</w:instrText>
      </w:r>
      <w:r>
        <w:rPr>
          <w:rFonts w:ascii="Times New Roman" w:hAnsi="Times New Roman" w:cs="宋体"/>
        </w:rPr>
        <w:fldChar w:fldCharType="separate"/>
      </w:r>
      <w:r>
        <w:rPr>
          <w:rStyle w:val="44"/>
          <w:rFonts w:ascii="Times New Roman" w:hAnsi="Times New Roman"/>
        </w:rPr>
        <w:t>3.1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_Toc162996205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"_Toc162996206"</w:instrText>
      </w:r>
      <w:r>
        <w:rPr>
          <w:rFonts w:ascii="Times New Roman" w:hAnsi="Times New Roman" w:cs="宋体"/>
        </w:rPr>
        <w:fldChar w:fldCharType="separate"/>
      </w:r>
      <w:r>
        <w:rPr>
          <w:rStyle w:val="44"/>
          <w:rFonts w:ascii="Times New Roman" w:hAnsi="Times New Roman"/>
        </w:rPr>
        <w:t>3.2 材料力学性能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_Toc162996206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"_Toc162996207"</w:instrText>
      </w:r>
      <w:r>
        <w:rPr>
          <w:rFonts w:ascii="Times New Roman" w:hAnsi="Times New Roman" w:cs="宋体"/>
        </w:rPr>
        <w:fldChar w:fldCharType="separate"/>
      </w:r>
      <w:r>
        <w:rPr>
          <w:rStyle w:val="44"/>
          <w:rFonts w:ascii="Times New Roman" w:hAnsi="Times New Roman"/>
        </w:rPr>
        <w:t>3.3 材料物理性能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_Toc162996207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"_Toc162996208"</w:instrText>
      </w:r>
      <w:r>
        <w:rPr>
          <w:rFonts w:ascii="Times New Roman" w:hAnsi="Times New Roman" w:cs="宋体"/>
        </w:rPr>
        <w:fldChar w:fldCharType="separate"/>
      </w:r>
      <w:r>
        <w:rPr>
          <w:rStyle w:val="44"/>
          <w:rFonts w:ascii="Times New Roman" w:hAnsi="Times New Roman"/>
        </w:rPr>
        <w:t>4 结构计算基本规定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_Toc162996208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"_Toc162996209"</w:instrText>
      </w:r>
      <w:r>
        <w:rPr>
          <w:rFonts w:ascii="Times New Roman" w:hAnsi="Times New Roman" w:cs="宋体"/>
        </w:rPr>
        <w:fldChar w:fldCharType="separate"/>
      </w:r>
      <w:r>
        <w:rPr>
          <w:rStyle w:val="44"/>
          <w:rFonts w:ascii="Times New Roman" w:hAnsi="Times New Roman"/>
        </w:rPr>
        <w:t>4.1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_Toc162996209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"_Toc162996210"</w:instrText>
      </w:r>
      <w:r>
        <w:rPr>
          <w:rFonts w:ascii="Times New Roman" w:hAnsi="Times New Roman" w:cs="宋体"/>
        </w:rPr>
        <w:fldChar w:fldCharType="separate"/>
      </w:r>
      <w:r>
        <w:rPr>
          <w:rStyle w:val="44"/>
          <w:rFonts w:ascii="Times New Roman" w:hAnsi="Times New Roman"/>
        </w:rPr>
        <w:t>4.2 结构作用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_Toc162996210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"_Toc162996211"</w:instrText>
      </w:r>
      <w:r>
        <w:rPr>
          <w:rFonts w:ascii="Times New Roman" w:hAnsi="Times New Roman" w:cs="宋体"/>
        </w:rPr>
        <w:fldChar w:fldCharType="separate"/>
      </w:r>
      <w:r>
        <w:rPr>
          <w:rStyle w:val="44"/>
          <w:rFonts w:ascii="Times New Roman" w:hAnsi="Times New Roman"/>
        </w:rPr>
        <w:t>4.3 储存、运输、施工阶段作用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_Toc162996211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"_Toc162996212"</w:instrText>
      </w:r>
      <w:r>
        <w:rPr>
          <w:rFonts w:ascii="Times New Roman" w:hAnsi="Times New Roman" w:cs="宋体"/>
        </w:rPr>
        <w:fldChar w:fldCharType="separate"/>
      </w:r>
      <w:r>
        <w:rPr>
          <w:rStyle w:val="44"/>
          <w:rFonts w:ascii="Times New Roman" w:hAnsi="Times New Roman"/>
        </w:rPr>
        <w:t>4.4 作用效应组合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_Toc162996212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"_Toc162996213"</w:instrText>
      </w:r>
      <w:r>
        <w:rPr>
          <w:rFonts w:ascii="Times New Roman" w:hAnsi="Times New Roman" w:cs="宋体"/>
        </w:rPr>
        <w:fldChar w:fldCharType="separate"/>
      </w:r>
      <w:r>
        <w:rPr>
          <w:rStyle w:val="44"/>
          <w:rFonts w:ascii="Times New Roman" w:hAnsi="Times New Roman"/>
        </w:rPr>
        <w:t>4.5 有限元数值分析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_Toc162996213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"_Toc162996214"</w:instrText>
      </w:r>
      <w:r>
        <w:rPr>
          <w:rFonts w:ascii="Times New Roman" w:hAnsi="Times New Roman" w:cs="宋体"/>
        </w:rPr>
        <w:fldChar w:fldCharType="separate"/>
      </w:r>
      <w:r>
        <w:rPr>
          <w:rStyle w:val="44"/>
          <w:rFonts w:ascii="Times New Roman" w:hAnsi="Times New Roman"/>
        </w:rPr>
        <w:t>5 面板</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_Toc162996214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"_Toc162996215"</w:instrText>
      </w:r>
      <w:r>
        <w:rPr>
          <w:rFonts w:ascii="Times New Roman" w:hAnsi="Times New Roman" w:cs="宋体"/>
        </w:rPr>
        <w:fldChar w:fldCharType="separate"/>
      </w:r>
      <w:r>
        <w:rPr>
          <w:rStyle w:val="44"/>
          <w:rFonts w:ascii="Times New Roman" w:hAnsi="Times New Roman"/>
        </w:rPr>
        <w:t>5.1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_Toc162996215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"_Toc162996216"</w:instrText>
      </w:r>
      <w:r>
        <w:rPr>
          <w:rFonts w:ascii="Times New Roman" w:hAnsi="Times New Roman" w:cs="宋体"/>
        </w:rPr>
        <w:fldChar w:fldCharType="separate"/>
      </w:r>
      <w:r>
        <w:rPr>
          <w:rStyle w:val="44"/>
          <w:rFonts w:ascii="Times New Roman" w:hAnsi="Times New Roman"/>
        </w:rPr>
        <w:t>5.2 线支承</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_Toc162996216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"_Toc162996217"</w:instrText>
      </w:r>
      <w:r>
        <w:rPr>
          <w:rFonts w:ascii="Times New Roman" w:hAnsi="Times New Roman" w:cs="宋体"/>
        </w:rPr>
        <w:fldChar w:fldCharType="separate"/>
      </w:r>
      <w:r>
        <w:rPr>
          <w:rStyle w:val="44"/>
          <w:rFonts w:ascii="Times New Roman" w:hAnsi="Times New Roman"/>
        </w:rPr>
        <w:t>5.3 点支承</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_Toc162996217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"_Toc162996218"</w:instrText>
      </w:r>
      <w:r>
        <w:rPr>
          <w:rFonts w:ascii="Times New Roman" w:hAnsi="Times New Roman" w:cs="宋体"/>
        </w:rPr>
        <w:fldChar w:fldCharType="separate"/>
      </w:r>
      <w:r>
        <w:rPr>
          <w:rStyle w:val="44"/>
          <w:rFonts w:ascii="Times New Roman" w:hAnsi="Times New Roman"/>
        </w:rPr>
        <w:t>5.4 混合支承</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_Toc162996218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"_Toc162996219"</w:instrText>
      </w:r>
      <w:r>
        <w:rPr>
          <w:rFonts w:ascii="Times New Roman" w:hAnsi="Times New Roman" w:cs="宋体"/>
        </w:rPr>
        <w:fldChar w:fldCharType="separate"/>
      </w:r>
      <w:r>
        <w:rPr>
          <w:rStyle w:val="44"/>
          <w:rFonts w:ascii="Times New Roman" w:hAnsi="Times New Roman"/>
        </w:rPr>
        <w:t>5.5 其他</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_Toc162996219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"_Toc162996220"</w:instrText>
      </w:r>
      <w:r>
        <w:rPr>
          <w:rFonts w:ascii="Times New Roman" w:hAnsi="Times New Roman" w:cs="宋体"/>
        </w:rPr>
        <w:fldChar w:fldCharType="separate"/>
      </w:r>
      <w:r>
        <w:rPr>
          <w:rStyle w:val="44"/>
          <w:rFonts w:ascii="Times New Roman" w:hAnsi="Times New Roman"/>
        </w:rPr>
        <w:t>6 支承结构计算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_Toc162996220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"_Toc162996221"</w:instrText>
      </w:r>
      <w:r>
        <w:rPr>
          <w:rFonts w:ascii="Times New Roman" w:hAnsi="Times New Roman" w:cs="宋体"/>
        </w:rPr>
        <w:fldChar w:fldCharType="separate"/>
      </w:r>
      <w:r>
        <w:rPr>
          <w:rStyle w:val="44"/>
          <w:rFonts w:ascii="Times New Roman" w:hAnsi="Times New Roman"/>
        </w:rPr>
        <w:t xml:space="preserve">6.1 </w:t>
      </w:r>
      <w:r>
        <w:rPr>
          <w:rStyle w:val="44"/>
          <w:rFonts w:ascii="Times New Roman" w:hAnsi="Times New Roman"/>
          <w:bCs/>
        </w:rPr>
        <w:t>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_Toc162996221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"_Toc162996222"</w:instrText>
      </w:r>
      <w:r>
        <w:rPr>
          <w:rFonts w:ascii="Times New Roman" w:hAnsi="Times New Roman" w:cs="宋体"/>
        </w:rPr>
        <w:fldChar w:fldCharType="separate"/>
      </w:r>
      <w:r>
        <w:rPr>
          <w:rStyle w:val="44"/>
          <w:rFonts w:ascii="Times New Roman" w:hAnsi="Times New Roman"/>
        </w:rPr>
        <w:t xml:space="preserve">6.2 </w:t>
      </w:r>
      <w:r>
        <w:rPr>
          <w:rStyle w:val="44"/>
          <w:rFonts w:ascii="Times New Roman" w:hAnsi="Times New Roman"/>
          <w:bCs/>
        </w:rPr>
        <w:t>框支承结构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_Toc162996222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"_Toc162996223"</w:instrText>
      </w:r>
      <w:r>
        <w:rPr>
          <w:rFonts w:ascii="Times New Roman" w:hAnsi="Times New Roman" w:cs="宋体"/>
        </w:rPr>
        <w:fldChar w:fldCharType="separate"/>
      </w:r>
      <w:r>
        <w:rPr>
          <w:rStyle w:val="44"/>
          <w:rFonts w:ascii="Times New Roman" w:hAnsi="Times New Roman"/>
        </w:rPr>
        <w:t xml:space="preserve">6.3 </w:t>
      </w:r>
      <w:r>
        <w:rPr>
          <w:rStyle w:val="44"/>
          <w:rFonts w:ascii="Times New Roman" w:hAnsi="Times New Roman"/>
          <w:bCs/>
        </w:rPr>
        <w:t>肋支承结构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_Toc162996223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"_Toc162996224"</w:instrText>
      </w:r>
      <w:r>
        <w:rPr>
          <w:rFonts w:ascii="Times New Roman" w:hAnsi="Times New Roman" w:cs="宋体"/>
        </w:rPr>
        <w:fldChar w:fldCharType="separate"/>
      </w:r>
      <w:r>
        <w:rPr>
          <w:rStyle w:val="44"/>
          <w:rFonts w:ascii="Times New Roman" w:hAnsi="Times New Roman"/>
        </w:rPr>
        <w:t>6.4 索结构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_Toc162996224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"_Toc162996225"</w:instrText>
      </w:r>
      <w:r>
        <w:rPr>
          <w:rFonts w:ascii="Times New Roman" w:hAnsi="Times New Roman" w:cs="宋体"/>
        </w:rPr>
        <w:fldChar w:fldCharType="separate"/>
      </w:r>
      <w:r>
        <w:rPr>
          <w:rStyle w:val="44"/>
          <w:rFonts w:ascii="Times New Roman" w:hAnsi="Times New Roman"/>
        </w:rPr>
        <w:t>6.5 桁架结构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_Toc162996225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"_Toc162996226"</w:instrText>
      </w:r>
      <w:r>
        <w:rPr>
          <w:rFonts w:ascii="Times New Roman" w:hAnsi="Times New Roman" w:cs="宋体"/>
        </w:rPr>
        <w:fldChar w:fldCharType="separate"/>
      </w:r>
      <w:r>
        <w:rPr>
          <w:rStyle w:val="44"/>
          <w:rFonts w:ascii="Times New Roman" w:hAnsi="Times New Roman"/>
        </w:rPr>
        <w:t>6.6 膜结构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_Toc162996226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"_Toc162996227"</w:instrText>
      </w:r>
      <w:r>
        <w:rPr>
          <w:rFonts w:ascii="Times New Roman" w:hAnsi="Times New Roman" w:cs="宋体"/>
        </w:rPr>
        <w:fldChar w:fldCharType="separate"/>
      </w:r>
      <w:r>
        <w:rPr>
          <w:rStyle w:val="44"/>
          <w:rFonts w:ascii="Times New Roman" w:hAnsi="Times New Roman"/>
        </w:rPr>
        <w:t>7 特殊构造结构计算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_Toc162996227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"_Toc162996228"</w:instrText>
      </w:r>
      <w:r>
        <w:rPr>
          <w:rFonts w:ascii="Times New Roman" w:hAnsi="Times New Roman" w:cs="宋体"/>
        </w:rPr>
        <w:fldChar w:fldCharType="separate"/>
      </w:r>
      <w:r>
        <w:rPr>
          <w:rStyle w:val="44"/>
          <w:rFonts w:ascii="Times New Roman" w:hAnsi="Times New Roman"/>
        </w:rPr>
        <w:t>7.1</w:t>
      </w:r>
      <w:r>
        <w:rPr>
          <w:rStyle w:val="44"/>
          <w:rFonts w:ascii="Times New Roman" w:hAnsi="Times New Roman"/>
          <w:bCs/>
        </w:rPr>
        <w:t xml:space="preserve">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_Toc162996228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"_Toc162996229"</w:instrText>
      </w:r>
      <w:r>
        <w:rPr>
          <w:rFonts w:ascii="Times New Roman" w:hAnsi="Times New Roman" w:cs="宋体"/>
        </w:rPr>
        <w:fldChar w:fldCharType="separate"/>
      </w:r>
      <w:r>
        <w:rPr>
          <w:rStyle w:val="44"/>
          <w:rFonts w:ascii="Times New Roman" w:hAnsi="Times New Roman"/>
        </w:rPr>
        <w:t>7.2</w:t>
      </w:r>
      <w:r>
        <w:rPr>
          <w:rStyle w:val="44"/>
          <w:rFonts w:ascii="Times New Roman" w:hAnsi="Times New Roman"/>
          <w:bCs/>
        </w:rPr>
        <w:t xml:space="preserve"> 开启构造计算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_Toc162996229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"_Toc162996230"</w:instrText>
      </w:r>
      <w:r>
        <w:rPr>
          <w:rFonts w:ascii="Times New Roman" w:hAnsi="Times New Roman" w:cs="宋体"/>
        </w:rPr>
        <w:fldChar w:fldCharType="separate"/>
      </w:r>
      <w:r>
        <w:rPr>
          <w:rStyle w:val="44"/>
          <w:rFonts w:ascii="Times New Roman" w:hAnsi="Times New Roman"/>
        </w:rPr>
        <w:t>7.3 与主体结构连接计算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_Toc162996230 \h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"_Toc162996231"</w:instrText>
      </w:r>
      <w:r>
        <w:rPr>
          <w:rFonts w:ascii="Times New Roman" w:hAnsi="Times New Roman" w:cs="宋体"/>
        </w:rPr>
        <w:fldChar w:fldCharType="separate"/>
      </w:r>
      <w:r>
        <w:rPr>
          <w:rStyle w:val="44"/>
          <w:rFonts w:ascii="Times New Roman" w:hAnsi="Times New Roman"/>
        </w:rPr>
        <w:t xml:space="preserve">7.4 </w:t>
      </w:r>
      <w:r>
        <w:rPr>
          <w:rStyle w:val="44"/>
          <w:rFonts w:ascii="Times New Roman" w:hAnsi="Times New Roman"/>
          <w:bCs/>
        </w:rPr>
        <w:t>外挑装饰连接计算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_Toc162996231 \h </w:instrText>
      </w:r>
      <w:r>
        <w:rPr>
          <w:rFonts w:ascii="Times New Roman" w:hAnsi="Times New Roman" w:cs="Times New Roman"/>
        </w:rPr>
        <w:fldChar w:fldCharType="separate"/>
      </w:r>
      <w:r>
        <w:rPr>
          <w:rFonts w:ascii="Times New Roman" w:hAnsi="Times New Roman" w:cs="Times New Roman"/>
        </w:rPr>
        <w:t>67</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"_Toc162996232"</w:instrText>
      </w:r>
      <w:r>
        <w:rPr>
          <w:rFonts w:ascii="Times New Roman" w:hAnsi="Times New Roman" w:cs="宋体"/>
        </w:rPr>
        <w:fldChar w:fldCharType="separate"/>
      </w:r>
      <w:r>
        <w:rPr>
          <w:rStyle w:val="44"/>
          <w:rFonts w:ascii="Times New Roman" w:hAnsi="Times New Roman"/>
        </w:rPr>
        <w:t xml:space="preserve">7.5 </w:t>
      </w:r>
      <w:r>
        <w:rPr>
          <w:rStyle w:val="44"/>
          <w:rFonts w:ascii="Times New Roman" w:hAnsi="Times New Roman"/>
          <w:bCs/>
        </w:rPr>
        <w:t>防火封堵连接计算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_Toc162996232 \h </w:instrText>
      </w:r>
      <w:r>
        <w:rPr>
          <w:rFonts w:ascii="Times New Roman" w:hAnsi="Times New Roman" w:cs="Times New Roman"/>
        </w:rPr>
        <w:fldChar w:fldCharType="separate"/>
      </w:r>
      <w:r>
        <w:rPr>
          <w:rFonts w:ascii="Times New Roman" w:hAnsi="Times New Roman" w:cs="Times New Roman"/>
        </w:rPr>
        <w:t>69</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"_Toc162996233"</w:instrText>
      </w:r>
      <w:r>
        <w:rPr>
          <w:rFonts w:ascii="Times New Roman" w:hAnsi="Times New Roman" w:cs="宋体"/>
        </w:rPr>
        <w:fldChar w:fldCharType="separate"/>
      </w:r>
      <w:r>
        <w:rPr>
          <w:rStyle w:val="44"/>
          <w:rFonts w:ascii="Times New Roman" w:hAnsi="Times New Roman"/>
        </w:rPr>
        <w:t>7.6</w:t>
      </w:r>
      <w:r>
        <w:rPr>
          <w:rStyle w:val="44"/>
          <w:rFonts w:ascii="Times New Roman" w:hAnsi="Times New Roman"/>
          <w:bCs/>
        </w:rPr>
        <w:t xml:space="preserve"> 其他构造计算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_Toc162996233 \h </w:instrText>
      </w:r>
      <w:r>
        <w:rPr>
          <w:rFonts w:ascii="Times New Roman" w:hAnsi="Times New Roman" w:cs="Times New Roman"/>
        </w:rPr>
        <w:fldChar w:fldCharType="separate"/>
      </w:r>
      <w:r>
        <w:rPr>
          <w:rFonts w:ascii="Times New Roman" w:hAnsi="Times New Roman" w:cs="Times New Roman"/>
        </w:rPr>
        <w:t>70</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"_Toc162996234"</w:instrText>
      </w:r>
      <w:r>
        <w:rPr>
          <w:rFonts w:ascii="Times New Roman" w:hAnsi="Times New Roman" w:cs="宋体"/>
        </w:rPr>
        <w:fldChar w:fldCharType="separate"/>
      </w:r>
      <w:r>
        <w:rPr>
          <w:rStyle w:val="44"/>
          <w:rFonts w:ascii="Times New Roman" w:hAnsi="Times New Roman"/>
        </w:rPr>
        <w:t>8 连接计算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_Toc162996234 \h </w:instrText>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"_Toc162996235"</w:instrText>
      </w:r>
      <w:r>
        <w:rPr>
          <w:rFonts w:ascii="Times New Roman" w:hAnsi="Times New Roman" w:cs="宋体"/>
        </w:rPr>
        <w:fldChar w:fldCharType="separate"/>
      </w:r>
      <w:r>
        <w:rPr>
          <w:rStyle w:val="44"/>
          <w:rFonts w:ascii="Times New Roman" w:hAnsi="Times New Roman"/>
        </w:rPr>
        <w:t>8.1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_Toc162996235 \h </w:instrText>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Style w:val="44"/>
        </w:rPr>
      </w:pPr>
      <w:r>
        <w:rPr>
          <w:rStyle w:val="44"/>
          <w:rFonts w:ascii="Times New Roman" w:hAnsi="Times New Roman"/>
        </w:rPr>
        <w:fldChar w:fldCharType="begin"/>
      </w:r>
      <w:r>
        <w:rPr>
          <w:rStyle w:val="44"/>
          <w:rFonts w:ascii="Times New Roman" w:hAnsi="Times New Roman"/>
        </w:rPr>
        <w:instrText xml:space="preserve">HYPERLINK \l "_Toc162996236"</w:instrText>
      </w:r>
      <w:r>
        <w:rPr>
          <w:rStyle w:val="44"/>
        </w:rPr>
        <w:fldChar w:fldCharType="separate"/>
      </w:r>
      <w:r>
        <w:rPr>
          <w:rStyle w:val="44"/>
          <w:rFonts w:ascii="Times New Roman" w:hAnsi="Times New Roman"/>
          <w:b w:val="0"/>
        </w:rPr>
        <w:t>8.2</w:t>
      </w:r>
      <w:r>
        <w:rPr>
          <w:rStyle w:val="44"/>
          <w:rFonts w:ascii="Times New Roman" w:hAnsi="Times New Roman"/>
        </w:rPr>
        <w:t xml:space="preserve"> 硅酮结构密封胶粘接计算</w:t>
      </w:r>
      <w:r>
        <w:rPr>
          <w:rStyle w:val="44"/>
        </w:rPr>
        <w:tab/>
      </w:r>
      <w:r>
        <w:rPr>
          <w:rStyle w:val="44"/>
        </w:rPr>
        <w:fldChar w:fldCharType="begin"/>
      </w:r>
      <w:r>
        <w:rPr>
          <w:rStyle w:val="44"/>
        </w:rPr>
        <w:instrText xml:space="preserve"> PAGEREF _Toc162996236 \h </w:instrText>
      </w:r>
      <w:r>
        <w:rPr>
          <w:rStyle w:val="44"/>
        </w:rPr>
        <w:fldChar w:fldCharType="separate"/>
      </w:r>
      <w:r>
        <w:rPr>
          <w:rStyle w:val="44"/>
        </w:rPr>
        <w:t>72</w:t>
      </w:r>
      <w:r>
        <w:rPr>
          <w:rStyle w:val="44"/>
        </w:rPr>
        <w:fldChar w:fldCharType="end"/>
      </w:r>
      <w:r>
        <w:rPr>
          <w:rStyle w:val="44"/>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"_Toc162996237"</w:instrText>
      </w:r>
      <w:r>
        <w:rPr>
          <w:rFonts w:ascii="Times New Roman" w:hAnsi="Times New Roman" w:cs="宋体"/>
        </w:rPr>
        <w:fldChar w:fldCharType="separate"/>
      </w:r>
      <w:r>
        <w:rPr>
          <w:rStyle w:val="44"/>
          <w:rFonts w:ascii="Times New Roman" w:hAnsi="Times New Roman"/>
        </w:rPr>
        <w:t>8.3 紧固件连接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_Toc162996237 \h </w:instrText>
      </w:r>
      <w:r>
        <w:rPr>
          <w:rFonts w:ascii="Times New Roman" w:hAnsi="Times New Roman" w:cs="Times New Roman"/>
        </w:rPr>
        <w:fldChar w:fldCharType="separate"/>
      </w:r>
      <w:r>
        <w:rPr>
          <w:rFonts w:ascii="Times New Roman" w:hAnsi="Times New Roman" w:cs="Times New Roman"/>
        </w:rPr>
        <w:t>74</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"_Toc162996238"</w:instrText>
      </w:r>
      <w:r>
        <w:rPr>
          <w:rFonts w:ascii="Times New Roman" w:hAnsi="Times New Roman" w:cs="宋体"/>
        </w:rPr>
        <w:fldChar w:fldCharType="separate"/>
      </w:r>
      <w:r>
        <w:rPr>
          <w:rStyle w:val="44"/>
          <w:rFonts w:ascii="Times New Roman" w:hAnsi="Times New Roman"/>
        </w:rPr>
        <w:t>8.4 焊缝连接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_Toc162996238 \h </w:instrText>
      </w:r>
      <w:r>
        <w:rPr>
          <w:rFonts w:ascii="Times New Roman" w:hAnsi="Times New Roman" w:cs="Times New Roman"/>
        </w:rPr>
        <w:fldChar w:fldCharType="separate"/>
      </w:r>
      <w:r>
        <w:rPr>
          <w:rFonts w:ascii="Times New Roman" w:hAnsi="Times New Roman" w:cs="Times New Roman"/>
        </w:rPr>
        <w:t>79</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"_Toc162996239"</w:instrText>
      </w:r>
      <w:r>
        <w:rPr>
          <w:rFonts w:ascii="Times New Roman" w:hAnsi="Times New Roman" w:cs="宋体"/>
        </w:rPr>
        <w:fldChar w:fldCharType="separate"/>
      </w:r>
      <w:r>
        <w:rPr>
          <w:rStyle w:val="44"/>
          <w:rFonts w:ascii="Times New Roman" w:hAnsi="Times New Roman"/>
        </w:rPr>
        <w:t>9 结构计算表达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_Toc162996239 \h </w:instrText>
      </w:r>
      <w:r>
        <w:rPr>
          <w:rFonts w:ascii="Times New Roman" w:hAnsi="Times New Roman" w:cs="Times New Roman"/>
        </w:rPr>
        <w:fldChar w:fldCharType="separate"/>
      </w:r>
      <w:r>
        <w:rPr>
          <w:rFonts w:ascii="Times New Roman" w:hAnsi="Times New Roman" w:cs="Times New Roman"/>
        </w:rPr>
        <w:t>82</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"_Toc162996240"</w:instrText>
      </w:r>
      <w:r>
        <w:rPr>
          <w:rFonts w:ascii="Times New Roman" w:hAnsi="Times New Roman" w:cs="宋体"/>
        </w:rPr>
        <w:fldChar w:fldCharType="separate"/>
      </w:r>
      <w:r>
        <w:rPr>
          <w:rStyle w:val="44"/>
          <w:rFonts w:ascii="Times New Roman" w:hAnsi="Times New Roman"/>
        </w:rPr>
        <w:t>附录A</w:t>
      </w:r>
      <w:r>
        <w:rPr>
          <w:rStyle w:val="44"/>
          <w:rFonts w:hint="eastAsia" w:ascii="Times New Roman" w:hAnsi="Times New Roman"/>
        </w:rPr>
        <w:t xml:space="preserve"> </w:t>
      </w:r>
      <w:r>
        <w:rPr>
          <w:rStyle w:val="44"/>
          <w:rFonts w:ascii="Times New Roman" w:hAnsi="Times New Roman"/>
        </w:rPr>
        <w:t>穿条式隔热铝合金型材等效惯性矩计算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_Toc162996240 \h </w:instrText>
      </w:r>
      <w:r>
        <w:rPr>
          <w:rFonts w:ascii="Times New Roman" w:hAnsi="Times New Roman" w:cs="Times New Roman"/>
        </w:rPr>
        <w:fldChar w:fldCharType="separate"/>
      </w:r>
      <w:r>
        <w:rPr>
          <w:rFonts w:ascii="Times New Roman" w:hAnsi="Times New Roman" w:cs="Times New Roman"/>
        </w:rPr>
        <w:t>83</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"_Toc162996241"</w:instrText>
      </w:r>
      <w:r>
        <w:rPr>
          <w:rFonts w:ascii="Times New Roman" w:hAnsi="Times New Roman" w:cs="宋体"/>
        </w:rPr>
        <w:fldChar w:fldCharType="separate"/>
      </w:r>
      <w:r>
        <w:rPr>
          <w:rStyle w:val="44"/>
          <w:rFonts w:ascii="Times New Roman" w:hAnsi="Times New Roman"/>
        </w:rPr>
        <w:t>附录B 开口铝合金立柱强度折减系数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_Toc162996241 \h </w:instrText>
      </w:r>
      <w:r>
        <w:rPr>
          <w:rFonts w:ascii="Times New Roman" w:hAnsi="Times New Roman" w:cs="Times New Roman"/>
        </w:rPr>
        <w:fldChar w:fldCharType="separate"/>
      </w:r>
      <w:r>
        <w:rPr>
          <w:rFonts w:ascii="Times New Roman" w:hAnsi="Times New Roman" w:cs="Times New Roman"/>
        </w:rPr>
        <w:t>85</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"_Toc162996242"</w:instrText>
      </w:r>
      <w:r>
        <w:rPr>
          <w:rFonts w:ascii="Times New Roman" w:hAnsi="Times New Roman" w:cs="宋体"/>
        </w:rPr>
        <w:fldChar w:fldCharType="separate"/>
      </w:r>
      <w:r>
        <w:rPr>
          <w:rStyle w:val="44"/>
          <w:rFonts w:ascii="Times New Roman" w:hAnsi="Times New Roman"/>
        </w:rPr>
        <w:t>附录C 面内受弯构件屈曲临界弯矩计算方法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_Toc162996242 \h </w:instrText>
      </w:r>
      <w:r>
        <w:rPr>
          <w:rFonts w:ascii="Times New Roman" w:hAnsi="Times New Roman" w:cs="Times New Roman"/>
        </w:rPr>
        <w:fldChar w:fldCharType="separate"/>
      </w:r>
      <w:r>
        <w:rPr>
          <w:rFonts w:ascii="Times New Roman" w:hAnsi="Times New Roman" w:cs="Times New Roman"/>
        </w:rPr>
        <w:t>89</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"_Toc162996243"</w:instrText>
      </w:r>
      <w:r>
        <w:rPr>
          <w:rFonts w:ascii="Times New Roman" w:hAnsi="Times New Roman" w:cs="宋体"/>
        </w:rPr>
        <w:fldChar w:fldCharType="separate"/>
      </w:r>
      <w:r>
        <w:rPr>
          <w:rStyle w:val="44"/>
          <w:rFonts w:ascii="Times New Roman" w:hAnsi="Times New Roman"/>
        </w:rPr>
        <w:t>附录D</w:t>
      </w:r>
      <w:r>
        <w:rPr>
          <w:rStyle w:val="44"/>
          <w:rFonts w:hint="eastAsia" w:ascii="Times New Roman" w:hAnsi="Times New Roman"/>
        </w:rPr>
        <w:t xml:space="preserve"> </w:t>
      </w:r>
      <w:r>
        <w:rPr>
          <w:rStyle w:val="44"/>
          <w:rFonts w:ascii="Times New Roman" w:hAnsi="Times New Roman"/>
        </w:rPr>
        <w:t>槽式预埋件设计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_Toc162996243 \h </w:instrText>
      </w:r>
      <w:r>
        <w:rPr>
          <w:rFonts w:ascii="Times New Roman" w:hAnsi="Times New Roman" w:cs="Times New Roman"/>
        </w:rPr>
        <w:fldChar w:fldCharType="separate"/>
      </w:r>
      <w:r>
        <w:rPr>
          <w:rFonts w:ascii="Times New Roman" w:hAnsi="Times New Roman" w:cs="Times New Roman"/>
        </w:rPr>
        <w:t>92</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"_Toc162996244"</w:instrText>
      </w:r>
      <w:r>
        <w:rPr>
          <w:rFonts w:ascii="Times New Roman" w:hAnsi="Times New Roman" w:cs="宋体"/>
        </w:rPr>
        <w:fldChar w:fldCharType="separate"/>
      </w:r>
      <w:r>
        <w:rPr>
          <w:rStyle w:val="44"/>
          <w:rFonts w:ascii="Times New Roman" w:hAnsi="Times New Roman"/>
        </w:rPr>
        <w:t>用词说明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_Toc162996244 \h </w:instrText>
      </w:r>
      <w:r>
        <w:rPr>
          <w:rFonts w:ascii="Times New Roman" w:hAnsi="Times New Roman" w:cs="Times New Roman"/>
        </w:rPr>
        <w:fldChar w:fldCharType="separate"/>
      </w:r>
      <w:r>
        <w:rPr>
          <w:rFonts w:ascii="Times New Roman" w:hAnsi="Times New Roman" w:cs="Times New Roman"/>
        </w:rPr>
        <w:t>110</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"_Toc162996245"</w:instrText>
      </w:r>
      <w:r>
        <w:rPr>
          <w:rFonts w:ascii="Times New Roman" w:hAnsi="Times New Roman" w:cs="宋体"/>
        </w:rPr>
        <w:fldChar w:fldCharType="separate"/>
      </w:r>
      <w:r>
        <w:rPr>
          <w:rStyle w:val="44"/>
          <w:rFonts w:ascii="Times New Roman" w:hAnsi="Times New Roman"/>
        </w:rPr>
        <w:t>引用标准名录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_Toc162996245 \h </w:instrText>
      </w:r>
      <w:r>
        <w:rPr>
          <w:rFonts w:ascii="Times New Roman" w:hAnsi="Times New Roman" w:cs="Times New Roman"/>
        </w:rPr>
        <w:fldChar w:fldCharType="separate"/>
      </w:r>
      <w:r>
        <w:rPr>
          <w:rFonts w:ascii="Times New Roman" w:hAnsi="Times New Roman" w:cs="Times New Roman"/>
        </w:rPr>
        <w:t>111</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"_Toc162996246"</w:instrText>
      </w:r>
      <w:r>
        <w:rPr>
          <w:rFonts w:ascii="Times New Roman" w:hAnsi="Times New Roman" w:cs="宋体"/>
        </w:rPr>
        <w:fldChar w:fldCharType="separate"/>
      </w:r>
      <w:r>
        <w:rPr>
          <w:rStyle w:val="44"/>
          <w:rFonts w:ascii="Times New Roman" w:hAnsi="Times New Roman"/>
        </w:rPr>
        <w:t>条文说明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_Toc162996246 \h </w:instrText>
      </w:r>
      <w:r>
        <w:rPr>
          <w:rFonts w:ascii="Times New Roman" w:hAnsi="Times New Roman" w:cs="Times New Roman"/>
        </w:rPr>
        <w:fldChar w:fldCharType="separate"/>
      </w:r>
      <w:r>
        <w:rPr>
          <w:rFonts w:ascii="Times New Roman" w:hAnsi="Times New Roman" w:cs="Times New Roman"/>
        </w:rPr>
        <w:t>112</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"_Toc162996247"</w:instrText>
      </w:r>
      <w:r>
        <w:rPr>
          <w:rFonts w:ascii="Times New Roman" w:hAnsi="Times New Roman" w:cs="宋体"/>
        </w:rPr>
        <w:fldChar w:fldCharType="separate"/>
      </w:r>
      <w:r>
        <w:rPr>
          <w:rStyle w:val="44"/>
          <w:rFonts w:ascii="Times New Roman" w:hAnsi="Times New Roman"/>
        </w:rPr>
        <w:t>制 定 说 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_Toc162996247 \h </w:instrText>
      </w:r>
      <w:r>
        <w:rPr>
          <w:rFonts w:ascii="Times New Roman" w:hAnsi="Times New Roman" w:cs="Times New Roman"/>
        </w:rPr>
        <w:fldChar w:fldCharType="separate"/>
      </w:r>
      <w:r>
        <w:rPr>
          <w:rFonts w:ascii="Times New Roman" w:hAnsi="Times New Roman" w:cs="Times New Roman"/>
        </w:rPr>
        <w:t>113</w:t>
      </w:r>
      <w:r>
        <w:rPr>
          <w:rFonts w:ascii="Times New Roman" w:hAnsi="Times New Roman" w:cs="Times New Roman"/>
        </w:rPr>
        <w:fldChar w:fldCharType="end"/>
      </w:r>
      <w:r>
        <w:rPr>
          <w:rFonts w:ascii="Times New Roman" w:hAnsi="Times New Roman" w:cs="Times New Roman"/>
        </w:rPr>
        <w:fldChar w:fldCharType="end"/>
      </w:r>
    </w:p>
    <w:p>
      <w:pPr>
        <w:spacing w:line="360" w:lineRule="auto"/>
        <w:rPr>
          <w:rFonts w:ascii="Times New Roman" w:hAnsi="Times New Roman" w:cs="Times New Roman"/>
        </w:rPr>
      </w:pPr>
      <w:r>
        <w:rPr>
          <w:rFonts w:ascii="Times New Roman" w:hAnsi="Times New Roman" w:cs="Times New Roman"/>
        </w:rPr>
        <w:fldChar w:fldCharType="end"/>
      </w:r>
    </w:p>
    <w:p>
      <w:pPr>
        <w:rPr>
          <w:rFonts w:ascii="Times New Roman" w:hAnsi="Times New Roman" w:cs="Times New Roman"/>
        </w:rPr>
      </w:pPr>
      <w:r>
        <w:rPr>
          <w:rFonts w:ascii="Times New Roman" w:hAnsi="Times New Roman" w:cs="Times New Roman"/>
        </w:rPr>
        <w:br w:type="page"/>
      </w:r>
    </w:p>
    <w:p>
      <w:pPr>
        <w:spacing w:line="360" w:lineRule="auto"/>
        <w:jc w:val="center"/>
        <w:rPr>
          <w:rFonts w:ascii="Times New Roman" w:hAnsi="Times New Roman" w:cs="Times New Roman"/>
          <w:b/>
          <w:bCs/>
          <w:sz w:val="28"/>
          <w:szCs w:val="28"/>
        </w:rPr>
      </w:pPr>
      <w:r>
        <w:rPr>
          <w:rFonts w:hint="eastAsia" w:ascii="Times New Roman" w:hAnsi="Times New Roman" w:cs="Times New Roman"/>
          <w:b/>
          <w:bCs/>
          <w:sz w:val="28"/>
          <w:szCs w:val="28"/>
        </w:rPr>
        <w:t>Contents</w:t>
      </w:r>
    </w:p>
    <w:p>
      <w:pPr>
        <w:spacing w:line="360" w:lineRule="auto"/>
        <w:rPr>
          <w:rFonts w:ascii="Times New Roman" w:hAnsi="Times New Roman" w:cs="Times New Roman"/>
        </w:rPr>
      </w:pP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cs="Times New Roman"/>
          <w:bCs/>
        </w:rPr>
        <w:fldChar w:fldCharType="begin"/>
      </w:r>
      <w:r>
        <w:rPr>
          <w:rFonts w:ascii="Times New Roman" w:hAnsi="Times New Roman" w:cs="Times New Roman"/>
          <w:bCs/>
        </w:rPr>
        <w:instrText xml:space="preserve"> TOC \o "1-2" \h \z \u </w:instrText>
      </w:r>
      <w:r>
        <w:rPr>
          <w:rFonts w:ascii="Times New Roman" w:hAnsi="Times New Roman" w:cs="Times New Roman"/>
          <w:bCs/>
        </w:rPr>
        <w:fldChar w:fldCharType="separate"/>
      </w:r>
      <w:r>
        <w:rPr>
          <w:rFonts w:ascii="Times New Roman" w:hAnsi="Times New Roman"/>
        </w:rPr>
        <w:fldChar w:fldCharType="begin"/>
      </w:r>
      <w:r>
        <w:rPr>
          <w:rFonts w:ascii="Times New Roman" w:hAnsi="Times New Roman"/>
        </w:rPr>
        <w:instrText xml:space="preserve">HYPERLINK \l "_Toc162996200"</w:instrText>
      </w:r>
      <w:r>
        <w:rPr>
          <w:rFonts w:ascii="Times New Roman" w:hAnsi="Times New Roman"/>
        </w:rPr>
        <w:fldChar w:fldCharType="separate"/>
      </w:r>
      <w:r>
        <w:rPr>
          <w:rStyle w:val="44"/>
          <w:rFonts w:ascii="Times New Roman" w:hAnsi="Times New Roman"/>
        </w:rPr>
        <w:t xml:space="preserve">1 </w:t>
      </w:r>
      <w:r>
        <w:rPr>
          <w:rStyle w:val="44"/>
          <w:rFonts w:hint="eastAsia" w:ascii="Times New Roman" w:hAnsi="Times New Roman"/>
        </w:rPr>
        <w:t>General Provisions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_Toc162996200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"_Toc162996201"</w:instrText>
      </w:r>
      <w:r>
        <w:rPr>
          <w:rFonts w:ascii="Times New Roman" w:hAnsi="Times New Roman"/>
        </w:rPr>
        <w:fldChar w:fldCharType="separate"/>
      </w:r>
      <w:r>
        <w:rPr>
          <w:rStyle w:val="44"/>
          <w:rFonts w:ascii="Times New Roman" w:hAnsi="Times New Roman"/>
        </w:rPr>
        <w:t xml:space="preserve">2 </w:t>
      </w:r>
      <w:r>
        <w:rPr>
          <w:rStyle w:val="44"/>
          <w:rFonts w:hint="eastAsia" w:ascii="Times New Roman" w:hAnsi="Times New Roman"/>
        </w:rPr>
        <w:t>Terms and Symbols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_Toc162996201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"_Toc162996202"</w:instrText>
      </w:r>
      <w:r>
        <w:rPr>
          <w:rFonts w:ascii="Times New Roman" w:hAnsi="Times New Roman"/>
        </w:rPr>
        <w:fldChar w:fldCharType="separate"/>
      </w:r>
      <w:r>
        <w:rPr>
          <w:rStyle w:val="44"/>
          <w:rFonts w:ascii="Times New Roman" w:hAnsi="Times New Roman"/>
        </w:rPr>
        <w:t xml:space="preserve">2.1 </w:t>
      </w:r>
      <w:r>
        <w:rPr>
          <w:rStyle w:val="44"/>
          <w:rFonts w:hint="eastAsia" w:ascii="Times New Roman" w:hAnsi="Times New Roman"/>
        </w:rPr>
        <w:t>Terms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_Toc162996202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"_Toc162996203"</w:instrText>
      </w:r>
      <w:r>
        <w:rPr>
          <w:rFonts w:ascii="Times New Roman" w:hAnsi="Times New Roman"/>
        </w:rPr>
        <w:fldChar w:fldCharType="separate"/>
      </w:r>
      <w:r>
        <w:rPr>
          <w:rStyle w:val="44"/>
          <w:rFonts w:ascii="Times New Roman" w:hAnsi="Times New Roman"/>
        </w:rPr>
        <w:t xml:space="preserve">2.2 </w:t>
      </w:r>
      <w:r>
        <w:rPr>
          <w:rStyle w:val="44"/>
          <w:rFonts w:hint="eastAsia" w:ascii="Times New Roman" w:hAnsi="Times New Roman"/>
        </w:rPr>
        <w:t>Symbols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_Toc162996203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"_Toc162996204"</w:instrText>
      </w:r>
      <w:r>
        <w:rPr>
          <w:rFonts w:ascii="Times New Roman" w:hAnsi="Times New Roman"/>
        </w:rPr>
        <w:fldChar w:fldCharType="separate"/>
      </w:r>
      <w:r>
        <w:rPr>
          <w:rStyle w:val="44"/>
          <w:rFonts w:ascii="Times New Roman" w:hAnsi="Times New Roman"/>
        </w:rPr>
        <w:t xml:space="preserve">3 </w:t>
      </w:r>
      <w:r>
        <w:rPr>
          <w:rStyle w:val="44"/>
          <w:rFonts w:hint="eastAsia" w:ascii="Times New Roman" w:hAnsi="Times New Roman"/>
        </w:rPr>
        <w:t>Material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_Toc162996204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"_Toc162996205"</w:instrText>
      </w:r>
      <w:r>
        <w:rPr>
          <w:rFonts w:ascii="Times New Roman" w:hAnsi="Times New Roman"/>
        </w:rPr>
        <w:fldChar w:fldCharType="separate"/>
      </w:r>
      <w:r>
        <w:rPr>
          <w:rStyle w:val="44"/>
          <w:rFonts w:ascii="Times New Roman" w:hAnsi="Times New Roman"/>
        </w:rPr>
        <w:t xml:space="preserve">3.1 </w:t>
      </w:r>
      <w:r>
        <w:rPr>
          <w:rStyle w:val="44"/>
          <w:rFonts w:hint="eastAsia" w:ascii="Times New Roman" w:hAnsi="Times New Roman"/>
        </w:rPr>
        <w:t>General Requirments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_Toc162996205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"_Toc162996206"</w:instrText>
      </w:r>
      <w:r>
        <w:rPr>
          <w:rFonts w:ascii="Times New Roman" w:hAnsi="Times New Roman"/>
        </w:rPr>
        <w:fldChar w:fldCharType="separate"/>
      </w:r>
      <w:r>
        <w:rPr>
          <w:rStyle w:val="44"/>
          <w:rFonts w:ascii="Times New Roman" w:hAnsi="Times New Roman"/>
        </w:rPr>
        <w:t>3.2 Mechanical Properties of Materials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_Toc162996206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"_Toc162996207"</w:instrText>
      </w:r>
      <w:r>
        <w:rPr>
          <w:rFonts w:ascii="Times New Roman" w:hAnsi="Times New Roman"/>
        </w:rPr>
        <w:fldChar w:fldCharType="separate"/>
      </w:r>
      <w:r>
        <w:rPr>
          <w:rStyle w:val="44"/>
          <w:rFonts w:ascii="Times New Roman" w:hAnsi="Times New Roman"/>
        </w:rPr>
        <w:t>3.3 Physical Properties of Materials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_Toc162996207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"_Toc162996208"</w:instrText>
      </w:r>
      <w:r>
        <w:rPr>
          <w:rFonts w:ascii="Times New Roman" w:hAnsi="Times New Roman"/>
        </w:rPr>
        <w:fldChar w:fldCharType="separate"/>
      </w:r>
      <w:r>
        <w:rPr>
          <w:rStyle w:val="44"/>
          <w:rFonts w:ascii="Times New Roman" w:hAnsi="Times New Roman"/>
        </w:rPr>
        <w:t xml:space="preserve">4 Basic </w:t>
      </w:r>
      <w:r>
        <w:rPr>
          <w:rStyle w:val="44"/>
          <w:rFonts w:hint="eastAsia" w:ascii="Times New Roman" w:hAnsi="Times New Roman"/>
        </w:rPr>
        <w:t>Requirments</w:t>
      </w:r>
      <w:r>
        <w:rPr>
          <w:rStyle w:val="44"/>
          <w:rFonts w:ascii="Times New Roman" w:hAnsi="Times New Roman"/>
        </w:rPr>
        <w:t xml:space="preserve"> for Structural Calculation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_Toc162996208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"_Toc162996209"</w:instrText>
      </w:r>
      <w:r>
        <w:rPr>
          <w:rFonts w:ascii="Times New Roman" w:hAnsi="Times New Roman"/>
        </w:rPr>
        <w:fldChar w:fldCharType="separate"/>
      </w:r>
      <w:r>
        <w:rPr>
          <w:rStyle w:val="44"/>
          <w:rFonts w:ascii="Times New Roman" w:hAnsi="Times New Roman"/>
        </w:rPr>
        <w:t>4.1 General Requirments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_Toc162996209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"_Toc162996210"</w:instrText>
      </w:r>
      <w:r>
        <w:rPr>
          <w:rFonts w:ascii="Times New Roman" w:hAnsi="Times New Roman"/>
        </w:rPr>
        <w:fldChar w:fldCharType="separate"/>
      </w:r>
      <w:r>
        <w:rPr>
          <w:rStyle w:val="44"/>
          <w:rFonts w:ascii="Times New Roman" w:hAnsi="Times New Roman"/>
        </w:rPr>
        <w:t xml:space="preserve">4.2 </w:t>
      </w:r>
      <w:r>
        <w:rPr>
          <w:rStyle w:val="44"/>
          <w:rFonts w:hint="eastAsia" w:ascii="Times New Roman" w:hAnsi="Times New Roman"/>
        </w:rPr>
        <w:t>Loads</w:t>
      </w:r>
      <w:r>
        <w:rPr>
          <w:rStyle w:val="44"/>
          <w:rFonts w:ascii="Times New Roman" w:hAnsi="Times New Roman"/>
        </w:rPr>
        <w:t xml:space="preserve"> </w:t>
      </w:r>
      <w:r>
        <w:rPr>
          <w:rStyle w:val="44"/>
          <w:rFonts w:hint="eastAsia" w:ascii="Times New Roman" w:hAnsi="Times New Roman"/>
        </w:rPr>
        <w:t xml:space="preserve">of </w:t>
      </w:r>
      <w:r>
        <w:rPr>
          <w:rStyle w:val="44"/>
          <w:rFonts w:ascii="Times New Roman" w:hAnsi="Times New Roman"/>
        </w:rPr>
        <w:t>Structural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_Toc162996210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"_Toc162996211"</w:instrText>
      </w:r>
      <w:r>
        <w:rPr>
          <w:rFonts w:ascii="Times New Roman" w:hAnsi="Times New Roman"/>
        </w:rPr>
        <w:fldChar w:fldCharType="separate"/>
      </w:r>
      <w:r>
        <w:rPr>
          <w:rStyle w:val="44"/>
          <w:rFonts w:ascii="Times New Roman" w:hAnsi="Times New Roman"/>
        </w:rPr>
        <w:t xml:space="preserve">4.3 </w:t>
      </w:r>
      <w:r>
        <w:rPr>
          <w:rStyle w:val="44"/>
          <w:rFonts w:hint="eastAsia" w:ascii="Times New Roman" w:hAnsi="Times New Roman"/>
        </w:rPr>
        <w:t>Loads</w:t>
      </w:r>
      <w:r>
        <w:rPr>
          <w:rStyle w:val="44"/>
          <w:rFonts w:ascii="Times New Roman" w:hAnsi="Times New Roman"/>
        </w:rPr>
        <w:t xml:space="preserve"> during Storage, Transportation, and Construction Phases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_Toc162996211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"_Toc162996212"</w:instrText>
      </w:r>
      <w:r>
        <w:rPr>
          <w:rFonts w:ascii="Times New Roman" w:hAnsi="Times New Roman"/>
        </w:rPr>
        <w:fldChar w:fldCharType="separate"/>
      </w:r>
      <w:r>
        <w:rPr>
          <w:rStyle w:val="44"/>
          <w:rFonts w:ascii="Times New Roman" w:hAnsi="Times New Roman"/>
        </w:rPr>
        <w:t xml:space="preserve">4.4 </w:t>
      </w:r>
      <w:r>
        <w:rPr>
          <w:rStyle w:val="44"/>
          <w:rFonts w:hint="eastAsia" w:ascii="Times New Roman" w:hAnsi="Times New Roman"/>
        </w:rPr>
        <w:t>Load Effect Combination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_Toc162996212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"_Toc162996213"</w:instrText>
      </w:r>
      <w:r>
        <w:rPr>
          <w:rFonts w:ascii="Times New Roman" w:hAnsi="Times New Roman"/>
        </w:rPr>
        <w:fldChar w:fldCharType="separate"/>
      </w:r>
      <w:r>
        <w:rPr>
          <w:rStyle w:val="44"/>
          <w:rFonts w:ascii="Times New Roman" w:hAnsi="Times New Roman"/>
        </w:rPr>
        <w:t xml:space="preserve">4.5 Finite </w:t>
      </w:r>
      <w:r>
        <w:rPr>
          <w:rStyle w:val="44"/>
          <w:rFonts w:hint="eastAsia" w:ascii="Times New Roman" w:hAnsi="Times New Roman"/>
        </w:rPr>
        <w:t>E</w:t>
      </w:r>
      <w:r>
        <w:rPr>
          <w:rStyle w:val="44"/>
          <w:rFonts w:ascii="Times New Roman" w:hAnsi="Times New Roman"/>
        </w:rPr>
        <w:t xml:space="preserve">lement </w:t>
      </w:r>
      <w:r>
        <w:rPr>
          <w:rStyle w:val="44"/>
          <w:rFonts w:hint="eastAsia" w:ascii="Times New Roman" w:hAnsi="Times New Roman"/>
        </w:rPr>
        <w:t>A</w:t>
      </w:r>
      <w:r>
        <w:rPr>
          <w:rStyle w:val="44"/>
          <w:rFonts w:ascii="Times New Roman" w:hAnsi="Times New Roman"/>
        </w:rPr>
        <w:t>nalysis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_Toc162996213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"_Toc162996214"</w:instrText>
      </w:r>
      <w:r>
        <w:rPr>
          <w:rFonts w:ascii="Times New Roman" w:hAnsi="Times New Roman"/>
        </w:rPr>
        <w:fldChar w:fldCharType="separate"/>
      </w:r>
      <w:r>
        <w:rPr>
          <w:rStyle w:val="44"/>
          <w:rFonts w:ascii="Times New Roman" w:hAnsi="Times New Roman"/>
        </w:rPr>
        <w:t>5 Panels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_Toc162996214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"_Toc162996215"</w:instrText>
      </w:r>
      <w:r>
        <w:rPr>
          <w:rFonts w:ascii="Times New Roman" w:hAnsi="Times New Roman"/>
        </w:rPr>
        <w:fldChar w:fldCharType="separate"/>
      </w:r>
      <w:r>
        <w:rPr>
          <w:rStyle w:val="44"/>
          <w:rFonts w:ascii="Times New Roman" w:hAnsi="Times New Roman"/>
        </w:rPr>
        <w:t>5.1 General Requirments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_Toc162996215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"_Toc162996216"</w:instrText>
      </w:r>
      <w:r>
        <w:rPr>
          <w:rFonts w:ascii="Times New Roman" w:hAnsi="Times New Roman"/>
        </w:rPr>
        <w:fldChar w:fldCharType="separate"/>
      </w:r>
      <w:r>
        <w:rPr>
          <w:rStyle w:val="44"/>
          <w:rFonts w:ascii="Times New Roman" w:hAnsi="Times New Roman"/>
        </w:rPr>
        <w:t>5.2 Line Support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_Toc162996216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"_Toc162996217"</w:instrText>
      </w:r>
      <w:r>
        <w:rPr>
          <w:rFonts w:ascii="Times New Roman" w:hAnsi="Times New Roman"/>
        </w:rPr>
        <w:fldChar w:fldCharType="separate"/>
      </w:r>
      <w:r>
        <w:rPr>
          <w:rStyle w:val="44"/>
          <w:rFonts w:ascii="Times New Roman" w:hAnsi="Times New Roman"/>
        </w:rPr>
        <w:t>5.3 Point Support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_Toc162996217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"_Toc162996218"</w:instrText>
      </w:r>
      <w:r>
        <w:rPr>
          <w:rFonts w:ascii="Times New Roman" w:hAnsi="Times New Roman"/>
        </w:rPr>
        <w:fldChar w:fldCharType="separate"/>
      </w:r>
      <w:r>
        <w:rPr>
          <w:rStyle w:val="44"/>
          <w:rFonts w:ascii="Times New Roman" w:hAnsi="Times New Roman"/>
        </w:rPr>
        <w:t>5.4 Mixed Support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_Toc162996218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"_Toc162996219"</w:instrText>
      </w:r>
      <w:r>
        <w:rPr>
          <w:rFonts w:ascii="Times New Roman" w:hAnsi="Times New Roman"/>
        </w:rPr>
        <w:fldChar w:fldCharType="separate"/>
      </w:r>
      <w:r>
        <w:rPr>
          <w:rStyle w:val="44"/>
          <w:rFonts w:ascii="Times New Roman" w:hAnsi="Times New Roman"/>
        </w:rPr>
        <w:t>5.5 Others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_Toc162996219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"_Toc162996220"</w:instrText>
      </w:r>
      <w:r>
        <w:rPr>
          <w:rFonts w:ascii="Times New Roman" w:hAnsi="Times New Roman"/>
        </w:rPr>
        <w:fldChar w:fldCharType="separate"/>
      </w:r>
      <w:r>
        <w:rPr>
          <w:rStyle w:val="44"/>
          <w:rFonts w:ascii="Times New Roman" w:hAnsi="Times New Roman"/>
        </w:rPr>
        <w:t>6 Structural Support Calculation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_Toc162996220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"_Toc162996221"</w:instrText>
      </w:r>
      <w:r>
        <w:rPr>
          <w:rFonts w:ascii="Times New Roman" w:hAnsi="Times New Roman"/>
        </w:rPr>
        <w:fldChar w:fldCharType="separate"/>
      </w:r>
      <w:r>
        <w:rPr>
          <w:rStyle w:val="44"/>
          <w:rFonts w:ascii="Times New Roman" w:hAnsi="Times New Roman"/>
        </w:rPr>
        <w:t xml:space="preserve">6.1 </w:t>
      </w:r>
      <w:r>
        <w:rPr>
          <w:rStyle w:val="44"/>
          <w:rFonts w:ascii="Times New Roman" w:hAnsi="Times New Roman"/>
          <w:bCs/>
        </w:rPr>
        <w:t>General Requirments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_Toc162996221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"_Toc162996222"</w:instrText>
      </w:r>
      <w:r>
        <w:rPr>
          <w:rFonts w:ascii="Times New Roman" w:hAnsi="Times New Roman"/>
        </w:rPr>
        <w:fldChar w:fldCharType="separate"/>
      </w:r>
      <w:r>
        <w:rPr>
          <w:rStyle w:val="44"/>
          <w:rFonts w:ascii="Times New Roman" w:hAnsi="Times New Roman"/>
        </w:rPr>
        <w:t xml:space="preserve">6.2 </w:t>
      </w:r>
      <w:r>
        <w:rPr>
          <w:rStyle w:val="44"/>
          <w:rFonts w:ascii="Times New Roman" w:hAnsi="Times New Roman"/>
          <w:bCs/>
        </w:rPr>
        <w:t>Frame Support Structures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_Toc162996222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"_Toc162996223"</w:instrText>
      </w:r>
      <w:r>
        <w:rPr>
          <w:rFonts w:ascii="Times New Roman" w:hAnsi="Times New Roman"/>
        </w:rPr>
        <w:fldChar w:fldCharType="separate"/>
      </w:r>
      <w:r>
        <w:rPr>
          <w:rStyle w:val="44"/>
          <w:rFonts w:ascii="Times New Roman" w:hAnsi="Times New Roman"/>
        </w:rPr>
        <w:t xml:space="preserve">6.3 </w:t>
      </w:r>
      <w:r>
        <w:rPr>
          <w:rStyle w:val="44"/>
          <w:rFonts w:ascii="Times New Roman" w:hAnsi="Times New Roman"/>
          <w:bCs/>
        </w:rPr>
        <w:t>Rib Support Structures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_Toc162996223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"_Toc162996224"</w:instrText>
      </w:r>
      <w:r>
        <w:rPr>
          <w:rFonts w:ascii="Times New Roman" w:hAnsi="Times New Roman"/>
        </w:rPr>
        <w:fldChar w:fldCharType="separate"/>
      </w:r>
      <w:r>
        <w:rPr>
          <w:rStyle w:val="44"/>
          <w:rFonts w:ascii="Times New Roman" w:hAnsi="Times New Roman"/>
        </w:rPr>
        <w:t>6.4 Cable Structures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_Toc162996224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"_Toc162996225"</w:instrText>
      </w:r>
      <w:r>
        <w:rPr>
          <w:rFonts w:ascii="Times New Roman" w:hAnsi="Times New Roman"/>
        </w:rPr>
        <w:fldChar w:fldCharType="separate"/>
      </w:r>
      <w:r>
        <w:rPr>
          <w:rStyle w:val="44"/>
          <w:rFonts w:ascii="Times New Roman" w:hAnsi="Times New Roman"/>
        </w:rPr>
        <w:t>6.5 Truss Structures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_Toc162996225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"_Toc162996226"</w:instrText>
      </w:r>
      <w:r>
        <w:rPr>
          <w:rFonts w:ascii="Times New Roman" w:hAnsi="Times New Roman"/>
        </w:rPr>
        <w:fldChar w:fldCharType="separate"/>
      </w:r>
      <w:r>
        <w:rPr>
          <w:rStyle w:val="44"/>
          <w:rFonts w:ascii="Times New Roman" w:hAnsi="Times New Roman"/>
        </w:rPr>
        <w:t>6.6 Membrane Structures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_Toc162996226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"_Toc162996227"</w:instrText>
      </w:r>
      <w:r>
        <w:rPr>
          <w:rFonts w:ascii="Times New Roman" w:hAnsi="Times New Roman"/>
        </w:rPr>
        <w:fldChar w:fldCharType="separate"/>
      </w:r>
      <w:r>
        <w:rPr>
          <w:rStyle w:val="44"/>
          <w:rFonts w:ascii="Times New Roman" w:hAnsi="Times New Roman"/>
        </w:rPr>
        <w:t>7 Special Structural Calculation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_Toc162996227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"_Toc162996228"</w:instrText>
      </w:r>
      <w:r>
        <w:rPr>
          <w:rFonts w:ascii="Times New Roman" w:hAnsi="Times New Roman"/>
        </w:rPr>
        <w:fldChar w:fldCharType="separate"/>
      </w:r>
      <w:r>
        <w:rPr>
          <w:rStyle w:val="44"/>
          <w:rFonts w:ascii="Times New Roman" w:hAnsi="Times New Roman"/>
        </w:rPr>
        <w:t>7.1</w:t>
      </w:r>
      <w:r>
        <w:rPr>
          <w:rStyle w:val="44"/>
          <w:rFonts w:ascii="Times New Roman" w:hAnsi="Times New Roman"/>
          <w:bCs/>
        </w:rPr>
        <w:t xml:space="preserve"> General Requirments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_Toc162996228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"_Toc162996229"</w:instrText>
      </w:r>
      <w:r>
        <w:rPr>
          <w:rFonts w:ascii="Times New Roman" w:hAnsi="Times New Roman"/>
        </w:rPr>
        <w:fldChar w:fldCharType="separate"/>
      </w:r>
      <w:r>
        <w:rPr>
          <w:rStyle w:val="44"/>
          <w:rFonts w:ascii="Times New Roman" w:hAnsi="Times New Roman"/>
        </w:rPr>
        <w:t>7.2</w:t>
      </w:r>
      <w:r>
        <w:rPr>
          <w:rStyle w:val="44"/>
          <w:rFonts w:ascii="Times New Roman" w:hAnsi="Times New Roman"/>
          <w:bCs/>
        </w:rPr>
        <w:t xml:space="preserve"> Calculation for Opening Structures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_Toc162996229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"_Toc162996230"</w:instrText>
      </w:r>
      <w:r>
        <w:rPr>
          <w:rFonts w:ascii="Times New Roman" w:hAnsi="Times New Roman"/>
        </w:rPr>
        <w:fldChar w:fldCharType="separate"/>
      </w:r>
      <w:r>
        <w:rPr>
          <w:rStyle w:val="44"/>
          <w:rFonts w:ascii="Times New Roman" w:hAnsi="Times New Roman"/>
        </w:rPr>
        <w:t>7.3 Calculation for Connection to Main Structures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_Toc162996230 \h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"_Toc162996231"</w:instrText>
      </w:r>
      <w:r>
        <w:rPr>
          <w:rFonts w:ascii="Times New Roman" w:hAnsi="Times New Roman"/>
        </w:rPr>
        <w:fldChar w:fldCharType="separate"/>
      </w:r>
      <w:r>
        <w:rPr>
          <w:rStyle w:val="44"/>
          <w:rFonts w:ascii="Times New Roman" w:hAnsi="Times New Roman"/>
        </w:rPr>
        <w:t xml:space="preserve">7.4 </w:t>
      </w:r>
      <w:r>
        <w:rPr>
          <w:rStyle w:val="44"/>
          <w:rFonts w:ascii="Times New Roman" w:hAnsi="Times New Roman"/>
          <w:bCs/>
        </w:rPr>
        <w:t>Calculation for Overhang Decoration Connection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_Toc162996231 \h </w:instrText>
      </w:r>
      <w:r>
        <w:rPr>
          <w:rFonts w:ascii="Times New Roman" w:hAnsi="Times New Roman" w:cs="Times New Roman"/>
        </w:rPr>
        <w:fldChar w:fldCharType="separate"/>
      </w:r>
      <w:r>
        <w:rPr>
          <w:rFonts w:ascii="Times New Roman" w:hAnsi="Times New Roman" w:cs="Times New Roman"/>
        </w:rPr>
        <w:t>67</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"_Toc162996232"</w:instrText>
      </w:r>
      <w:r>
        <w:rPr>
          <w:rFonts w:ascii="Times New Roman" w:hAnsi="Times New Roman"/>
        </w:rPr>
        <w:fldChar w:fldCharType="separate"/>
      </w:r>
      <w:r>
        <w:rPr>
          <w:rStyle w:val="44"/>
          <w:rFonts w:ascii="Times New Roman" w:hAnsi="Times New Roman"/>
        </w:rPr>
        <w:t xml:space="preserve">7.5 </w:t>
      </w:r>
      <w:r>
        <w:rPr>
          <w:rStyle w:val="44"/>
          <w:rFonts w:ascii="Times New Roman" w:hAnsi="Times New Roman"/>
          <w:bCs/>
        </w:rPr>
        <w:t>Calculation for Fireproofing Sealing Connection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_Toc162996232 \h </w:instrText>
      </w:r>
      <w:r>
        <w:rPr>
          <w:rFonts w:ascii="Times New Roman" w:hAnsi="Times New Roman" w:cs="Times New Roman"/>
        </w:rPr>
        <w:fldChar w:fldCharType="separate"/>
      </w:r>
      <w:r>
        <w:rPr>
          <w:rFonts w:ascii="Times New Roman" w:hAnsi="Times New Roman" w:cs="Times New Roman"/>
        </w:rPr>
        <w:t>69</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"_Toc162996233"</w:instrText>
      </w:r>
      <w:r>
        <w:rPr>
          <w:rFonts w:ascii="Times New Roman" w:hAnsi="Times New Roman"/>
        </w:rPr>
        <w:fldChar w:fldCharType="separate"/>
      </w:r>
      <w:r>
        <w:rPr>
          <w:rStyle w:val="44"/>
          <w:rFonts w:ascii="Times New Roman" w:hAnsi="Times New Roman"/>
        </w:rPr>
        <w:t>7.6</w:t>
      </w:r>
      <w:r>
        <w:rPr>
          <w:rStyle w:val="44"/>
          <w:rFonts w:ascii="Times New Roman" w:hAnsi="Times New Roman"/>
          <w:bCs/>
        </w:rPr>
        <w:t xml:space="preserve"> Other Structural Calculations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_Toc162996233 \h </w:instrText>
      </w:r>
      <w:r>
        <w:rPr>
          <w:rFonts w:ascii="Times New Roman" w:hAnsi="Times New Roman" w:cs="Times New Roman"/>
        </w:rPr>
        <w:fldChar w:fldCharType="separate"/>
      </w:r>
      <w:r>
        <w:rPr>
          <w:rFonts w:ascii="Times New Roman" w:hAnsi="Times New Roman" w:cs="Times New Roman"/>
        </w:rPr>
        <w:t>70</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"_Toc162996234"</w:instrText>
      </w:r>
      <w:r>
        <w:rPr>
          <w:rFonts w:ascii="Times New Roman" w:hAnsi="Times New Roman"/>
        </w:rPr>
        <w:fldChar w:fldCharType="separate"/>
      </w:r>
      <w:r>
        <w:rPr>
          <w:rStyle w:val="44"/>
          <w:rFonts w:ascii="Times New Roman" w:hAnsi="Times New Roman"/>
        </w:rPr>
        <w:t>8 Connection Calculation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_Toc162996234 \h </w:instrText>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"_Toc162996235"</w:instrText>
      </w:r>
      <w:r>
        <w:rPr>
          <w:rFonts w:ascii="Times New Roman" w:hAnsi="Times New Roman"/>
        </w:rPr>
        <w:fldChar w:fldCharType="separate"/>
      </w:r>
      <w:r>
        <w:rPr>
          <w:rStyle w:val="44"/>
          <w:rFonts w:ascii="Times New Roman" w:hAnsi="Times New Roman"/>
        </w:rPr>
        <w:t>8.1 General Requirments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_Toc162996235 \h </w:instrText>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Style w:val="44"/>
        </w:rPr>
      </w:pPr>
      <w:r>
        <w:rPr>
          <w:rStyle w:val="44"/>
          <w:rFonts w:ascii="Times New Roman" w:hAnsi="Times New Roman"/>
        </w:rPr>
        <w:fldChar w:fldCharType="begin"/>
      </w:r>
      <w:r>
        <w:rPr>
          <w:rStyle w:val="44"/>
          <w:rFonts w:ascii="Times New Roman" w:hAnsi="Times New Roman"/>
        </w:rPr>
        <w:instrText xml:space="preserve">HYPERLINK \l "_Toc162996236"</w:instrText>
      </w:r>
      <w:r>
        <w:rPr>
          <w:rStyle w:val="44"/>
          <w:rFonts w:ascii="Times New Roman" w:hAnsi="Times New Roman"/>
        </w:rPr>
        <w:fldChar w:fldCharType="separate"/>
      </w:r>
      <w:r>
        <w:rPr>
          <w:rStyle w:val="44"/>
          <w:rFonts w:ascii="Times New Roman" w:hAnsi="Times New Roman"/>
        </w:rPr>
        <w:t>8.2 Calculation for Silicone Structural Sealant Adhesion</w:t>
      </w:r>
      <w:r>
        <w:rPr>
          <w:rStyle w:val="44"/>
        </w:rPr>
        <w:tab/>
      </w:r>
      <w:r>
        <w:rPr>
          <w:rStyle w:val="44"/>
        </w:rPr>
        <w:fldChar w:fldCharType="begin"/>
      </w:r>
      <w:r>
        <w:rPr>
          <w:rStyle w:val="44"/>
        </w:rPr>
        <w:instrText xml:space="preserve"> PAGEREF _Toc162996236 \h </w:instrText>
      </w:r>
      <w:r>
        <w:rPr>
          <w:rStyle w:val="44"/>
        </w:rPr>
        <w:fldChar w:fldCharType="separate"/>
      </w:r>
      <w:r>
        <w:rPr>
          <w:rStyle w:val="44"/>
        </w:rPr>
        <w:t>72</w:t>
      </w:r>
      <w:r>
        <w:rPr>
          <w:rStyle w:val="44"/>
        </w:rPr>
        <w:fldChar w:fldCharType="end"/>
      </w:r>
      <w:r>
        <w:rPr>
          <w:rStyle w:val="44"/>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"_Toc162996237"</w:instrText>
      </w:r>
      <w:r>
        <w:rPr>
          <w:rFonts w:ascii="Times New Roman" w:hAnsi="Times New Roman"/>
        </w:rPr>
        <w:fldChar w:fldCharType="separate"/>
      </w:r>
      <w:r>
        <w:rPr>
          <w:rStyle w:val="44"/>
          <w:rFonts w:ascii="Times New Roman" w:hAnsi="Times New Roman"/>
        </w:rPr>
        <w:t>8.3 Fastener Connection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_Toc162996237 \h </w:instrText>
      </w:r>
      <w:r>
        <w:rPr>
          <w:rFonts w:ascii="Times New Roman" w:hAnsi="Times New Roman" w:cs="Times New Roman"/>
        </w:rPr>
        <w:fldChar w:fldCharType="separate"/>
      </w:r>
      <w:r>
        <w:rPr>
          <w:rFonts w:ascii="Times New Roman" w:hAnsi="Times New Roman" w:cs="Times New Roman"/>
        </w:rPr>
        <w:t>74</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60"/>
        </w:tabs>
        <w:spacing w:line="360" w:lineRule="auto"/>
        <w:ind w:left="480"/>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"_Toc162996238"</w:instrText>
      </w:r>
      <w:r>
        <w:rPr>
          <w:rFonts w:ascii="Times New Roman" w:hAnsi="Times New Roman"/>
        </w:rPr>
        <w:fldChar w:fldCharType="separate"/>
      </w:r>
      <w:r>
        <w:rPr>
          <w:rStyle w:val="44"/>
          <w:rFonts w:ascii="Times New Roman" w:hAnsi="Times New Roman"/>
        </w:rPr>
        <w:t>8.4 Welded Joint Connection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_Toc162996238 \h </w:instrText>
      </w:r>
      <w:r>
        <w:rPr>
          <w:rFonts w:ascii="Times New Roman" w:hAnsi="Times New Roman" w:cs="Times New Roman"/>
        </w:rPr>
        <w:fldChar w:fldCharType="separate"/>
      </w:r>
      <w:r>
        <w:rPr>
          <w:rFonts w:ascii="Times New Roman" w:hAnsi="Times New Roman" w:cs="Times New Roman"/>
        </w:rPr>
        <w:t>79</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"_Toc162996239"</w:instrText>
      </w:r>
      <w:r>
        <w:rPr>
          <w:rFonts w:ascii="Times New Roman" w:hAnsi="Times New Roman"/>
        </w:rPr>
        <w:fldChar w:fldCharType="separate"/>
      </w:r>
      <w:r>
        <w:rPr>
          <w:rStyle w:val="44"/>
          <w:rFonts w:ascii="Times New Roman" w:hAnsi="Times New Roman"/>
        </w:rPr>
        <w:t xml:space="preserve">9 Expression </w:t>
      </w:r>
      <w:r>
        <w:rPr>
          <w:rStyle w:val="44"/>
          <w:rFonts w:hint="eastAsia" w:ascii="Times New Roman" w:hAnsi="Times New Roman"/>
        </w:rPr>
        <w:t xml:space="preserve">of </w:t>
      </w:r>
      <w:r>
        <w:rPr>
          <w:rStyle w:val="44"/>
          <w:rFonts w:ascii="Times New Roman" w:hAnsi="Times New Roman"/>
        </w:rPr>
        <w:t>Structural Calculation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_Toc162996239 \h </w:instrText>
      </w:r>
      <w:r>
        <w:rPr>
          <w:rFonts w:ascii="Times New Roman" w:hAnsi="Times New Roman" w:cs="Times New Roman"/>
        </w:rPr>
        <w:fldChar w:fldCharType="separate"/>
      </w:r>
      <w:r>
        <w:rPr>
          <w:rFonts w:ascii="Times New Roman" w:hAnsi="Times New Roman" w:cs="Times New Roman"/>
        </w:rPr>
        <w:t>82</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"_Toc162996240"</w:instrText>
      </w:r>
      <w:r>
        <w:rPr>
          <w:rFonts w:ascii="Times New Roman" w:hAnsi="Times New Roman"/>
        </w:rPr>
        <w:fldChar w:fldCharType="separate"/>
      </w:r>
      <w:r>
        <w:rPr>
          <w:rStyle w:val="44"/>
          <w:rFonts w:ascii="Times New Roman" w:hAnsi="Times New Roman"/>
        </w:rPr>
        <w:t>Appendix A</w:t>
      </w:r>
      <w:r>
        <w:rPr>
          <w:rStyle w:val="44"/>
          <w:rFonts w:hint="eastAsia" w:ascii="Times New Roman" w:hAnsi="Times New Roman"/>
        </w:rPr>
        <w:t xml:space="preserve"> </w:t>
      </w:r>
      <w:r>
        <w:rPr>
          <w:rStyle w:val="44"/>
          <w:rFonts w:ascii="Times New Roman" w:hAnsi="Times New Roman"/>
        </w:rPr>
        <w:t>Calculation of Equivalent Moment of Inertia for Strap-type Insulated Aluminum Alloy Profiles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_Toc162996240 \h </w:instrText>
      </w:r>
      <w:r>
        <w:rPr>
          <w:rFonts w:ascii="Times New Roman" w:hAnsi="Times New Roman" w:cs="Times New Roman"/>
        </w:rPr>
        <w:fldChar w:fldCharType="separate"/>
      </w:r>
      <w:r>
        <w:rPr>
          <w:rFonts w:ascii="Times New Roman" w:hAnsi="Times New Roman" w:cs="Times New Roman"/>
        </w:rPr>
        <w:t>83</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"_Toc162996241"</w:instrText>
      </w:r>
      <w:r>
        <w:rPr>
          <w:rFonts w:ascii="Times New Roman" w:hAnsi="Times New Roman"/>
        </w:rPr>
        <w:fldChar w:fldCharType="separate"/>
      </w:r>
      <w:r>
        <w:rPr>
          <w:rStyle w:val="44"/>
          <w:rFonts w:ascii="Times New Roman" w:hAnsi="Times New Roman"/>
        </w:rPr>
        <w:t>Appendix B Reduction Coefficients for Strength of Open Aluminum Alloy Columns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_Toc162996241 \h </w:instrText>
      </w:r>
      <w:r>
        <w:rPr>
          <w:rFonts w:ascii="Times New Roman" w:hAnsi="Times New Roman" w:cs="Times New Roman"/>
        </w:rPr>
        <w:fldChar w:fldCharType="separate"/>
      </w:r>
      <w:r>
        <w:rPr>
          <w:rFonts w:ascii="Times New Roman" w:hAnsi="Times New Roman" w:cs="Times New Roman"/>
        </w:rPr>
        <w:t>85</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"_Toc162996242"</w:instrText>
      </w:r>
      <w:r>
        <w:rPr>
          <w:rFonts w:ascii="Times New Roman" w:hAnsi="Times New Roman"/>
        </w:rPr>
        <w:fldChar w:fldCharType="separate"/>
      </w:r>
      <w:r>
        <w:rPr>
          <w:rStyle w:val="44"/>
          <w:rFonts w:ascii="Times New Roman" w:hAnsi="Times New Roman"/>
        </w:rPr>
        <w:t>Appendix C Calculation Method for Buckling Critical Moment of In-plane Bent Components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_Toc162996242 \h </w:instrText>
      </w:r>
      <w:r>
        <w:rPr>
          <w:rFonts w:ascii="Times New Roman" w:hAnsi="Times New Roman" w:cs="Times New Roman"/>
        </w:rPr>
        <w:fldChar w:fldCharType="separate"/>
      </w:r>
      <w:r>
        <w:rPr>
          <w:rFonts w:ascii="Times New Roman" w:hAnsi="Times New Roman" w:cs="Times New Roman"/>
        </w:rPr>
        <w:t>89</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t xml:space="preserve">Appendix </w:t>
      </w:r>
      <w:r>
        <w:rPr>
          <w:rFonts w:ascii="Times New Roman" w:hAnsi="Times New Roman"/>
        </w:rPr>
        <w:fldChar w:fldCharType="begin"/>
      </w:r>
      <w:r>
        <w:rPr>
          <w:rFonts w:ascii="Times New Roman" w:hAnsi="Times New Roman"/>
        </w:rPr>
        <w:instrText xml:space="preserve">HYPERLINK \l "_Toc162996243"</w:instrText>
      </w:r>
      <w:r>
        <w:rPr>
          <w:rFonts w:ascii="Times New Roman" w:hAnsi="Times New Roman"/>
        </w:rPr>
        <w:fldChar w:fldCharType="separate"/>
      </w:r>
      <w:r>
        <w:rPr>
          <w:rStyle w:val="44"/>
          <w:rFonts w:ascii="Times New Roman" w:hAnsi="Times New Roman"/>
        </w:rPr>
        <w:t>D</w:t>
      </w:r>
      <w:r>
        <w:rPr>
          <w:rStyle w:val="44"/>
          <w:rFonts w:hint="eastAsia" w:ascii="Times New Roman" w:hAnsi="Times New Roman"/>
        </w:rPr>
        <w:t xml:space="preserve"> </w:t>
      </w:r>
      <w:r>
        <w:rPr>
          <w:rStyle w:val="44"/>
          <w:rFonts w:ascii="Times New Roman" w:hAnsi="Times New Roman"/>
        </w:rPr>
        <w:t>Design of Grooved Embedded Part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_Toc162996243 \h </w:instrText>
      </w:r>
      <w:r>
        <w:rPr>
          <w:rFonts w:ascii="Times New Roman" w:hAnsi="Times New Roman" w:cs="Times New Roman"/>
        </w:rPr>
        <w:fldChar w:fldCharType="separate"/>
      </w:r>
      <w:r>
        <w:rPr>
          <w:rFonts w:ascii="Times New Roman" w:hAnsi="Times New Roman" w:cs="Times New Roman"/>
        </w:rPr>
        <w:t>92</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"_Toc162996244"</w:instrText>
      </w:r>
      <w:r>
        <w:rPr>
          <w:rFonts w:ascii="Times New Roman" w:hAnsi="Times New Roman"/>
        </w:rPr>
        <w:fldChar w:fldCharType="separate"/>
      </w:r>
      <w:r>
        <w:rPr>
          <w:rStyle w:val="44"/>
          <w:rFonts w:ascii="Times New Roman" w:hAnsi="Times New Roman"/>
        </w:rPr>
        <w:t>Explanation of Terms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_Toc162996244 \h </w:instrText>
      </w:r>
      <w:r>
        <w:rPr>
          <w:rFonts w:ascii="Times New Roman" w:hAnsi="Times New Roman" w:cs="Times New Roman"/>
        </w:rPr>
        <w:fldChar w:fldCharType="separate"/>
      </w:r>
      <w:r>
        <w:rPr>
          <w:rFonts w:ascii="Times New Roman" w:hAnsi="Times New Roman" w:cs="Times New Roman"/>
        </w:rPr>
        <w:t>110</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"_Toc162996245"</w:instrText>
      </w:r>
      <w:r>
        <w:rPr>
          <w:rFonts w:ascii="Times New Roman" w:hAnsi="Times New Roman"/>
        </w:rPr>
        <w:fldChar w:fldCharType="separate"/>
      </w:r>
      <w:r>
        <w:rPr>
          <w:rStyle w:val="44"/>
          <w:rFonts w:ascii="Times New Roman" w:hAnsi="Times New Roman"/>
        </w:rPr>
        <w:t>Referenced Standards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_Toc162996245 \h </w:instrText>
      </w:r>
      <w:r>
        <w:rPr>
          <w:rFonts w:ascii="Times New Roman" w:hAnsi="Times New Roman" w:cs="Times New Roman"/>
        </w:rPr>
        <w:fldChar w:fldCharType="separate"/>
      </w:r>
      <w:r>
        <w:rPr>
          <w:rFonts w:ascii="Times New Roman" w:hAnsi="Times New Roman" w:cs="Times New Roman"/>
        </w:rPr>
        <w:t>111</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fldChar w:fldCharType="begin"/>
      </w:r>
      <w:r>
        <w:rPr>
          <w:rFonts w:ascii="Times New Roman" w:hAnsi="Times New Roman"/>
        </w:rPr>
        <w:instrText xml:space="preserve">HYPERLINK \l "_Toc162996246"</w:instrText>
      </w:r>
      <w:r>
        <w:rPr>
          <w:rFonts w:ascii="Times New Roman" w:hAnsi="Times New Roman"/>
        </w:rPr>
        <w:fldChar w:fldCharType="separate"/>
      </w:r>
      <w:r>
        <w:rPr>
          <w:rStyle w:val="44"/>
          <w:rFonts w:hint="eastAsia" w:ascii="Times New Roman" w:hAnsi="Times New Roman"/>
        </w:rPr>
        <w:t>E</w:t>
      </w:r>
      <w:r>
        <w:rPr>
          <w:rStyle w:val="44"/>
          <w:rFonts w:ascii="Times New Roman" w:hAnsi="Times New Roman"/>
        </w:rPr>
        <w:t>xplanation of Provisions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_Toc162996246 \h </w:instrText>
      </w:r>
      <w:r>
        <w:rPr>
          <w:rFonts w:ascii="Times New Roman" w:hAnsi="Times New Roman" w:cs="Times New Roman"/>
        </w:rPr>
        <w:fldChar w:fldCharType="separate"/>
      </w:r>
      <w:r>
        <w:rPr>
          <w:rFonts w:ascii="Times New Roman" w:hAnsi="Times New Roman" w:cs="Times New Roman"/>
        </w:rPr>
        <w:t>112</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9060"/>
        </w:tabs>
        <w:spacing w:line="360" w:lineRule="auto"/>
        <w:rPr>
          <w:rFonts w:ascii="Times New Roman" w:hAnsi="Times New Roman" w:cs="Times New Roman"/>
          <w:kern w:val="2"/>
          <w:sz w:val="21"/>
          <w:szCs w:val="22"/>
          <w14:ligatures w14:val="standardContextual"/>
        </w:rPr>
      </w:pPr>
      <w:r>
        <w:rPr>
          <w:rFonts w:ascii="Times New Roman" w:hAnsi="Times New Roman"/>
        </w:rPr>
        <w:t>Explanation</w:t>
      </w:r>
      <w:r>
        <w:rPr>
          <w:rFonts w:hint="eastAsia" w:ascii="Times New Roman" w:hAnsi="Times New Roman"/>
        </w:rPr>
        <w:t xml:space="preserve"> </w:t>
      </w:r>
      <w:r>
        <w:rPr>
          <w:rFonts w:ascii="Times New Roman" w:hAnsi="Times New Roman"/>
        </w:rPr>
        <w:fldChar w:fldCharType="begin"/>
      </w:r>
      <w:r>
        <w:rPr>
          <w:rFonts w:ascii="Times New Roman" w:hAnsi="Times New Roman"/>
        </w:rPr>
        <w:instrText xml:space="preserve">HYPERLINK \l "_Toc162996247"</w:instrText>
      </w:r>
      <w:r>
        <w:rPr>
          <w:rFonts w:ascii="Times New Roman" w:hAnsi="Times New Roman"/>
        </w:rPr>
        <w:fldChar w:fldCharType="separate"/>
      </w:r>
      <w:r>
        <w:rPr>
          <w:rStyle w:val="44"/>
          <w:rFonts w:hint="eastAsia" w:ascii="Times New Roman" w:hAnsi="Times New Roman"/>
        </w:rPr>
        <w:t xml:space="preserve">of </w:t>
      </w:r>
      <w:r>
        <w:rPr>
          <w:rStyle w:val="44"/>
          <w:rFonts w:ascii="Times New Roman" w:hAnsi="Times New Roman"/>
        </w:rPr>
        <w:t>Formulation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_Toc162996247 \h </w:instrText>
      </w:r>
      <w:r>
        <w:rPr>
          <w:rFonts w:ascii="Times New Roman" w:hAnsi="Times New Roman" w:cs="Times New Roman"/>
        </w:rPr>
        <w:fldChar w:fldCharType="separate"/>
      </w:r>
      <w:r>
        <w:rPr>
          <w:rFonts w:ascii="Times New Roman" w:hAnsi="Times New Roman" w:cs="Times New Roman"/>
        </w:rPr>
        <w:t>113</w:t>
      </w:r>
      <w:r>
        <w:rPr>
          <w:rFonts w:ascii="Times New Roman" w:hAnsi="Times New Roman" w:cs="Times New Roman"/>
        </w:rPr>
        <w:fldChar w:fldCharType="end"/>
      </w:r>
      <w:r>
        <w:rPr>
          <w:rFonts w:ascii="Times New Roman" w:hAnsi="Times New Roman" w:cs="Times New Roman"/>
        </w:rPr>
        <w:fldChar w:fldCharType="end"/>
      </w:r>
    </w:p>
    <w:p>
      <w:pPr>
        <w:spacing w:line="360" w:lineRule="auto"/>
        <w:rPr>
          <w:rFonts w:ascii="Times New Roman" w:hAnsi="Times New Roman" w:cs="Times New Roman"/>
        </w:rPr>
      </w:pPr>
      <w:r>
        <w:rPr>
          <w:rFonts w:ascii="Times New Roman" w:hAnsi="Times New Roman" w:cs="Times New Roman"/>
        </w:rPr>
        <w:fldChar w:fldCharType="end"/>
      </w:r>
    </w:p>
    <w:p>
      <w:pPr>
        <w:spacing w:line="360" w:lineRule="auto"/>
        <w:rPr>
          <w:rFonts w:ascii="Times New Roman" w:hAnsi="Times New Roman" w:cs="Times New Roman"/>
        </w:rPr>
      </w:pPr>
    </w:p>
    <w:p>
      <w:pPr>
        <w:rPr>
          <w:rFonts w:ascii="Times New Roman" w:hAnsi="Times New Roman"/>
        </w:rPr>
        <w:sectPr>
          <w:pgSz w:w="11906" w:h="16838"/>
          <w:pgMar w:top="1418" w:right="1418" w:bottom="1418" w:left="1418" w:header="851" w:footer="992" w:gutter="0"/>
          <w:pgNumType w:fmt="upperRoman"/>
          <w:cols w:space="720" w:num="1"/>
          <w:docGrid w:linePitch="326" w:charSpace="0"/>
        </w:sectPr>
      </w:pPr>
    </w:p>
    <w:p>
      <w:pPr>
        <w:pStyle w:val="2"/>
        <w:rPr>
          <w:rFonts w:ascii="Times New Roman" w:hAnsi="Times New Roman"/>
        </w:rPr>
      </w:pPr>
      <w:bookmarkStart w:id="2" w:name="_Toc368167156"/>
      <w:bookmarkStart w:id="3" w:name="_Toc24746"/>
      <w:bookmarkStart w:id="4" w:name="_Toc162996200"/>
      <w:bookmarkStart w:id="5" w:name="_Toc444098425"/>
      <w:bookmarkStart w:id="6" w:name="_Toc344711905"/>
      <w:r>
        <w:rPr>
          <w:rFonts w:ascii="Times New Roman" w:hAnsi="Times New Roman"/>
        </w:rPr>
        <w:t>1 总则</w:t>
      </w:r>
      <w:bookmarkEnd w:id="2"/>
      <w:bookmarkEnd w:id="3"/>
      <w:bookmarkEnd w:id="4"/>
      <w:bookmarkEnd w:id="5"/>
      <w:bookmarkEnd w:id="6"/>
    </w:p>
    <w:p>
      <w:pPr>
        <w:pStyle w:val="189"/>
      </w:pPr>
      <w:r>
        <w:rPr>
          <w:b/>
        </w:rPr>
        <w:t>1.0.1</w:t>
      </w:r>
      <w:r>
        <w:rPr>
          <w:rFonts w:hint="eastAsia"/>
          <w:b/>
        </w:rPr>
        <w:t xml:space="preserve"> </w:t>
      </w:r>
      <w:r>
        <w:t>为规范建筑幕墙结构计算，做到安全可靠、经济合理、技术可行，</w:t>
      </w:r>
      <w:r>
        <w:rPr>
          <w:rFonts w:hint="eastAsia"/>
        </w:rPr>
        <w:t>满足建设项目正常使用和绿色发展需要，</w:t>
      </w:r>
      <w:r>
        <w:t>制定本标准。</w:t>
      </w:r>
    </w:p>
    <w:p>
      <w:pPr>
        <w:pStyle w:val="120"/>
        <w:rPr>
          <w:rFonts w:ascii="Times New Roman" w:hAnsi="Times New Roman"/>
        </w:rPr>
      </w:pPr>
      <w:r>
        <w:rPr>
          <w:rFonts w:hint="eastAsia" w:ascii="Times New Roman" w:hAnsi="Times New Roman"/>
        </w:rPr>
        <w:t>条文说明：</w:t>
      </w:r>
      <w:r>
        <w:rPr>
          <w:rFonts w:ascii="Times New Roman" w:hAnsi="Times New Roman"/>
        </w:rPr>
        <w:t xml:space="preserve">1.0.1 </w:t>
      </w:r>
      <w:r>
        <w:rPr>
          <w:rFonts w:hint="eastAsia" w:ascii="Times New Roman" w:hAnsi="Times New Roman"/>
        </w:rPr>
        <w:t>【工程结构通用规范</w:t>
      </w:r>
      <w:r>
        <w:rPr>
          <w:rFonts w:ascii="Times New Roman" w:hAnsi="Times New Roman"/>
        </w:rPr>
        <w:t>GB55001-2021】1.0.1……保障工程结构安全性、适用性、耐久性，满足建设项目正常使用和绿色发展需要，制定本规范。</w:t>
      </w:r>
    </w:p>
    <w:p>
      <w:pPr>
        <w:pStyle w:val="120"/>
        <w:rPr>
          <w:rFonts w:ascii="Times New Roman" w:hAnsi="Times New Roman"/>
        </w:rPr>
      </w:pPr>
      <w:r>
        <w:rPr>
          <w:rFonts w:hint="eastAsia" w:ascii="Times New Roman" w:hAnsi="Times New Roman"/>
        </w:rPr>
        <w:t>适用时，采光顶、金属屋面及雨篷等外围护结构的计算，可参考本标准执行。</w:t>
      </w:r>
    </w:p>
    <w:p>
      <w:pPr>
        <w:ind w:firstLine="480" w:firstLineChars="200"/>
        <w:rPr>
          <w:rFonts w:ascii="Times New Roman" w:hAnsi="Times New Roman" w:eastAsia="仿宋_GB2312" w:cs="仿宋_GB2312"/>
        </w:rPr>
      </w:pPr>
    </w:p>
    <w:p>
      <w:pPr>
        <w:pStyle w:val="189"/>
        <w:rPr>
          <w:bCs w:val="0"/>
          <w:szCs w:val="24"/>
        </w:rPr>
      </w:pPr>
      <w:r>
        <w:rPr>
          <w:b/>
        </w:rPr>
        <w:t>1.0.2</w:t>
      </w:r>
      <w:r>
        <w:t xml:space="preserve"> 本标准适用于</w:t>
      </w:r>
      <w:r>
        <w:rPr>
          <w:rFonts w:hint="eastAsia"/>
        </w:rPr>
        <w:t>各类功能性及装饰性</w:t>
      </w:r>
      <w:r>
        <w:t>建筑幕墙的结构计算。</w:t>
      </w:r>
      <w:r>
        <w:rPr>
          <w:bCs w:val="0"/>
          <w:szCs w:val="24"/>
        </w:rPr>
        <w:t>对于具有特殊</w:t>
      </w:r>
      <w:r>
        <w:rPr>
          <w:rFonts w:hint="eastAsia"/>
          <w:bCs w:val="0"/>
          <w:szCs w:val="24"/>
        </w:rPr>
        <w:t>要求如防爆、防振动等</w:t>
      </w:r>
      <w:r>
        <w:rPr>
          <w:bCs w:val="0"/>
          <w:szCs w:val="24"/>
        </w:rPr>
        <w:t>的</w:t>
      </w:r>
      <w:r>
        <w:rPr>
          <w:rFonts w:hint="eastAsia"/>
          <w:bCs w:val="0"/>
          <w:szCs w:val="24"/>
        </w:rPr>
        <w:t>建筑幕墙结构，尚应按照</w:t>
      </w:r>
      <w:r>
        <w:rPr>
          <w:bCs w:val="0"/>
          <w:szCs w:val="24"/>
        </w:rPr>
        <w:t>国家现行标准</w:t>
      </w:r>
      <w:r>
        <w:rPr>
          <w:rFonts w:hint="eastAsia"/>
          <w:bCs w:val="0"/>
          <w:szCs w:val="24"/>
        </w:rPr>
        <w:t>《</w:t>
      </w:r>
      <w:r>
        <w:rPr>
          <w:bCs w:val="0"/>
          <w:szCs w:val="24"/>
        </w:rPr>
        <w:t>工程隔振设计标准</w:t>
      </w:r>
      <w:r>
        <w:rPr>
          <w:rFonts w:hint="eastAsia"/>
          <w:bCs w:val="0"/>
          <w:szCs w:val="24"/>
        </w:rPr>
        <w:t>》</w:t>
      </w:r>
      <w:r>
        <w:rPr>
          <w:bCs w:val="0"/>
          <w:szCs w:val="24"/>
        </w:rPr>
        <w:t>GB 50463</w:t>
      </w:r>
      <w:r>
        <w:rPr>
          <w:rFonts w:hint="eastAsia"/>
        </w:rPr>
        <w:t>、《</w:t>
      </w:r>
      <w:r>
        <w:rPr>
          <w:bCs w:val="0"/>
          <w:szCs w:val="24"/>
        </w:rPr>
        <w:t>建筑振动荷载标准</w:t>
      </w:r>
      <w:r>
        <w:rPr>
          <w:rFonts w:hint="eastAsia"/>
        </w:rPr>
        <w:t>》</w:t>
      </w:r>
      <w:r>
        <w:rPr>
          <w:bCs w:val="0"/>
          <w:szCs w:val="24"/>
        </w:rPr>
        <w:t>GB</w:t>
      </w:r>
      <w:r>
        <w:rPr>
          <w:rFonts w:hint="eastAsia"/>
          <w:bCs w:val="0"/>
          <w:szCs w:val="24"/>
        </w:rPr>
        <w:t>/</w:t>
      </w:r>
      <w:r>
        <w:rPr>
          <w:bCs w:val="0"/>
          <w:szCs w:val="24"/>
        </w:rPr>
        <w:t>T 51228</w:t>
      </w:r>
      <w:r>
        <w:rPr>
          <w:rFonts w:hint="eastAsia"/>
          <w:bCs w:val="0"/>
          <w:szCs w:val="24"/>
        </w:rPr>
        <w:t>和《民用建筑防爆设计标准》</w:t>
      </w:r>
      <w:r>
        <w:rPr>
          <w:bCs w:val="0"/>
          <w:szCs w:val="24"/>
        </w:rPr>
        <w:t>T/CECS 736的</w:t>
      </w:r>
      <w:r>
        <w:rPr>
          <w:rFonts w:hint="eastAsia"/>
          <w:bCs w:val="0"/>
          <w:szCs w:val="24"/>
        </w:rPr>
        <w:t>有关要求补充结构计算</w:t>
      </w:r>
      <w:r>
        <w:rPr>
          <w:bCs w:val="0"/>
          <w:szCs w:val="24"/>
        </w:rPr>
        <w:t>。</w:t>
      </w:r>
    </w:p>
    <w:p>
      <w:pPr>
        <w:pStyle w:val="120"/>
        <w:rPr>
          <w:rFonts w:ascii="Times New Roman" w:hAnsi="Times New Roman"/>
        </w:rPr>
      </w:pPr>
      <w:r>
        <w:rPr>
          <w:rFonts w:hint="eastAsia" w:ascii="Times New Roman" w:hAnsi="Times New Roman"/>
        </w:rPr>
        <w:t>条文说明：</w:t>
      </w:r>
      <w:r>
        <w:rPr>
          <w:rFonts w:ascii="Times New Roman" w:hAnsi="Times New Roman"/>
        </w:rPr>
        <w:t xml:space="preserve">1.0.2 </w:t>
      </w:r>
      <w:r>
        <w:rPr>
          <w:rFonts w:hint="eastAsia" w:ascii="Times New Roman" w:hAnsi="Times New Roman"/>
        </w:rPr>
        <w:t>对适用高度的限制体现到</w:t>
      </w:r>
      <w:r>
        <w:rPr>
          <w:rFonts w:ascii="Times New Roman" w:hAnsi="Times New Roman"/>
        </w:rPr>
        <w:t>5</w:t>
      </w:r>
      <w:r>
        <w:rPr>
          <w:rFonts w:hint="eastAsia" w:ascii="Times New Roman" w:hAnsi="Times New Roman"/>
        </w:rPr>
        <w:t>章一般规定中。适用范围不再区分抗震烈度，特别项目应进行论证及抗震性能试验验证。</w:t>
      </w:r>
    </w:p>
    <w:p>
      <w:pPr>
        <w:pStyle w:val="120"/>
        <w:rPr>
          <w:rFonts w:ascii="Times New Roman" w:hAnsi="Times New Roman"/>
        </w:rPr>
      </w:pPr>
      <w:r>
        <w:rPr>
          <w:rFonts w:hint="eastAsia" w:ascii="Times New Roman" w:hAnsi="Times New Roman"/>
        </w:rPr>
        <w:t>本标准中的建筑幕墙，包括室外围护结构及室内围护结构的幕墙。</w:t>
      </w:r>
    </w:p>
    <w:p>
      <w:pPr>
        <w:ind w:firstLine="480" w:firstLineChars="200"/>
        <w:rPr>
          <w:rFonts w:ascii="Times New Roman" w:hAnsi="Times New Roman" w:eastAsia="仿宋_GB2312" w:cs="仿宋_GB2312"/>
        </w:rPr>
      </w:pPr>
    </w:p>
    <w:p>
      <w:pPr>
        <w:pStyle w:val="189"/>
      </w:pPr>
      <w:r>
        <w:rPr>
          <w:b/>
        </w:rPr>
        <w:t>1.0.3</w:t>
      </w:r>
      <w:r>
        <w:rPr>
          <w:rFonts w:hint="eastAsia"/>
          <w:b/>
        </w:rPr>
        <w:t xml:space="preserve"> </w:t>
      </w:r>
      <w:r>
        <w:rPr>
          <w:rFonts w:hint="eastAsia"/>
        </w:rPr>
        <w:t>建筑幕墙</w:t>
      </w:r>
      <w:r>
        <w:t>结构应满足强度、刚度</w:t>
      </w:r>
      <w:r>
        <w:rPr>
          <w:rFonts w:hint="eastAsia"/>
        </w:rPr>
        <w:t>、稳定性要求，并具有相对于主体结构的相应位移能力。幕墙设计应</w:t>
      </w:r>
      <w:r>
        <w:t>合理选用材料、结构方案和构造措施，</w:t>
      </w:r>
      <w:r>
        <w:rPr>
          <w:rFonts w:hint="eastAsia"/>
        </w:rPr>
        <w:t>宜</w:t>
      </w:r>
      <w:r>
        <w:t>采用性能化设计方法。</w:t>
      </w:r>
    </w:p>
    <w:p>
      <w:pPr>
        <w:pStyle w:val="120"/>
        <w:rPr>
          <w:rFonts w:ascii="Times New Roman" w:hAnsi="Times New Roman"/>
        </w:rPr>
      </w:pPr>
      <w:r>
        <w:rPr>
          <w:rFonts w:hint="eastAsia" w:ascii="Times New Roman" w:hAnsi="Times New Roman"/>
        </w:rPr>
        <w:t>条文说明：</w:t>
      </w:r>
      <w:r>
        <w:rPr>
          <w:rFonts w:ascii="Times New Roman" w:hAnsi="Times New Roman"/>
        </w:rPr>
        <w:t xml:space="preserve">1.0.3 </w:t>
      </w:r>
      <w:r>
        <w:rPr>
          <w:rFonts w:hint="eastAsia" w:ascii="Times New Roman" w:hAnsi="Times New Roman"/>
        </w:rPr>
        <w:t>对复杂结构体系、桁架支承结构及其他大跨度钢结构、大跨度玻璃肋等，应进行结构稳定性验算。</w:t>
      </w:r>
    </w:p>
    <w:p>
      <w:pPr>
        <w:pStyle w:val="189"/>
      </w:pPr>
      <w:r>
        <w:rPr>
          <w:b/>
        </w:rPr>
        <w:t>1.0.</w:t>
      </w:r>
      <w:r>
        <w:rPr>
          <w:rFonts w:hint="eastAsia"/>
          <w:b/>
        </w:rPr>
        <w:t xml:space="preserve">4 </w:t>
      </w:r>
      <w:r>
        <w:rPr>
          <w:rFonts w:hint="eastAsia"/>
        </w:rPr>
        <w:t>建筑幕墙设计时应</w:t>
      </w:r>
      <w:r>
        <w:t>合理选用材料</w:t>
      </w:r>
      <w:r>
        <w:rPr>
          <w:rFonts w:hint="eastAsia"/>
        </w:rPr>
        <w:t>及</w:t>
      </w:r>
      <w:r>
        <w:t>构造措施</w:t>
      </w:r>
      <w:r>
        <w:rPr>
          <w:rFonts w:hint="eastAsia"/>
        </w:rPr>
        <w:t>，</w:t>
      </w:r>
      <w:r>
        <w:t>结构方案</w:t>
      </w:r>
      <w:r>
        <w:rPr>
          <w:rFonts w:hint="eastAsia"/>
        </w:rPr>
        <w:t>宜</w:t>
      </w:r>
      <w:r>
        <w:t>采用性能化设计方法。</w:t>
      </w:r>
    </w:p>
    <w:p>
      <w:pPr>
        <w:pStyle w:val="120"/>
        <w:rPr>
          <w:rFonts w:ascii="Times New Roman" w:hAnsi="Times New Roman"/>
        </w:rPr>
      </w:pPr>
      <w:r>
        <w:rPr>
          <w:rFonts w:hint="eastAsia" w:ascii="Times New Roman" w:hAnsi="Times New Roman"/>
        </w:rPr>
        <w:t>条文说明：</w:t>
      </w:r>
      <w:r>
        <w:rPr>
          <w:rFonts w:ascii="Times New Roman" w:hAnsi="Times New Roman"/>
        </w:rPr>
        <w:t xml:space="preserve">1.0.3 </w:t>
      </w:r>
      <w:r>
        <w:rPr>
          <w:rFonts w:hint="eastAsia" w:ascii="Times New Roman" w:hAnsi="Times New Roman"/>
        </w:rPr>
        <w:t>对复杂结构体系、桁架支承结构及其他大跨度钢结构、大跨度玻璃肋等，应进行结构稳定性验算。</w:t>
      </w:r>
    </w:p>
    <w:p>
      <w:pPr>
        <w:rPr>
          <w:rFonts w:ascii="Times New Roman" w:hAnsi="Times New Roman" w:eastAsia="仿宋_GB2312" w:cs="仿宋_GB2312"/>
        </w:rPr>
      </w:pPr>
    </w:p>
    <w:p>
      <w:pPr>
        <w:pStyle w:val="189"/>
      </w:pPr>
      <w:r>
        <w:rPr>
          <w:b/>
        </w:rPr>
        <w:t>1.0.</w:t>
      </w:r>
      <w:r>
        <w:rPr>
          <w:rFonts w:hint="eastAsia"/>
          <w:b/>
        </w:rPr>
        <w:t>5</w:t>
      </w:r>
      <w:r>
        <w:t xml:space="preserve"> </w:t>
      </w:r>
      <w:r>
        <w:rPr>
          <w:rFonts w:hint="eastAsia"/>
        </w:rPr>
        <w:t>创新性项目，超过现行标准或规范规定限制的项目，抗震设防烈度为9度及以上，抗震设防类别为特殊设防类、重点设防类的项目，除应进行结构计算外，尚应进行</w:t>
      </w:r>
      <w:r>
        <w:t>论证</w:t>
      </w:r>
      <w:r>
        <w:rPr>
          <w:rFonts w:hint="eastAsia"/>
        </w:rPr>
        <w:t>及振动台抗震性能试验验证。</w:t>
      </w:r>
    </w:p>
    <w:p>
      <w:pPr>
        <w:pStyle w:val="189"/>
      </w:pPr>
    </w:p>
    <w:p>
      <w:pPr>
        <w:pStyle w:val="189"/>
      </w:pPr>
      <w:r>
        <w:rPr>
          <w:b/>
        </w:rPr>
        <w:t>1.0.</w:t>
      </w:r>
      <w:r>
        <w:rPr>
          <w:rFonts w:hint="eastAsia"/>
          <w:b/>
        </w:rPr>
        <w:t xml:space="preserve">6 </w:t>
      </w:r>
      <w:r>
        <w:rPr>
          <w:rFonts w:hint="eastAsia"/>
        </w:rPr>
        <w:t>建筑幕墙</w:t>
      </w:r>
      <w:r>
        <w:t>结构计算除应符合本标准外，</w:t>
      </w:r>
      <w:bookmarkStart w:id="7" w:name="_Toc368167157"/>
      <w:bookmarkStart w:id="8" w:name="_Toc444098426"/>
      <w:r>
        <w:rPr>
          <w:rFonts w:hint="eastAsia"/>
        </w:rPr>
        <w:t>尚应符合国家现行有关标准和现行中国工程建设标准化协会有关标准的规定。</w:t>
      </w:r>
    </w:p>
    <w:p>
      <w:pPr>
        <w:pStyle w:val="189"/>
      </w:pPr>
    </w:p>
    <w:p>
      <w:pPr>
        <w:pStyle w:val="2"/>
        <w:rPr>
          <w:rFonts w:ascii="Times New Roman" w:hAnsi="Times New Roman"/>
        </w:rPr>
      </w:pPr>
      <w:r>
        <w:rPr>
          <w:rFonts w:ascii="Times New Roman" w:hAnsi="Times New Roman"/>
        </w:rPr>
        <w:br w:type="page"/>
      </w:r>
      <w:bookmarkStart w:id="9" w:name="_Toc162996201"/>
      <w:bookmarkStart w:id="10" w:name="_Toc29436"/>
      <w:r>
        <w:rPr>
          <w:rFonts w:ascii="Times New Roman" w:hAnsi="Times New Roman"/>
        </w:rPr>
        <w:t>2 术语</w:t>
      </w:r>
      <w:bookmarkEnd w:id="7"/>
      <w:bookmarkEnd w:id="8"/>
      <w:r>
        <w:rPr>
          <w:rFonts w:ascii="Times New Roman" w:hAnsi="Times New Roman"/>
        </w:rPr>
        <w:t>和符号</w:t>
      </w:r>
      <w:bookmarkEnd w:id="9"/>
      <w:bookmarkEnd w:id="10"/>
    </w:p>
    <w:p>
      <w:pPr>
        <w:pStyle w:val="6"/>
        <w:rPr>
          <w:rFonts w:ascii="Times New Roman" w:hAnsi="Times New Roman"/>
        </w:rPr>
      </w:pPr>
      <w:bookmarkStart w:id="11" w:name="_Toc162996202"/>
      <w:bookmarkStart w:id="12" w:name="_Toc444098427"/>
      <w:bookmarkStart w:id="13" w:name="_Toc368167158"/>
      <w:r>
        <w:rPr>
          <w:rFonts w:ascii="Times New Roman" w:hAnsi="Times New Roman"/>
        </w:rPr>
        <w:t>2.1 术语</w:t>
      </w:r>
      <w:bookmarkEnd w:id="11"/>
    </w:p>
    <w:bookmarkEnd w:id="12"/>
    <w:bookmarkEnd w:id="13"/>
    <w:p>
      <w:pPr>
        <w:pStyle w:val="189"/>
      </w:pPr>
      <w:r>
        <w:rPr>
          <w:b/>
        </w:rPr>
        <w:t>2.1.1</w:t>
      </w:r>
      <w:r>
        <w:rPr>
          <w:rFonts w:hint="eastAsia"/>
          <w:b/>
        </w:rPr>
        <w:t xml:space="preserve"> </w:t>
      </w:r>
      <w:r>
        <w:t>幕墙结构</w:t>
      </w:r>
      <w:r>
        <w:rPr>
          <w:rFonts w:hint="eastAsia"/>
        </w:rPr>
        <w:t>计算</w:t>
      </w:r>
      <w:r>
        <w:t xml:space="preserve"> structural design of c</w:t>
      </w:r>
      <w:r>
        <w:rPr>
          <w:rFonts w:hint="eastAsia"/>
        </w:rPr>
        <w:t>urtain wall</w:t>
      </w:r>
    </w:p>
    <w:p>
      <w:pPr>
        <w:pStyle w:val="188"/>
        <w:ind w:firstLine="480"/>
      </w:pPr>
      <w:r>
        <w:t>幕墙面板、杆件</w:t>
      </w:r>
      <w:r>
        <w:rPr>
          <w:rFonts w:hint="eastAsia"/>
        </w:rPr>
        <w:t>、连接件</w:t>
      </w:r>
      <w:r>
        <w:t>等在永久</w:t>
      </w:r>
      <w:r>
        <w:rPr>
          <w:rFonts w:hint="eastAsia"/>
        </w:rPr>
        <w:t>作用</w:t>
      </w:r>
      <w:r>
        <w:t>、</w:t>
      </w:r>
      <w:r>
        <w:rPr>
          <w:rFonts w:hint="eastAsia"/>
        </w:rPr>
        <w:t>可变作用、偶然作用</w:t>
      </w:r>
      <w:r>
        <w:t>等荷载作用下的强度</w:t>
      </w:r>
      <w:r>
        <w:rPr>
          <w:rFonts w:hint="eastAsia"/>
        </w:rPr>
        <w:t>、</w:t>
      </w:r>
      <w:r>
        <w:t>刚度</w:t>
      </w:r>
      <w:r>
        <w:rPr>
          <w:rFonts w:hint="eastAsia"/>
        </w:rPr>
        <w:t>、稳定性和变形协调</w:t>
      </w:r>
      <w:r>
        <w:t>设计。</w:t>
      </w:r>
    </w:p>
    <w:p>
      <w:pPr>
        <w:pStyle w:val="189"/>
      </w:pPr>
      <w:r>
        <w:rPr>
          <w:b/>
        </w:rPr>
        <w:t>2.1.2</w:t>
      </w:r>
      <w:r>
        <w:rPr>
          <w:rFonts w:hint="eastAsia"/>
          <w:b/>
        </w:rPr>
        <w:t xml:space="preserve"> </w:t>
      </w:r>
      <w:r>
        <w:t>强度 strength</w:t>
      </w:r>
    </w:p>
    <w:p>
      <w:pPr>
        <w:pStyle w:val="188"/>
        <w:ind w:firstLine="480"/>
      </w:pPr>
      <w:r>
        <w:t>构件截面材料或连接抵抗破坏的能力。强度计算是防止结构构件或连接因材料强度被超过而破坏的计算。</w:t>
      </w:r>
    </w:p>
    <w:p>
      <w:pPr>
        <w:pStyle w:val="189"/>
      </w:pPr>
      <w:r>
        <w:rPr>
          <w:b/>
        </w:rPr>
        <w:t>2.1.3</w:t>
      </w:r>
      <w:r>
        <w:rPr>
          <w:rFonts w:hint="eastAsia"/>
          <w:b/>
        </w:rPr>
        <w:t xml:space="preserve"> </w:t>
      </w:r>
      <w:r>
        <w:t>强度设计值 design value of strength</w:t>
      </w:r>
    </w:p>
    <w:p>
      <w:pPr>
        <w:pStyle w:val="188"/>
        <w:ind w:firstLine="480"/>
      </w:pPr>
      <w:r>
        <w:t>材料或连接的强度标准值除以相应抗力分项系数后的数值。</w:t>
      </w:r>
    </w:p>
    <w:p>
      <w:pPr>
        <w:pStyle w:val="189"/>
      </w:pPr>
      <w:r>
        <w:rPr>
          <w:b/>
        </w:rPr>
        <w:t>2.1.4</w:t>
      </w:r>
      <w:r>
        <w:rPr>
          <w:rFonts w:hint="eastAsia"/>
          <w:b/>
        </w:rPr>
        <w:t xml:space="preserve"> </w:t>
      </w:r>
      <w:r>
        <w:t>承载能力</w:t>
      </w:r>
      <w:r>
        <w:rPr>
          <w:b/>
        </w:rPr>
        <w:t xml:space="preserve">  </w:t>
      </w:r>
      <w:r>
        <w:t>load-carrying capacity</w:t>
      </w:r>
    </w:p>
    <w:p>
      <w:pPr>
        <w:pStyle w:val="188"/>
        <w:ind w:firstLine="480"/>
      </w:pPr>
      <w:r>
        <w:t>结构或构件不会因强度、稳定等因素破坏所能承受的最大内力，或达到不适应与继续承载的变形时的内力。</w:t>
      </w:r>
    </w:p>
    <w:p>
      <w:pPr>
        <w:pStyle w:val="189"/>
        <w:rPr>
          <w:color w:val="000000" w:themeColor="text1"/>
          <w14:textFill>
            <w14:solidFill>
              <w14:schemeClr w14:val="tx1"/>
            </w14:solidFill>
          </w14:textFill>
        </w:rPr>
      </w:pPr>
      <w:r>
        <w:rPr>
          <w:b/>
          <w:color w:val="000000" w:themeColor="text1"/>
          <w14:textFill>
            <w14:solidFill>
              <w14:schemeClr w14:val="tx1"/>
            </w14:solidFill>
          </w14:textFill>
        </w:rPr>
        <w:t>2.1.5</w:t>
      </w:r>
      <w:r>
        <w:rPr>
          <w:rFonts w:hint="eastAsia"/>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复合材料型材</w:t>
      </w:r>
      <w:r>
        <w:rPr>
          <w:color w:val="000000" w:themeColor="text1"/>
          <w14:textFill>
            <w14:solidFill>
              <w14:schemeClr w14:val="tx1"/>
            </w14:solidFill>
          </w14:textFill>
        </w:rPr>
        <w:t xml:space="preserve"> complex material section bar </w:t>
      </w:r>
    </w:p>
    <w:p>
      <w:pPr>
        <w:pStyle w:val="18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不同材料间采用特殊工艺进行一体化成型，共同承担拉弯剪荷载作用的型材。常见的复合材料型材包括隔热铝合金型材、共挤类复合型材等。</w:t>
      </w:r>
    </w:p>
    <w:p>
      <w:pPr>
        <w:pStyle w:val="189"/>
        <w:rPr>
          <w:b/>
          <w:color w:val="000000" w:themeColor="text1"/>
          <w14:textFill>
            <w14:solidFill>
              <w14:schemeClr w14:val="tx1"/>
            </w14:solidFill>
          </w14:textFill>
        </w:rPr>
      </w:pPr>
      <w:r>
        <w:rPr>
          <w:b/>
          <w:color w:val="000000" w:themeColor="text1"/>
          <w14:textFill>
            <w14:solidFill>
              <w14:schemeClr w14:val="tx1"/>
            </w14:solidFill>
          </w14:textFill>
        </w:rPr>
        <w:t>2.1.6</w:t>
      </w:r>
      <w:r>
        <w:rPr>
          <w:rFonts w:hint="eastAsia"/>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组合材料型材</w:t>
      </w:r>
      <w:r>
        <w:rPr>
          <w:color w:val="000000" w:themeColor="text1"/>
          <w14:textFill>
            <w14:solidFill>
              <w14:schemeClr w14:val="tx1"/>
            </w14:solidFill>
          </w14:textFill>
        </w:rPr>
        <w:t xml:space="preserve"> combination materials section bar </w:t>
      </w:r>
    </w:p>
    <w:p>
      <w:pPr>
        <w:pStyle w:val="18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不同材料间采用抗剪连接件进行连接，组合体受弯时符合平截面假定的型材。常见的组合材料型材包括采用机械连接的型材组合等。</w:t>
      </w:r>
    </w:p>
    <w:p>
      <w:pPr>
        <w:pStyle w:val="189"/>
        <w:rPr>
          <w:b/>
          <w:color w:val="000000" w:themeColor="text1"/>
          <w14:textFill>
            <w14:solidFill>
              <w14:schemeClr w14:val="tx1"/>
            </w14:solidFill>
          </w14:textFill>
        </w:rPr>
      </w:pPr>
      <w:r>
        <w:rPr>
          <w:b/>
          <w:color w:val="000000" w:themeColor="text1"/>
          <w14:textFill>
            <w14:solidFill>
              <w14:schemeClr w14:val="tx1"/>
            </w14:solidFill>
          </w14:textFill>
        </w:rPr>
        <w:t>2.1.7</w:t>
      </w:r>
      <w:r>
        <w:rPr>
          <w:rFonts w:hint="eastAsia"/>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叠合材料型材</w:t>
      </w:r>
      <w:r>
        <w:rPr>
          <w:color w:val="000000" w:themeColor="text1"/>
          <w14:textFill>
            <w14:solidFill>
              <w14:schemeClr w14:val="tx1"/>
            </w14:solidFill>
          </w14:textFill>
        </w:rPr>
        <w:t xml:space="preserve"> laminated material section bar </w:t>
      </w:r>
    </w:p>
    <w:p>
      <w:pPr>
        <w:pStyle w:val="18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不同材料间没有连接件，组合体受弯时各自沿自身截面中性轴产生挠曲，且挠度相等的型材。常见的叠合材料型材包括穿入钢衬的铝</w:t>
      </w:r>
      <w:r>
        <w:rPr>
          <w:color w:val="000000" w:themeColor="text1"/>
          <w14:textFill>
            <w14:solidFill>
              <w14:schemeClr w14:val="tx1"/>
            </w14:solidFill>
          </w14:textFill>
        </w:rPr>
        <w:t>型材、卡装式</w:t>
      </w:r>
      <w:r>
        <w:rPr>
          <w:rFonts w:hint="eastAsia"/>
          <w:color w:val="000000" w:themeColor="text1"/>
          <w14:textFill>
            <w14:solidFill>
              <w14:schemeClr w14:val="tx1"/>
            </w14:solidFill>
          </w14:textFill>
        </w:rPr>
        <w:t>铝</w:t>
      </w:r>
      <w:r>
        <w:rPr>
          <w:color w:val="000000" w:themeColor="text1"/>
          <w14:textFill>
            <w14:solidFill>
              <w14:schemeClr w14:val="tx1"/>
            </w14:solidFill>
          </w14:textFill>
        </w:rPr>
        <w:t>型材等。</w:t>
      </w:r>
    </w:p>
    <w:p>
      <w:pPr>
        <w:pStyle w:val="189"/>
      </w:pPr>
      <w:r>
        <w:rPr>
          <w:b/>
        </w:rPr>
        <w:t>2.1.</w:t>
      </w:r>
      <w:r>
        <w:rPr>
          <w:rFonts w:hint="eastAsia"/>
          <w:b/>
        </w:rPr>
        <w:t xml:space="preserve">9 </w:t>
      </w:r>
      <w:r>
        <w:t>零状态</w:t>
      </w:r>
      <w:r>
        <w:rPr>
          <w:rFonts w:hint="eastAsia"/>
        </w:rPr>
        <w:t xml:space="preserve"> zero state</w:t>
      </w:r>
      <w:r>
        <w:t xml:space="preserve"> </w:t>
      </w:r>
    </w:p>
    <w:p>
      <w:pPr>
        <w:pStyle w:val="188"/>
        <w:ind w:firstLine="480"/>
      </w:pPr>
      <w:r>
        <w:rPr>
          <w:rFonts w:hint="eastAsia"/>
        </w:rPr>
        <w:t>结构构件拼接后拉索未施加预张力的零应力状态。</w:t>
      </w:r>
    </w:p>
    <w:p>
      <w:pPr>
        <w:pStyle w:val="189"/>
      </w:pPr>
      <w:r>
        <w:rPr>
          <w:b/>
        </w:rPr>
        <w:t>2.1.</w:t>
      </w:r>
      <w:r>
        <w:rPr>
          <w:rFonts w:hint="eastAsia"/>
          <w:b/>
        </w:rPr>
        <w:t xml:space="preserve">10 </w:t>
      </w:r>
      <w:r>
        <w:t>初始状态</w:t>
      </w:r>
      <w:r>
        <w:rPr>
          <w:rFonts w:hint="eastAsia"/>
        </w:rPr>
        <w:t xml:space="preserve"> </w:t>
      </w:r>
      <w:r>
        <w:t>ini</w:t>
      </w:r>
      <w:r>
        <w:rPr>
          <w:rFonts w:hint="eastAsia"/>
        </w:rPr>
        <w:t>tial state of form</w:t>
      </w:r>
    </w:p>
    <w:p>
      <w:pPr>
        <w:pStyle w:val="188"/>
        <w:ind w:firstLine="480"/>
      </w:pPr>
      <w:r>
        <w:rPr>
          <w:rFonts w:hint="eastAsia"/>
        </w:rPr>
        <w:t>索</w:t>
      </w:r>
      <w:r>
        <w:t>结构</w:t>
      </w:r>
      <w:r>
        <w:rPr>
          <w:rFonts w:hint="eastAsia"/>
        </w:rPr>
        <w:t>、膜结构</w:t>
      </w:r>
      <w:r>
        <w:t>在预张力施加完毕后的自平衡状态。</w:t>
      </w:r>
    </w:p>
    <w:p>
      <w:pPr>
        <w:pStyle w:val="189"/>
      </w:pPr>
      <w:r>
        <w:rPr>
          <w:b/>
        </w:rPr>
        <w:t>2.1.</w:t>
      </w:r>
      <w:r>
        <w:rPr>
          <w:rFonts w:hint="eastAsia"/>
          <w:b/>
        </w:rPr>
        <w:t xml:space="preserve">11 </w:t>
      </w:r>
      <w:r>
        <w:t>工作状态</w:t>
      </w:r>
      <w:r>
        <w:rPr>
          <w:rFonts w:hint="eastAsia"/>
        </w:rPr>
        <w:t xml:space="preserve"> </w:t>
      </w:r>
      <w:r>
        <w:t>l</w:t>
      </w:r>
      <w:r>
        <w:rPr>
          <w:rFonts w:hint="eastAsia"/>
        </w:rPr>
        <w:t>oading state</w:t>
      </w:r>
    </w:p>
    <w:p>
      <w:pPr>
        <w:pStyle w:val="188"/>
        <w:ind w:firstLine="480"/>
      </w:pPr>
      <w:r>
        <w:rPr>
          <w:rFonts w:hint="eastAsia"/>
        </w:rPr>
        <w:t>索</w:t>
      </w:r>
      <w:r>
        <w:t>结构在外部荷载作用下的平衡状态。</w:t>
      </w:r>
    </w:p>
    <w:p>
      <w:pPr>
        <w:pStyle w:val="188"/>
        <w:ind w:firstLine="480"/>
      </w:pPr>
    </w:p>
    <w:p>
      <w:pPr>
        <w:pStyle w:val="6"/>
        <w:rPr>
          <w:rFonts w:ascii="Times New Roman" w:hAnsi="Times New Roman"/>
        </w:rPr>
      </w:pPr>
      <w:bookmarkStart w:id="14" w:name="_Toc162996203"/>
      <w:r>
        <w:rPr>
          <w:rFonts w:ascii="Times New Roman" w:hAnsi="Times New Roman"/>
        </w:rPr>
        <w:t xml:space="preserve">2.2 </w:t>
      </w:r>
      <w:r>
        <w:rPr>
          <w:rFonts w:hint="eastAsia" w:ascii="Times New Roman" w:hAnsi="Times New Roman"/>
        </w:rPr>
        <w:t>主要</w:t>
      </w:r>
      <w:r>
        <w:rPr>
          <w:rFonts w:ascii="Times New Roman" w:hAnsi="Times New Roman"/>
        </w:rPr>
        <w:t>符号</w:t>
      </w:r>
      <w:bookmarkEnd w:id="14"/>
    </w:p>
    <w:p>
      <w:pPr>
        <w:pStyle w:val="189"/>
      </w:pPr>
      <w:r>
        <w:rPr>
          <w:b/>
        </w:rPr>
        <w:t>2.2.1</w:t>
      </w:r>
      <w:r>
        <w:t xml:space="preserve">  作用及作用效应</w:t>
      </w:r>
    </w:p>
    <w:p>
      <w:pPr>
        <w:pStyle w:val="188"/>
        <w:ind w:firstLine="480"/>
      </w:pPr>
      <w:r>
        <w:rPr>
          <w:i/>
          <w:iCs/>
        </w:rPr>
        <w:t>F</w:t>
      </w:r>
      <w:r>
        <w:t>——集中荷载</w:t>
      </w:r>
    </w:p>
    <w:p>
      <w:pPr>
        <w:pStyle w:val="188"/>
        <w:ind w:firstLine="480"/>
      </w:pPr>
      <w:r>
        <w:rPr>
          <w:i/>
          <w:iCs/>
        </w:rPr>
        <w:t>M</w:t>
      </w:r>
      <w:r>
        <w:t>——弯矩</w:t>
      </w:r>
    </w:p>
    <w:p>
      <w:pPr>
        <w:pStyle w:val="188"/>
        <w:ind w:firstLine="480"/>
      </w:pPr>
      <w:r>
        <w:rPr>
          <w:i/>
          <w:iCs/>
        </w:rPr>
        <w:t>N</w:t>
      </w:r>
      <w:r>
        <w:t>——轴力</w:t>
      </w:r>
    </w:p>
    <w:p>
      <w:pPr>
        <w:pStyle w:val="188"/>
        <w:ind w:firstLine="480"/>
      </w:pPr>
      <w:r>
        <w:rPr>
          <w:i/>
          <w:iCs/>
        </w:rPr>
        <w:t>V</w:t>
      </w:r>
      <w:r>
        <w:t>——剪力</w:t>
      </w:r>
    </w:p>
    <w:p>
      <w:pPr>
        <w:spacing w:line="360" w:lineRule="auto"/>
        <w:ind w:firstLine="480" w:firstLineChars="200"/>
        <w:rPr>
          <w:rFonts w:ascii="Times New Roman" w:hAnsi="Times New Roman"/>
        </w:rPr>
      </w:pPr>
      <w:r>
        <w:rPr>
          <w:rFonts w:ascii="Times New Roman" w:hAnsi="Times New Roman"/>
          <w:i/>
          <w:iCs/>
        </w:rPr>
        <w:t>R</w:t>
      </w:r>
      <w:r>
        <w:rPr>
          <w:rFonts w:ascii="Times New Roman" w:hAnsi="Times New Roman"/>
        </w:rPr>
        <w:t>——构件截面承载力设计值</w:t>
      </w:r>
    </w:p>
    <w:p>
      <w:pPr>
        <w:spacing w:line="360" w:lineRule="auto"/>
        <w:ind w:firstLine="480" w:firstLineChars="200"/>
        <w:rPr>
          <w:rFonts w:ascii="Times New Roman" w:hAnsi="Times New Roman"/>
        </w:rPr>
      </w:pPr>
      <w:r>
        <w:rPr>
          <w:rFonts w:ascii="Times New Roman" w:hAnsi="Times New Roman"/>
          <w:i/>
          <w:iCs/>
        </w:rPr>
        <w:t>S</w:t>
      </w:r>
      <w:r>
        <w:rPr>
          <w:rFonts w:ascii="Times New Roman" w:hAnsi="Times New Roman"/>
        </w:rPr>
        <w:t>——作用效应组合的设计值</w:t>
      </w:r>
    </w:p>
    <w:p>
      <w:pPr>
        <w:spacing w:line="360" w:lineRule="auto"/>
        <w:ind w:firstLine="480" w:firstLineChars="200"/>
        <w:rPr>
          <w:rFonts w:ascii="Times New Roman" w:hAnsi="Times New Roman"/>
        </w:rPr>
      </w:pPr>
      <w:r>
        <w:rPr>
          <w:rFonts w:ascii="Times New Roman" w:hAnsi="Times New Roman"/>
          <w:i/>
          <w:iCs/>
        </w:rPr>
        <w:t>d</w:t>
      </w:r>
      <w:r>
        <w:rPr>
          <w:rFonts w:ascii="Times New Roman" w:hAnsi="Times New Roman"/>
          <w:i/>
          <w:iCs/>
          <w:vertAlign w:val="subscript"/>
        </w:rPr>
        <w:t>f</w:t>
      </w:r>
      <w:r>
        <w:rPr>
          <w:rFonts w:ascii="Times New Roman" w:hAnsi="Times New Roman"/>
        </w:rPr>
        <w:t>——挠度</w:t>
      </w:r>
    </w:p>
    <w:p>
      <w:pPr>
        <w:spacing w:line="360" w:lineRule="auto"/>
        <w:ind w:firstLine="480" w:firstLineChars="200"/>
        <w:rPr>
          <w:rFonts w:ascii="Times New Roman" w:hAnsi="Times New Roman"/>
        </w:rPr>
      </w:pPr>
      <w:r>
        <w:rPr>
          <w:rFonts w:ascii="Times New Roman" w:hAnsi="Times New Roman"/>
          <w:i/>
          <w:iCs/>
        </w:rPr>
        <w:t>w</w:t>
      </w:r>
      <w:r>
        <w:rPr>
          <w:rFonts w:ascii="Times New Roman" w:hAnsi="Times New Roman"/>
        </w:rPr>
        <w:t>——风荷载设计值</w:t>
      </w:r>
    </w:p>
    <w:p>
      <w:pPr>
        <w:spacing w:line="360" w:lineRule="auto"/>
        <w:ind w:firstLine="480" w:firstLineChars="200"/>
        <w:rPr>
          <w:rFonts w:ascii="Times New Roman" w:hAnsi="Times New Roman"/>
        </w:rPr>
      </w:pPr>
      <w:r>
        <w:rPr>
          <w:rFonts w:ascii="Times New Roman" w:hAnsi="Times New Roman"/>
          <w:i/>
          <w:iCs/>
        </w:rPr>
        <w:t>w</w:t>
      </w:r>
      <w:r>
        <w:rPr>
          <w:rFonts w:ascii="Times New Roman" w:hAnsi="Times New Roman"/>
          <w:i/>
          <w:iCs/>
          <w:vertAlign w:val="subscript"/>
        </w:rPr>
        <w:t>k</w:t>
      </w:r>
      <w:r>
        <w:rPr>
          <w:rFonts w:ascii="Times New Roman" w:hAnsi="Times New Roman"/>
        </w:rPr>
        <w:t>——风荷载标准值</w:t>
      </w:r>
    </w:p>
    <w:p>
      <w:pPr>
        <w:spacing w:line="360" w:lineRule="auto"/>
        <w:ind w:firstLine="480" w:firstLineChars="200"/>
        <w:rPr>
          <w:rFonts w:ascii="Times New Roman" w:hAnsi="Times New Roman"/>
        </w:rPr>
      </w:pPr>
      <w:r>
        <w:rPr>
          <w:rFonts w:ascii="Times New Roman" w:hAnsi="Times New Roman"/>
          <w:i/>
          <w:iCs/>
        </w:rPr>
        <w:t>G</w:t>
      </w:r>
      <w:r>
        <w:rPr>
          <w:rFonts w:ascii="Times New Roman" w:hAnsi="Times New Roman"/>
          <w:i/>
          <w:iCs/>
          <w:vertAlign w:val="subscript"/>
        </w:rPr>
        <w:t>k</w:t>
      </w:r>
      <w:r>
        <w:rPr>
          <w:rFonts w:ascii="Times New Roman" w:hAnsi="Times New Roman"/>
        </w:rPr>
        <w:t>——重力荷载标准值</w:t>
      </w:r>
    </w:p>
    <w:p>
      <w:pPr>
        <w:spacing w:line="360" w:lineRule="auto"/>
        <w:ind w:firstLine="480" w:firstLineChars="200"/>
        <w:rPr>
          <w:rFonts w:ascii="Times New Roman" w:hAnsi="Times New Roman"/>
        </w:rPr>
      </w:pPr>
      <w:r>
        <w:rPr>
          <w:rFonts w:ascii="Times New Roman" w:hAnsi="Times New Roman"/>
        </w:rPr>
        <w:t>σ——正应力</w:t>
      </w:r>
    </w:p>
    <w:p>
      <w:pPr>
        <w:spacing w:line="360" w:lineRule="auto"/>
        <w:ind w:firstLine="480" w:firstLineChars="200"/>
        <w:rPr>
          <w:rFonts w:ascii="Times New Roman" w:hAnsi="Times New Roman"/>
        </w:rPr>
      </w:pPr>
      <w:r>
        <w:rPr>
          <w:rFonts w:ascii="Times New Roman" w:hAnsi="Times New Roman"/>
        </w:rPr>
        <w:t>τ——剪应力</w:t>
      </w:r>
    </w:p>
    <w:p>
      <w:pPr>
        <w:pStyle w:val="188"/>
        <w:ind w:firstLine="480"/>
      </w:pPr>
    </w:p>
    <w:p>
      <w:pPr>
        <w:pStyle w:val="189"/>
      </w:pPr>
      <w:r>
        <w:rPr>
          <w:b/>
        </w:rPr>
        <w:t>2.2.2</w:t>
      </w:r>
      <w:r>
        <w:t xml:space="preserve">  计算指标</w:t>
      </w:r>
    </w:p>
    <w:p>
      <w:pPr>
        <w:pStyle w:val="188"/>
        <w:ind w:firstLine="480"/>
      </w:pPr>
      <w:r>
        <w:t>E——材料弹性模量</w:t>
      </w:r>
    </w:p>
    <w:p>
      <w:pPr>
        <w:pStyle w:val="188"/>
        <w:ind w:firstLine="480"/>
      </w:pPr>
      <w:r>
        <w:t>G——材料剪变模量</w:t>
      </w:r>
    </w:p>
    <w:p>
      <w:pPr>
        <w:spacing w:line="360" w:lineRule="auto"/>
        <w:ind w:firstLine="480" w:firstLineChars="200"/>
        <w:rPr>
          <w:rFonts w:ascii="Times New Roman" w:hAnsi="Times New Roman"/>
        </w:rPr>
      </w:pPr>
      <w:r>
        <w:rPr>
          <w:rFonts w:ascii="Times New Roman" w:hAnsi="Times New Roman"/>
          <w:i/>
          <w:iCs/>
        </w:rPr>
        <w:t>f</w:t>
      </w:r>
      <w:r>
        <w:rPr>
          <w:rFonts w:ascii="Times New Roman" w:hAnsi="Times New Roman"/>
        </w:rPr>
        <w:t>——材料强度设计值</w:t>
      </w:r>
    </w:p>
    <w:p>
      <w:pPr>
        <w:spacing w:line="360" w:lineRule="auto"/>
        <w:ind w:firstLine="480" w:firstLineChars="200"/>
        <w:rPr>
          <w:rFonts w:ascii="Times New Roman" w:hAnsi="Times New Roman"/>
        </w:rPr>
      </w:pPr>
      <w:r>
        <w:rPr>
          <w:rFonts w:ascii="Times New Roman" w:hAnsi="Times New Roman"/>
          <w:i/>
          <w:iCs/>
        </w:rPr>
        <w:t>f</w:t>
      </w:r>
      <w:r>
        <w:rPr>
          <w:rFonts w:ascii="Times New Roman" w:hAnsi="Times New Roman"/>
          <w:i/>
          <w:iCs/>
          <w:vertAlign w:val="subscript"/>
        </w:rPr>
        <w:t>c</w:t>
      </w:r>
      <w:r>
        <w:rPr>
          <w:rFonts w:ascii="Times New Roman" w:hAnsi="Times New Roman"/>
        </w:rPr>
        <w:t>——材料抗压强度设计值</w:t>
      </w:r>
    </w:p>
    <w:p>
      <w:pPr>
        <w:spacing w:line="360" w:lineRule="auto"/>
        <w:ind w:firstLine="480" w:firstLineChars="200"/>
        <w:rPr>
          <w:rFonts w:ascii="Times New Roman" w:hAnsi="Times New Roman"/>
        </w:rPr>
      </w:pPr>
      <w:r>
        <w:rPr>
          <w:rFonts w:ascii="Times New Roman" w:hAnsi="Times New Roman"/>
          <w:i/>
          <w:iCs/>
        </w:rPr>
        <w:t>f</w:t>
      </w:r>
      <w:r>
        <w:rPr>
          <w:rFonts w:ascii="Times New Roman" w:hAnsi="Times New Roman"/>
          <w:i/>
          <w:iCs/>
          <w:vertAlign w:val="subscript"/>
        </w:rPr>
        <w:t>t</w:t>
      </w:r>
      <w:r>
        <w:rPr>
          <w:rFonts w:ascii="Times New Roman" w:hAnsi="Times New Roman"/>
        </w:rPr>
        <w:t>——材料抗拉强度设计值</w:t>
      </w:r>
    </w:p>
    <w:p>
      <w:pPr>
        <w:spacing w:line="360" w:lineRule="auto"/>
        <w:ind w:firstLine="480" w:firstLineChars="200"/>
        <w:rPr>
          <w:rFonts w:ascii="Times New Roman" w:hAnsi="Times New Roman"/>
        </w:rPr>
      </w:pPr>
      <w:r>
        <w:rPr>
          <w:rFonts w:ascii="Times New Roman" w:hAnsi="Times New Roman"/>
          <w:i/>
          <w:iCs/>
        </w:rPr>
        <w:t>f</w:t>
      </w:r>
      <w:r>
        <w:rPr>
          <w:rFonts w:ascii="Times New Roman" w:hAnsi="Times New Roman"/>
          <w:i/>
          <w:iCs/>
          <w:vertAlign w:val="subscript"/>
        </w:rPr>
        <w:t>v</w:t>
      </w:r>
      <w:r>
        <w:rPr>
          <w:rFonts w:ascii="Times New Roman" w:hAnsi="Times New Roman"/>
        </w:rPr>
        <w:t>——材料抗剪强度设计值</w:t>
      </w:r>
    </w:p>
    <w:p>
      <w:pPr>
        <w:spacing w:line="360" w:lineRule="auto"/>
        <w:ind w:firstLine="480" w:firstLineChars="200"/>
        <w:rPr>
          <w:rFonts w:ascii="Times New Roman" w:hAnsi="Times New Roman"/>
        </w:rPr>
      </w:pPr>
      <w:r>
        <w:rPr>
          <w:rFonts w:ascii="Times New Roman" w:hAnsi="Times New Roman"/>
          <w:i/>
          <w:iCs/>
        </w:rPr>
        <w:t>f</w:t>
      </w:r>
      <w:r>
        <w:rPr>
          <w:rFonts w:ascii="Times New Roman" w:hAnsi="Times New Roman"/>
          <w:i/>
          <w:iCs/>
          <w:vertAlign w:val="subscript"/>
        </w:rPr>
        <w:t>c</w:t>
      </w:r>
      <w:r>
        <w:rPr>
          <w:rFonts w:ascii="Times New Roman" w:hAnsi="Times New Roman"/>
        </w:rPr>
        <w:t>——材料抗压强度设计值</w:t>
      </w:r>
    </w:p>
    <w:p>
      <w:pPr>
        <w:pStyle w:val="189"/>
        <w:rPr>
          <w:b/>
        </w:rPr>
      </w:pPr>
    </w:p>
    <w:p>
      <w:pPr>
        <w:pStyle w:val="189"/>
      </w:pPr>
      <w:r>
        <w:rPr>
          <w:b/>
        </w:rPr>
        <w:t>2.2.3</w:t>
      </w:r>
      <w:r>
        <w:t xml:space="preserve">  几何参数</w:t>
      </w:r>
    </w:p>
    <w:p>
      <w:pPr>
        <w:pStyle w:val="188"/>
        <w:ind w:firstLine="480"/>
      </w:pPr>
      <w:r>
        <w:t>A——截面面积</w:t>
      </w:r>
    </w:p>
    <w:p>
      <w:pPr>
        <w:pStyle w:val="188"/>
        <w:ind w:firstLine="480"/>
      </w:pPr>
      <w:r>
        <w:t>W——截面模量</w:t>
      </w:r>
    </w:p>
    <w:p>
      <w:pPr>
        <w:pStyle w:val="188"/>
        <w:ind w:firstLine="480"/>
      </w:pPr>
      <w:r>
        <w:t>I——截面惯性矩</w:t>
      </w:r>
    </w:p>
    <w:p>
      <w:pPr>
        <w:pStyle w:val="188"/>
        <w:ind w:firstLine="480"/>
      </w:pPr>
      <w:r>
        <w:t>S——截面面积矩</w:t>
      </w:r>
    </w:p>
    <w:p>
      <w:pPr>
        <w:pStyle w:val="188"/>
        <w:ind w:firstLine="480"/>
      </w:pPr>
      <w:r>
        <w:t>d——直径</w:t>
      </w:r>
    </w:p>
    <w:p>
      <w:pPr>
        <w:pStyle w:val="188"/>
        <w:ind w:firstLine="480"/>
      </w:pPr>
      <w:r>
        <w:t>t——厚度</w:t>
      </w:r>
    </w:p>
    <w:p>
      <w:pPr>
        <w:spacing w:line="360" w:lineRule="auto"/>
        <w:ind w:firstLine="480" w:firstLineChars="200"/>
        <w:rPr>
          <w:rFonts w:ascii="Times New Roman" w:hAnsi="Times New Roman"/>
        </w:rPr>
      </w:pPr>
      <w:r>
        <w:rPr>
          <w:rFonts w:ascii="Times New Roman" w:hAnsi="Times New Roman"/>
          <w:i/>
          <w:iCs/>
        </w:rPr>
        <w:t>c</w:t>
      </w:r>
      <w:r>
        <w:rPr>
          <w:rFonts w:ascii="Times New Roman" w:hAnsi="Times New Roman"/>
          <w:i/>
          <w:iCs/>
          <w:vertAlign w:val="subscript"/>
        </w:rPr>
        <w:t>s</w:t>
      </w:r>
      <w:r>
        <w:rPr>
          <w:rFonts w:ascii="Times New Roman" w:hAnsi="Times New Roman"/>
        </w:rPr>
        <w:t>——硅酮结构胶密封胶粘结厚度</w:t>
      </w:r>
    </w:p>
    <w:p>
      <w:pPr>
        <w:spacing w:line="360" w:lineRule="auto"/>
        <w:ind w:firstLine="480" w:firstLineChars="200"/>
        <w:rPr>
          <w:rFonts w:ascii="Times New Roman" w:hAnsi="Times New Roman"/>
          <w:i/>
          <w:iCs/>
        </w:rPr>
      </w:pPr>
      <w:r>
        <w:rPr>
          <w:rFonts w:ascii="Times New Roman" w:hAnsi="Times New Roman"/>
          <w:i/>
          <w:iCs/>
        </w:rPr>
        <w:t>l</w:t>
      </w:r>
      <w:r>
        <w:rPr>
          <w:rFonts w:ascii="Times New Roman" w:hAnsi="Times New Roman"/>
        </w:rPr>
        <w:t>——长度或跨度</w:t>
      </w:r>
    </w:p>
    <w:p>
      <w:pPr>
        <w:spacing w:line="360" w:lineRule="auto"/>
        <w:ind w:firstLine="480" w:firstLineChars="200"/>
        <w:rPr>
          <w:rFonts w:ascii="Times New Roman" w:hAnsi="Times New Roman"/>
          <w:i/>
          <w:iCs/>
        </w:rPr>
      </w:pPr>
      <w:r>
        <w:rPr>
          <w:rFonts w:ascii="Times New Roman" w:hAnsi="Times New Roman"/>
          <w:i/>
          <w:iCs/>
        </w:rPr>
        <w:t>h</w:t>
      </w:r>
      <w:r>
        <w:rPr>
          <w:rFonts w:ascii="Times New Roman" w:hAnsi="Times New Roman"/>
        </w:rPr>
        <w:t>——截面或板件的高度</w:t>
      </w:r>
    </w:p>
    <w:p>
      <w:pPr>
        <w:pStyle w:val="188"/>
        <w:ind w:firstLine="480"/>
      </w:pPr>
    </w:p>
    <w:p>
      <w:pPr>
        <w:spacing w:line="360" w:lineRule="auto"/>
        <w:rPr>
          <w:rFonts w:ascii="Times New Roman" w:hAnsi="Times New Roman"/>
        </w:rPr>
      </w:pPr>
      <w:r>
        <w:rPr>
          <w:rFonts w:ascii="Times New Roman" w:hAnsi="Times New Roman"/>
          <w:b/>
        </w:rPr>
        <w:t>2.2.4</w:t>
      </w:r>
      <w:r>
        <w:rPr>
          <w:rFonts w:ascii="Times New Roman" w:hAnsi="Times New Roman"/>
        </w:rPr>
        <w:t xml:space="preserve">  计算系数</w:t>
      </w:r>
    </w:p>
    <w:p>
      <w:pPr>
        <w:spacing w:line="360" w:lineRule="auto"/>
        <w:ind w:firstLine="480" w:firstLineChars="200"/>
        <w:rPr>
          <w:rFonts w:ascii="Times New Roman" w:hAnsi="Times New Roman"/>
        </w:rPr>
      </w:pPr>
      <w:bookmarkStart w:id="15" w:name="_Toc444098454"/>
      <w:bookmarkStart w:id="16" w:name="_Toc335119381"/>
      <w:bookmarkStart w:id="17" w:name="_Toc368167193"/>
      <w:bookmarkStart w:id="18" w:name="_Toc443917259"/>
      <w:bookmarkStart w:id="19" w:name="_Toc335119129"/>
      <w:r>
        <w:rPr>
          <w:rFonts w:ascii="Times New Roman" w:hAnsi="Times New Roman"/>
          <w:i/>
          <w:iCs/>
        </w:rPr>
        <w:t>n</w:t>
      </w:r>
      <w:r>
        <w:rPr>
          <w:rFonts w:ascii="Times New Roman" w:hAnsi="Times New Roman"/>
        </w:rPr>
        <w:t>——连接处的螺钉/螺栓数</w:t>
      </w:r>
    </w:p>
    <w:p>
      <w:pPr>
        <w:spacing w:line="360" w:lineRule="auto"/>
        <w:ind w:firstLine="480" w:firstLineChars="200"/>
        <w:rPr>
          <w:rFonts w:ascii="Times New Roman" w:hAnsi="Times New Roman"/>
        </w:rPr>
      </w:pPr>
      <m:oMath>
        <m:r>
          <m:rPr>
            <m:sty m:val="p"/>
          </m:rPr>
          <w:rPr>
            <w:rFonts w:ascii="Cambria Math" w:hAnsi="Cambria Math"/>
          </w:rPr>
          <m:t>β</m:t>
        </m:r>
      </m:oMath>
      <w:r>
        <w:rPr>
          <w:rFonts w:ascii="Times New Roman" w:hAnsi="Times New Roman"/>
        </w:rPr>
        <w:t>——多个紧固件连接的受力不均匀影响放大系数</w:t>
      </w:r>
    </w:p>
    <w:p>
      <w:pPr>
        <w:spacing w:line="360" w:lineRule="auto"/>
        <w:ind w:firstLine="480" w:firstLineChars="200"/>
        <w:rPr>
          <w:rFonts w:ascii="Times New Roman" w:hAnsi="Times New Roman"/>
        </w:rPr>
      </w:pPr>
      <w:r>
        <w:rPr>
          <w:rFonts w:ascii="Times New Roman" w:hAnsi="Times New Roman"/>
        </w:rPr>
        <w:t>γ——塑性发展系数</w:t>
      </w:r>
    </w:p>
    <w:p>
      <w:pPr>
        <w:spacing w:line="360" w:lineRule="auto"/>
        <w:ind w:firstLine="480" w:firstLineChars="200"/>
        <w:rPr>
          <w:rFonts w:ascii="Times New Roman" w:hAnsi="Times New Roman"/>
        </w:rPr>
      </w:pPr>
      <w:r>
        <w:rPr>
          <w:rFonts w:ascii="Times New Roman" w:hAnsi="Times New Roman"/>
        </w:rPr>
        <w:t>γ</w:t>
      </w:r>
      <w:r>
        <w:rPr>
          <w:rFonts w:ascii="Times New Roman" w:hAnsi="Times New Roman"/>
          <w:vertAlign w:val="subscript"/>
        </w:rPr>
        <w:t>0</w:t>
      </w:r>
      <w:r>
        <w:rPr>
          <w:rFonts w:ascii="Times New Roman" w:hAnsi="Times New Roman"/>
        </w:rPr>
        <w:t>——结构构件重要性系数</w:t>
      </w:r>
    </w:p>
    <w:p>
      <w:pPr>
        <w:spacing w:line="360" w:lineRule="auto"/>
        <w:ind w:firstLine="480" w:firstLineChars="200"/>
        <w:rPr>
          <w:rFonts w:ascii="Times New Roman" w:hAnsi="Times New Roman"/>
        </w:rPr>
      </w:pPr>
      <w:r>
        <w:rPr>
          <w:rFonts w:ascii="Times New Roman" w:hAnsi="Times New Roman"/>
        </w:rPr>
        <w:t>γ</w:t>
      </w:r>
      <w:r>
        <w:rPr>
          <w:rFonts w:ascii="Times New Roman" w:hAnsi="Times New Roman"/>
          <w:vertAlign w:val="subscript"/>
        </w:rPr>
        <w:t>g</w:t>
      </w:r>
      <w:r>
        <w:rPr>
          <w:rFonts w:ascii="Times New Roman" w:hAnsi="Times New Roman"/>
        </w:rPr>
        <w:t>——材料</w:t>
      </w:r>
      <w:r>
        <w:rPr>
          <w:rFonts w:hint="eastAsia" w:ascii="Times New Roman" w:hAnsi="Times New Roman"/>
        </w:rPr>
        <w:t>重力密度</w:t>
      </w:r>
    </w:p>
    <w:p>
      <w:pPr>
        <w:spacing w:line="360" w:lineRule="auto"/>
        <w:ind w:firstLine="480" w:firstLineChars="200"/>
        <w:rPr>
          <w:rFonts w:ascii="Times New Roman" w:hAnsi="Times New Roman"/>
        </w:rPr>
      </w:pPr>
      <m:oMath>
        <m:sSub>
          <m:sSubPr>
            <m:ctrlPr>
              <w:rPr>
                <w:rFonts w:ascii="Cambria Math" w:hAnsi="Cambria Math"/>
                <w:bCs/>
              </w:rPr>
            </m:ctrlPr>
          </m:sSubPr>
          <m:e>
            <m:r>
              <m:rPr/>
              <w:rPr>
                <w:rFonts w:ascii="Cambria Math" w:hAnsi="Cambria Math"/>
              </w:rPr>
              <m:t>α</m:t>
            </m:r>
            <m:ctrlPr>
              <w:rPr>
                <w:rFonts w:ascii="Cambria Math" w:hAnsi="Cambria Math"/>
                <w:bCs/>
              </w:rPr>
            </m:ctrlPr>
          </m:e>
          <m:sub>
            <m:r>
              <m:rPr/>
              <w:rPr>
                <w:rFonts w:ascii="Cambria Math" w:hAnsi="Cambria Math"/>
              </w:rPr>
              <m:t>max</m:t>
            </m:r>
            <m:ctrlPr>
              <w:rPr>
                <w:rFonts w:ascii="Cambria Math" w:hAnsi="Cambria Math"/>
                <w:bCs/>
              </w:rPr>
            </m:ctrlPr>
          </m:sub>
        </m:sSub>
      </m:oMath>
      <w:r>
        <w:rPr>
          <w:rFonts w:ascii="Times New Roman" w:hAnsi="Times New Roman"/>
        </w:rPr>
        <w:t>——</w:t>
      </w:r>
      <w:r>
        <w:rPr>
          <w:rFonts w:ascii="Times New Roman" w:hAnsi="Times New Roman"/>
          <w:bCs/>
        </w:rPr>
        <w:t>水平地震影响系数最大值</w:t>
      </w:r>
    </w:p>
    <w:p>
      <w:pPr>
        <w:rPr>
          <w:rFonts w:ascii="Times New Roman" w:hAnsi="Times New Roman"/>
        </w:rPr>
        <w:sectPr>
          <w:footerReference r:id="rId9" w:type="default"/>
          <w:pgSz w:w="11906" w:h="16838"/>
          <w:pgMar w:top="1418" w:right="1418" w:bottom="1418" w:left="1418" w:header="851" w:footer="992" w:gutter="0"/>
          <w:pgNumType w:start="1"/>
          <w:cols w:space="720" w:num="1"/>
          <w:docGrid w:linePitch="312" w:charSpace="0"/>
        </w:sectPr>
      </w:pPr>
    </w:p>
    <w:p>
      <w:pPr>
        <w:pStyle w:val="2"/>
        <w:rPr>
          <w:rFonts w:ascii="Times New Roman" w:hAnsi="Times New Roman"/>
        </w:rPr>
      </w:pPr>
      <w:bookmarkStart w:id="20" w:name="_Toc162996204"/>
      <w:bookmarkStart w:id="21" w:name="_Toc90562017"/>
      <w:bookmarkStart w:id="22" w:name="_Toc1037"/>
      <w:bookmarkStart w:id="23" w:name="_Toc81378708"/>
      <w:bookmarkStart w:id="24" w:name="_Toc4917"/>
      <w:bookmarkStart w:id="25" w:name="_Toc81378714"/>
      <w:r>
        <w:rPr>
          <w:rFonts w:ascii="Times New Roman" w:hAnsi="Times New Roman"/>
        </w:rPr>
        <w:t xml:space="preserve">3 </w:t>
      </w:r>
      <w:r>
        <w:rPr>
          <w:rFonts w:hint="eastAsia" w:ascii="Times New Roman" w:hAnsi="Times New Roman"/>
        </w:rPr>
        <w:t>材料</w:t>
      </w:r>
      <w:bookmarkEnd w:id="20"/>
    </w:p>
    <w:p>
      <w:pPr>
        <w:pStyle w:val="6"/>
        <w:rPr>
          <w:rFonts w:ascii="Times New Roman" w:hAnsi="Times New Roman"/>
        </w:rPr>
      </w:pPr>
      <w:bookmarkStart w:id="26" w:name="_Toc162996205"/>
      <w:r>
        <w:rPr>
          <w:rFonts w:ascii="Times New Roman" w:hAnsi="Times New Roman"/>
        </w:rPr>
        <w:t xml:space="preserve">3.1 </w:t>
      </w:r>
      <w:r>
        <w:rPr>
          <w:rFonts w:hint="eastAsia" w:ascii="Times New Roman" w:hAnsi="Times New Roman"/>
        </w:rPr>
        <w:t>一般规定</w:t>
      </w:r>
      <w:bookmarkEnd w:id="26"/>
    </w:p>
    <w:p>
      <w:pPr>
        <w:pStyle w:val="189"/>
        <w:rPr>
          <w:bCs w:val="0"/>
        </w:rPr>
      </w:pPr>
      <w:r>
        <w:rPr>
          <w:rFonts w:hint="eastAsia"/>
          <w:b/>
        </w:rPr>
        <w:t>3</w:t>
      </w:r>
      <w:r>
        <w:rPr>
          <w:b/>
        </w:rPr>
        <w:t>.1.1</w:t>
      </w:r>
      <w:r>
        <w:rPr>
          <w:bCs w:val="0"/>
        </w:rPr>
        <w:t xml:space="preserve"> </w:t>
      </w:r>
      <w:r>
        <w:rPr>
          <w:rFonts w:hint="eastAsia"/>
          <w:bCs w:val="0"/>
        </w:rPr>
        <w:t>建筑幕墙用材料应符合国家现行标准相关规定及设计要求，且应有出厂合格证。建筑幕墙用材料宜采用节能环保且经碳足迹分析评价的产品。</w:t>
      </w:r>
    </w:p>
    <w:p>
      <w:pPr>
        <w:pStyle w:val="189"/>
        <w:jc w:val="both"/>
        <w:rPr>
          <w:bCs w:val="0"/>
        </w:rPr>
      </w:pPr>
      <w:r>
        <w:rPr>
          <w:rFonts w:hint="eastAsia"/>
          <w:b/>
        </w:rPr>
        <w:t>3</w:t>
      </w:r>
      <w:r>
        <w:rPr>
          <w:b/>
        </w:rPr>
        <w:t>.1.2</w:t>
      </w:r>
      <w:r>
        <w:rPr>
          <w:bCs w:val="0"/>
        </w:rPr>
        <w:t xml:space="preserve"> </w:t>
      </w:r>
      <w:r>
        <w:rPr>
          <w:rFonts w:hint="eastAsia"/>
          <w:bCs w:val="0"/>
        </w:rPr>
        <w:t>建筑幕墙用铝合金材料、钢材、不锈钢、木材、玻璃、金属板、天然石材、人造板材、胶类、紧固件、塑料等，均应符合国家、行业现行标准《建筑幕墙》</w:t>
      </w:r>
      <w:r>
        <w:rPr>
          <w:bCs w:val="0"/>
        </w:rPr>
        <w:t>GB/T</w:t>
      </w:r>
      <w:r>
        <w:rPr>
          <w:rFonts w:hint="eastAsia"/>
          <w:bCs w:val="0"/>
        </w:rPr>
        <w:t xml:space="preserve"> </w:t>
      </w:r>
      <w:r>
        <w:rPr>
          <w:bCs w:val="0"/>
        </w:rPr>
        <w:t>21086、《玻璃幕墙工程技术规范》JGJ 102、《建筑玻璃应用技术规程》JGJ 113、《金属与石材幕墙工程技术规范》JGJ</w:t>
      </w:r>
      <w:r>
        <w:rPr>
          <w:rFonts w:hint="eastAsia"/>
          <w:bCs w:val="0"/>
        </w:rPr>
        <w:t xml:space="preserve"> </w:t>
      </w:r>
      <w:r>
        <w:rPr>
          <w:bCs w:val="0"/>
        </w:rPr>
        <w:t>133、《采光顶与金属屋面技术规程》JGJ 255、《索结构技术规程》JGJ</w:t>
      </w:r>
      <w:r>
        <w:rPr>
          <w:rFonts w:hint="eastAsia"/>
          <w:bCs w:val="0"/>
        </w:rPr>
        <w:t xml:space="preserve"> </w:t>
      </w:r>
      <w:r>
        <w:rPr>
          <w:bCs w:val="0"/>
        </w:rPr>
        <w:t>257、《人造板材幕墙工程技术规范》JGJ</w:t>
      </w:r>
      <w:r>
        <w:rPr>
          <w:rFonts w:hint="eastAsia"/>
          <w:bCs w:val="0"/>
        </w:rPr>
        <w:t xml:space="preserve"> </w:t>
      </w:r>
      <w:r>
        <w:rPr>
          <w:bCs w:val="0"/>
        </w:rPr>
        <w:t>336、《点挂外墙板装饰工程技术规程》JGJ</w:t>
      </w:r>
      <w:r>
        <w:rPr>
          <w:rFonts w:hint="eastAsia"/>
          <w:bCs w:val="0"/>
        </w:rPr>
        <w:t xml:space="preserve"> </w:t>
      </w:r>
      <w:r>
        <w:rPr>
          <w:bCs w:val="0"/>
        </w:rPr>
        <w:t>321、《玻璃纤维增强水泥（GRC）建筑应用技术标准》JGJ/T 423、《</w:t>
      </w:r>
      <w:r>
        <w:rPr>
          <w:rFonts w:hint="eastAsia"/>
          <w:bCs w:val="0"/>
        </w:rPr>
        <w:t>金属夹芯板应用技术标准》</w:t>
      </w:r>
      <w:r>
        <w:rPr>
          <w:bCs w:val="0"/>
        </w:rPr>
        <w:t>JGJ/T</w:t>
      </w:r>
      <w:r>
        <w:rPr>
          <w:rFonts w:hint="eastAsia"/>
          <w:bCs w:val="0"/>
        </w:rPr>
        <w:t xml:space="preserve"> </w:t>
      </w:r>
      <w:r>
        <w:rPr>
          <w:bCs w:val="0"/>
        </w:rPr>
        <w:t>453、《建筑金属围护系统工程技术标准》JGJ/T</w:t>
      </w:r>
      <w:r>
        <w:rPr>
          <w:rFonts w:hint="eastAsia"/>
          <w:bCs w:val="0"/>
        </w:rPr>
        <w:t xml:space="preserve"> </w:t>
      </w:r>
      <w:r>
        <w:rPr>
          <w:bCs w:val="0"/>
        </w:rPr>
        <w:t>473、《膜结构技术规程》CECS 158、《不锈钢结构技术规程》CECS</w:t>
      </w:r>
      <w:r>
        <w:rPr>
          <w:rFonts w:hint="eastAsia"/>
          <w:bCs w:val="0"/>
        </w:rPr>
        <w:t xml:space="preserve"> </w:t>
      </w:r>
      <w:r>
        <w:rPr>
          <w:bCs w:val="0"/>
        </w:rPr>
        <w:t>410等的相关规定。</w:t>
      </w:r>
    </w:p>
    <w:p>
      <w:pPr>
        <w:pStyle w:val="6"/>
        <w:rPr>
          <w:rFonts w:ascii="Times New Roman" w:hAnsi="Times New Roman"/>
        </w:rPr>
      </w:pPr>
      <w:bookmarkStart w:id="27" w:name="_Toc162996206"/>
      <w:r>
        <w:rPr>
          <w:rFonts w:ascii="Times New Roman" w:hAnsi="Times New Roman"/>
        </w:rPr>
        <w:t>3.2 材料力学性能</w:t>
      </w:r>
      <w:bookmarkEnd w:id="27"/>
    </w:p>
    <w:p>
      <w:pPr>
        <w:pStyle w:val="189"/>
      </w:pPr>
      <w:r>
        <w:rPr>
          <w:rFonts w:hint="eastAsia"/>
          <w:b/>
        </w:rPr>
        <w:t>3</w:t>
      </w:r>
      <w:r>
        <w:rPr>
          <w:b/>
        </w:rPr>
        <w:t>.2.1</w:t>
      </w:r>
      <w:r>
        <w:rPr>
          <w:rFonts w:hint="eastAsia"/>
          <w:b/>
        </w:rPr>
        <w:t xml:space="preserve"> </w:t>
      </w:r>
      <w:r>
        <w:t>铝合金型材的强度设计值应按表</w:t>
      </w:r>
      <w:r>
        <w:rPr>
          <w:rFonts w:hint="eastAsia"/>
        </w:rPr>
        <w:t>3</w:t>
      </w:r>
      <w:r>
        <w:t>.2.1采用。</w:t>
      </w:r>
    </w:p>
    <w:p>
      <w:pPr>
        <w:pStyle w:val="186"/>
      </w:pPr>
      <w:r>
        <w:t>表3.2.1 铝合金型材强度设计值</w:t>
      </w:r>
    </w:p>
    <w:tbl>
      <w:tblPr>
        <w:tblStyle w:val="37"/>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179"/>
        <w:gridCol w:w="994"/>
        <w:gridCol w:w="1018"/>
        <w:gridCol w:w="1307"/>
        <w:gridCol w:w="728"/>
        <w:gridCol w:w="1163"/>
        <w:gridCol w:w="1601"/>
        <w:gridCol w:w="129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40" w:hRule="atLeast"/>
        </w:trPr>
        <w:tc>
          <w:tcPr>
            <w:tcW w:w="635" w:type="pct"/>
            <w:vMerge w:val="restart"/>
            <w:vAlign w:val="center"/>
          </w:tcPr>
          <w:p>
            <w:pPr>
              <w:pStyle w:val="191"/>
              <w:rPr>
                <w:rFonts w:ascii="Times New Roman" w:hAnsi="Times New Roman" w:eastAsiaTheme="minorEastAsia"/>
                <w:sz w:val="21"/>
              </w:rPr>
            </w:pPr>
            <w:r>
              <w:rPr>
                <w:rFonts w:ascii="Times New Roman" w:hAnsi="Times New Roman" w:eastAsiaTheme="minorEastAsia"/>
                <w:sz w:val="21"/>
              </w:rPr>
              <w:t>铝合金牌号</w:t>
            </w:r>
          </w:p>
        </w:tc>
        <w:tc>
          <w:tcPr>
            <w:tcW w:w="535" w:type="pct"/>
            <w:vMerge w:val="restart"/>
            <w:vAlign w:val="center"/>
          </w:tcPr>
          <w:p>
            <w:pPr>
              <w:pStyle w:val="191"/>
              <w:rPr>
                <w:rFonts w:ascii="Times New Roman" w:hAnsi="Times New Roman" w:eastAsiaTheme="minorEastAsia"/>
                <w:sz w:val="21"/>
              </w:rPr>
            </w:pPr>
            <w:r>
              <w:rPr>
                <w:rFonts w:ascii="Times New Roman" w:hAnsi="Times New Roman" w:eastAsiaTheme="minorEastAsia"/>
                <w:sz w:val="21"/>
              </w:rPr>
              <w:t>状态</w:t>
            </w:r>
          </w:p>
        </w:tc>
        <w:tc>
          <w:tcPr>
            <w:tcW w:w="548" w:type="pct"/>
            <w:vMerge w:val="restart"/>
            <w:vAlign w:val="center"/>
          </w:tcPr>
          <w:p>
            <w:pPr>
              <w:pStyle w:val="191"/>
              <w:rPr>
                <w:rFonts w:ascii="Times New Roman" w:hAnsi="Times New Roman" w:eastAsiaTheme="minorEastAsia"/>
                <w:sz w:val="21"/>
              </w:rPr>
            </w:pPr>
            <w:r>
              <w:rPr>
                <w:rFonts w:ascii="Times New Roman" w:hAnsi="Times New Roman" w:eastAsiaTheme="minorEastAsia"/>
                <w:sz w:val="21"/>
              </w:rPr>
              <w:t>壁厚（mm）</w:t>
            </w:r>
          </w:p>
        </w:tc>
        <w:tc>
          <w:tcPr>
            <w:tcW w:w="3282" w:type="pct"/>
            <w:gridSpan w:val="5"/>
            <w:vAlign w:val="center"/>
          </w:tcPr>
          <w:p>
            <w:pPr>
              <w:pStyle w:val="191"/>
              <w:rPr>
                <w:rFonts w:ascii="Times New Roman" w:hAnsi="Times New Roman" w:eastAsiaTheme="minorEastAsia"/>
                <w:sz w:val="21"/>
              </w:rPr>
            </w:pPr>
            <w:r>
              <w:rPr>
                <w:rFonts w:ascii="Times New Roman" w:hAnsi="Times New Roman" w:eastAsiaTheme="minorEastAsia"/>
                <w:sz w:val="21"/>
              </w:rPr>
              <w:t>强度设计值</w:t>
            </w:r>
            <w:r>
              <w:rPr>
                <w:rFonts w:hint="eastAsia" w:eastAsiaTheme="minorEastAsia"/>
                <w:sz w:val="21"/>
                <w:lang w:eastAsia="zh-CN"/>
              </w:rPr>
              <w:t>（</w:t>
            </w:r>
            <w:r>
              <w:rPr>
                <w:rFonts w:eastAsia="黑体"/>
                <w:sz w:val="21"/>
              </w:rPr>
              <w:t>N/mm²)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6" w:hRule="atLeast"/>
        </w:trPr>
        <w:tc>
          <w:tcPr>
            <w:tcW w:w="635" w:type="pct"/>
            <w:vMerge w:val="continue"/>
            <w:vAlign w:val="center"/>
          </w:tcPr>
          <w:p>
            <w:pPr>
              <w:pStyle w:val="191"/>
              <w:rPr>
                <w:rFonts w:ascii="Times New Roman" w:hAnsi="Times New Roman" w:eastAsiaTheme="minorEastAsia"/>
                <w:sz w:val="21"/>
              </w:rPr>
            </w:pPr>
          </w:p>
        </w:tc>
        <w:tc>
          <w:tcPr>
            <w:tcW w:w="535" w:type="pct"/>
            <w:vMerge w:val="continue"/>
            <w:vAlign w:val="center"/>
          </w:tcPr>
          <w:p>
            <w:pPr>
              <w:pStyle w:val="191"/>
              <w:rPr>
                <w:rFonts w:ascii="Times New Roman" w:hAnsi="Times New Roman" w:eastAsiaTheme="minorEastAsia"/>
                <w:sz w:val="21"/>
              </w:rPr>
            </w:pPr>
          </w:p>
        </w:tc>
        <w:tc>
          <w:tcPr>
            <w:tcW w:w="548" w:type="pct"/>
            <w:vMerge w:val="continue"/>
            <w:vAlign w:val="center"/>
          </w:tcPr>
          <w:p>
            <w:pPr>
              <w:pStyle w:val="191"/>
              <w:rPr>
                <w:rFonts w:ascii="Times New Roman" w:hAnsi="Times New Roman" w:eastAsiaTheme="minorEastAsia"/>
                <w:sz w:val="21"/>
              </w:rPr>
            </w:pPr>
          </w:p>
        </w:tc>
        <w:tc>
          <w:tcPr>
            <w:tcW w:w="704" w:type="pct"/>
            <w:vAlign w:val="center"/>
          </w:tcPr>
          <w:p>
            <w:pPr>
              <w:pStyle w:val="191"/>
              <w:rPr>
                <w:rFonts w:ascii="Times New Roman" w:hAnsi="Times New Roman" w:eastAsiaTheme="minorEastAsia"/>
                <w:sz w:val="21"/>
              </w:rPr>
            </w:pPr>
            <w:r>
              <w:rPr>
                <w:rFonts w:ascii="Times New Roman" w:hAnsi="Times New Roman" w:eastAsiaTheme="minorEastAsia"/>
                <w:sz w:val="21"/>
              </w:rPr>
              <w:t>抗拉、抗压强度</w:t>
            </w:r>
          </w:p>
        </w:tc>
        <w:tc>
          <w:tcPr>
            <w:tcW w:w="392" w:type="pct"/>
            <w:vAlign w:val="center"/>
          </w:tcPr>
          <w:p>
            <w:pPr>
              <w:pStyle w:val="191"/>
              <w:rPr>
                <w:rFonts w:ascii="Times New Roman" w:hAnsi="Times New Roman" w:eastAsiaTheme="minorEastAsia"/>
                <w:sz w:val="21"/>
              </w:rPr>
            </w:pPr>
            <w:r>
              <w:rPr>
                <w:rFonts w:ascii="Times New Roman" w:hAnsi="Times New Roman" w:eastAsiaTheme="minorEastAsia"/>
                <w:sz w:val="21"/>
              </w:rPr>
              <w:t>抗剪强度</w:t>
            </w:r>
          </w:p>
        </w:tc>
        <w:tc>
          <w:tcPr>
            <w:tcW w:w="626" w:type="pct"/>
            <w:vAlign w:val="center"/>
          </w:tcPr>
          <w:p>
            <w:pPr>
              <w:pStyle w:val="191"/>
              <w:rPr>
                <w:rFonts w:ascii="Times New Roman" w:hAnsi="Times New Roman" w:eastAsiaTheme="minorEastAsia"/>
                <w:sz w:val="21"/>
              </w:rPr>
            </w:pPr>
            <w:r>
              <w:rPr>
                <w:rFonts w:ascii="Times New Roman" w:hAnsi="Times New Roman" w:eastAsiaTheme="minorEastAsia"/>
                <w:sz w:val="21"/>
              </w:rPr>
              <w:t>局部承压强度</w:t>
            </w:r>
          </w:p>
        </w:tc>
        <w:tc>
          <w:tcPr>
            <w:tcW w:w="862" w:type="pct"/>
            <w:vAlign w:val="center"/>
          </w:tcPr>
          <w:p>
            <w:pPr>
              <w:pStyle w:val="191"/>
              <w:rPr>
                <w:rFonts w:ascii="Times New Roman" w:hAnsi="Times New Roman" w:eastAsiaTheme="minorEastAsia"/>
                <w:sz w:val="21"/>
              </w:rPr>
            </w:pPr>
            <w:r>
              <w:rPr>
                <w:rFonts w:ascii="Times New Roman" w:hAnsi="Times New Roman" w:eastAsiaTheme="minorEastAsia"/>
                <w:sz w:val="21"/>
              </w:rPr>
              <w:t>焊接热影响区抗拉、抗压、抗弯强度</w:t>
            </w:r>
          </w:p>
        </w:tc>
        <w:tc>
          <w:tcPr>
            <w:tcW w:w="698" w:type="pct"/>
            <w:vAlign w:val="center"/>
          </w:tcPr>
          <w:p>
            <w:pPr>
              <w:pStyle w:val="191"/>
              <w:rPr>
                <w:rFonts w:ascii="Times New Roman" w:hAnsi="Times New Roman" w:eastAsiaTheme="minorEastAsia"/>
                <w:sz w:val="21"/>
              </w:rPr>
            </w:pPr>
            <w:r>
              <w:rPr>
                <w:rFonts w:ascii="Times New Roman" w:hAnsi="Times New Roman" w:eastAsiaTheme="minorEastAsia"/>
                <w:sz w:val="21"/>
              </w:rPr>
              <w:t>焊接热影响区抗剪强度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635" w:type="pct"/>
            <w:vMerge w:val="restart"/>
            <w:vAlign w:val="center"/>
          </w:tcPr>
          <w:p>
            <w:pPr>
              <w:pStyle w:val="191"/>
              <w:rPr>
                <w:sz w:val="21"/>
              </w:rPr>
            </w:pPr>
            <w:r>
              <w:rPr>
                <w:sz w:val="21"/>
              </w:rPr>
              <w:t>6061</w:t>
            </w:r>
          </w:p>
        </w:tc>
        <w:tc>
          <w:tcPr>
            <w:tcW w:w="535" w:type="pct"/>
            <w:vAlign w:val="center"/>
          </w:tcPr>
          <w:p>
            <w:pPr>
              <w:pStyle w:val="191"/>
              <w:rPr>
                <w:sz w:val="21"/>
              </w:rPr>
            </w:pPr>
            <w:r>
              <w:rPr>
                <w:sz w:val="21"/>
              </w:rPr>
              <w:t>T4</w:t>
            </w:r>
          </w:p>
        </w:tc>
        <w:tc>
          <w:tcPr>
            <w:tcW w:w="548" w:type="pct"/>
            <w:vAlign w:val="center"/>
          </w:tcPr>
          <w:p>
            <w:pPr>
              <w:pStyle w:val="191"/>
              <w:rPr>
                <w:sz w:val="21"/>
              </w:rPr>
            </w:pPr>
            <w:r>
              <w:rPr>
                <w:sz w:val="21"/>
              </w:rPr>
              <w:t>所有</w:t>
            </w:r>
          </w:p>
        </w:tc>
        <w:tc>
          <w:tcPr>
            <w:tcW w:w="704" w:type="pct"/>
            <w:vAlign w:val="center"/>
          </w:tcPr>
          <w:p>
            <w:pPr>
              <w:pStyle w:val="191"/>
              <w:rPr>
                <w:sz w:val="21"/>
              </w:rPr>
            </w:pPr>
            <w:r>
              <w:rPr>
                <w:sz w:val="21"/>
              </w:rPr>
              <w:t>90</w:t>
            </w:r>
          </w:p>
        </w:tc>
        <w:tc>
          <w:tcPr>
            <w:tcW w:w="392" w:type="pct"/>
            <w:vAlign w:val="center"/>
          </w:tcPr>
          <w:p>
            <w:pPr>
              <w:pStyle w:val="191"/>
              <w:rPr>
                <w:sz w:val="21"/>
              </w:rPr>
            </w:pPr>
            <w:r>
              <w:rPr>
                <w:sz w:val="21"/>
              </w:rPr>
              <w:t>55</w:t>
            </w:r>
          </w:p>
        </w:tc>
        <w:tc>
          <w:tcPr>
            <w:tcW w:w="626" w:type="pct"/>
            <w:vAlign w:val="center"/>
          </w:tcPr>
          <w:p>
            <w:pPr>
              <w:pStyle w:val="191"/>
              <w:rPr>
                <w:sz w:val="21"/>
              </w:rPr>
            </w:pPr>
            <w:r>
              <w:rPr>
                <w:sz w:val="21"/>
              </w:rPr>
              <w:t>210</w:t>
            </w:r>
          </w:p>
        </w:tc>
        <w:tc>
          <w:tcPr>
            <w:tcW w:w="862" w:type="pct"/>
            <w:vAlign w:val="center"/>
          </w:tcPr>
          <w:p>
            <w:pPr>
              <w:pStyle w:val="191"/>
              <w:rPr>
                <w:sz w:val="21"/>
              </w:rPr>
            </w:pPr>
            <w:r>
              <w:rPr>
                <w:sz w:val="21"/>
              </w:rPr>
              <w:t>140</w:t>
            </w:r>
          </w:p>
        </w:tc>
        <w:tc>
          <w:tcPr>
            <w:tcW w:w="698" w:type="pct"/>
            <w:vAlign w:val="center"/>
          </w:tcPr>
          <w:p>
            <w:pPr>
              <w:pStyle w:val="191"/>
              <w:rPr>
                <w:sz w:val="21"/>
              </w:rPr>
            </w:pPr>
            <w:r>
              <w:rPr>
                <w:sz w:val="21"/>
              </w:rPr>
              <w:t>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635" w:type="pct"/>
            <w:vMerge w:val="continue"/>
            <w:vAlign w:val="center"/>
          </w:tcPr>
          <w:p>
            <w:pPr>
              <w:pStyle w:val="191"/>
              <w:rPr>
                <w:sz w:val="21"/>
              </w:rPr>
            </w:pPr>
          </w:p>
        </w:tc>
        <w:tc>
          <w:tcPr>
            <w:tcW w:w="535" w:type="pct"/>
            <w:vAlign w:val="center"/>
          </w:tcPr>
          <w:p>
            <w:pPr>
              <w:pStyle w:val="191"/>
              <w:rPr>
                <w:sz w:val="21"/>
              </w:rPr>
            </w:pPr>
            <w:r>
              <w:rPr>
                <w:sz w:val="21"/>
              </w:rPr>
              <w:t>T6</w:t>
            </w:r>
          </w:p>
        </w:tc>
        <w:tc>
          <w:tcPr>
            <w:tcW w:w="548" w:type="pct"/>
            <w:vAlign w:val="center"/>
          </w:tcPr>
          <w:p>
            <w:pPr>
              <w:pStyle w:val="191"/>
              <w:rPr>
                <w:sz w:val="21"/>
              </w:rPr>
            </w:pPr>
            <w:r>
              <w:rPr>
                <w:sz w:val="21"/>
              </w:rPr>
              <w:t>所有</w:t>
            </w:r>
          </w:p>
        </w:tc>
        <w:tc>
          <w:tcPr>
            <w:tcW w:w="704" w:type="pct"/>
            <w:vAlign w:val="center"/>
          </w:tcPr>
          <w:p>
            <w:pPr>
              <w:pStyle w:val="191"/>
              <w:rPr>
                <w:sz w:val="21"/>
              </w:rPr>
            </w:pPr>
            <w:r>
              <w:rPr>
                <w:sz w:val="21"/>
              </w:rPr>
              <w:t>200</w:t>
            </w:r>
          </w:p>
        </w:tc>
        <w:tc>
          <w:tcPr>
            <w:tcW w:w="392" w:type="pct"/>
            <w:vAlign w:val="center"/>
          </w:tcPr>
          <w:p>
            <w:pPr>
              <w:pStyle w:val="191"/>
              <w:rPr>
                <w:sz w:val="21"/>
              </w:rPr>
            </w:pPr>
            <w:r>
              <w:rPr>
                <w:sz w:val="21"/>
              </w:rPr>
              <w:t>115</w:t>
            </w:r>
          </w:p>
        </w:tc>
        <w:tc>
          <w:tcPr>
            <w:tcW w:w="626" w:type="pct"/>
            <w:vAlign w:val="center"/>
          </w:tcPr>
          <w:p>
            <w:pPr>
              <w:pStyle w:val="191"/>
              <w:rPr>
                <w:sz w:val="21"/>
              </w:rPr>
            </w:pPr>
            <w:r>
              <w:rPr>
                <w:sz w:val="21"/>
              </w:rPr>
              <w:t>305</w:t>
            </w:r>
          </w:p>
        </w:tc>
        <w:tc>
          <w:tcPr>
            <w:tcW w:w="862" w:type="pct"/>
            <w:vAlign w:val="center"/>
          </w:tcPr>
          <w:p>
            <w:pPr>
              <w:pStyle w:val="191"/>
              <w:rPr>
                <w:sz w:val="21"/>
              </w:rPr>
            </w:pPr>
            <w:r>
              <w:rPr>
                <w:sz w:val="21"/>
              </w:rPr>
              <w:t>100</w:t>
            </w:r>
          </w:p>
        </w:tc>
        <w:tc>
          <w:tcPr>
            <w:tcW w:w="698" w:type="pct"/>
            <w:vAlign w:val="center"/>
          </w:tcPr>
          <w:p>
            <w:pPr>
              <w:pStyle w:val="191"/>
              <w:rPr>
                <w:sz w:val="21"/>
              </w:rPr>
            </w:pPr>
            <w:r>
              <w:rPr>
                <w:sz w:val="21"/>
              </w:rPr>
              <w:t>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635" w:type="pct"/>
            <w:vMerge w:val="restart"/>
            <w:vAlign w:val="center"/>
          </w:tcPr>
          <w:p>
            <w:pPr>
              <w:pStyle w:val="191"/>
              <w:rPr>
                <w:sz w:val="21"/>
              </w:rPr>
            </w:pPr>
            <w:r>
              <w:rPr>
                <w:sz w:val="21"/>
              </w:rPr>
              <w:t>6063</w:t>
            </w:r>
          </w:p>
        </w:tc>
        <w:tc>
          <w:tcPr>
            <w:tcW w:w="535" w:type="pct"/>
            <w:vAlign w:val="center"/>
          </w:tcPr>
          <w:p>
            <w:pPr>
              <w:pStyle w:val="191"/>
              <w:rPr>
                <w:sz w:val="21"/>
              </w:rPr>
            </w:pPr>
            <w:r>
              <w:rPr>
                <w:sz w:val="21"/>
              </w:rPr>
              <w:t>T5</w:t>
            </w:r>
          </w:p>
        </w:tc>
        <w:tc>
          <w:tcPr>
            <w:tcW w:w="548" w:type="pct"/>
            <w:vAlign w:val="center"/>
          </w:tcPr>
          <w:p>
            <w:pPr>
              <w:pStyle w:val="191"/>
              <w:rPr>
                <w:sz w:val="21"/>
              </w:rPr>
            </w:pPr>
            <w:r>
              <w:rPr>
                <w:sz w:val="21"/>
              </w:rPr>
              <w:t>所有</w:t>
            </w:r>
          </w:p>
        </w:tc>
        <w:tc>
          <w:tcPr>
            <w:tcW w:w="704" w:type="pct"/>
            <w:vAlign w:val="center"/>
          </w:tcPr>
          <w:p>
            <w:pPr>
              <w:pStyle w:val="191"/>
              <w:rPr>
                <w:sz w:val="21"/>
              </w:rPr>
            </w:pPr>
            <w:r>
              <w:rPr>
                <w:sz w:val="21"/>
              </w:rPr>
              <w:t>90</w:t>
            </w:r>
          </w:p>
        </w:tc>
        <w:tc>
          <w:tcPr>
            <w:tcW w:w="392" w:type="pct"/>
            <w:vAlign w:val="center"/>
          </w:tcPr>
          <w:p>
            <w:pPr>
              <w:pStyle w:val="191"/>
              <w:rPr>
                <w:sz w:val="21"/>
              </w:rPr>
            </w:pPr>
            <w:r>
              <w:rPr>
                <w:sz w:val="21"/>
              </w:rPr>
              <w:t>55</w:t>
            </w:r>
          </w:p>
        </w:tc>
        <w:tc>
          <w:tcPr>
            <w:tcW w:w="626" w:type="pct"/>
            <w:vAlign w:val="center"/>
          </w:tcPr>
          <w:p>
            <w:pPr>
              <w:pStyle w:val="191"/>
              <w:rPr>
                <w:sz w:val="21"/>
              </w:rPr>
            </w:pPr>
            <w:r>
              <w:rPr>
                <w:sz w:val="21"/>
              </w:rPr>
              <w:t>185</w:t>
            </w:r>
          </w:p>
        </w:tc>
        <w:tc>
          <w:tcPr>
            <w:tcW w:w="862" w:type="pct"/>
            <w:vAlign w:val="center"/>
          </w:tcPr>
          <w:p>
            <w:pPr>
              <w:pStyle w:val="191"/>
              <w:rPr>
                <w:sz w:val="21"/>
              </w:rPr>
            </w:pPr>
            <w:r>
              <w:rPr>
                <w:sz w:val="21"/>
              </w:rPr>
              <w:t>60</w:t>
            </w:r>
          </w:p>
        </w:tc>
        <w:tc>
          <w:tcPr>
            <w:tcW w:w="698" w:type="pct"/>
            <w:vAlign w:val="center"/>
          </w:tcPr>
          <w:p>
            <w:pPr>
              <w:pStyle w:val="191"/>
              <w:rPr>
                <w:sz w:val="21"/>
              </w:rPr>
            </w:pPr>
            <w:r>
              <w:rPr>
                <w:sz w:val="21"/>
              </w:rPr>
              <w:t>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635" w:type="pct"/>
            <w:vMerge w:val="continue"/>
            <w:vAlign w:val="center"/>
          </w:tcPr>
          <w:p>
            <w:pPr>
              <w:pStyle w:val="191"/>
              <w:rPr>
                <w:sz w:val="21"/>
              </w:rPr>
            </w:pPr>
          </w:p>
        </w:tc>
        <w:tc>
          <w:tcPr>
            <w:tcW w:w="535" w:type="pct"/>
            <w:vAlign w:val="center"/>
          </w:tcPr>
          <w:p>
            <w:pPr>
              <w:pStyle w:val="191"/>
              <w:rPr>
                <w:sz w:val="21"/>
              </w:rPr>
            </w:pPr>
            <w:r>
              <w:rPr>
                <w:sz w:val="21"/>
              </w:rPr>
              <w:t>T6</w:t>
            </w:r>
          </w:p>
        </w:tc>
        <w:tc>
          <w:tcPr>
            <w:tcW w:w="548" w:type="pct"/>
            <w:vAlign w:val="center"/>
          </w:tcPr>
          <w:p>
            <w:pPr>
              <w:pStyle w:val="191"/>
              <w:rPr>
                <w:sz w:val="21"/>
              </w:rPr>
            </w:pPr>
            <w:r>
              <w:rPr>
                <w:sz w:val="21"/>
              </w:rPr>
              <w:t>所有</w:t>
            </w:r>
          </w:p>
        </w:tc>
        <w:tc>
          <w:tcPr>
            <w:tcW w:w="704" w:type="pct"/>
            <w:vAlign w:val="center"/>
          </w:tcPr>
          <w:p>
            <w:pPr>
              <w:pStyle w:val="191"/>
              <w:rPr>
                <w:sz w:val="21"/>
              </w:rPr>
            </w:pPr>
            <w:r>
              <w:rPr>
                <w:sz w:val="21"/>
              </w:rPr>
              <w:t>150</w:t>
            </w:r>
          </w:p>
        </w:tc>
        <w:tc>
          <w:tcPr>
            <w:tcW w:w="392" w:type="pct"/>
            <w:vAlign w:val="center"/>
          </w:tcPr>
          <w:p>
            <w:pPr>
              <w:pStyle w:val="191"/>
              <w:rPr>
                <w:sz w:val="21"/>
              </w:rPr>
            </w:pPr>
            <w:r>
              <w:rPr>
                <w:sz w:val="21"/>
              </w:rPr>
              <w:t>85</w:t>
            </w:r>
          </w:p>
        </w:tc>
        <w:tc>
          <w:tcPr>
            <w:tcW w:w="626" w:type="pct"/>
            <w:vAlign w:val="center"/>
          </w:tcPr>
          <w:p>
            <w:pPr>
              <w:pStyle w:val="191"/>
              <w:rPr>
                <w:sz w:val="21"/>
              </w:rPr>
            </w:pPr>
            <w:r>
              <w:rPr>
                <w:sz w:val="21"/>
              </w:rPr>
              <w:t>240</w:t>
            </w:r>
          </w:p>
        </w:tc>
        <w:tc>
          <w:tcPr>
            <w:tcW w:w="862" w:type="pct"/>
            <w:vAlign w:val="center"/>
          </w:tcPr>
          <w:p>
            <w:pPr>
              <w:pStyle w:val="191"/>
              <w:rPr>
                <w:sz w:val="21"/>
              </w:rPr>
            </w:pPr>
            <w:r>
              <w:rPr>
                <w:sz w:val="21"/>
              </w:rPr>
              <w:t>80</w:t>
            </w:r>
          </w:p>
        </w:tc>
        <w:tc>
          <w:tcPr>
            <w:tcW w:w="698" w:type="pct"/>
            <w:vAlign w:val="center"/>
          </w:tcPr>
          <w:p>
            <w:pPr>
              <w:pStyle w:val="191"/>
              <w:rPr>
                <w:sz w:val="21"/>
              </w:rPr>
            </w:pPr>
            <w:r>
              <w:rPr>
                <w:sz w:val="21"/>
              </w:rPr>
              <w:t>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2" w:hRule="atLeast"/>
        </w:trPr>
        <w:tc>
          <w:tcPr>
            <w:tcW w:w="635" w:type="pct"/>
            <w:vMerge w:val="restart"/>
            <w:vAlign w:val="center"/>
          </w:tcPr>
          <w:p>
            <w:pPr>
              <w:pStyle w:val="191"/>
              <w:rPr>
                <w:sz w:val="21"/>
              </w:rPr>
            </w:pPr>
            <w:r>
              <w:rPr>
                <w:sz w:val="21"/>
              </w:rPr>
              <w:t>6063A</w:t>
            </w:r>
          </w:p>
        </w:tc>
        <w:tc>
          <w:tcPr>
            <w:tcW w:w="535" w:type="pct"/>
            <w:vMerge w:val="restart"/>
            <w:vAlign w:val="center"/>
          </w:tcPr>
          <w:p>
            <w:pPr>
              <w:pStyle w:val="191"/>
              <w:rPr>
                <w:sz w:val="21"/>
              </w:rPr>
            </w:pPr>
            <w:r>
              <w:rPr>
                <w:sz w:val="21"/>
              </w:rPr>
              <w:t>T5</w:t>
            </w:r>
          </w:p>
        </w:tc>
        <w:tc>
          <w:tcPr>
            <w:tcW w:w="548" w:type="pct"/>
            <w:vAlign w:val="center"/>
          </w:tcPr>
          <w:p>
            <w:pPr>
              <w:pStyle w:val="191"/>
              <w:rPr>
                <w:sz w:val="21"/>
              </w:rPr>
            </w:pPr>
            <w:r>
              <w:rPr>
                <w:sz w:val="21"/>
              </w:rPr>
              <w:t>≤10</w:t>
            </w:r>
          </w:p>
        </w:tc>
        <w:tc>
          <w:tcPr>
            <w:tcW w:w="704" w:type="pct"/>
            <w:vAlign w:val="center"/>
          </w:tcPr>
          <w:p>
            <w:pPr>
              <w:pStyle w:val="191"/>
              <w:rPr>
                <w:sz w:val="21"/>
              </w:rPr>
            </w:pPr>
            <w:r>
              <w:rPr>
                <w:sz w:val="21"/>
              </w:rPr>
              <w:t>135</w:t>
            </w:r>
          </w:p>
        </w:tc>
        <w:tc>
          <w:tcPr>
            <w:tcW w:w="392" w:type="pct"/>
            <w:vAlign w:val="center"/>
          </w:tcPr>
          <w:p>
            <w:pPr>
              <w:pStyle w:val="191"/>
              <w:rPr>
                <w:sz w:val="21"/>
              </w:rPr>
            </w:pPr>
            <w:r>
              <w:rPr>
                <w:sz w:val="21"/>
              </w:rPr>
              <w:t>75</w:t>
            </w:r>
          </w:p>
        </w:tc>
        <w:tc>
          <w:tcPr>
            <w:tcW w:w="626" w:type="pct"/>
            <w:vAlign w:val="center"/>
          </w:tcPr>
          <w:p>
            <w:pPr>
              <w:pStyle w:val="191"/>
              <w:rPr>
                <w:sz w:val="21"/>
              </w:rPr>
            </w:pPr>
            <w:r>
              <w:rPr>
                <w:sz w:val="21"/>
              </w:rPr>
              <w:t>220</w:t>
            </w:r>
          </w:p>
        </w:tc>
        <w:tc>
          <w:tcPr>
            <w:tcW w:w="862" w:type="pct"/>
            <w:vAlign w:val="center"/>
          </w:tcPr>
          <w:p>
            <w:pPr>
              <w:pStyle w:val="191"/>
              <w:rPr>
                <w:sz w:val="21"/>
              </w:rPr>
            </w:pPr>
            <w:r>
              <w:rPr>
                <w:sz w:val="21"/>
              </w:rPr>
              <w:t>75</w:t>
            </w:r>
          </w:p>
        </w:tc>
        <w:tc>
          <w:tcPr>
            <w:tcW w:w="698" w:type="pct"/>
            <w:vAlign w:val="center"/>
          </w:tcPr>
          <w:p>
            <w:pPr>
              <w:pStyle w:val="191"/>
              <w:rPr>
                <w:sz w:val="21"/>
              </w:rPr>
            </w:pPr>
            <w:r>
              <w:rPr>
                <w:sz w:val="21"/>
              </w:rPr>
              <w:t>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635" w:type="pct"/>
            <w:vMerge w:val="continue"/>
            <w:vAlign w:val="center"/>
          </w:tcPr>
          <w:p>
            <w:pPr>
              <w:pStyle w:val="191"/>
              <w:rPr>
                <w:sz w:val="21"/>
              </w:rPr>
            </w:pPr>
          </w:p>
        </w:tc>
        <w:tc>
          <w:tcPr>
            <w:tcW w:w="535" w:type="pct"/>
            <w:vMerge w:val="continue"/>
            <w:vAlign w:val="center"/>
          </w:tcPr>
          <w:p>
            <w:pPr>
              <w:pStyle w:val="191"/>
              <w:rPr>
                <w:sz w:val="21"/>
              </w:rPr>
            </w:pPr>
          </w:p>
        </w:tc>
        <w:tc>
          <w:tcPr>
            <w:tcW w:w="548" w:type="pct"/>
            <w:vAlign w:val="center"/>
          </w:tcPr>
          <w:p>
            <w:pPr>
              <w:pStyle w:val="191"/>
              <w:rPr>
                <w:sz w:val="21"/>
              </w:rPr>
            </w:pPr>
            <w:r>
              <w:rPr>
                <w:sz w:val="21"/>
              </w:rPr>
              <w:t>＞10</w:t>
            </w:r>
          </w:p>
        </w:tc>
        <w:tc>
          <w:tcPr>
            <w:tcW w:w="704" w:type="pct"/>
            <w:vAlign w:val="center"/>
          </w:tcPr>
          <w:p>
            <w:pPr>
              <w:pStyle w:val="191"/>
              <w:rPr>
                <w:sz w:val="21"/>
              </w:rPr>
            </w:pPr>
            <w:r>
              <w:rPr>
                <w:sz w:val="21"/>
              </w:rPr>
              <w:t>125</w:t>
            </w:r>
          </w:p>
        </w:tc>
        <w:tc>
          <w:tcPr>
            <w:tcW w:w="392" w:type="pct"/>
            <w:vAlign w:val="center"/>
          </w:tcPr>
          <w:p>
            <w:pPr>
              <w:pStyle w:val="191"/>
              <w:rPr>
                <w:sz w:val="21"/>
              </w:rPr>
            </w:pPr>
            <w:r>
              <w:rPr>
                <w:sz w:val="21"/>
              </w:rPr>
              <w:t>70</w:t>
            </w:r>
          </w:p>
        </w:tc>
        <w:tc>
          <w:tcPr>
            <w:tcW w:w="626" w:type="pct"/>
            <w:vAlign w:val="center"/>
          </w:tcPr>
          <w:p>
            <w:pPr>
              <w:pStyle w:val="191"/>
              <w:rPr>
                <w:sz w:val="21"/>
              </w:rPr>
            </w:pPr>
            <w:r>
              <w:rPr>
                <w:sz w:val="21"/>
              </w:rPr>
              <w:t>220</w:t>
            </w:r>
          </w:p>
        </w:tc>
        <w:tc>
          <w:tcPr>
            <w:tcW w:w="862" w:type="pct"/>
            <w:vAlign w:val="center"/>
          </w:tcPr>
          <w:p>
            <w:pPr>
              <w:pStyle w:val="191"/>
              <w:rPr>
                <w:sz w:val="21"/>
              </w:rPr>
            </w:pPr>
            <w:r>
              <w:rPr>
                <w:sz w:val="21"/>
              </w:rPr>
              <w:t>70</w:t>
            </w:r>
          </w:p>
        </w:tc>
        <w:tc>
          <w:tcPr>
            <w:tcW w:w="698" w:type="pct"/>
            <w:vAlign w:val="center"/>
          </w:tcPr>
          <w:p>
            <w:pPr>
              <w:pStyle w:val="191"/>
              <w:rPr>
                <w:sz w:val="21"/>
              </w:rPr>
            </w:pPr>
            <w:r>
              <w:rPr>
                <w:sz w:val="21"/>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635" w:type="pct"/>
            <w:vMerge w:val="continue"/>
            <w:vAlign w:val="center"/>
          </w:tcPr>
          <w:p>
            <w:pPr>
              <w:pStyle w:val="191"/>
              <w:rPr>
                <w:sz w:val="21"/>
              </w:rPr>
            </w:pPr>
          </w:p>
        </w:tc>
        <w:tc>
          <w:tcPr>
            <w:tcW w:w="535" w:type="pct"/>
            <w:vMerge w:val="restart"/>
            <w:vAlign w:val="center"/>
          </w:tcPr>
          <w:p>
            <w:pPr>
              <w:pStyle w:val="191"/>
              <w:rPr>
                <w:sz w:val="21"/>
              </w:rPr>
            </w:pPr>
            <w:r>
              <w:rPr>
                <w:sz w:val="21"/>
              </w:rPr>
              <w:t>T6</w:t>
            </w:r>
          </w:p>
        </w:tc>
        <w:tc>
          <w:tcPr>
            <w:tcW w:w="548" w:type="pct"/>
            <w:vAlign w:val="center"/>
          </w:tcPr>
          <w:p>
            <w:pPr>
              <w:pStyle w:val="191"/>
              <w:rPr>
                <w:sz w:val="21"/>
              </w:rPr>
            </w:pPr>
            <w:r>
              <w:rPr>
                <w:sz w:val="21"/>
              </w:rPr>
              <w:t>≤10</w:t>
            </w:r>
          </w:p>
        </w:tc>
        <w:tc>
          <w:tcPr>
            <w:tcW w:w="704" w:type="pct"/>
            <w:vAlign w:val="center"/>
          </w:tcPr>
          <w:p>
            <w:pPr>
              <w:pStyle w:val="191"/>
              <w:rPr>
                <w:sz w:val="21"/>
              </w:rPr>
            </w:pPr>
            <w:r>
              <w:rPr>
                <w:sz w:val="21"/>
              </w:rPr>
              <w:t>160</w:t>
            </w:r>
          </w:p>
        </w:tc>
        <w:tc>
          <w:tcPr>
            <w:tcW w:w="392" w:type="pct"/>
            <w:vAlign w:val="center"/>
          </w:tcPr>
          <w:p>
            <w:pPr>
              <w:pStyle w:val="191"/>
              <w:rPr>
                <w:sz w:val="21"/>
              </w:rPr>
            </w:pPr>
            <w:r>
              <w:rPr>
                <w:sz w:val="21"/>
              </w:rPr>
              <w:t>90</w:t>
            </w:r>
          </w:p>
        </w:tc>
        <w:tc>
          <w:tcPr>
            <w:tcW w:w="626" w:type="pct"/>
            <w:vAlign w:val="center"/>
          </w:tcPr>
          <w:p>
            <w:pPr>
              <w:pStyle w:val="191"/>
              <w:rPr>
                <w:sz w:val="21"/>
              </w:rPr>
            </w:pPr>
            <w:r>
              <w:rPr>
                <w:sz w:val="21"/>
              </w:rPr>
              <w:t>255</w:t>
            </w:r>
          </w:p>
        </w:tc>
        <w:tc>
          <w:tcPr>
            <w:tcW w:w="862" w:type="pct"/>
            <w:vAlign w:val="center"/>
          </w:tcPr>
          <w:p>
            <w:pPr>
              <w:pStyle w:val="191"/>
              <w:rPr>
                <w:sz w:val="21"/>
              </w:rPr>
            </w:pPr>
            <w:r>
              <w:rPr>
                <w:sz w:val="21"/>
              </w:rPr>
              <w:t>90</w:t>
            </w:r>
          </w:p>
        </w:tc>
        <w:tc>
          <w:tcPr>
            <w:tcW w:w="698" w:type="pct"/>
            <w:vAlign w:val="center"/>
          </w:tcPr>
          <w:p>
            <w:pPr>
              <w:pStyle w:val="191"/>
              <w:rPr>
                <w:sz w:val="21"/>
              </w:rPr>
            </w:pPr>
            <w:r>
              <w:rPr>
                <w:sz w:val="21"/>
              </w:rPr>
              <w:t>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635" w:type="pct"/>
            <w:vMerge w:val="continue"/>
            <w:vAlign w:val="center"/>
          </w:tcPr>
          <w:p>
            <w:pPr>
              <w:pStyle w:val="191"/>
              <w:rPr>
                <w:sz w:val="21"/>
              </w:rPr>
            </w:pPr>
          </w:p>
        </w:tc>
        <w:tc>
          <w:tcPr>
            <w:tcW w:w="535" w:type="pct"/>
            <w:vMerge w:val="continue"/>
            <w:vAlign w:val="center"/>
          </w:tcPr>
          <w:p>
            <w:pPr>
              <w:pStyle w:val="191"/>
              <w:rPr>
                <w:sz w:val="21"/>
              </w:rPr>
            </w:pPr>
          </w:p>
        </w:tc>
        <w:tc>
          <w:tcPr>
            <w:tcW w:w="548" w:type="pct"/>
            <w:vAlign w:val="center"/>
          </w:tcPr>
          <w:p>
            <w:pPr>
              <w:pStyle w:val="191"/>
              <w:rPr>
                <w:sz w:val="21"/>
              </w:rPr>
            </w:pPr>
            <w:r>
              <w:rPr>
                <w:sz w:val="21"/>
              </w:rPr>
              <w:t>＞10</w:t>
            </w:r>
          </w:p>
        </w:tc>
        <w:tc>
          <w:tcPr>
            <w:tcW w:w="704" w:type="pct"/>
            <w:vAlign w:val="center"/>
          </w:tcPr>
          <w:p>
            <w:pPr>
              <w:pStyle w:val="191"/>
              <w:rPr>
                <w:sz w:val="21"/>
              </w:rPr>
            </w:pPr>
            <w:r>
              <w:rPr>
                <w:sz w:val="21"/>
              </w:rPr>
              <w:t>150</w:t>
            </w:r>
          </w:p>
        </w:tc>
        <w:tc>
          <w:tcPr>
            <w:tcW w:w="392" w:type="pct"/>
            <w:vAlign w:val="center"/>
          </w:tcPr>
          <w:p>
            <w:pPr>
              <w:pStyle w:val="191"/>
              <w:rPr>
                <w:sz w:val="21"/>
              </w:rPr>
            </w:pPr>
            <w:r>
              <w:rPr>
                <w:sz w:val="21"/>
              </w:rPr>
              <w:t>85</w:t>
            </w:r>
          </w:p>
        </w:tc>
        <w:tc>
          <w:tcPr>
            <w:tcW w:w="626" w:type="pct"/>
            <w:vAlign w:val="center"/>
          </w:tcPr>
          <w:p>
            <w:pPr>
              <w:pStyle w:val="191"/>
              <w:rPr>
                <w:sz w:val="21"/>
              </w:rPr>
            </w:pPr>
            <w:r>
              <w:rPr>
                <w:sz w:val="21"/>
              </w:rPr>
              <w:t>255</w:t>
            </w:r>
          </w:p>
        </w:tc>
        <w:tc>
          <w:tcPr>
            <w:tcW w:w="862" w:type="pct"/>
            <w:vAlign w:val="center"/>
          </w:tcPr>
          <w:p>
            <w:pPr>
              <w:pStyle w:val="191"/>
              <w:rPr>
                <w:sz w:val="21"/>
              </w:rPr>
            </w:pPr>
            <w:r>
              <w:rPr>
                <w:sz w:val="21"/>
              </w:rPr>
              <w:t>85</w:t>
            </w:r>
          </w:p>
        </w:tc>
        <w:tc>
          <w:tcPr>
            <w:tcW w:w="698" w:type="pct"/>
            <w:vAlign w:val="center"/>
          </w:tcPr>
          <w:p>
            <w:pPr>
              <w:pStyle w:val="191"/>
              <w:rPr>
                <w:sz w:val="21"/>
              </w:rPr>
            </w:pPr>
            <w:r>
              <w:rPr>
                <w:sz w:val="21"/>
              </w:rPr>
              <w:t>50</w:t>
            </w:r>
          </w:p>
        </w:tc>
      </w:tr>
    </w:tbl>
    <w:p>
      <w:pPr>
        <w:pStyle w:val="189"/>
        <w:ind w:left="240" w:leftChars="100"/>
        <w:rPr>
          <w:rFonts w:ascii="Times New Roman" w:hAnsi="Times New Roman" w:eastAsia="仿宋"/>
          <w:b/>
          <w:sz w:val="21"/>
        </w:rPr>
      </w:pPr>
      <w:r>
        <w:rPr>
          <w:rFonts w:hint="eastAsia" w:ascii="Times New Roman" w:hAnsi="Times New Roman" w:eastAsia="仿宋"/>
          <w:sz w:val="21"/>
        </w:rPr>
        <w:t>条文说明：</w:t>
      </w:r>
      <w:r>
        <w:rPr>
          <w:rFonts w:hint="eastAsia" w:ascii="Times New Roman" w:hAnsi="Times New Roman" w:eastAsia="仿宋" w:cs="仿宋_GB2312"/>
          <w:sz w:val="21"/>
        </w:rPr>
        <w:t>本条参照《铝合金结构设计规范》</w:t>
      </w:r>
      <w:r>
        <w:rPr>
          <w:rFonts w:ascii="Times New Roman" w:hAnsi="Times New Roman" w:eastAsia="仿宋" w:cs="仿宋_GB2312"/>
          <w:sz w:val="21"/>
        </w:rPr>
        <w:t>GB50429-2017</w:t>
      </w:r>
      <w:r>
        <w:rPr>
          <w:rFonts w:hint="eastAsia" w:ascii="Times New Roman" w:hAnsi="Times New Roman" w:eastAsia="仿宋" w:cs="仿宋_GB2312"/>
          <w:sz w:val="21"/>
        </w:rPr>
        <w:t>表</w:t>
      </w:r>
      <w:r>
        <w:rPr>
          <w:rFonts w:ascii="Times New Roman" w:hAnsi="Times New Roman" w:eastAsia="仿宋" w:cs="仿宋_GB2312"/>
          <w:sz w:val="21"/>
        </w:rPr>
        <w:t>4.3.4</w:t>
      </w:r>
      <w:r>
        <w:rPr>
          <w:rFonts w:hint="eastAsia" w:ascii="Times New Roman" w:hAnsi="Times New Roman" w:eastAsia="仿宋" w:cs="仿宋_GB2312"/>
          <w:sz w:val="21"/>
        </w:rPr>
        <w:t>的相关规定制定，保留了幕墙常用的</w:t>
      </w:r>
      <w:r>
        <w:rPr>
          <w:rFonts w:ascii="Times New Roman" w:hAnsi="Times New Roman" w:eastAsia="仿宋" w:cs="仿宋_GB2312"/>
          <w:sz w:val="21"/>
        </w:rPr>
        <w:t>6061</w:t>
      </w:r>
      <w:r>
        <w:rPr>
          <w:rFonts w:hint="eastAsia" w:ascii="Times New Roman" w:hAnsi="Times New Roman" w:eastAsia="仿宋" w:cs="仿宋_GB2312"/>
          <w:sz w:val="21"/>
        </w:rPr>
        <w:t>、</w:t>
      </w:r>
      <w:r>
        <w:rPr>
          <w:rFonts w:ascii="Times New Roman" w:hAnsi="Times New Roman" w:eastAsia="仿宋" w:cs="仿宋_GB2312"/>
          <w:sz w:val="21"/>
        </w:rPr>
        <w:t>6063</w:t>
      </w:r>
      <w:r>
        <w:rPr>
          <w:rFonts w:hint="eastAsia" w:ascii="Times New Roman" w:hAnsi="Times New Roman" w:eastAsia="仿宋" w:cs="仿宋_GB2312"/>
          <w:sz w:val="21"/>
        </w:rPr>
        <w:t>和</w:t>
      </w:r>
      <w:r>
        <w:rPr>
          <w:rFonts w:ascii="Times New Roman" w:hAnsi="Times New Roman" w:eastAsia="仿宋" w:cs="仿宋_GB2312"/>
          <w:sz w:val="21"/>
        </w:rPr>
        <w:t>6063A</w:t>
      </w:r>
      <w:r>
        <w:rPr>
          <w:rFonts w:hint="eastAsia" w:ascii="Times New Roman" w:hAnsi="Times New Roman" w:eastAsia="仿宋" w:cs="仿宋_GB2312"/>
          <w:sz w:val="21"/>
        </w:rPr>
        <w:t>铝合金牌号。</w:t>
      </w:r>
    </w:p>
    <w:p>
      <w:pPr>
        <w:pStyle w:val="189"/>
      </w:pPr>
      <w:r>
        <w:rPr>
          <w:rFonts w:hint="eastAsia"/>
          <w:b/>
        </w:rPr>
        <w:t>3</w:t>
      </w:r>
      <w:r>
        <w:rPr>
          <w:b/>
        </w:rPr>
        <w:t>.2.2</w:t>
      </w:r>
      <w:r>
        <w:rPr>
          <w:rFonts w:hint="eastAsia"/>
          <w:b/>
        </w:rPr>
        <w:t xml:space="preserve"> </w:t>
      </w:r>
      <w:r>
        <w:t>热轧钢材强度设计值应按《钢结构设计标准》GB50017规定采用。冷成型薄壁型钢强度设计值应按《冷弯薄壁型钢结构技术规范》GB50018规定采用。</w:t>
      </w:r>
      <w:r>
        <w:rPr>
          <w:rFonts w:hint="eastAsia"/>
        </w:rPr>
        <w:t>Q</w:t>
      </w:r>
      <w:r>
        <w:t>235</w:t>
      </w:r>
      <w:r>
        <w:rPr>
          <w:rFonts w:hint="eastAsia"/>
        </w:rPr>
        <w:t>、Q</w:t>
      </w:r>
      <w:r>
        <w:t>355</w:t>
      </w:r>
      <w:r>
        <w:rPr>
          <w:rFonts w:hint="eastAsia"/>
        </w:rPr>
        <w:t>、Q</w:t>
      </w:r>
      <w:r>
        <w:t>390</w:t>
      </w:r>
      <w:r>
        <w:rPr>
          <w:rFonts w:hint="eastAsia"/>
        </w:rPr>
        <w:t>、Q</w:t>
      </w:r>
      <w:r>
        <w:t>420</w:t>
      </w:r>
      <w:r>
        <w:rPr>
          <w:rFonts w:hint="eastAsia"/>
        </w:rPr>
        <w:t>、Q</w:t>
      </w:r>
      <w:r>
        <w:t>460</w:t>
      </w:r>
      <w:r>
        <w:rPr>
          <w:rFonts w:hint="eastAsia"/>
        </w:rPr>
        <w:t>钢的设计用强度指标见表3</w:t>
      </w:r>
      <w:r>
        <w:t>.2.2</w:t>
      </w:r>
      <w:r>
        <w:rPr>
          <w:rFonts w:hint="eastAsia"/>
        </w:rPr>
        <w:t>。</w:t>
      </w:r>
    </w:p>
    <w:p>
      <w:pPr>
        <w:pStyle w:val="186"/>
      </w:pPr>
      <w:r>
        <w:rPr>
          <w:snapToGrid w:val="0"/>
        </w:rPr>
        <w:t>表</w:t>
      </w:r>
      <w:r>
        <w:rPr>
          <w:rFonts w:hint="eastAsia"/>
          <w:snapToGrid w:val="0"/>
        </w:rPr>
        <w:t>3</w:t>
      </w:r>
      <w:r>
        <w:rPr>
          <w:snapToGrid w:val="0"/>
        </w:rPr>
        <w:t xml:space="preserve">.2.2 </w:t>
      </w:r>
      <w:r>
        <w:rPr>
          <w:rFonts w:hint="eastAsia"/>
        </w:rPr>
        <w:t>钢材的设计用</w:t>
      </w:r>
      <w:r>
        <w:rPr>
          <w:rFonts w:hint="eastAsia"/>
          <w:snapToGrid w:val="0"/>
        </w:rPr>
        <w:t>强</w:t>
      </w:r>
      <w:r>
        <w:rPr>
          <w:snapToGrid w:val="0"/>
        </w:rPr>
        <w:t>度</w:t>
      </w:r>
      <w:r>
        <w:rPr>
          <w:rFonts w:hint="eastAsia"/>
          <w:snapToGrid w:val="0"/>
        </w:rPr>
        <w:t>指标</w:t>
      </w:r>
      <w:r>
        <w:rPr>
          <w:snapToGrid w:val="0"/>
        </w:rPr>
        <w:t xml:space="preserve"> (N/mm²)</w:t>
      </w:r>
    </w:p>
    <w:tbl>
      <w:tblPr>
        <w:tblStyle w:val="37"/>
        <w:tblW w:w="4996" w:type="pct"/>
        <w:tblInd w:w="0" w:type="dxa"/>
        <w:tblLayout w:type="fixed"/>
        <w:tblCellMar>
          <w:top w:w="0" w:type="dxa"/>
          <w:left w:w="108" w:type="dxa"/>
          <w:bottom w:w="0" w:type="dxa"/>
          <w:right w:w="108" w:type="dxa"/>
        </w:tblCellMar>
      </w:tblPr>
      <w:tblGrid>
        <w:gridCol w:w="1522"/>
        <w:gridCol w:w="1095"/>
        <w:gridCol w:w="1553"/>
        <w:gridCol w:w="1014"/>
        <w:gridCol w:w="1014"/>
        <w:gridCol w:w="1171"/>
        <w:gridCol w:w="614"/>
        <w:gridCol w:w="1298"/>
      </w:tblGrid>
      <w:tr>
        <w:tblPrEx>
          <w:tblCellMar>
            <w:top w:w="0" w:type="dxa"/>
            <w:left w:w="108" w:type="dxa"/>
            <w:bottom w:w="0" w:type="dxa"/>
            <w:right w:w="108" w:type="dxa"/>
          </w:tblCellMar>
        </w:tblPrEx>
        <w:trPr>
          <w:trHeight w:val="365" w:hRule="atLeast"/>
        </w:trPr>
        <w:tc>
          <w:tcPr>
            <w:tcW w:w="14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钢材牌号</w:t>
            </w:r>
          </w:p>
        </w:tc>
        <w:tc>
          <w:tcPr>
            <w:tcW w:w="8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厚度或直径（</w:t>
            </w:r>
            <w:r>
              <w:rPr>
                <w:rFonts w:ascii="Times New Roman" w:hAnsi="Times New Roman"/>
                <w:sz w:val="21"/>
                <w:szCs w:val="21"/>
                <w:lang w:bidi="ar"/>
              </w:rPr>
              <w:t>mm</w:t>
            </w:r>
            <w:r>
              <w:rPr>
                <w:rFonts w:hint="eastAsia" w:ascii="Times New Roman" w:hAnsi="Times New Roman"/>
                <w:sz w:val="21"/>
                <w:szCs w:val="21"/>
                <w:lang w:eastAsia="zh-CN" w:bidi="ar"/>
              </w:rPr>
              <w:t>）</w:t>
            </w:r>
          </w:p>
        </w:tc>
        <w:tc>
          <w:tcPr>
            <w:tcW w:w="109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钢材强度</w:t>
            </w:r>
          </w:p>
        </w:tc>
        <w:tc>
          <w:tcPr>
            <w:tcW w:w="166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钢材强度设计值</w:t>
            </w:r>
          </w:p>
        </w:tc>
      </w:tr>
      <w:tr>
        <w:tblPrEx>
          <w:tblCellMar>
            <w:top w:w="0" w:type="dxa"/>
            <w:left w:w="108" w:type="dxa"/>
            <w:bottom w:w="0" w:type="dxa"/>
            <w:right w:w="108" w:type="dxa"/>
          </w:tblCellMar>
        </w:tblPrEx>
        <w:trPr>
          <w:trHeight w:val="368" w:hRule="atLeast"/>
        </w:trPr>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钢种</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牌号</w:t>
            </w:r>
          </w:p>
        </w:tc>
        <w:tc>
          <w:tcPr>
            <w:tcW w:w="8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抗拉强度最小值</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屈服强度最小值</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抗拉、抗压和抗弯</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抗剪</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端面承压（刨平顶紧</w:t>
            </w:r>
            <w:r>
              <w:rPr>
                <w:rFonts w:hint="eastAsia" w:ascii="Times New Roman" w:hAnsi="Times New Roman"/>
                <w:sz w:val="21"/>
                <w:szCs w:val="21"/>
                <w:lang w:eastAsia="zh-CN" w:bidi="ar"/>
              </w:rPr>
              <w:t>）</w:t>
            </w:r>
          </w:p>
        </w:tc>
      </w:tr>
      <w:tr>
        <w:tblPrEx>
          <w:tblCellMar>
            <w:top w:w="0" w:type="dxa"/>
            <w:left w:w="108" w:type="dxa"/>
            <w:bottom w:w="0" w:type="dxa"/>
            <w:right w:w="108" w:type="dxa"/>
          </w:tblCellMar>
        </w:tblPrEx>
        <w:trPr>
          <w:trHeight w:val="380" w:hRule="atLeast"/>
        </w:trPr>
        <w:tc>
          <w:tcPr>
            <w:tcW w:w="8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碳素结构钢（</w:t>
            </w:r>
            <w:r>
              <w:rPr>
                <w:rFonts w:ascii="Times New Roman" w:hAnsi="Times New Roman"/>
                <w:sz w:val="21"/>
                <w:szCs w:val="21"/>
                <w:lang w:bidi="ar"/>
              </w:rPr>
              <w:t>GB/T700</w:t>
            </w:r>
            <w:r>
              <w:rPr>
                <w:rFonts w:hint="eastAsia" w:ascii="Times New Roman" w:hAnsi="Times New Roman"/>
                <w:sz w:val="21"/>
                <w:szCs w:val="21"/>
                <w:lang w:eastAsia="zh-CN" w:bidi="ar"/>
              </w:rPr>
              <w:t>）</w:t>
            </w:r>
          </w:p>
        </w:tc>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Q235</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16</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370</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235</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215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125</w:t>
            </w:r>
          </w:p>
        </w:tc>
        <w:tc>
          <w:tcPr>
            <w:tcW w:w="6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320</w:t>
            </w:r>
          </w:p>
        </w:tc>
      </w:tr>
      <w:tr>
        <w:tblPrEx>
          <w:tblCellMar>
            <w:top w:w="0" w:type="dxa"/>
            <w:left w:w="108" w:type="dxa"/>
            <w:bottom w:w="0" w:type="dxa"/>
            <w:right w:w="108" w:type="dxa"/>
          </w:tblCellMar>
        </w:tblPrEx>
        <w:trPr>
          <w:trHeight w:val="37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16</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40</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225</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205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120</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9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40</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100</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215</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200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115</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360" w:hRule="atLeast"/>
        </w:trPr>
        <w:tc>
          <w:tcPr>
            <w:tcW w:w="8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低合金高强度结构钢（</w:t>
            </w:r>
            <w:r>
              <w:rPr>
                <w:rFonts w:ascii="Times New Roman" w:hAnsi="Times New Roman"/>
                <w:sz w:val="21"/>
                <w:szCs w:val="21"/>
                <w:lang w:bidi="ar"/>
              </w:rPr>
              <w:t>GB/T1591</w:t>
            </w:r>
            <w:r>
              <w:rPr>
                <w:rFonts w:hint="eastAsia" w:ascii="Times New Roman" w:hAnsi="Times New Roman"/>
                <w:sz w:val="21"/>
                <w:szCs w:val="21"/>
                <w:lang w:eastAsia="zh-CN" w:bidi="ar"/>
              </w:rPr>
              <w:t>）</w:t>
            </w:r>
          </w:p>
        </w:tc>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Q355</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16</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470</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355</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305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175</w:t>
            </w:r>
          </w:p>
        </w:tc>
        <w:tc>
          <w:tcPr>
            <w:tcW w:w="6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400</w:t>
            </w:r>
          </w:p>
        </w:tc>
      </w:tr>
      <w:tr>
        <w:tblPrEx>
          <w:tblCellMar>
            <w:top w:w="0" w:type="dxa"/>
            <w:left w:w="108" w:type="dxa"/>
            <w:bottom w:w="0" w:type="dxa"/>
            <w:right w:w="108" w:type="dxa"/>
          </w:tblCellMar>
        </w:tblPrEx>
        <w:trPr>
          <w:trHeight w:val="37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16</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40</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345</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295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170</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37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40</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63</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335</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290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165</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37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63</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80</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325</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280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160</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36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80</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100</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315</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270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155</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36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Q390</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16</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490</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390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345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200</w:t>
            </w:r>
          </w:p>
        </w:tc>
        <w:tc>
          <w:tcPr>
            <w:tcW w:w="6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415</w:t>
            </w:r>
          </w:p>
        </w:tc>
      </w:tr>
      <w:tr>
        <w:tblPrEx>
          <w:tblCellMar>
            <w:top w:w="0" w:type="dxa"/>
            <w:left w:w="108" w:type="dxa"/>
            <w:bottom w:w="0" w:type="dxa"/>
            <w:right w:w="108" w:type="dxa"/>
          </w:tblCellMar>
        </w:tblPrEx>
        <w:trPr>
          <w:trHeight w:val="36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16</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40</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380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330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190</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37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40</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63</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360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310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180</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37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63</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100</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340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295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170</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37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Q420</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16</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520</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420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375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215</w:t>
            </w:r>
          </w:p>
        </w:tc>
        <w:tc>
          <w:tcPr>
            <w:tcW w:w="6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440</w:t>
            </w:r>
          </w:p>
        </w:tc>
      </w:tr>
      <w:tr>
        <w:tblPrEx>
          <w:tblCellMar>
            <w:top w:w="0" w:type="dxa"/>
            <w:left w:w="108" w:type="dxa"/>
            <w:bottom w:w="0" w:type="dxa"/>
            <w:right w:w="108" w:type="dxa"/>
          </w:tblCellMar>
        </w:tblPrEx>
        <w:trPr>
          <w:trHeight w:val="36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16</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40</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410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355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205</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37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40</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63</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390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320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185</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36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63</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100</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370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305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175</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38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Q460</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16</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550</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460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410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235</w:t>
            </w:r>
          </w:p>
        </w:tc>
        <w:tc>
          <w:tcPr>
            <w:tcW w:w="6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470</w:t>
            </w:r>
          </w:p>
        </w:tc>
      </w:tr>
      <w:tr>
        <w:tblPrEx>
          <w:tblCellMar>
            <w:top w:w="0" w:type="dxa"/>
            <w:left w:w="108" w:type="dxa"/>
            <w:bottom w:w="0" w:type="dxa"/>
            <w:right w:w="108" w:type="dxa"/>
          </w:tblCellMar>
        </w:tblPrEx>
        <w:trPr>
          <w:trHeight w:val="36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16</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40</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450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390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225</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360"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40</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63</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430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355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205</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365" w:hRule="atLeast"/>
        </w:trPr>
        <w:tc>
          <w:tcPr>
            <w:tcW w:w="8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w:t>
            </w:r>
            <w:r>
              <w:rPr>
                <w:rFonts w:ascii="Times New Roman" w:hAnsi="Times New Roman"/>
                <w:sz w:val="21"/>
                <w:szCs w:val="21"/>
                <w:lang w:bidi="ar"/>
              </w:rPr>
              <w:t>63</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100</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410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340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195</w:t>
            </w: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671" w:hRule="atLeast"/>
        </w:trPr>
        <w:tc>
          <w:tcPr>
            <w:tcW w:w="820" w:type="pct"/>
            <w:vMerge w:val="restart"/>
            <w:tcBorders>
              <w:top w:val="single" w:color="000000" w:sz="4" w:space="0"/>
              <w:left w:val="single" w:color="000000" w:sz="4" w:space="0"/>
              <w:right w:val="single" w:color="000000" w:sz="4" w:space="0"/>
            </w:tcBorders>
            <w:shd w:val="clear" w:color="auto" w:fill="auto"/>
            <w:vAlign w:val="center"/>
          </w:tcPr>
          <w:p>
            <w:pPr>
              <w:jc w:val="center"/>
              <w:rPr>
                <w:rFonts w:ascii="Times New Roman" w:hAnsi="Times New Roman"/>
                <w:sz w:val="21"/>
                <w:szCs w:val="21"/>
              </w:rPr>
            </w:pPr>
            <w:r>
              <w:rPr>
                <w:rFonts w:hint="eastAsia" w:ascii="Times New Roman" w:hAnsi="Times New Roman"/>
                <w:sz w:val="21"/>
                <w:szCs w:val="21"/>
                <w:lang w:bidi="ar"/>
              </w:rPr>
              <w:t>建筑结构用钢板（</w:t>
            </w:r>
            <w:r>
              <w:rPr>
                <w:rFonts w:ascii="Times New Roman" w:hAnsi="Times New Roman"/>
                <w:sz w:val="21"/>
                <w:szCs w:val="21"/>
                <w:lang w:bidi="ar"/>
              </w:rPr>
              <w:t>GB/T19879</w:t>
            </w:r>
            <w:r>
              <w:rPr>
                <w:rFonts w:hint="eastAsia" w:ascii="Times New Roman" w:hAnsi="Times New Roman"/>
                <w:sz w:val="21"/>
                <w:szCs w:val="21"/>
                <w:lang w:eastAsia="zh-CN" w:bidi="ar"/>
              </w:rPr>
              <w:t>）</w:t>
            </w:r>
          </w:p>
        </w:tc>
        <w:tc>
          <w:tcPr>
            <w:tcW w:w="590" w:type="pct"/>
            <w:vMerge w:val="restart"/>
            <w:tcBorders>
              <w:top w:val="single" w:color="000000" w:sz="4" w:space="0"/>
              <w:left w:val="single" w:color="000000" w:sz="4" w:space="0"/>
              <w:right w:val="single" w:color="000000" w:sz="4" w:space="0"/>
            </w:tcBorders>
            <w:shd w:val="clear" w:color="auto" w:fill="auto"/>
            <w:vAlign w:val="center"/>
          </w:tcPr>
          <w:p>
            <w:pPr>
              <w:jc w:val="center"/>
              <w:rPr>
                <w:rFonts w:ascii="Times New Roman" w:hAnsi="Times New Roman"/>
                <w:sz w:val="21"/>
                <w:szCs w:val="21"/>
              </w:rPr>
            </w:pPr>
            <w:r>
              <w:rPr>
                <w:rFonts w:ascii="Times New Roman" w:hAnsi="Times New Roman"/>
                <w:sz w:val="21"/>
                <w:szCs w:val="21"/>
                <w:lang w:bidi="ar"/>
              </w:rPr>
              <w:t>Q345GJ</w:t>
            </w:r>
          </w:p>
        </w:tc>
        <w:tc>
          <w:tcPr>
            <w:tcW w:w="837" w:type="pct"/>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Times New Roman" w:hAnsi="Times New Roman"/>
                <w:sz w:val="21"/>
                <w:szCs w:val="21"/>
                <w:lang w:bidi="ar"/>
              </w:rPr>
            </w:pPr>
            <w:r>
              <w:rPr>
                <w:rFonts w:hint="eastAsia" w:ascii="Times New Roman" w:hAnsi="Times New Roman"/>
                <w:sz w:val="21"/>
                <w:szCs w:val="21"/>
                <w:lang w:bidi="ar"/>
              </w:rPr>
              <w:t>＞</w:t>
            </w:r>
            <w:r>
              <w:rPr>
                <w:rFonts w:ascii="Times New Roman" w:hAnsi="Times New Roman"/>
                <w:sz w:val="21"/>
                <w:szCs w:val="21"/>
                <w:lang w:bidi="ar"/>
              </w:rPr>
              <w:t>16</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50</w:t>
            </w:r>
          </w:p>
        </w:tc>
        <w:tc>
          <w:tcPr>
            <w:tcW w:w="546" w:type="pct"/>
            <w:vMerge w:val="restart"/>
            <w:tcBorders>
              <w:top w:val="single" w:color="000000" w:sz="4" w:space="0"/>
              <w:left w:val="single" w:color="000000" w:sz="4" w:space="0"/>
              <w:right w:val="single" w:color="000000" w:sz="4" w:space="0"/>
            </w:tcBorders>
            <w:shd w:val="clear" w:color="auto" w:fill="auto"/>
            <w:vAlign w:val="center"/>
          </w:tcPr>
          <w:p>
            <w:pPr>
              <w:jc w:val="center"/>
              <w:rPr>
                <w:rFonts w:ascii="Times New Roman" w:hAnsi="Times New Roman"/>
                <w:sz w:val="21"/>
                <w:szCs w:val="21"/>
              </w:rPr>
            </w:pPr>
            <w:r>
              <w:rPr>
                <w:rFonts w:ascii="Times New Roman" w:hAnsi="Times New Roman"/>
                <w:sz w:val="21"/>
                <w:szCs w:val="21"/>
              </w:rPr>
              <w:t>490</w:t>
            </w:r>
          </w:p>
        </w:tc>
        <w:tc>
          <w:tcPr>
            <w:tcW w:w="546" w:type="pct"/>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Times New Roman" w:hAnsi="Times New Roman"/>
                <w:sz w:val="21"/>
                <w:szCs w:val="21"/>
                <w:lang w:bidi="ar"/>
              </w:rPr>
            </w:pPr>
            <w:r>
              <w:rPr>
                <w:rFonts w:ascii="Times New Roman" w:hAnsi="Times New Roman"/>
                <w:sz w:val="21"/>
                <w:szCs w:val="21"/>
                <w:lang w:bidi="ar"/>
              </w:rPr>
              <w:t>345</w:t>
            </w:r>
          </w:p>
        </w:tc>
        <w:tc>
          <w:tcPr>
            <w:tcW w:w="631" w:type="pct"/>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Times New Roman" w:hAnsi="Times New Roman"/>
                <w:sz w:val="21"/>
                <w:szCs w:val="21"/>
                <w:lang w:bidi="ar"/>
              </w:rPr>
            </w:pPr>
            <w:r>
              <w:rPr>
                <w:rFonts w:ascii="Times New Roman" w:hAnsi="Times New Roman"/>
                <w:sz w:val="21"/>
                <w:szCs w:val="21"/>
                <w:lang w:bidi="ar"/>
              </w:rPr>
              <w:t>325</w:t>
            </w:r>
          </w:p>
        </w:tc>
        <w:tc>
          <w:tcPr>
            <w:tcW w:w="331" w:type="pct"/>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Times New Roman" w:hAnsi="Times New Roman"/>
                <w:sz w:val="21"/>
                <w:szCs w:val="21"/>
                <w:lang w:bidi="ar"/>
              </w:rPr>
            </w:pPr>
            <w:r>
              <w:rPr>
                <w:rFonts w:ascii="Times New Roman" w:hAnsi="Times New Roman"/>
                <w:sz w:val="21"/>
                <w:szCs w:val="21"/>
                <w:lang w:bidi="ar"/>
              </w:rPr>
              <w:t>190</w:t>
            </w:r>
          </w:p>
        </w:tc>
        <w:tc>
          <w:tcPr>
            <w:tcW w:w="699" w:type="pct"/>
            <w:vMerge w:val="restart"/>
            <w:tcBorders>
              <w:top w:val="single" w:color="000000" w:sz="4" w:space="0"/>
              <w:left w:val="single" w:color="000000" w:sz="4" w:space="0"/>
              <w:right w:val="single" w:color="000000" w:sz="4" w:space="0"/>
            </w:tcBorders>
            <w:shd w:val="clear" w:color="auto" w:fill="auto"/>
            <w:vAlign w:val="center"/>
          </w:tcPr>
          <w:p>
            <w:pPr>
              <w:jc w:val="center"/>
              <w:rPr>
                <w:rFonts w:ascii="Times New Roman" w:hAnsi="Times New Roman"/>
                <w:sz w:val="21"/>
                <w:szCs w:val="21"/>
              </w:rPr>
            </w:pPr>
            <w:r>
              <w:rPr>
                <w:rFonts w:ascii="Times New Roman" w:hAnsi="Times New Roman"/>
                <w:sz w:val="21"/>
                <w:szCs w:val="21"/>
              </w:rPr>
              <w:t>415</w:t>
            </w:r>
          </w:p>
        </w:tc>
      </w:tr>
      <w:tr>
        <w:tblPrEx>
          <w:tblCellMar>
            <w:top w:w="0" w:type="dxa"/>
            <w:left w:w="108" w:type="dxa"/>
            <w:bottom w:w="0" w:type="dxa"/>
            <w:right w:w="108" w:type="dxa"/>
          </w:tblCellMar>
        </w:tblPrEx>
        <w:trPr>
          <w:trHeight w:val="563" w:hRule="atLeast"/>
        </w:trPr>
        <w:tc>
          <w:tcPr>
            <w:tcW w:w="820"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lang w:bidi="ar"/>
              </w:rPr>
            </w:pPr>
          </w:p>
        </w:tc>
        <w:tc>
          <w:tcPr>
            <w:tcW w:w="590"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lang w:bidi="ar"/>
              </w:rPr>
            </w:pPr>
          </w:p>
        </w:tc>
        <w:tc>
          <w:tcPr>
            <w:tcW w:w="837" w:type="pct"/>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lang w:bidi="ar"/>
              </w:rPr>
            </w:pPr>
            <w:r>
              <w:rPr>
                <w:rFonts w:hint="eastAsia" w:ascii="Times New Roman" w:hAnsi="Times New Roman"/>
                <w:sz w:val="21"/>
                <w:szCs w:val="21"/>
                <w:lang w:bidi="ar"/>
              </w:rPr>
              <w:t>＞</w:t>
            </w:r>
            <w:r>
              <w:rPr>
                <w:rFonts w:ascii="Times New Roman" w:hAnsi="Times New Roman"/>
                <w:sz w:val="21"/>
                <w:szCs w:val="21"/>
                <w:lang w:bidi="ar"/>
              </w:rPr>
              <w:t>50</w:t>
            </w:r>
            <w:r>
              <w:rPr>
                <w:rFonts w:hint="eastAsia" w:ascii="Times New Roman" w:hAnsi="Times New Roman"/>
                <w:sz w:val="21"/>
                <w:szCs w:val="21"/>
                <w:lang w:bidi="ar"/>
              </w:rPr>
              <w:t>，</w:t>
            </w:r>
            <w:r>
              <w:rPr>
                <w:rFonts w:hint="eastAsia" w:ascii="Times New Roman" w:hAnsi="Times New Roman"/>
                <w:sz w:val="21"/>
                <w:szCs w:val="21"/>
                <w:lang w:bidi="ar"/>
              </w:rPr>
              <w:t>≤</w:t>
            </w:r>
            <w:r>
              <w:rPr>
                <w:rFonts w:ascii="Times New Roman" w:hAnsi="Times New Roman"/>
                <w:sz w:val="21"/>
                <w:szCs w:val="21"/>
                <w:lang w:bidi="ar"/>
              </w:rPr>
              <w:t>100</w:t>
            </w:r>
          </w:p>
        </w:tc>
        <w:tc>
          <w:tcPr>
            <w:tcW w:w="546"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546" w:type="pct"/>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lang w:bidi="ar"/>
              </w:rPr>
            </w:pPr>
            <w:r>
              <w:rPr>
                <w:rFonts w:ascii="Times New Roman" w:hAnsi="Times New Roman"/>
                <w:sz w:val="21"/>
                <w:szCs w:val="21"/>
                <w:lang w:bidi="ar"/>
              </w:rPr>
              <w:t>335</w:t>
            </w:r>
          </w:p>
        </w:tc>
        <w:tc>
          <w:tcPr>
            <w:tcW w:w="631" w:type="pct"/>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lang w:bidi="ar"/>
              </w:rPr>
            </w:pPr>
            <w:r>
              <w:rPr>
                <w:rFonts w:ascii="Times New Roman" w:hAnsi="Times New Roman"/>
                <w:sz w:val="21"/>
                <w:szCs w:val="21"/>
                <w:lang w:bidi="ar"/>
              </w:rPr>
              <w:t>300</w:t>
            </w:r>
          </w:p>
        </w:tc>
        <w:tc>
          <w:tcPr>
            <w:tcW w:w="331" w:type="pct"/>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lang w:bidi="ar"/>
              </w:rPr>
            </w:pPr>
            <w:r>
              <w:rPr>
                <w:rFonts w:ascii="Times New Roman" w:hAnsi="Times New Roman"/>
                <w:sz w:val="21"/>
                <w:szCs w:val="21"/>
                <w:lang w:bidi="ar"/>
              </w:rPr>
              <w:t>175</w:t>
            </w:r>
          </w:p>
        </w:tc>
        <w:tc>
          <w:tcPr>
            <w:tcW w:w="699"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p>
        </w:tc>
      </w:tr>
    </w:tbl>
    <w:p>
      <w:pPr>
        <w:pStyle w:val="189"/>
        <w:ind w:left="240" w:leftChars="100"/>
        <w:rPr>
          <w:rFonts w:ascii="Times New Roman" w:hAnsi="Times New Roman" w:eastAsia="仿宋"/>
          <w:sz w:val="21"/>
        </w:rPr>
      </w:pPr>
      <w:r>
        <w:rPr>
          <w:rFonts w:hint="eastAsia" w:ascii="Times New Roman" w:hAnsi="Times New Roman" w:eastAsia="仿宋"/>
          <w:sz w:val="21"/>
        </w:rPr>
        <w:t>条文说明：本条参照《钢结构通用规范》</w:t>
      </w:r>
      <w:r>
        <w:rPr>
          <w:rFonts w:ascii="Times New Roman" w:hAnsi="Times New Roman" w:eastAsia="仿宋"/>
          <w:sz w:val="21"/>
        </w:rPr>
        <w:t xml:space="preserve">GB 55006-2021 </w:t>
      </w:r>
      <w:r>
        <w:rPr>
          <w:rFonts w:hint="eastAsia" w:ascii="Times New Roman" w:hAnsi="Times New Roman" w:eastAsia="仿宋"/>
          <w:sz w:val="21"/>
        </w:rPr>
        <w:t>条文说明</w:t>
      </w:r>
      <w:r>
        <w:rPr>
          <w:rFonts w:ascii="Times New Roman" w:hAnsi="Times New Roman" w:eastAsia="仿宋"/>
          <w:sz w:val="21"/>
        </w:rPr>
        <w:t>3.0.3</w:t>
      </w:r>
      <w:r>
        <w:rPr>
          <w:rFonts w:hint="eastAsia" w:ascii="Times New Roman" w:hAnsi="Times New Roman" w:eastAsia="仿宋"/>
          <w:sz w:val="21"/>
        </w:rPr>
        <w:t>表</w:t>
      </w:r>
      <w:r>
        <w:rPr>
          <w:rFonts w:ascii="Times New Roman" w:hAnsi="Times New Roman" w:eastAsia="仿宋"/>
          <w:sz w:val="21"/>
        </w:rPr>
        <w:t>2</w:t>
      </w:r>
      <w:r>
        <w:rPr>
          <w:rFonts w:hint="eastAsia" w:ascii="Times New Roman" w:hAnsi="Times New Roman" w:eastAsia="仿宋"/>
          <w:sz w:val="21"/>
        </w:rPr>
        <w:t>的相关规定制定。</w:t>
      </w:r>
    </w:p>
    <w:p>
      <w:pPr>
        <w:pStyle w:val="189"/>
        <w:rPr>
          <w:highlight w:val="cyan"/>
        </w:rPr>
      </w:pPr>
    </w:p>
    <w:p>
      <w:pPr>
        <w:pStyle w:val="189"/>
      </w:pPr>
      <w:r>
        <w:rPr>
          <w:rFonts w:hint="eastAsia"/>
          <w:b/>
        </w:rPr>
        <w:t>3</w:t>
      </w:r>
      <w:r>
        <w:rPr>
          <w:b/>
        </w:rPr>
        <w:t>.2.3</w:t>
      </w:r>
      <w:r>
        <w:rPr>
          <w:rFonts w:hint="eastAsia"/>
          <w:b/>
        </w:rPr>
        <w:t xml:space="preserve"> </w:t>
      </w:r>
      <w:r>
        <w:t>不锈钢型材、棒材及板材的抗拉、抗压强度设计值可按其屈服强度标准值σ</w:t>
      </w:r>
      <w:r>
        <w:rPr>
          <w:vertAlign w:val="subscript"/>
        </w:rPr>
        <w:t>p0.2</w:t>
      </w:r>
      <w:r>
        <w:t>除以系数1.15采用，抗剪强度设计值可按抗拉强度设计值的0.58倍采用。</w:t>
      </w:r>
      <w:r>
        <w:rPr>
          <w:rFonts w:hint="eastAsia"/>
        </w:rPr>
        <w:t>不锈钢材料</w:t>
      </w:r>
      <w:r>
        <w:t>的强度</w:t>
      </w:r>
      <w:r>
        <w:rPr>
          <w:rFonts w:hint="eastAsia"/>
        </w:rPr>
        <w:t>指标应</w:t>
      </w:r>
      <w:r>
        <w:t>按表</w:t>
      </w:r>
      <w:r>
        <w:rPr>
          <w:rFonts w:hint="eastAsia"/>
        </w:rPr>
        <w:t>3</w:t>
      </w:r>
      <w:r>
        <w:t>.2.3采用。</w:t>
      </w:r>
    </w:p>
    <w:p>
      <w:pPr>
        <w:pStyle w:val="186"/>
      </w:pPr>
      <w:r>
        <w:rPr>
          <w:snapToGrid w:val="0"/>
        </w:rPr>
        <w:t>表</w:t>
      </w:r>
      <w:r>
        <w:rPr>
          <w:rFonts w:hint="eastAsia"/>
          <w:snapToGrid w:val="0"/>
        </w:rPr>
        <w:t>3</w:t>
      </w:r>
      <w:r>
        <w:rPr>
          <w:snapToGrid w:val="0"/>
        </w:rPr>
        <w:t xml:space="preserve">.2.3 </w:t>
      </w:r>
      <w:r>
        <w:rPr>
          <w:rFonts w:hint="eastAsia"/>
        </w:rPr>
        <w:t>不锈钢材料</w:t>
      </w:r>
      <w:r>
        <w:rPr>
          <w:rFonts w:hint="eastAsia"/>
          <w:snapToGrid w:val="0"/>
        </w:rPr>
        <w:t>强</w:t>
      </w:r>
      <w:r>
        <w:rPr>
          <w:snapToGrid w:val="0"/>
        </w:rPr>
        <w:t>度</w:t>
      </w:r>
      <w:r>
        <w:rPr>
          <w:rFonts w:hint="eastAsia"/>
          <w:snapToGrid w:val="0"/>
        </w:rPr>
        <w:t>指标</w:t>
      </w:r>
      <w:r>
        <w:rPr>
          <w:snapToGrid w:val="0"/>
        </w:rPr>
        <w:t xml:space="preserve"> (N/mm²)</w:t>
      </w:r>
    </w:p>
    <w:tbl>
      <w:tblPr>
        <w:tblStyle w:val="37"/>
        <w:tblW w:w="0" w:type="auto"/>
        <w:tblInd w:w="0" w:type="dxa"/>
        <w:tblLayout w:type="autofit"/>
        <w:tblCellMar>
          <w:top w:w="0" w:type="dxa"/>
          <w:left w:w="108" w:type="dxa"/>
          <w:bottom w:w="0" w:type="dxa"/>
          <w:right w:w="108" w:type="dxa"/>
        </w:tblCellMar>
      </w:tblPr>
      <w:tblGrid>
        <w:gridCol w:w="653"/>
        <w:gridCol w:w="1080"/>
        <w:gridCol w:w="1815"/>
        <w:gridCol w:w="871"/>
        <w:gridCol w:w="871"/>
        <w:gridCol w:w="1240"/>
        <w:gridCol w:w="720"/>
        <w:gridCol w:w="871"/>
        <w:gridCol w:w="1165"/>
      </w:tblGrid>
      <w:tr>
        <w:tblPrEx>
          <w:tblCellMar>
            <w:top w:w="0" w:type="dxa"/>
            <w:left w:w="108" w:type="dxa"/>
            <w:bottom w:w="0" w:type="dxa"/>
            <w:right w:w="108" w:type="dxa"/>
          </w:tblCellMar>
        </w:tblPrEx>
        <w:trPr>
          <w:trHeight w:val="288"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种类</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统一数字代号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牌号</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不锈钢强度标准值</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不锈钢强度设计值</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纵向</w:t>
            </w:r>
            <w:r>
              <w:rPr>
                <w:rFonts w:ascii="Times New Roman" w:hAnsi="Times New Roman"/>
                <w:sz w:val="21"/>
                <w:szCs w:val="21"/>
                <w:lang w:bidi="ar"/>
              </w:rPr>
              <w:t>/</w:t>
            </w:r>
            <w:r>
              <w:rPr>
                <w:rFonts w:hint="eastAsia" w:ascii="Times New Roman" w:hAnsi="Times New Roman"/>
                <w:sz w:val="21"/>
                <w:szCs w:val="21"/>
                <w:lang w:bidi="ar"/>
              </w:rPr>
              <w:t>横向应变强化系数</w:t>
            </w:r>
          </w:p>
        </w:tc>
      </w:tr>
      <w:tr>
        <w:tblPrEx>
          <w:tblCellMar>
            <w:top w:w="0" w:type="dxa"/>
            <w:left w:w="108" w:type="dxa"/>
            <w:bottom w:w="0" w:type="dxa"/>
            <w:right w:w="108" w:type="dxa"/>
          </w:tblCellMar>
        </w:tblPrEx>
        <w:trPr>
          <w:trHeight w:val="57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名义屈服强度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抗拉极限强度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抗拉、抗压和抗弯强度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抗剪强度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端面承压强度</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r>
      <w:tr>
        <w:tblPrEx>
          <w:tblCellMar>
            <w:top w:w="0" w:type="dxa"/>
            <w:left w:w="108" w:type="dxa"/>
            <w:bottom w:w="0" w:type="dxa"/>
            <w:right w:w="108" w:type="dxa"/>
          </w:tblCellMar>
        </w:tblPrEx>
        <w:trPr>
          <w:trHeight w:val="288"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奥氏体型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S30408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06Cr19Nil0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515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6/8</w:t>
            </w:r>
          </w:p>
        </w:tc>
      </w:tr>
      <w:tr>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S30403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022Cr19Ni10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6/8</w:t>
            </w:r>
          </w:p>
        </w:tc>
      </w:tr>
      <w:tr>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S31608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06Cr17Ni12Mo2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515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7/9</w:t>
            </w:r>
          </w:p>
        </w:tc>
      </w:tr>
      <w:tr>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sz w:val="21"/>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S31603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022Cr17Ni12Mo2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7/9</w:t>
            </w:r>
          </w:p>
        </w:tc>
      </w:tr>
      <w:tr>
        <w:tblPrEx>
          <w:tblCellMar>
            <w:top w:w="0" w:type="dxa"/>
            <w:left w:w="108" w:type="dxa"/>
            <w:bottom w:w="0" w:type="dxa"/>
            <w:right w:w="108" w:type="dxa"/>
          </w:tblCellMar>
        </w:tblPrEx>
        <w:trPr>
          <w:trHeight w:val="288"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hint="eastAsia" w:ascii="Times New Roman" w:hAnsi="Times New Roman"/>
                <w:sz w:val="21"/>
                <w:szCs w:val="21"/>
                <w:lang w:bidi="ar"/>
              </w:rPr>
              <w:t>双相型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S22053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022Cr23Ni5Mo3N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620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540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5/5</w:t>
            </w:r>
          </w:p>
        </w:tc>
      </w:tr>
      <w:tr>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S22253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022Cr22Ni5Mo3N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620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385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540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sz w:val="21"/>
                <w:szCs w:val="21"/>
              </w:rPr>
            </w:pPr>
            <w:r>
              <w:rPr>
                <w:rFonts w:ascii="Times New Roman" w:hAnsi="Times New Roman"/>
                <w:sz w:val="21"/>
                <w:szCs w:val="21"/>
                <w:lang w:bidi="ar"/>
              </w:rPr>
              <w:t>5/5</w:t>
            </w:r>
          </w:p>
        </w:tc>
      </w:tr>
    </w:tbl>
    <w:p>
      <w:pPr>
        <w:ind w:firstLine="480" w:firstLineChars="200"/>
        <w:rPr>
          <w:rFonts w:ascii="Times New Roman" w:hAnsi="Times New Roman" w:eastAsia="仿宋_GB2312" w:cs="仿宋_GB2312"/>
        </w:rPr>
      </w:pPr>
    </w:p>
    <w:p>
      <w:pPr>
        <w:pStyle w:val="189"/>
      </w:pPr>
      <w:r>
        <w:rPr>
          <w:rFonts w:hint="eastAsia"/>
          <w:b/>
        </w:rPr>
        <w:t>3</w:t>
      </w:r>
      <w:r>
        <w:rPr>
          <w:b/>
        </w:rPr>
        <w:t>.2.4</w:t>
      </w:r>
      <w:r>
        <w:rPr>
          <w:rFonts w:hint="eastAsia"/>
          <w:b/>
        </w:rPr>
        <w:t xml:space="preserve"> </w:t>
      </w:r>
      <w:r>
        <w:t>短期荷载作用下玻璃的强度设计值应按表</w:t>
      </w:r>
      <w:r>
        <w:rPr>
          <w:rFonts w:hint="eastAsia"/>
        </w:rPr>
        <w:t>3</w:t>
      </w:r>
      <w:r>
        <w:t>.2.4-1的规定采用，长期荷载作用下玻璃的强度设计值应按表</w:t>
      </w:r>
      <w:r>
        <w:rPr>
          <w:rFonts w:hint="eastAsia"/>
        </w:rPr>
        <w:t>3</w:t>
      </w:r>
      <w:r>
        <w:t>.2.4-2的规定采用。</w:t>
      </w:r>
    </w:p>
    <w:p>
      <w:pPr>
        <w:pStyle w:val="186"/>
      </w:pPr>
      <w:r>
        <w:t>表3.2.4-1 短期荷载作用下玻璃的强度设计值（N/mm</w:t>
      </w:r>
      <w:r>
        <w:rPr>
          <w:vertAlign w:val="superscript"/>
        </w:rPr>
        <w:t>2</w:t>
      </w:r>
      <w:r>
        <w:t>）</w:t>
      </w:r>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021"/>
        <w:gridCol w:w="2208"/>
        <w:gridCol w:w="1686"/>
        <w:gridCol w:w="1686"/>
        <w:gridCol w:w="168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0" w:hRule="atLeast"/>
          <w:tblHeader/>
          <w:jc w:val="center"/>
        </w:trPr>
        <w:tc>
          <w:tcPr>
            <w:tcW w:w="1088" w:type="pct"/>
            <w:vAlign w:val="center"/>
          </w:tcPr>
          <w:p>
            <w:pPr>
              <w:pStyle w:val="191"/>
              <w:rPr>
                <w:sz w:val="21"/>
              </w:rPr>
            </w:pPr>
            <w:r>
              <w:rPr>
                <w:sz w:val="21"/>
              </w:rPr>
              <w:t>种类</w:t>
            </w:r>
          </w:p>
        </w:tc>
        <w:tc>
          <w:tcPr>
            <w:tcW w:w="1189" w:type="pct"/>
            <w:vAlign w:val="center"/>
          </w:tcPr>
          <w:p>
            <w:pPr>
              <w:pStyle w:val="191"/>
              <w:rPr>
                <w:sz w:val="21"/>
              </w:rPr>
            </w:pPr>
            <w:r>
              <w:rPr>
                <w:sz w:val="21"/>
              </w:rPr>
              <w:t>厚度（mm）</w:t>
            </w:r>
          </w:p>
        </w:tc>
        <w:tc>
          <w:tcPr>
            <w:tcW w:w="908" w:type="pct"/>
            <w:vAlign w:val="center"/>
          </w:tcPr>
          <w:p>
            <w:pPr>
              <w:pStyle w:val="191"/>
              <w:rPr>
                <w:sz w:val="21"/>
              </w:rPr>
            </w:pPr>
            <w:r>
              <w:rPr>
                <w:sz w:val="21"/>
              </w:rPr>
              <w:t>中部强度</w:t>
            </w:r>
          </w:p>
        </w:tc>
        <w:tc>
          <w:tcPr>
            <w:tcW w:w="908" w:type="pct"/>
            <w:vAlign w:val="center"/>
          </w:tcPr>
          <w:p>
            <w:pPr>
              <w:pStyle w:val="191"/>
              <w:rPr>
                <w:sz w:val="21"/>
              </w:rPr>
            </w:pPr>
            <w:r>
              <w:rPr>
                <w:sz w:val="21"/>
              </w:rPr>
              <w:t>边缘强度</w:t>
            </w:r>
          </w:p>
        </w:tc>
        <w:tc>
          <w:tcPr>
            <w:tcW w:w="908" w:type="pct"/>
            <w:vAlign w:val="center"/>
          </w:tcPr>
          <w:p>
            <w:pPr>
              <w:pStyle w:val="191"/>
              <w:rPr>
                <w:sz w:val="21"/>
              </w:rPr>
            </w:pPr>
            <w:r>
              <w:rPr>
                <w:sz w:val="21"/>
              </w:rPr>
              <w:t>端面强度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88" w:type="pct"/>
            <w:vMerge w:val="restart"/>
            <w:vAlign w:val="center"/>
          </w:tcPr>
          <w:p>
            <w:pPr>
              <w:pStyle w:val="191"/>
              <w:rPr>
                <w:sz w:val="21"/>
              </w:rPr>
            </w:pPr>
            <w:r>
              <w:rPr>
                <w:sz w:val="21"/>
              </w:rPr>
              <w:t>平板玻璃</w:t>
            </w:r>
          </w:p>
        </w:tc>
        <w:tc>
          <w:tcPr>
            <w:tcW w:w="1189" w:type="pct"/>
            <w:vAlign w:val="center"/>
          </w:tcPr>
          <w:p>
            <w:pPr>
              <w:pStyle w:val="191"/>
              <w:rPr>
                <w:sz w:val="21"/>
              </w:rPr>
            </w:pPr>
            <w:r>
              <w:rPr>
                <w:sz w:val="21"/>
              </w:rPr>
              <w:t>5～12</w:t>
            </w:r>
          </w:p>
        </w:tc>
        <w:tc>
          <w:tcPr>
            <w:tcW w:w="908" w:type="pct"/>
            <w:vAlign w:val="center"/>
          </w:tcPr>
          <w:p>
            <w:pPr>
              <w:pStyle w:val="191"/>
              <w:rPr>
                <w:sz w:val="21"/>
              </w:rPr>
            </w:pPr>
            <w:r>
              <w:rPr>
                <w:sz w:val="21"/>
              </w:rPr>
              <w:t>28</w:t>
            </w:r>
          </w:p>
        </w:tc>
        <w:tc>
          <w:tcPr>
            <w:tcW w:w="908" w:type="pct"/>
            <w:vAlign w:val="center"/>
          </w:tcPr>
          <w:p>
            <w:pPr>
              <w:pStyle w:val="191"/>
              <w:rPr>
                <w:sz w:val="21"/>
              </w:rPr>
            </w:pPr>
            <w:r>
              <w:rPr>
                <w:sz w:val="21"/>
              </w:rPr>
              <w:t>22</w:t>
            </w:r>
          </w:p>
        </w:tc>
        <w:tc>
          <w:tcPr>
            <w:tcW w:w="908" w:type="pct"/>
            <w:vAlign w:val="center"/>
          </w:tcPr>
          <w:p>
            <w:pPr>
              <w:pStyle w:val="191"/>
              <w:rPr>
                <w:sz w:val="21"/>
              </w:rPr>
            </w:pPr>
            <w:r>
              <w:rPr>
                <w:sz w:val="21"/>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88" w:type="pct"/>
            <w:vMerge w:val="continue"/>
            <w:vAlign w:val="center"/>
          </w:tcPr>
          <w:p>
            <w:pPr>
              <w:pStyle w:val="191"/>
              <w:rPr>
                <w:sz w:val="21"/>
              </w:rPr>
            </w:pPr>
          </w:p>
        </w:tc>
        <w:tc>
          <w:tcPr>
            <w:tcW w:w="1189" w:type="pct"/>
            <w:vAlign w:val="center"/>
          </w:tcPr>
          <w:p>
            <w:pPr>
              <w:pStyle w:val="191"/>
              <w:rPr>
                <w:sz w:val="21"/>
              </w:rPr>
            </w:pPr>
            <w:r>
              <w:rPr>
                <w:sz w:val="21"/>
              </w:rPr>
              <w:t>15～19</w:t>
            </w:r>
          </w:p>
        </w:tc>
        <w:tc>
          <w:tcPr>
            <w:tcW w:w="908" w:type="pct"/>
            <w:vAlign w:val="center"/>
          </w:tcPr>
          <w:p>
            <w:pPr>
              <w:pStyle w:val="191"/>
              <w:rPr>
                <w:sz w:val="21"/>
              </w:rPr>
            </w:pPr>
            <w:r>
              <w:rPr>
                <w:sz w:val="21"/>
              </w:rPr>
              <w:t>24</w:t>
            </w:r>
          </w:p>
        </w:tc>
        <w:tc>
          <w:tcPr>
            <w:tcW w:w="908" w:type="pct"/>
            <w:vAlign w:val="center"/>
          </w:tcPr>
          <w:p>
            <w:pPr>
              <w:pStyle w:val="191"/>
              <w:rPr>
                <w:sz w:val="21"/>
              </w:rPr>
            </w:pPr>
            <w:r>
              <w:rPr>
                <w:sz w:val="21"/>
              </w:rPr>
              <w:t>19</w:t>
            </w:r>
          </w:p>
        </w:tc>
        <w:tc>
          <w:tcPr>
            <w:tcW w:w="908" w:type="pct"/>
            <w:vAlign w:val="center"/>
          </w:tcPr>
          <w:p>
            <w:pPr>
              <w:pStyle w:val="191"/>
              <w:rPr>
                <w:sz w:val="21"/>
              </w:rPr>
            </w:pPr>
            <w:r>
              <w:rPr>
                <w:sz w:val="21"/>
              </w:rPr>
              <w:t>17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88" w:type="pct"/>
            <w:vMerge w:val="continue"/>
            <w:vAlign w:val="center"/>
          </w:tcPr>
          <w:p>
            <w:pPr>
              <w:pStyle w:val="191"/>
              <w:rPr>
                <w:sz w:val="21"/>
              </w:rPr>
            </w:pPr>
          </w:p>
        </w:tc>
        <w:tc>
          <w:tcPr>
            <w:tcW w:w="1189" w:type="pct"/>
            <w:vAlign w:val="center"/>
          </w:tcPr>
          <w:p>
            <w:pPr>
              <w:pStyle w:val="191"/>
              <w:rPr>
                <w:sz w:val="21"/>
              </w:rPr>
            </w:pPr>
            <w:r>
              <w:rPr>
                <w:sz w:val="21"/>
              </w:rPr>
              <w:t>22~25</w:t>
            </w:r>
          </w:p>
        </w:tc>
        <w:tc>
          <w:tcPr>
            <w:tcW w:w="908" w:type="pct"/>
            <w:vAlign w:val="center"/>
          </w:tcPr>
          <w:p>
            <w:pPr>
              <w:pStyle w:val="191"/>
              <w:rPr>
                <w:sz w:val="21"/>
              </w:rPr>
            </w:pPr>
            <w:r>
              <w:rPr>
                <w:sz w:val="21"/>
              </w:rPr>
              <w:t>20</w:t>
            </w:r>
          </w:p>
        </w:tc>
        <w:tc>
          <w:tcPr>
            <w:tcW w:w="908" w:type="pct"/>
            <w:vAlign w:val="center"/>
          </w:tcPr>
          <w:p>
            <w:pPr>
              <w:pStyle w:val="191"/>
              <w:rPr>
                <w:sz w:val="21"/>
              </w:rPr>
            </w:pPr>
            <w:r>
              <w:rPr>
                <w:sz w:val="21"/>
              </w:rPr>
              <w:t>16</w:t>
            </w:r>
          </w:p>
        </w:tc>
        <w:tc>
          <w:tcPr>
            <w:tcW w:w="908" w:type="pct"/>
            <w:vAlign w:val="center"/>
          </w:tcPr>
          <w:p>
            <w:pPr>
              <w:pStyle w:val="191"/>
              <w:rPr>
                <w:sz w:val="21"/>
              </w:rPr>
            </w:pPr>
            <w:r>
              <w:rPr>
                <w:sz w:val="21"/>
              </w:rPr>
              <w:t>14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88" w:type="pct"/>
            <w:vMerge w:val="restart"/>
            <w:vAlign w:val="center"/>
          </w:tcPr>
          <w:p>
            <w:pPr>
              <w:pStyle w:val="191"/>
              <w:rPr>
                <w:sz w:val="21"/>
              </w:rPr>
            </w:pPr>
            <w:r>
              <w:rPr>
                <w:sz w:val="21"/>
              </w:rPr>
              <w:t>半钢化玻璃</w:t>
            </w:r>
          </w:p>
        </w:tc>
        <w:tc>
          <w:tcPr>
            <w:tcW w:w="1189" w:type="pct"/>
            <w:vAlign w:val="center"/>
          </w:tcPr>
          <w:p>
            <w:pPr>
              <w:pStyle w:val="191"/>
              <w:rPr>
                <w:sz w:val="21"/>
              </w:rPr>
            </w:pPr>
            <w:r>
              <w:rPr>
                <w:sz w:val="21"/>
              </w:rPr>
              <w:t>5～12</w:t>
            </w:r>
          </w:p>
        </w:tc>
        <w:tc>
          <w:tcPr>
            <w:tcW w:w="908" w:type="pct"/>
            <w:vAlign w:val="center"/>
          </w:tcPr>
          <w:p>
            <w:pPr>
              <w:pStyle w:val="191"/>
              <w:rPr>
                <w:sz w:val="21"/>
              </w:rPr>
            </w:pPr>
            <w:r>
              <w:rPr>
                <w:sz w:val="21"/>
              </w:rPr>
              <w:t>56</w:t>
            </w:r>
          </w:p>
        </w:tc>
        <w:tc>
          <w:tcPr>
            <w:tcW w:w="908" w:type="pct"/>
            <w:vAlign w:val="center"/>
          </w:tcPr>
          <w:p>
            <w:pPr>
              <w:pStyle w:val="191"/>
              <w:rPr>
                <w:sz w:val="21"/>
              </w:rPr>
            </w:pPr>
            <w:r>
              <w:rPr>
                <w:sz w:val="21"/>
              </w:rPr>
              <w:t>44</w:t>
            </w:r>
          </w:p>
        </w:tc>
        <w:tc>
          <w:tcPr>
            <w:tcW w:w="908" w:type="pct"/>
            <w:vAlign w:val="center"/>
          </w:tcPr>
          <w:p>
            <w:pPr>
              <w:pStyle w:val="191"/>
              <w:rPr>
                <w:sz w:val="21"/>
              </w:rPr>
            </w:pPr>
            <w:r>
              <w:rPr>
                <w:sz w:val="21"/>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88" w:type="pct"/>
            <w:vMerge w:val="continue"/>
            <w:vAlign w:val="center"/>
          </w:tcPr>
          <w:p>
            <w:pPr>
              <w:pStyle w:val="191"/>
              <w:rPr>
                <w:sz w:val="21"/>
              </w:rPr>
            </w:pPr>
          </w:p>
        </w:tc>
        <w:tc>
          <w:tcPr>
            <w:tcW w:w="1189" w:type="pct"/>
            <w:vAlign w:val="center"/>
          </w:tcPr>
          <w:p>
            <w:pPr>
              <w:pStyle w:val="191"/>
              <w:rPr>
                <w:sz w:val="21"/>
              </w:rPr>
            </w:pPr>
            <w:r>
              <w:rPr>
                <w:sz w:val="21"/>
              </w:rPr>
              <w:t>15～19</w:t>
            </w:r>
          </w:p>
        </w:tc>
        <w:tc>
          <w:tcPr>
            <w:tcW w:w="908" w:type="pct"/>
            <w:vAlign w:val="center"/>
          </w:tcPr>
          <w:p>
            <w:pPr>
              <w:pStyle w:val="191"/>
              <w:rPr>
                <w:sz w:val="21"/>
              </w:rPr>
            </w:pPr>
            <w:r>
              <w:rPr>
                <w:sz w:val="21"/>
              </w:rPr>
              <w:t>48</w:t>
            </w:r>
          </w:p>
        </w:tc>
        <w:tc>
          <w:tcPr>
            <w:tcW w:w="908" w:type="pct"/>
            <w:vAlign w:val="center"/>
          </w:tcPr>
          <w:p>
            <w:pPr>
              <w:pStyle w:val="191"/>
              <w:rPr>
                <w:sz w:val="21"/>
              </w:rPr>
            </w:pPr>
            <w:r>
              <w:rPr>
                <w:sz w:val="21"/>
              </w:rPr>
              <w:t>38</w:t>
            </w:r>
          </w:p>
        </w:tc>
        <w:tc>
          <w:tcPr>
            <w:tcW w:w="908" w:type="pct"/>
            <w:vAlign w:val="center"/>
          </w:tcPr>
          <w:p>
            <w:pPr>
              <w:pStyle w:val="191"/>
              <w:rPr>
                <w:sz w:val="21"/>
              </w:rPr>
            </w:pPr>
            <w:r>
              <w:rPr>
                <w:sz w:val="21"/>
              </w:rPr>
              <w:t>34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88" w:type="pct"/>
            <w:vMerge w:val="continue"/>
            <w:vAlign w:val="center"/>
          </w:tcPr>
          <w:p>
            <w:pPr>
              <w:pStyle w:val="191"/>
              <w:rPr>
                <w:sz w:val="21"/>
              </w:rPr>
            </w:pPr>
          </w:p>
        </w:tc>
        <w:tc>
          <w:tcPr>
            <w:tcW w:w="1189" w:type="pct"/>
            <w:vAlign w:val="center"/>
          </w:tcPr>
          <w:p>
            <w:pPr>
              <w:pStyle w:val="191"/>
              <w:rPr>
                <w:sz w:val="21"/>
              </w:rPr>
            </w:pPr>
            <w:r>
              <w:rPr>
                <w:sz w:val="21"/>
              </w:rPr>
              <w:t>22~25</w:t>
            </w:r>
          </w:p>
        </w:tc>
        <w:tc>
          <w:tcPr>
            <w:tcW w:w="908" w:type="pct"/>
            <w:vAlign w:val="center"/>
          </w:tcPr>
          <w:p>
            <w:pPr>
              <w:pStyle w:val="191"/>
              <w:rPr>
                <w:sz w:val="21"/>
              </w:rPr>
            </w:pPr>
            <w:r>
              <w:rPr>
                <w:sz w:val="21"/>
              </w:rPr>
              <w:t>40</w:t>
            </w:r>
          </w:p>
        </w:tc>
        <w:tc>
          <w:tcPr>
            <w:tcW w:w="908" w:type="pct"/>
            <w:vAlign w:val="center"/>
          </w:tcPr>
          <w:p>
            <w:pPr>
              <w:pStyle w:val="191"/>
              <w:rPr>
                <w:sz w:val="21"/>
              </w:rPr>
            </w:pPr>
            <w:r>
              <w:rPr>
                <w:sz w:val="21"/>
              </w:rPr>
              <w:t>32</w:t>
            </w:r>
          </w:p>
        </w:tc>
        <w:tc>
          <w:tcPr>
            <w:tcW w:w="908" w:type="pct"/>
            <w:vAlign w:val="center"/>
          </w:tcPr>
          <w:p>
            <w:pPr>
              <w:pStyle w:val="191"/>
              <w:rPr>
                <w:sz w:val="21"/>
              </w:rPr>
            </w:pPr>
            <w:r>
              <w:rPr>
                <w:sz w:val="21"/>
              </w:rPr>
              <w:t>28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88" w:type="pct"/>
            <w:vMerge w:val="restart"/>
            <w:vAlign w:val="center"/>
          </w:tcPr>
          <w:p>
            <w:pPr>
              <w:pStyle w:val="191"/>
              <w:rPr>
                <w:sz w:val="21"/>
              </w:rPr>
            </w:pPr>
            <w:r>
              <w:rPr>
                <w:sz w:val="21"/>
              </w:rPr>
              <w:t>钢化玻璃</w:t>
            </w:r>
          </w:p>
        </w:tc>
        <w:tc>
          <w:tcPr>
            <w:tcW w:w="1189" w:type="pct"/>
            <w:vAlign w:val="center"/>
          </w:tcPr>
          <w:p>
            <w:pPr>
              <w:pStyle w:val="191"/>
              <w:rPr>
                <w:sz w:val="21"/>
              </w:rPr>
            </w:pPr>
            <w:r>
              <w:rPr>
                <w:sz w:val="21"/>
              </w:rPr>
              <w:t>5～12</w:t>
            </w:r>
          </w:p>
        </w:tc>
        <w:tc>
          <w:tcPr>
            <w:tcW w:w="908" w:type="pct"/>
            <w:vAlign w:val="center"/>
          </w:tcPr>
          <w:p>
            <w:pPr>
              <w:pStyle w:val="191"/>
              <w:rPr>
                <w:sz w:val="21"/>
              </w:rPr>
            </w:pPr>
            <w:r>
              <w:rPr>
                <w:sz w:val="21"/>
              </w:rPr>
              <w:t>84</w:t>
            </w:r>
          </w:p>
        </w:tc>
        <w:tc>
          <w:tcPr>
            <w:tcW w:w="908" w:type="pct"/>
            <w:vAlign w:val="center"/>
          </w:tcPr>
          <w:p>
            <w:pPr>
              <w:pStyle w:val="191"/>
              <w:rPr>
                <w:sz w:val="21"/>
              </w:rPr>
            </w:pPr>
            <w:r>
              <w:rPr>
                <w:sz w:val="21"/>
              </w:rPr>
              <w:t>67</w:t>
            </w:r>
          </w:p>
        </w:tc>
        <w:tc>
          <w:tcPr>
            <w:tcW w:w="908" w:type="pct"/>
            <w:vAlign w:val="center"/>
          </w:tcPr>
          <w:p>
            <w:pPr>
              <w:pStyle w:val="191"/>
              <w:rPr>
                <w:sz w:val="21"/>
              </w:rPr>
            </w:pPr>
            <w:r>
              <w:rPr>
                <w:sz w:val="21"/>
              </w:rPr>
              <w:t>59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88" w:type="pct"/>
            <w:vMerge w:val="continue"/>
            <w:vAlign w:val="center"/>
          </w:tcPr>
          <w:p>
            <w:pPr>
              <w:pStyle w:val="191"/>
            </w:pPr>
          </w:p>
        </w:tc>
        <w:tc>
          <w:tcPr>
            <w:tcW w:w="1189" w:type="pct"/>
            <w:vAlign w:val="center"/>
          </w:tcPr>
          <w:p>
            <w:pPr>
              <w:pStyle w:val="191"/>
              <w:rPr>
                <w:sz w:val="21"/>
              </w:rPr>
            </w:pPr>
            <w:r>
              <w:rPr>
                <w:sz w:val="21"/>
              </w:rPr>
              <w:t>15～19</w:t>
            </w:r>
          </w:p>
        </w:tc>
        <w:tc>
          <w:tcPr>
            <w:tcW w:w="908" w:type="pct"/>
            <w:vAlign w:val="center"/>
          </w:tcPr>
          <w:p>
            <w:pPr>
              <w:pStyle w:val="191"/>
              <w:rPr>
                <w:sz w:val="21"/>
              </w:rPr>
            </w:pPr>
            <w:r>
              <w:rPr>
                <w:sz w:val="21"/>
              </w:rPr>
              <w:t>72</w:t>
            </w:r>
          </w:p>
        </w:tc>
        <w:tc>
          <w:tcPr>
            <w:tcW w:w="908" w:type="pct"/>
            <w:vAlign w:val="center"/>
          </w:tcPr>
          <w:p>
            <w:pPr>
              <w:pStyle w:val="191"/>
              <w:rPr>
                <w:sz w:val="21"/>
              </w:rPr>
            </w:pPr>
            <w:r>
              <w:rPr>
                <w:sz w:val="21"/>
              </w:rPr>
              <w:t>58</w:t>
            </w:r>
          </w:p>
        </w:tc>
        <w:tc>
          <w:tcPr>
            <w:tcW w:w="908" w:type="pct"/>
            <w:vAlign w:val="center"/>
          </w:tcPr>
          <w:p>
            <w:pPr>
              <w:pStyle w:val="191"/>
              <w:rPr>
                <w:sz w:val="21"/>
              </w:rPr>
            </w:pPr>
            <w:r>
              <w:rPr>
                <w:sz w:val="21"/>
              </w:rPr>
              <w:t>51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88" w:type="pct"/>
            <w:vMerge w:val="continue"/>
            <w:vAlign w:val="center"/>
          </w:tcPr>
          <w:p>
            <w:pPr>
              <w:pStyle w:val="191"/>
            </w:pPr>
          </w:p>
        </w:tc>
        <w:tc>
          <w:tcPr>
            <w:tcW w:w="1189" w:type="pct"/>
            <w:vAlign w:val="center"/>
          </w:tcPr>
          <w:p>
            <w:pPr>
              <w:pStyle w:val="191"/>
              <w:rPr>
                <w:sz w:val="21"/>
              </w:rPr>
            </w:pPr>
            <w:r>
              <w:rPr>
                <w:sz w:val="21"/>
              </w:rPr>
              <w:t>22~25</w:t>
            </w:r>
          </w:p>
        </w:tc>
        <w:tc>
          <w:tcPr>
            <w:tcW w:w="908" w:type="pct"/>
            <w:vAlign w:val="center"/>
          </w:tcPr>
          <w:p>
            <w:pPr>
              <w:pStyle w:val="191"/>
              <w:rPr>
                <w:sz w:val="21"/>
              </w:rPr>
            </w:pPr>
            <w:r>
              <w:rPr>
                <w:sz w:val="21"/>
              </w:rPr>
              <w:t>59</w:t>
            </w:r>
          </w:p>
        </w:tc>
        <w:tc>
          <w:tcPr>
            <w:tcW w:w="908" w:type="pct"/>
            <w:vAlign w:val="center"/>
          </w:tcPr>
          <w:p>
            <w:pPr>
              <w:pStyle w:val="191"/>
              <w:rPr>
                <w:sz w:val="21"/>
              </w:rPr>
            </w:pPr>
            <w:r>
              <w:rPr>
                <w:sz w:val="21"/>
              </w:rPr>
              <w:t>47</w:t>
            </w:r>
          </w:p>
        </w:tc>
        <w:tc>
          <w:tcPr>
            <w:tcW w:w="908" w:type="pct"/>
            <w:vAlign w:val="center"/>
          </w:tcPr>
          <w:p>
            <w:pPr>
              <w:pStyle w:val="191"/>
              <w:rPr>
                <w:sz w:val="21"/>
              </w:rPr>
            </w:pPr>
            <w:r>
              <w:rPr>
                <w:sz w:val="21"/>
              </w:rPr>
              <w:t>42</w:t>
            </w:r>
          </w:p>
        </w:tc>
      </w:tr>
    </w:tbl>
    <w:p>
      <w:pPr>
        <w:pStyle w:val="186"/>
      </w:pPr>
      <w:r>
        <w:t>表3.2.4-2</w:t>
      </w:r>
      <w:r>
        <w:rPr>
          <w:rFonts w:hint="eastAsia"/>
        </w:rPr>
        <w:t xml:space="preserve"> </w:t>
      </w:r>
      <w:r>
        <w:t>长期荷载作用下玻璃的强度设计值（N/mm</w:t>
      </w:r>
      <w:r>
        <w:rPr>
          <w:vertAlign w:val="superscript"/>
        </w:rPr>
        <w:t>2</w:t>
      </w:r>
      <w:r>
        <w:t>）</w:t>
      </w:r>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857"/>
        <w:gridCol w:w="1857"/>
        <w:gridCol w:w="1857"/>
        <w:gridCol w:w="1857"/>
        <w:gridCol w:w="185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00" w:type="pct"/>
            <w:vAlign w:val="center"/>
          </w:tcPr>
          <w:p>
            <w:pPr>
              <w:pStyle w:val="191"/>
              <w:rPr>
                <w:sz w:val="21"/>
              </w:rPr>
            </w:pPr>
            <w:r>
              <w:rPr>
                <w:sz w:val="21"/>
              </w:rPr>
              <w:t>种类</w:t>
            </w:r>
          </w:p>
        </w:tc>
        <w:tc>
          <w:tcPr>
            <w:tcW w:w="1000" w:type="pct"/>
            <w:vAlign w:val="center"/>
          </w:tcPr>
          <w:p>
            <w:pPr>
              <w:pStyle w:val="191"/>
              <w:rPr>
                <w:rFonts w:ascii="Times New Roman" w:hAnsi="Times New Roman" w:eastAsiaTheme="minorEastAsia"/>
                <w:sz w:val="21"/>
              </w:rPr>
            </w:pPr>
            <w:r>
              <w:rPr>
                <w:rFonts w:ascii="Times New Roman" w:hAnsi="Times New Roman" w:eastAsiaTheme="minorEastAsia"/>
                <w:sz w:val="21"/>
              </w:rPr>
              <w:t>厚度（mm）</w:t>
            </w:r>
          </w:p>
        </w:tc>
        <w:tc>
          <w:tcPr>
            <w:tcW w:w="1000" w:type="pct"/>
            <w:vAlign w:val="center"/>
          </w:tcPr>
          <w:p>
            <w:pPr>
              <w:pStyle w:val="191"/>
              <w:rPr>
                <w:rFonts w:ascii="Times New Roman" w:hAnsi="Times New Roman" w:eastAsiaTheme="minorEastAsia"/>
                <w:sz w:val="21"/>
              </w:rPr>
            </w:pPr>
            <w:r>
              <w:rPr>
                <w:rFonts w:ascii="Times New Roman" w:hAnsi="Times New Roman" w:eastAsiaTheme="minorEastAsia"/>
                <w:sz w:val="21"/>
              </w:rPr>
              <w:t>中部强度</w:t>
            </w:r>
          </w:p>
        </w:tc>
        <w:tc>
          <w:tcPr>
            <w:tcW w:w="1000" w:type="pct"/>
            <w:vAlign w:val="center"/>
          </w:tcPr>
          <w:p>
            <w:pPr>
              <w:pStyle w:val="191"/>
              <w:rPr>
                <w:rFonts w:ascii="Times New Roman" w:hAnsi="Times New Roman" w:eastAsiaTheme="minorEastAsia"/>
                <w:sz w:val="21"/>
              </w:rPr>
            </w:pPr>
            <w:r>
              <w:rPr>
                <w:rFonts w:ascii="Times New Roman" w:hAnsi="Times New Roman" w:eastAsiaTheme="minorEastAsia"/>
                <w:sz w:val="21"/>
              </w:rPr>
              <w:t>边缘强度</w:t>
            </w:r>
          </w:p>
        </w:tc>
        <w:tc>
          <w:tcPr>
            <w:tcW w:w="1000" w:type="pct"/>
            <w:vAlign w:val="center"/>
          </w:tcPr>
          <w:p>
            <w:pPr>
              <w:pStyle w:val="191"/>
              <w:rPr>
                <w:rFonts w:ascii="Times New Roman" w:hAnsi="Times New Roman" w:eastAsiaTheme="minorEastAsia"/>
                <w:sz w:val="21"/>
              </w:rPr>
            </w:pPr>
            <w:r>
              <w:rPr>
                <w:rFonts w:ascii="Times New Roman" w:hAnsi="Times New Roman" w:eastAsiaTheme="minorEastAsia"/>
                <w:sz w:val="21"/>
              </w:rPr>
              <w:t>端面强度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00" w:type="pct"/>
            <w:vMerge w:val="restart"/>
            <w:vAlign w:val="center"/>
          </w:tcPr>
          <w:p>
            <w:pPr>
              <w:pStyle w:val="191"/>
              <w:rPr>
                <w:sz w:val="21"/>
              </w:rPr>
            </w:pPr>
            <w:r>
              <w:rPr>
                <w:sz w:val="21"/>
              </w:rPr>
              <w:t>平板玻璃</w:t>
            </w:r>
          </w:p>
        </w:tc>
        <w:tc>
          <w:tcPr>
            <w:tcW w:w="1000" w:type="pct"/>
            <w:vAlign w:val="center"/>
          </w:tcPr>
          <w:p>
            <w:pPr>
              <w:pStyle w:val="191"/>
              <w:rPr>
                <w:sz w:val="21"/>
              </w:rPr>
            </w:pPr>
            <w:r>
              <w:rPr>
                <w:sz w:val="21"/>
              </w:rPr>
              <w:t>5～12</w:t>
            </w:r>
          </w:p>
        </w:tc>
        <w:tc>
          <w:tcPr>
            <w:tcW w:w="1000" w:type="pct"/>
            <w:vAlign w:val="center"/>
          </w:tcPr>
          <w:p>
            <w:pPr>
              <w:pStyle w:val="191"/>
              <w:rPr>
                <w:sz w:val="21"/>
              </w:rPr>
            </w:pPr>
            <w:r>
              <w:rPr>
                <w:sz w:val="21"/>
              </w:rPr>
              <w:t>8</w:t>
            </w:r>
          </w:p>
        </w:tc>
        <w:tc>
          <w:tcPr>
            <w:tcW w:w="1000" w:type="pct"/>
            <w:vAlign w:val="center"/>
          </w:tcPr>
          <w:p>
            <w:pPr>
              <w:pStyle w:val="191"/>
              <w:rPr>
                <w:sz w:val="21"/>
              </w:rPr>
            </w:pPr>
            <w:r>
              <w:rPr>
                <w:sz w:val="21"/>
              </w:rPr>
              <w:t>6</w:t>
            </w:r>
          </w:p>
        </w:tc>
        <w:tc>
          <w:tcPr>
            <w:tcW w:w="1000" w:type="pct"/>
            <w:vAlign w:val="center"/>
          </w:tcPr>
          <w:p>
            <w:pPr>
              <w:pStyle w:val="191"/>
              <w:rPr>
                <w:sz w:val="21"/>
              </w:rPr>
            </w:pPr>
            <w:r>
              <w:rPr>
                <w:sz w:val="21"/>
              </w:rPr>
              <w:t>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00" w:type="pct"/>
            <w:vMerge w:val="continue"/>
            <w:vAlign w:val="center"/>
          </w:tcPr>
          <w:p>
            <w:pPr>
              <w:pStyle w:val="191"/>
              <w:rPr>
                <w:sz w:val="21"/>
              </w:rPr>
            </w:pPr>
          </w:p>
        </w:tc>
        <w:tc>
          <w:tcPr>
            <w:tcW w:w="1000" w:type="pct"/>
            <w:vAlign w:val="center"/>
          </w:tcPr>
          <w:p>
            <w:pPr>
              <w:pStyle w:val="191"/>
              <w:rPr>
                <w:sz w:val="21"/>
              </w:rPr>
            </w:pPr>
            <w:r>
              <w:rPr>
                <w:sz w:val="21"/>
              </w:rPr>
              <w:t>15～19</w:t>
            </w:r>
          </w:p>
        </w:tc>
        <w:tc>
          <w:tcPr>
            <w:tcW w:w="1000" w:type="pct"/>
            <w:vAlign w:val="center"/>
          </w:tcPr>
          <w:p>
            <w:pPr>
              <w:pStyle w:val="191"/>
              <w:rPr>
                <w:sz w:val="21"/>
              </w:rPr>
            </w:pPr>
            <w:r>
              <w:rPr>
                <w:sz w:val="21"/>
              </w:rPr>
              <w:t>7</w:t>
            </w:r>
          </w:p>
        </w:tc>
        <w:tc>
          <w:tcPr>
            <w:tcW w:w="1000" w:type="pct"/>
            <w:vAlign w:val="center"/>
          </w:tcPr>
          <w:p>
            <w:pPr>
              <w:pStyle w:val="191"/>
              <w:rPr>
                <w:sz w:val="21"/>
              </w:rPr>
            </w:pPr>
            <w:r>
              <w:rPr>
                <w:sz w:val="21"/>
              </w:rPr>
              <w:t>6</w:t>
            </w:r>
          </w:p>
        </w:tc>
        <w:tc>
          <w:tcPr>
            <w:tcW w:w="1000" w:type="pct"/>
            <w:vAlign w:val="center"/>
          </w:tcPr>
          <w:p>
            <w:pPr>
              <w:pStyle w:val="191"/>
              <w:rPr>
                <w:sz w:val="21"/>
              </w:rPr>
            </w:pPr>
            <w:r>
              <w:rPr>
                <w:sz w:val="21"/>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00" w:type="pct"/>
            <w:vMerge w:val="continue"/>
            <w:vAlign w:val="center"/>
          </w:tcPr>
          <w:p>
            <w:pPr>
              <w:pStyle w:val="191"/>
              <w:rPr>
                <w:sz w:val="21"/>
              </w:rPr>
            </w:pPr>
          </w:p>
        </w:tc>
        <w:tc>
          <w:tcPr>
            <w:tcW w:w="1000" w:type="pct"/>
            <w:vAlign w:val="center"/>
          </w:tcPr>
          <w:p>
            <w:pPr>
              <w:pStyle w:val="191"/>
              <w:rPr>
                <w:sz w:val="21"/>
              </w:rPr>
            </w:pPr>
            <w:r>
              <w:rPr>
                <w:sz w:val="21"/>
              </w:rPr>
              <w:t>22~25</w:t>
            </w:r>
          </w:p>
        </w:tc>
        <w:tc>
          <w:tcPr>
            <w:tcW w:w="1000" w:type="pct"/>
            <w:vAlign w:val="center"/>
          </w:tcPr>
          <w:p>
            <w:pPr>
              <w:pStyle w:val="191"/>
              <w:rPr>
                <w:sz w:val="21"/>
              </w:rPr>
            </w:pPr>
            <w:r>
              <w:rPr>
                <w:sz w:val="21"/>
              </w:rPr>
              <w:t>6</w:t>
            </w:r>
          </w:p>
        </w:tc>
        <w:tc>
          <w:tcPr>
            <w:tcW w:w="1000" w:type="pct"/>
            <w:vAlign w:val="center"/>
          </w:tcPr>
          <w:p>
            <w:pPr>
              <w:pStyle w:val="191"/>
              <w:rPr>
                <w:sz w:val="21"/>
              </w:rPr>
            </w:pPr>
            <w:r>
              <w:rPr>
                <w:sz w:val="21"/>
              </w:rPr>
              <w:t>5</w:t>
            </w:r>
          </w:p>
        </w:tc>
        <w:tc>
          <w:tcPr>
            <w:tcW w:w="1000" w:type="pct"/>
            <w:vAlign w:val="center"/>
          </w:tcPr>
          <w:p>
            <w:pPr>
              <w:pStyle w:val="191"/>
              <w:rPr>
                <w:sz w:val="21"/>
              </w:rPr>
            </w:pPr>
            <w:r>
              <w:rPr>
                <w:sz w:val="21"/>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00" w:type="pct"/>
            <w:vMerge w:val="restart"/>
            <w:vAlign w:val="center"/>
          </w:tcPr>
          <w:p>
            <w:pPr>
              <w:pStyle w:val="191"/>
              <w:rPr>
                <w:sz w:val="21"/>
              </w:rPr>
            </w:pPr>
            <w:r>
              <w:rPr>
                <w:sz w:val="21"/>
              </w:rPr>
              <w:t>半钢化玻璃</w:t>
            </w:r>
          </w:p>
        </w:tc>
        <w:tc>
          <w:tcPr>
            <w:tcW w:w="1000" w:type="pct"/>
            <w:vAlign w:val="center"/>
          </w:tcPr>
          <w:p>
            <w:pPr>
              <w:pStyle w:val="191"/>
              <w:rPr>
                <w:sz w:val="21"/>
              </w:rPr>
            </w:pPr>
            <w:r>
              <w:rPr>
                <w:sz w:val="21"/>
              </w:rPr>
              <w:t>5～12</w:t>
            </w:r>
          </w:p>
        </w:tc>
        <w:tc>
          <w:tcPr>
            <w:tcW w:w="1000" w:type="pct"/>
            <w:vAlign w:val="center"/>
          </w:tcPr>
          <w:p>
            <w:pPr>
              <w:pStyle w:val="191"/>
              <w:rPr>
                <w:sz w:val="21"/>
              </w:rPr>
            </w:pPr>
            <w:r>
              <w:rPr>
                <w:sz w:val="21"/>
              </w:rPr>
              <w:t>28</w:t>
            </w:r>
          </w:p>
        </w:tc>
        <w:tc>
          <w:tcPr>
            <w:tcW w:w="1000" w:type="pct"/>
            <w:vAlign w:val="center"/>
          </w:tcPr>
          <w:p>
            <w:pPr>
              <w:pStyle w:val="191"/>
              <w:rPr>
                <w:sz w:val="21"/>
              </w:rPr>
            </w:pPr>
            <w:r>
              <w:rPr>
                <w:sz w:val="21"/>
              </w:rPr>
              <w:t>22</w:t>
            </w:r>
          </w:p>
        </w:tc>
        <w:tc>
          <w:tcPr>
            <w:tcW w:w="1000" w:type="pct"/>
            <w:vAlign w:val="center"/>
          </w:tcPr>
          <w:p>
            <w:pPr>
              <w:pStyle w:val="191"/>
              <w:rPr>
                <w:sz w:val="21"/>
              </w:rPr>
            </w:pPr>
            <w:r>
              <w:rPr>
                <w:sz w:val="21"/>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00" w:type="pct"/>
            <w:vMerge w:val="continue"/>
            <w:vAlign w:val="center"/>
          </w:tcPr>
          <w:p>
            <w:pPr>
              <w:pStyle w:val="191"/>
              <w:rPr>
                <w:sz w:val="21"/>
              </w:rPr>
            </w:pPr>
          </w:p>
        </w:tc>
        <w:tc>
          <w:tcPr>
            <w:tcW w:w="1000" w:type="pct"/>
            <w:vAlign w:val="center"/>
          </w:tcPr>
          <w:p>
            <w:pPr>
              <w:pStyle w:val="191"/>
              <w:rPr>
                <w:sz w:val="21"/>
              </w:rPr>
            </w:pPr>
            <w:r>
              <w:rPr>
                <w:sz w:val="21"/>
              </w:rPr>
              <w:t>15～19</w:t>
            </w:r>
          </w:p>
        </w:tc>
        <w:tc>
          <w:tcPr>
            <w:tcW w:w="1000" w:type="pct"/>
            <w:vAlign w:val="center"/>
          </w:tcPr>
          <w:p>
            <w:pPr>
              <w:pStyle w:val="191"/>
              <w:rPr>
                <w:sz w:val="21"/>
              </w:rPr>
            </w:pPr>
            <w:r>
              <w:rPr>
                <w:sz w:val="21"/>
              </w:rPr>
              <w:t>24</w:t>
            </w:r>
          </w:p>
        </w:tc>
        <w:tc>
          <w:tcPr>
            <w:tcW w:w="1000" w:type="pct"/>
            <w:vAlign w:val="center"/>
          </w:tcPr>
          <w:p>
            <w:pPr>
              <w:pStyle w:val="191"/>
              <w:rPr>
                <w:sz w:val="21"/>
              </w:rPr>
            </w:pPr>
            <w:r>
              <w:rPr>
                <w:sz w:val="21"/>
              </w:rPr>
              <w:t>19</w:t>
            </w:r>
          </w:p>
        </w:tc>
        <w:tc>
          <w:tcPr>
            <w:tcW w:w="1000" w:type="pct"/>
            <w:vAlign w:val="center"/>
          </w:tcPr>
          <w:p>
            <w:pPr>
              <w:pStyle w:val="191"/>
              <w:rPr>
                <w:sz w:val="21"/>
              </w:rPr>
            </w:pPr>
            <w:r>
              <w:rPr>
                <w:sz w:val="21"/>
              </w:rPr>
              <w:t>17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00" w:type="pct"/>
            <w:vMerge w:val="continue"/>
            <w:vAlign w:val="center"/>
          </w:tcPr>
          <w:p>
            <w:pPr>
              <w:pStyle w:val="191"/>
              <w:rPr>
                <w:sz w:val="21"/>
              </w:rPr>
            </w:pPr>
          </w:p>
        </w:tc>
        <w:tc>
          <w:tcPr>
            <w:tcW w:w="1000" w:type="pct"/>
            <w:vAlign w:val="center"/>
          </w:tcPr>
          <w:p>
            <w:pPr>
              <w:pStyle w:val="191"/>
              <w:rPr>
                <w:sz w:val="21"/>
              </w:rPr>
            </w:pPr>
            <w:r>
              <w:rPr>
                <w:sz w:val="21"/>
              </w:rPr>
              <w:t>22~25</w:t>
            </w:r>
          </w:p>
        </w:tc>
        <w:tc>
          <w:tcPr>
            <w:tcW w:w="1000" w:type="pct"/>
            <w:vAlign w:val="center"/>
          </w:tcPr>
          <w:p>
            <w:pPr>
              <w:pStyle w:val="191"/>
              <w:rPr>
                <w:sz w:val="21"/>
              </w:rPr>
            </w:pPr>
            <w:r>
              <w:rPr>
                <w:sz w:val="21"/>
              </w:rPr>
              <w:t>20</w:t>
            </w:r>
          </w:p>
        </w:tc>
        <w:tc>
          <w:tcPr>
            <w:tcW w:w="1000" w:type="pct"/>
            <w:vAlign w:val="center"/>
          </w:tcPr>
          <w:p>
            <w:pPr>
              <w:pStyle w:val="191"/>
              <w:rPr>
                <w:sz w:val="21"/>
              </w:rPr>
            </w:pPr>
            <w:r>
              <w:rPr>
                <w:sz w:val="21"/>
              </w:rPr>
              <w:t>16</w:t>
            </w:r>
          </w:p>
        </w:tc>
        <w:tc>
          <w:tcPr>
            <w:tcW w:w="1000" w:type="pct"/>
            <w:vAlign w:val="center"/>
          </w:tcPr>
          <w:p>
            <w:pPr>
              <w:pStyle w:val="191"/>
              <w:rPr>
                <w:sz w:val="21"/>
              </w:rPr>
            </w:pPr>
            <w:r>
              <w:rPr>
                <w:sz w:val="21"/>
              </w:rPr>
              <w:t>14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00" w:type="pct"/>
            <w:vMerge w:val="restart"/>
            <w:vAlign w:val="center"/>
          </w:tcPr>
          <w:p>
            <w:pPr>
              <w:pStyle w:val="191"/>
              <w:rPr>
                <w:sz w:val="21"/>
              </w:rPr>
            </w:pPr>
            <w:r>
              <w:rPr>
                <w:sz w:val="21"/>
              </w:rPr>
              <w:t>钢化玻璃</w:t>
            </w:r>
          </w:p>
        </w:tc>
        <w:tc>
          <w:tcPr>
            <w:tcW w:w="1000" w:type="pct"/>
            <w:vAlign w:val="center"/>
          </w:tcPr>
          <w:p>
            <w:pPr>
              <w:pStyle w:val="191"/>
              <w:rPr>
                <w:sz w:val="21"/>
              </w:rPr>
            </w:pPr>
            <w:r>
              <w:rPr>
                <w:sz w:val="21"/>
              </w:rPr>
              <w:t>5～12</w:t>
            </w:r>
          </w:p>
        </w:tc>
        <w:tc>
          <w:tcPr>
            <w:tcW w:w="1000" w:type="pct"/>
            <w:vAlign w:val="center"/>
          </w:tcPr>
          <w:p>
            <w:pPr>
              <w:pStyle w:val="191"/>
              <w:rPr>
                <w:sz w:val="21"/>
              </w:rPr>
            </w:pPr>
            <w:r>
              <w:rPr>
                <w:sz w:val="21"/>
              </w:rPr>
              <w:t>42</w:t>
            </w:r>
          </w:p>
        </w:tc>
        <w:tc>
          <w:tcPr>
            <w:tcW w:w="1000" w:type="pct"/>
            <w:vAlign w:val="center"/>
          </w:tcPr>
          <w:p>
            <w:pPr>
              <w:pStyle w:val="191"/>
              <w:rPr>
                <w:sz w:val="21"/>
              </w:rPr>
            </w:pPr>
            <w:r>
              <w:rPr>
                <w:sz w:val="21"/>
              </w:rPr>
              <w:t>34</w:t>
            </w:r>
          </w:p>
        </w:tc>
        <w:tc>
          <w:tcPr>
            <w:tcW w:w="1000" w:type="pct"/>
            <w:vAlign w:val="center"/>
          </w:tcPr>
          <w:p>
            <w:pPr>
              <w:pStyle w:val="191"/>
              <w:rPr>
                <w:sz w:val="21"/>
              </w:rPr>
            </w:pPr>
            <w:r>
              <w:rPr>
                <w:sz w:val="21"/>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00" w:type="pct"/>
            <w:vMerge w:val="continue"/>
            <w:vAlign w:val="center"/>
          </w:tcPr>
          <w:p>
            <w:pPr>
              <w:pStyle w:val="191"/>
            </w:pPr>
          </w:p>
        </w:tc>
        <w:tc>
          <w:tcPr>
            <w:tcW w:w="1000" w:type="pct"/>
            <w:vAlign w:val="center"/>
          </w:tcPr>
          <w:p>
            <w:pPr>
              <w:pStyle w:val="191"/>
              <w:rPr>
                <w:sz w:val="21"/>
              </w:rPr>
            </w:pPr>
            <w:r>
              <w:rPr>
                <w:sz w:val="21"/>
              </w:rPr>
              <w:t>15～19</w:t>
            </w:r>
          </w:p>
        </w:tc>
        <w:tc>
          <w:tcPr>
            <w:tcW w:w="1000" w:type="pct"/>
            <w:vAlign w:val="center"/>
          </w:tcPr>
          <w:p>
            <w:pPr>
              <w:pStyle w:val="191"/>
              <w:rPr>
                <w:sz w:val="21"/>
              </w:rPr>
            </w:pPr>
            <w:r>
              <w:rPr>
                <w:sz w:val="21"/>
              </w:rPr>
              <w:t>36</w:t>
            </w:r>
          </w:p>
        </w:tc>
        <w:tc>
          <w:tcPr>
            <w:tcW w:w="1000" w:type="pct"/>
            <w:vAlign w:val="center"/>
          </w:tcPr>
          <w:p>
            <w:pPr>
              <w:pStyle w:val="191"/>
              <w:rPr>
                <w:sz w:val="21"/>
              </w:rPr>
            </w:pPr>
            <w:r>
              <w:rPr>
                <w:sz w:val="21"/>
              </w:rPr>
              <w:t>29</w:t>
            </w:r>
          </w:p>
        </w:tc>
        <w:tc>
          <w:tcPr>
            <w:tcW w:w="1000" w:type="pct"/>
            <w:vAlign w:val="center"/>
          </w:tcPr>
          <w:p>
            <w:pPr>
              <w:pStyle w:val="191"/>
              <w:rPr>
                <w:sz w:val="21"/>
              </w:rPr>
            </w:pPr>
            <w:r>
              <w:rPr>
                <w:sz w:val="21"/>
              </w:rPr>
              <w:t>26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000" w:type="pct"/>
            <w:vMerge w:val="continue"/>
            <w:vAlign w:val="center"/>
          </w:tcPr>
          <w:p>
            <w:pPr>
              <w:pStyle w:val="191"/>
            </w:pPr>
          </w:p>
        </w:tc>
        <w:tc>
          <w:tcPr>
            <w:tcW w:w="1000" w:type="pct"/>
            <w:vAlign w:val="center"/>
          </w:tcPr>
          <w:p>
            <w:pPr>
              <w:pStyle w:val="191"/>
              <w:rPr>
                <w:sz w:val="21"/>
              </w:rPr>
            </w:pPr>
            <w:r>
              <w:rPr>
                <w:sz w:val="21"/>
              </w:rPr>
              <w:t>22~25</w:t>
            </w:r>
          </w:p>
        </w:tc>
        <w:tc>
          <w:tcPr>
            <w:tcW w:w="1000" w:type="pct"/>
            <w:vAlign w:val="center"/>
          </w:tcPr>
          <w:p>
            <w:pPr>
              <w:pStyle w:val="191"/>
              <w:rPr>
                <w:sz w:val="21"/>
              </w:rPr>
            </w:pPr>
            <w:r>
              <w:rPr>
                <w:sz w:val="21"/>
              </w:rPr>
              <w:t>30</w:t>
            </w:r>
          </w:p>
        </w:tc>
        <w:tc>
          <w:tcPr>
            <w:tcW w:w="1000" w:type="pct"/>
            <w:vAlign w:val="center"/>
          </w:tcPr>
          <w:p>
            <w:pPr>
              <w:pStyle w:val="191"/>
              <w:rPr>
                <w:sz w:val="21"/>
              </w:rPr>
            </w:pPr>
            <w:r>
              <w:rPr>
                <w:sz w:val="21"/>
              </w:rPr>
              <w:t>24</w:t>
            </w:r>
          </w:p>
        </w:tc>
        <w:tc>
          <w:tcPr>
            <w:tcW w:w="1000" w:type="pct"/>
            <w:vAlign w:val="center"/>
          </w:tcPr>
          <w:p>
            <w:pPr>
              <w:pStyle w:val="191"/>
              <w:rPr>
                <w:sz w:val="21"/>
              </w:rPr>
            </w:pPr>
            <w:r>
              <w:rPr>
                <w:sz w:val="21"/>
              </w:rPr>
              <w:t>21</w:t>
            </w:r>
          </w:p>
        </w:tc>
      </w:tr>
    </w:tbl>
    <w:p>
      <w:pPr>
        <w:ind w:firstLine="482" w:firstLineChars="200"/>
        <w:rPr>
          <w:rFonts w:ascii="Times New Roman" w:hAnsi="Times New Roman"/>
          <w:b/>
        </w:rPr>
      </w:pPr>
    </w:p>
    <w:p>
      <w:pPr>
        <w:pStyle w:val="189"/>
        <w:rPr>
          <w:snapToGrid w:val="0"/>
          <w:color w:val="000000"/>
        </w:rPr>
      </w:pPr>
      <w:r>
        <w:rPr>
          <w:rFonts w:hint="eastAsia"/>
          <w:b/>
        </w:rPr>
        <w:t>3</w:t>
      </w:r>
      <w:r>
        <w:rPr>
          <w:b/>
        </w:rPr>
        <w:t>.2.5</w:t>
      </w:r>
      <w:r>
        <w:rPr>
          <w:rFonts w:hint="eastAsia"/>
          <w:b/>
        </w:rPr>
        <w:t xml:space="preserve"> </w:t>
      </w:r>
      <w:r>
        <w:t>单层铝合金板抗拉强度设计值</w:t>
      </w:r>
      <w:r>
        <w:rPr>
          <w:rFonts w:hint="eastAsia"/>
        </w:rPr>
        <w:t>应</w:t>
      </w:r>
      <w:r>
        <w:t>按现行国家标准《一般工业用铝及铝合金板、带材 第2部分：力学性能》GB /T 3880.2规定的屈服强度标准值σ</w:t>
      </w:r>
      <w:r>
        <w:rPr>
          <w:vertAlign w:val="subscript"/>
        </w:rPr>
        <w:t>p0.2</w:t>
      </w:r>
      <w:r>
        <w:t>除以系数1.286采用，抗剪强度设计值</w:t>
      </w:r>
      <w:r>
        <w:rPr>
          <w:rFonts w:hint="eastAsia"/>
        </w:rPr>
        <w:t>应</w:t>
      </w:r>
      <w:r>
        <w:t>按抗拉强度设计值的0.58倍采用，</w:t>
      </w:r>
      <w:r>
        <w:rPr>
          <w:rFonts w:hint="eastAsia"/>
        </w:rPr>
        <w:t>单</w:t>
      </w:r>
      <w:r>
        <w:t>层铝合金板强度设计值</w:t>
      </w:r>
      <w:r>
        <w:rPr>
          <w:rFonts w:hint="eastAsia"/>
        </w:rPr>
        <w:t>应</w:t>
      </w:r>
      <w:r>
        <w:t>按表</w:t>
      </w:r>
      <w:r>
        <w:rPr>
          <w:rFonts w:hint="eastAsia"/>
        </w:rPr>
        <w:t>3</w:t>
      </w:r>
      <w:r>
        <w:t>.2.5采用。</w:t>
      </w:r>
    </w:p>
    <w:p>
      <w:pPr>
        <w:pStyle w:val="186"/>
      </w:pPr>
      <w:r>
        <w:t>表3.2.5 单层铝合金板强度设计值</w:t>
      </w:r>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148"/>
        <w:gridCol w:w="1315"/>
        <w:gridCol w:w="1456"/>
        <w:gridCol w:w="2715"/>
        <w:gridCol w:w="26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vMerge w:val="restart"/>
            <w:vAlign w:val="center"/>
          </w:tcPr>
          <w:p>
            <w:pPr>
              <w:jc w:val="center"/>
              <w:rPr>
                <w:rFonts w:ascii="Times New Roman" w:hAnsi="Times New Roman" w:eastAsiaTheme="minorEastAsia"/>
                <w:snapToGrid w:val="0"/>
                <w:color w:val="000000"/>
                <w:sz w:val="21"/>
                <w:szCs w:val="21"/>
              </w:rPr>
            </w:pPr>
            <w:r>
              <w:rPr>
                <w:rFonts w:ascii="Times New Roman" w:hAnsi="Times New Roman" w:eastAsiaTheme="minorEastAsia"/>
                <w:snapToGrid w:val="0"/>
                <w:color w:val="000000"/>
                <w:sz w:val="21"/>
                <w:szCs w:val="21"/>
              </w:rPr>
              <w:t>铝合金牌号</w:t>
            </w:r>
          </w:p>
        </w:tc>
        <w:tc>
          <w:tcPr>
            <w:tcW w:w="708" w:type="pct"/>
            <w:vMerge w:val="restart"/>
            <w:vAlign w:val="center"/>
          </w:tcPr>
          <w:p>
            <w:pPr>
              <w:jc w:val="center"/>
              <w:rPr>
                <w:rFonts w:ascii="Times New Roman" w:hAnsi="Times New Roman" w:eastAsiaTheme="minorEastAsia"/>
                <w:snapToGrid w:val="0"/>
                <w:color w:val="000000"/>
                <w:sz w:val="21"/>
                <w:szCs w:val="21"/>
              </w:rPr>
            </w:pPr>
            <w:r>
              <w:rPr>
                <w:rFonts w:ascii="Times New Roman" w:hAnsi="Times New Roman" w:eastAsiaTheme="minorEastAsia"/>
                <w:snapToGrid w:val="0"/>
                <w:color w:val="000000"/>
                <w:sz w:val="21"/>
                <w:szCs w:val="21"/>
              </w:rPr>
              <w:t>状态</w:t>
            </w:r>
          </w:p>
        </w:tc>
        <w:tc>
          <w:tcPr>
            <w:tcW w:w="784" w:type="pct"/>
            <w:vMerge w:val="restart"/>
            <w:vAlign w:val="center"/>
          </w:tcPr>
          <w:p>
            <w:pPr>
              <w:rPr>
                <w:rFonts w:ascii="Times New Roman" w:hAnsi="Times New Roman" w:eastAsiaTheme="minorEastAsia"/>
                <w:snapToGrid w:val="0"/>
                <w:color w:val="000000"/>
                <w:sz w:val="21"/>
                <w:szCs w:val="21"/>
              </w:rPr>
            </w:pPr>
            <w:r>
              <w:rPr>
                <w:rFonts w:ascii="Times New Roman" w:hAnsi="Times New Roman" w:eastAsiaTheme="minorEastAsia"/>
                <w:snapToGrid w:val="0"/>
                <w:color w:val="000000"/>
                <w:sz w:val="21"/>
                <w:szCs w:val="21"/>
              </w:rPr>
              <w:t>规定非比例延伸强度σ</w:t>
            </w:r>
            <w:r>
              <w:rPr>
                <w:rFonts w:ascii="Times New Roman" w:hAnsi="Times New Roman" w:eastAsiaTheme="minorEastAsia"/>
                <w:snapToGrid w:val="0"/>
                <w:color w:val="000000"/>
                <w:sz w:val="21"/>
                <w:szCs w:val="21"/>
                <w:vertAlign w:val="subscript"/>
              </w:rPr>
              <w:t>p0.2</w:t>
            </w:r>
          </w:p>
        </w:tc>
        <w:tc>
          <w:tcPr>
            <w:tcW w:w="2890" w:type="pct"/>
            <w:gridSpan w:val="2"/>
            <w:vAlign w:val="center"/>
          </w:tcPr>
          <w:p>
            <w:pPr>
              <w:jc w:val="center"/>
              <w:rPr>
                <w:rFonts w:ascii="Times New Roman" w:hAnsi="Times New Roman" w:eastAsiaTheme="minorEastAsia"/>
                <w:snapToGrid w:val="0"/>
                <w:color w:val="000000"/>
                <w:sz w:val="21"/>
                <w:szCs w:val="21"/>
              </w:rPr>
            </w:pPr>
            <w:r>
              <w:rPr>
                <w:rFonts w:ascii="Times New Roman" w:hAnsi="Times New Roman" w:eastAsiaTheme="minorEastAsia"/>
                <w:snapToGrid w:val="0"/>
                <w:color w:val="000000"/>
                <w:sz w:val="21"/>
                <w:szCs w:val="21"/>
              </w:rPr>
              <w:t>强度设计值</w:t>
            </w:r>
            <w:r>
              <w:rPr>
                <w:rFonts w:hint="eastAsia" w:ascii="Times New Roman" w:hAnsi="Times New Roman" w:eastAsiaTheme="minorEastAsia"/>
                <w:snapToGrid w:val="0"/>
                <w:color w:val="000000"/>
                <w:sz w:val="21"/>
                <w:szCs w:val="21"/>
                <w:lang w:eastAsia="zh-CN"/>
              </w:rPr>
              <w:t>（</w:t>
            </w:r>
            <w:r>
              <w:rPr>
                <w:rFonts w:ascii="Times New Roman" w:hAnsi="Times New Roman" w:eastAsiaTheme="minorEastAsia"/>
                <w:bCs/>
                <w:snapToGrid w:val="0"/>
                <w:color w:val="000000"/>
                <w:sz w:val="21"/>
                <w:szCs w:val="21"/>
              </w:rPr>
              <w:t>N/mm²)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vMerge w:val="continue"/>
            <w:tcBorders>
              <w:bottom w:val="single" w:color="auto" w:sz="4" w:space="0"/>
            </w:tcBorders>
            <w:vAlign w:val="center"/>
          </w:tcPr>
          <w:p>
            <w:pPr>
              <w:jc w:val="center"/>
              <w:rPr>
                <w:rFonts w:ascii="Times New Roman" w:hAnsi="Times New Roman" w:eastAsiaTheme="minorEastAsia"/>
                <w:snapToGrid w:val="0"/>
                <w:color w:val="000000"/>
                <w:sz w:val="21"/>
                <w:szCs w:val="21"/>
              </w:rPr>
            </w:pPr>
          </w:p>
        </w:tc>
        <w:tc>
          <w:tcPr>
            <w:tcW w:w="708" w:type="pct"/>
            <w:vMerge w:val="continue"/>
            <w:tcBorders>
              <w:bottom w:val="single" w:color="auto" w:sz="4" w:space="0"/>
            </w:tcBorders>
            <w:vAlign w:val="center"/>
          </w:tcPr>
          <w:p>
            <w:pPr>
              <w:jc w:val="center"/>
              <w:rPr>
                <w:rFonts w:ascii="Times New Roman" w:hAnsi="Times New Roman" w:eastAsiaTheme="minorEastAsia"/>
                <w:snapToGrid w:val="0"/>
                <w:color w:val="000000"/>
                <w:sz w:val="21"/>
                <w:szCs w:val="21"/>
              </w:rPr>
            </w:pPr>
          </w:p>
        </w:tc>
        <w:tc>
          <w:tcPr>
            <w:tcW w:w="784" w:type="pct"/>
            <w:vMerge w:val="continue"/>
            <w:tcBorders>
              <w:bottom w:val="single" w:color="auto" w:sz="4" w:space="0"/>
            </w:tcBorders>
            <w:vAlign w:val="center"/>
          </w:tcPr>
          <w:p>
            <w:pPr>
              <w:jc w:val="center"/>
              <w:rPr>
                <w:rFonts w:ascii="Times New Roman" w:hAnsi="Times New Roman" w:eastAsiaTheme="minorEastAsia"/>
                <w:snapToGrid w:val="0"/>
                <w:color w:val="000000"/>
                <w:sz w:val="21"/>
                <w:szCs w:val="21"/>
              </w:rPr>
            </w:pPr>
          </w:p>
        </w:tc>
        <w:tc>
          <w:tcPr>
            <w:tcW w:w="1462" w:type="pct"/>
            <w:tcBorders>
              <w:bottom w:val="single" w:color="auto" w:sz="4" w:space="0"/>
            </w:tcBorders>
            <w:vAlign w:val="center"/>
          </w:tcPr>
          <w:p>
            <w:pPr>
              <w:jc w:val="center"/>
              <w:rPr>
                <w:rFonts w:ascii="Times New Roman" w:hAnsi="Times New Roman" w:eastAsiaTheme="minorEastAsia"/>
                <w:snapToGrid w:val="0"/>
                <w:color w:val="000000"/>
                <w:sz w:val="21"/>
                <w:szCs w:val="21"/>
              </w:rPr>
            </w:pPr>
            <w:r>
              <w:rPr>
                <w:rFonts w:ascii="Times New Roman" w:hAnsi="Times New Roman" w:eastAsiaTheme="minorEastAsia"/>
                <w:snapToGrid w:val="0"/>
                <w:color w:val="000000"/>
                <w:sz w:val="21"/>
                <w:szCs w:val="21"/>
              </w:rPr>
              <w:t>抗拉强度</w:t>
            </w:r>
          </w:p>
        </w:tc>
        <w:tc>
          <w:tcPr>
            <w:tcW w:w="1428" w:type="pct"/>
            <w:tcBorders>
              <w:bottom w:val="single" w:color="auto" w:sz="4" w:space="0"/>
            </w:tcBorders>
            <w:vAlign w:val="center"/>
          </w:tcPr>
          <w:p>
            <w:pPr>
              <w:jc w:val="center"/>
              <w:rPr>
                <w:rFonts w:ascii="Times New Roman" w:hAnsi="Times New Roman" w:eastAsiaTheme="minorEastAsia"/>
                <w:snapToGrid w:val="0"/>
                <w:color w:val="000000"/>
                <w:sz w:val="21"/>
                <w:szCs w:val="21"/>
              </w:rPr>
            </w:pPr>
            <w:r>
              <w:rPr>
                <w:rFonts w:ascii="Times New Roman" w:hAnsi="Times New Roman" w:eastAsiaTheme="minorEastAsia"/>
                <w:snapToGrid w:val="0"/>
                <w:color w:val="000000"/>
                <w:sz w:val="21"/>
                <w:szCs w:val="21"/>
              </w:rPr>
              <w:t>抗剪强度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tcBorders>
              <w:top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1060</w:t>
            </w:r>
          </w:p>
        </w:tc>
        <w:tc>
          <w:tcPr>
            <w:tcW w:w="70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H14，H24</w:t>
            </w:r>
          </w:p>
        </w:tc>
        <w:tc>
          <w:tcPr>
            <w:tcW w:w="7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70</w:t>
            </w:r>
          </w:p>
        </w:tc>
        <w:tc>
          <w:tcPr>
            <w:tcW w:w="146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54</w:t>
            </w:r>
          </w:p>
        </w:tc>
        <w:tc>
          <w:tcPr>
            <w:tcW w:w="1428" w:type="pct"/>
            <w:tcBorders>
              <w:top w:val="single" w:color="auto" w:sz="4" w:space="0"/>
              <w:left w:val="single" w:color="auto" w:sz="4" w:space="0"/>
              <w:bottom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32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tcBorders>
              <w:top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1050</w:t>
            </w:r>
          </w:p>
        </w:tc>
        <w:tc>
          <w:tcPr>
            <w:tcW w:w="70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H14，H24</w:t>
            </w:r>
          </w:p>
        </w:tc>
        <w:tc>
          <w:tcPr>
            <w:tcW w:w="7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75</w:t>
            </w:r>
          </w:p>
        </w:tc>
        <w:tc>
          <w:tcPr>
            <w:tcW w:w="146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58</w:t>
            </w:r>
          </w:p>
        </w:tc>
        <w:tc>
          <w:tcPr>
            <w:tcW w:w="1428" w:type="pct"/>
            <w:tcBorders>
              <w:top w:val="single" w:color="auto" w:sz="4" w:space="0"/>
              <w:left w:val="single" w:color="auto" w:sz="4" w:space="0"/>
              <w:bottom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34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tcBorders>
              <w:top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1100</w:t>
            </w:r>
          </w:p>
        </w:tc>
        <w:tc>
          <w:tcPr>
            <w:tcW w:w="708" w:type="pct"/>
            <w:tcBorders>
              <w:top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H14，H24</w:t>
            </w:r>
          </w:p>
        </w:tc>
        <w:tc>
          <w:tcPr>
            <w:tcW w:w="784" w:type="pct"/>
            <w:tcBorders>
              <w:top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95</w:t>
            </w:r>
          </w:p>
        </w:tc>
        <w:tc>
          <w:tcPr>
            <w:tcW w:w="1462" w:type="pct"/>
            <w:tcBorders>
              <w:top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74</w:t>
            </w:r>
          </w:p>
        </w:tc>
        <w:tc>
          <w:tcPr>
            <w:tcW w:w="1428" w:type="pct"/>
            <w:tcBorders>
              <w:top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43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vMerge w:val="restar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3003</w:t>
            </w:r>
          </w:p>
        </w:tc>
        <w:tc>
          <w:tcPr>
            <w:tcW w:w="70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H14</w:t>
            </w:r>
          </w:p>
        </w:tc>
        <w:tc>
          <w:tcPr>
            <w:tcW w:w="784"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125</w:t>
            </w:r>
          </w:p>
        </w:tc>
        <w:tc>
          <w:tcPr>
            <w:tcW w:w="1462"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97</w:t>
            </w:r>
          </w:p>
        </w:tc>
        <w:tc>
          <w:tcPr>
            <w:tcW w:w="142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56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vMerge w:val="continue"/>
            <w:tcBorders>
              <w:bottom w:val="single" w:color="auto" w:sz="4" w:space="0"/>
            </w:tcBorders>
            <w:vAlign w:val="center"/>
          </w:tcPr>
          <w:p>
            <w:pPr>
              <w:jc w:val="center"/>
              <w:rPr>
                <w:rFonts w:ascii="Times New Roman" w:hAnsi="Times New Roman" w:cs="Times New Roman"/>
                <w:snapToGrid w:val="0"/>
                <w:color w:val="000000"/>
                <w:sz w:val="21"/>
                <w:szCs w:val="21"/>
              </w:rPr>
            </w:pPr>
          </w:p>
        </w:tc>
        <w:tc>
          <w:tcPr>
            <w:tcW w:w="708" w:type="pct"/>
            <w:tcBorders>
              <w:bottom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H24</w:t>
            </w:r>
          </w:p>
        </w:tc>
        <w:tc>
          <w:tcPr>
            <w:tcW w:w="784" w:type="pct"/>
            <w:tcBorders>
              <w:bottom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115</w:t>
            </w:r>
          </w:p>
        </w:tc>
        <w:tc>
          <w:tcPr>
            <w:tcW w:w="1462" w:type="pct"/>
            <w:tcBorders>
              <w:bottom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89</w:t>
            </w:r>
          </w:p>
        </w:tc>
        <w:tc>
          <w:tcPr>
            <w:tcW w:w="1428" w:type="pct"/>
            <w:tcBorders>
              <w:bottom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52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tcBorders>
              <w:top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3004</w:t>
            </w:r>
          </w:p>
        </w:tc>
        <w:tc>
          <w:tcPr>
            <w:tcW w:w="70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O</w:t>
            </w:r>
          </w:p>
        </w:tc>
        <w:tc>
          <w:tcPr>
            <w:tcW w:w="7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60</w:t>
            </w:r>
          </w:p>
        </w:tc>
        <w:tc>
          <w:tcPr>
            <w:tcW w:w="146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47</w:t>
            </w:r>
          </w:p>
        </w:tc>
        <w:tc>
          <w:tcPr>
            <w:tcW w:w="1428" w:type="pct"/>
            <w:tcBorders>
              <w:top w:val="single" w:color="auto" w:sz="4" w:space="0"/>
              <w:left w:val="single" w:color="auto" w:sz="4" w:space="0"/>
              <w:bottom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27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vMerge w:val="restart"/>
            <w:tcBorders>
              <w:top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5005</w:t>
            </w:r>
          </w:p>
        </w:tc>
        <w:tc>
          <w:tcPr>
            <w:tcW w:w="70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H14</w:t>
            </w:r>
          </w:p>
        </w:tc>
        <w:tc>
          <w:tcPr>
            <w:tcW w:w="7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120</w:t>
            </w:r>
          </w:p>
        </w:tc>
        <w:tc>
          <w:tcPr>
            <w:tcW w:w="146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93</w:t>
            </w:r>
          </w:p>
        </w:tc>
        <w:tc>
          <w:tcPr>
            <w:tcW w:w="1428" w:type="pct"/>
            <w:tcBorders>
              <w:top w:val="single" w:color="auto" w:sz="4" w:space="0"/>
              <w:left w:val="single" w:color="auto" w:sz="4" w:space="0"/>
              <w:bottom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54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vMerge w:val="continue"/>
            <w:tcBorders>
              <w:top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p>
        </w:tc>
        <w:tc>
          <w:tcPr>
            <w:tcW w:w="70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H24，H34</w:t>
            </w:r>
          </w:p>
        </w:tc>
        <w:tc>
          <w:tcPr>
            <w:tcW w:w="7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110</w:t>
            </w:r>
          </w:p>
        </w:tc>
        <w:tc>
          <w:tcPr>
            <w:tcW w:w="146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86</w:t>
            </w:r>
          </w:p>
        </w:tc>
        <w:tc>
          <w:tcPr>
            <w:tcW w:w="1428" w:type="pct"/>
            <w:tcBorders>
              <w:top w:val="single" w:color="auto" w:sz="4" w:space="0"/>
              <w:left w:val="single" w:color="auto" w:sz="4" w:space="0"/>
              <w:bottom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tcBorders>
              <w:top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5052</w:t>
            </w:r>
          </w:p>
        </w:tc>
        <w:tc>
          <w:tcPr>
            <w:tcW w:w="708" w:type="pct"/>
            <w:tcBorders>
              <w:top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O</w:t>
            </w:r>
          </w:p>
        </w:tc>
        <w:tc>
          <w:tcPr>
            <w:tcW w:w="784" w:type="pct"/>
            <w:tcBorders>
              <w:top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65</w:t>
            </w:r>
          </w:p>
        </w:tc>
        <w:tc>
          <w:tcPr>
            <w:tcW w:w="1462" w:type="pct"/>
            <w:tcBorders>
              <w:top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50</w:t>
            </w:r>
          </w:p>
        </w:tc>
        <w:tc>
          <w:tcPr>
            <w:tcW w:w="1428" w:type="pct"/>
            <w:tcBorders>
              <w:top w:val="single" w:color="auto" w:sz="4" w:space="0"/>
            </w:tcBorders>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29</w:t>
            </w:r>
          </w:p>
        </w:tc>
      </w:tr>
    </w:tbl>
    <w:p>
      <w:pPr>
        <w:pStyle w:val="189"/>
        <w:rPr>
          <w:rFonts w:eastAsia="黑体"/>
          <w:snapToGrid w:val="0"/>
          <w:color w:val="000000"/>
          <w:sz w:val="21"/>
        </w:rPr>
      </w:pPr>
      <w:r>
        <w:rPr>
          <w:rFonts w:hint="eastAsia"/>
          <w:b/>
        </w:rPr>
        <w:t>3</w:t>
      </w:r>
      <w:r>
        <w:rPr>
          <w:b/>
        </w:rPr>
        <w:t>.2.6</w:t>
      </w:r>
      <w:r>
        <w:rPr>
          <w:rFonts w:hint="eastAsia"/>
          <w:b/>
        </w:rPr>
        <w:t xml:space="preserve"> </w:t>
      </w:r>
      <w:r>
        <w:t>硅酮结构胶强度设计值按表</w:t>
      </w:r>
      <w:r>
        <w:rPr>
          <w:rFonts w:hint="eastAsia"/>
        </w:rPr>
        <w:t>3</w:t>
      </w:r>
      <w:r>
        <w:t>.2.6采用。</w:t>
      </w:r>
    </w:p>
    <w:p>
      <w:pPr>
        <w:pStyle w:val="186"/>
      </w:pPr>
      <w:r>
        <w:t>表3.2.6  硅酮结构胶强度设计值</w:t>
      </w:r>
    </w:p>
    <w:tbl>
      <w:tblPr>
        <w:tblStyle w:val="37"/>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108" w:type="dxa"/>
          <w:bottom w:w="0" w:type="dxa"/>
          <w:right w:w="108" w:type="dxa"/>
        </w:tblCellMar>
      </w:tblPr>
      <w:tblGrid>
        <w:gridCol w:w="4641"/>
        <w:gridCol w:w="464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36" w:hRule="atLeast"/>
          <w:jc w:val="center"/>
        </w:trPr>
        <w:tc>
          <w:tcPr>
            <w:tcW w:w="2499" w:type="pct"/>
            <w:shd w:val="clear" w:color="auto" w:fill="auto"/>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项目</w:t>
            </w:r>
          </w:p>
        </w:tc>
        <w:tc>
          <w:tcPr>
            <w:tcW w:w="2501" w:type="pct"/>
            <w:shd w:val="clear" w:color="auto" w:fill="auto"/>
            <w:vAlign w:val="center"/>
          </w:tcPr>
          <w:p>
            <w:pPr>
              <w:jc w:val="center"/>
              <w:rPr>
                <w:rFonts w:ascii="Times New Roman" w:hAnsi="Times New Roman" w:cs="Times New Roman"/>
                <w:b/>
                <w:bCs/>
                <w:snapToGrid w:val="0"/>
                <w:color w:val="000000"/>
                <w:sz w:val="21"/>
                <w:szCs w:val="21"/>
              </w:rPr>
            </w:pPr>
            <w:r>
              <w:rPr>
                <w:rFonts w:ascii="Times New Roman" w:hAnsi="Times New Roman" w:cs="Times New Roman"/>
                <w:snapToGrid w:val="0"/>
                <w:color w:val="000000"/>
                <w:sz w:val="21"/>
                <w:szCs w:val="21"/>
              </w:rPr>
              <w:t>强度设计值</w:t>
            </w:r>
            <w:r>
              <w:rPr>
                <w:rFonts w:hint="eastAsia" w:ascii="Times New Roman" w:hAnsi="Times New Roman" w:cs="Times New Roman"/>
                <w:snapToGrid w:val="0"/>
                <w:color w:val="000000"/>
                <w:sz w:val="21"/>
                <w:szCs w:val="21"/>
                <w:lang w:eastAsia="zh-CN"/>
              </w:rPr>
              <w:t>（</w:t>
            </w:r>
            <w:r>
              <w:rPr>
                <w:rFonts w:ascii="Times New Roman" w:hAnsi="Times New Roman" w:eastAsia="黑体" w:cs="Times New Roman"/>
                <w:bCs/>
                <w:snapToGrid w:val="0"/>
                <w:color w:val="000000"/>
                <w:sz w:val="21"/>
                <w:szCs w:val="21"/>
              </w:rPr>
              <w:t>N/mm²)</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499" w:type="pct"/>
            <w:shd w:val="clear" w:color="auto" w:fill="auto"/>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短期荷载作用下强度设计值</w:t>
            </w:r>
            <w:r>
              <w:rPr>
                <w:rFonts w:ascii="Times New Roman" w:hAnsi="Times New Roman" w:cs="Times New Roman"/>
                <w:i/>
                <w:iCs/>
                <w:snapToGrid w:val="0"/>
                <w:color w:val="000000"/>
                <w:sz w:val="21"/>
                <w:szCs w:val="21"/>
              </w:rPr>
              <w:t>f</w:t>
            </w:r>
            <w:r>
              <w:rPr>
                <w:rFonts w:ascii="Times New Roman" w:hAnsi="Times New Roman" w:cs="Times New Roman"/>
                <w:i/>
                <w:iCs/>
                <w:snapToGrid w:val="0"/>
                <w:color w:val="000000"/>
                <w:sz w:val="21"/>
                <w:szCs w:val="21"/>
                <w:vertAlign w:val="subscript"/>
              </w:rPr>
              <w:t>1</w:t>
            </w:r>
          </w:p>
        </w:tc>
        <w:tc>
          <w:tcPr>
            <w:tcW w:w="2501" w:type="pct"/>
            <w:shd w:val="clear" w:color="auto" w:fill="auto"/>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0.20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90" w:hRule="atLeast"/>
          <w:jc w:val="center"/>
        </w:trPr>
        <w:tc>
          <w:tcPr>
            <w:tcW w:w="2499" w:type="pct"/>
            <w:shd w:val="clear" w:color="auto" w:fill="auto"/>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长期荷载作用下强度设计值</w:t>
            </w:r>
            <w:r>
              <w:rPr>
                <w:rFonts w:ascii="Times New Roman" w:hAnsi="Times New Roman" w:cs="Times New Roman"/>
                <w:i/>
                <w:iCs/>
                <w:snapToGrid w:val="0"/>
                <w:color w:val="000000"/>
                <w:sz w:val="21"/>
                <w:szCs w:val="21"/>
              </w:rPr>
              <w:t>f</w:t>
            </w:r>
            <w:r>
              <w:rPr>
                <w:rFonts w:ascii="Times New Roman" w:hAnsi="Times New Roman" w:cs="Times New Roman"/>
                <w:i/>
                <w:iCs/>
                <w:snapToGrid w:val="0"/>
                <w:color w:val="000000"/>
                <w:sz w:val="21"/>
                <w:szCs w:val="21"/>
                <w:vertAlign w:val="subscript"/>
              </w:rPr>
              <w:t>2</w:t>
            </w:r>
          </w:p>
        </w:tc>
        <w:tc>
          <w:tcPr>
            <w:tcW w:w="2501" w:type="pct"/>
            <w:shd w:val="clear" w:color="auto" w:fill="auto"/>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0.01</w:t>
            </w:r>
          </w:p>
        </w:tc>
      </w:tr>
    </w:tbl>
    <w:p>
      <w:pPr>
        <w:pStyle w:val="186"/>
        <w:rPr>
          <w:snapToGrid w:val="0"/>
        </w:rPr>
      </w:pPr>
    </w:p>
    <w:p>
      <w:pPr>
        <w:pStyle w:val="189"/>
      </w:pPr>
      <w:r>
        <w:rPr>
          <w:rFonts w:hint="eastAsia"/>
          <w:b/>
        </w:rPr>
        <w:t>3</w:t>
      </w:r>
      <w:r>
        <w:rPr>
          <w:b/>
        </w:rPr>
        <w:t>.2.7</w:t>
      </w:r>
      <w:r>
        <w:rPr>
          <w:rFonts w:hint="eastAsia"/>
          <w:b/>
        </w:rPr>
        <w:t xml:space="preserve"> </w:t>
      </w:r>
      <w:r>
        <w:t>螺栓、焊缝等连接材料强度设计值应按《钢结构设计标准》GB50017规定采用。后锚固锚栓强度设计值可按《混凝土结构后锚固技术规程》JGJ145采用。</w:t>
      </w:r>
    </w:p>
    <w:p>
      <w:pPr>
        <w:spacing w:line="360" w:lineRule="auto"/>
        <w:rPr>
          <w:rFonts w:ascii="Times New Roman" w:hAnsi="Times New Roman"/>
        </w:rPr>
      </w:pPr>
      <w:r>
        <w:rPr>
          <w:rFonts w:ascii="Times New Roman" w:hAnsi="Times New Roman" w:cs="Times New Roman"/>
          <w:b/>
          <w:bCs/>
          <w:szCs w:val="21"/>
        </w:rPr>
        <w:t>3.2.8</w:t>
      </w:r>
      <w:r>
        <w:rPr>
          <w:rFonts w:hint="eastAsia" w:ascii="Times New Roman" w:hAnsi="Times New Roman" w:cs="Times New Roman"/>
          <w:b/>
          <w:bCs/>
          <w:szCs w:val="21"/>
        </w:rPr>
        <w:t xml:space="preserve"> </w:t>
      </w:r>
      <w:r>
        <w:rPr>
          <w:rFonts w:ascii="Times New Roman" w:hAnsi="Times New Roman"/>
        </w:rPr>
        <w:t>木材的力学性能应符合现行国家标准《木结构设计标准》GB 50005、《结构用集成材》GB /T 26899的规定。集成材的强度等级不应低于现行国家标准《结构用集成材》GB /T 26899-2011中规定的TC</w:t>
      </w:r>
      <w:r>
        <w:rPr>
          <w:rFonts w:ascii="Times New Roman" w:hAnsi="Times New Roman"/>
          <w:vertAlign w:val="subscript"/>
        </w:rPr>
        <w:t>T</w:t>
      </w:r>
      <w:r>
        <w:rPr>
          <w:rFonts w:ascii="Times New Roman" w:hAnsi="Times New Roman"/>
        </w:rPr>
        <w:t>21或TC</w:t>
      </w:r>
      <w:r>
        <w:rPr>
          <w:rFonts w:ascii="Times New Roman" w:hAnsi="Times New Roman"/>
          <w:vertAlign w:val="subscript"/>
        </w:rPr>
        <w:t>YD</w:t>
      </w:r>
      <w:r>
        <w:rPr>
          <w:rFonts w:ascii="Times New Roman" w:hAnsi="Times New Roman"/>
        </w:rPr>
        <w:t>18，具体强度等级及要求见表3.2.8-1、3.2.8-2。</w:t>
      </w:r>
    </w:p>
    <w:p>
      <w:pPr>
        <w:pStyle w:val="186"/>
        <w:rPr>
          <w:snapToGrid w:val="0"/>
        </w:rPr>
      </w:pPr>
      <w:r>
        <w:rPr>
          <w:snapToGrid w:val="0"/>
        </w:rPr>
        <w:t>表3.2.8-1 同等组合结构用集成材强度等级的抗弯强度</w:t>
      </w:r>
      <w:r>
        <w:rPr>
          <w:rFonts w:hint="eastAsia"/>
          <w:snapToGrid w:val="0"/>
        </w:rPr>
        <w:t>标准值</w:t>
      </w:r>
      <w:r>
        <w:rPr>
          <w:snapToGrid w:val="0"/>
        </w:rPr>
        <w:t>和抗弯弹性模量</w:t>
      </w:r>
    </w:p>
    <w:tbl>
      <w:tblPr>
        <w:tblStyle w:val="37"/>
        <w:tblW w:w="0" w:type="auto"/>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108" w:type="dxa"/>
          <w:bottom w:w="0" w:type="dxa"/>
          <w:right w:w="108" w:type="dxa"/>
        </w:tblCellMar>
      </w:tblPr>
      <w:tblGrid>
        <w:gridCol w:w="3085"/>
        <w:gridCol w:w="3101"/>
        <w:gridCol w:w="3100"/>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强度等级</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抗弯强度</w:t>
            </w:r>
            <w:r>
              <w:rPr>
                <w:rFonts w:ascii="Times New Roman" w:hAnsi="Times New Roman" w:cs="Times New Roman"/>
                <w:bCs/>
                <w:i/>
                <w:iCs/>
                <w:snapToGrid w:val="0"/>
                <w:color w:val="000000"/>
                <w:sz w:val="21"/>
                <w:szCs w:val="21"/>
              </w:rPr>
              <w:t>f</w:t>
            </w:r>
            <w:r>
              <w:rPr>
                <w:rFonts w:ascii="Times New Roman" w:hAnsi="Times New Roman" w:cs="Times New Roman"/>
                <w:bCs/>
                <w:i/>
                <w:iCs/>
                <w:snapToGrid w:val="0"/>
                <w:color w:val="000000"/>
                <w:sz w:val="21"/>
                <w:szCs w:val="21"/>
                <w:vertAlign w:val="subscript"/>
              </w:rPr>
              <w:t>mk</w:t>
            </w:r>
            <w:r>
              <w:rPr>
                <w:rFonts w:ascii="Times New Roman" w:hAnsi="Times New Roman" w:cs="Times New Roman"/>
                <w:bCs/>
                <w:i/>
                <w:iCs/>
                <w:snapToGrid w:val="0"/>
                <w:color w:val="000000"/>
                <w:sz w:val="21"/>
                <w:szCs w:val="21"/>
              </w:rPr>
              <w:t xml:space="preserve"> </w:t>
            </w:r>
            <w:r>
              <w:rPr>
                <w:rFonts w:ascii="Times New Roman" w:hAnsi="Times New Roman" w:eastAsia="黑体" w:cs="Times New Roman"/>
                <w:bCs/>
                <w:snapToGrid w:val="0"/>
                <w:color w:val="000000"/>
                <w:sz w:val="21"/>
                <w:szCs w:val="21"/>
              </w:rPr>
              <w:t>(N/mm</w:t>
            </w:r>
            <w:r>
              <w:rPr>
                <w:rFonts w:hint="eastAsia" w:ascii="Calibri" w:hAnsi="Calibri" w:eastAsia="黑体" w:cs="Calibri"/>
                <w:bCs/>
                <w:snapToGrid w:val="0"/>
                <w:color w:val="000000"/>
                <w:sz w:val="21"/>
                <w:szCs w:val="21"/>
              </w:rPr>
              <w:t>²</w:t>
            </w:r>
            <w:r>
              <w:rPr>
                <w:rFonts w:ascii="Times New Roman" w:hAnsi="Times New Roman" w:eastAsia="黑体" w:cs="Times New Roman"/>
                <w:bCs/>
                <w:snapToGrid w:val="0"/>
                <w:color w:val="000000"/>
                <w:sz w:val="21"/>
                <w:szCs w:val="21"/>
              </w:rPr>
              <w:t>)</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 xml:space="preserve">抗弯弹性模量E </w:t>
            </w:r>
            <w:r>
              <w:rPr>
                <w:rFonts w:ascii="Times New Roman" w:hAnsi="Times New Roman" w:eastAsia="黑体" w:cs="Times New Roman"/>
                <w:bCs/>
                <w:snapToGrid w:val="0"/>
                <w:color w:val="000000"/>
                <w:sz w:val="21"/>
                <w:szCs w:val="21"/>
              </w:rPr>
              <w:t>(N/mm²)</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TC</w:t>
            </w:r>
            <w:r>
              <w:rPr>
                <w:rFonts w:ascii="Times New Roman" w:hAnsi="Times New Roman" w:cs="Times New Roman"/>
                <w:bCs/>
                <w:snapToGrid w:val="0"/>
                <w:color w:val="000000"/>
                <w:sz w:val="21"/>
                <w:szCs w:val="21"/>
                <w:vertAlign w:val="subscript"/>
              </w:rPr>
              <w:t>T</w:t>
            </w:r>
            <w:r>
              <w:rPr>
                <w:rFonts w:ascii="Times New Roman" w:hAnsi="Times New Roman" w:cs="Times New Roman"/>
                <w:bCs/>
                <w:snapToGrid w:val="0"/>
                <w:color w:val="000000"/>
                <w:sz w:val="21"/>
                <w:szCs w:val="21"/>
              </w:rPr>
              <w:t>30</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40</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12500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TC</w:t>
            </w:r>
            <w:r>
              <w:rPr>
                <w:rFonts w:ascii="Times New Roman" w:hAnsi="Times New Roman" w:cs="Times New Roman"/>
                <w:bCs/>
                <w:snapToGrid w:val="0"/>
                <w:color w:val="000000"/>
                <w:sz w:val="21"/>
                <w:szCs w:val="21"/>
                <w:vertAlign w:val="subscript"/>
              </w:rPr>
              <w:t>T</w:t>
            </w:r>
            <w:r>
              <w:rPr>
                <w:rFonts w:ascii="Times New Roman" w:hAnsi="Times New Roman" w:cs="Times New Roman"/>
                <w:bCs/>
                <w:snapToGrid w:val="0"/>
                <w:color w:val="000000"/>
                <w:sz w:val="21"/>
                <w:szCs w:val="21"/>
              </w:rPr>
              <w:t>27</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36</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11000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TC</w:t>
            </w:r>
            <w:r>
              <w:rPr>
                <w:rFonts w:ascii="Times New Roman" w:hAnsi="Times New Roman" w:cs="Times New Roman"/>
                <w:bCs/>
                <w:snapToGrid w:val="0"/>
                <w:color w:val="000000"/>
                <w:sz w:val="21"/>
                <w:szCs w:val="21"/>
                <w:vertAlign w:val="subscript"/>
              </w:rPr>
              <w:t>T</w:t>
            </w:r>
            <w:r>
              <w:rPr>
                <w:rFonts w:ascii="Times New Roman" w:hAnsi="Times New Roman" w:cs="Times New Roman"/>
                <w:bCs/>
                <w:snapToGrid w:val="0"/>
                <w:color w:val="000000"/>
                <w:sz w:val="21"/>
                <w:szCs w:val="21"/>
              </w:rPr>
              <w:t>24</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32</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9500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TC</w:t>
            </w:r>
            <w:r>
              <w:rPr>
                <w:rFonts w:ascii="Times New Roman" w:hAnsi="Times New Roman" w:cs="Times New Roman"/>
                <w:bCs/>
                <w:snapToGrid w:val="0"/>
                <w:color w:val="000000"/>
                <w:sz w:val="21"/>
                <w:szCs w:val="21"/>
                <w:vertAlign w:val="subscript"/>
              </w:rPr>
              <w:t>T</w:t>
            </w:r>
            <w:r>
              <w:rPr>
                <w:rFonts w:ascii="Times New Roman" w:hAnsi="Times New Roman" w:cs="Times New Roman"/>
                <w:bCs/>
                <w:snapToGrid w:val="0"/>
                <w:color w:val="000000"/>
                <w:sz w:val="21"/>
                <w:szCs w:val="21"/>
              </w:rPr>
              <w:t>21</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28</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8000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TC</w:t>
            </w:r>
            <w:r>
              <w:rPr>
                <w:rFonts w:ascii="Times New Roman" w:hAnsi="Times New Roman" w:cs="Times New Roman"/>
                <w:bCs/>
                <w:snapToGrid w:val="0"/>
                <w:color w:val="000000"/>
                <w:sz w:val="21"/>
                <w:szCs w:val="21"/>
                <w:vertAlign w:val="subscript"/>
              </w:rPr>
              <w:t>T</w:t>
            </w:r>
            <w:r>
              <w:rPr>
                <w:rFonts w:ascii="Times New Roman" w:hAnsi="Times New Roman" w:cs="Times New Roman"/>
                <w:bCs/>
                <w:snapToGrid w:val="0"/>
                <w:color w:val="000000"/>
                <w:sz w:val="21"/>
                <w:szCs w:val="21"/>
              </w:rPr>
              <w:t>18</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24</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6500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TC</w:t>
            </w:r>
            <w:r>
              <w:rPr>
                <w:rFonts w:ascii="Times New Roman" w:hAnsi="Times New Roman" w:cs="Times New Roman"/>
                <w:bCs/>
                <w:snapToGrid w:val="0"/>
                <w:color w:val="000000"/>
                <w:sz w:val="21"/>
                <w:szCs w:val="21"/>
                <w:vertAlign w:val="subscript"/>
              </w:rPr>
              <w:t>T</w:t>
            </w:r>
            <w:r>
              <w:rPr>
                <w:rFonts w:ascii="Times New Roman" w:hAnsi="Times New Roman" w:cs="Times New Roman"/>
                <w:bCs/>
                <w:snapToGrid w:val="0"/>
                <w:color w:val="000000"/>
                <w:sz w:val="21"/>
                <w:szCs w:val="21"/>
              </w:rPr>
              <w:t>15</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20</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5000</w:t>
            </w:r>
          </w:p>
        </w:tc>
      </w:tr>
    </w:tbl>
    <w:p>
      <w:pPr>
        <w:pStyle w:val="186"/>
        <w:rPr>
          <w:b/>
          <w:snapToGrid w:val="0"/>
        </w:rPr>
      </w:pPr>
      <w:r>
        <w:rPr>
          <w:snapToGrid w:val="0"/>
        </w:rPr>
        <w:t>表3.2.8-2 对称异等组合结构用集成材强度等级的抗弯强度</w:t>
      </w:r>
      <w:r>
        <w:rPr>
          <w:rFonts w:hint="eastAsia"/>
          <w:snapToGrid w:val="0"/>
        </w:rPr>
        <w:t>标准值</w:t>
      </w:r>
      <w:r>
        <w:rPr>
          <w:snapToGrid w:val="0"/>
        </w:rPr>
        <w:t>和抗弯弹性模量</w:t>
      </w:r>
    </w:p>
    <w:tbl>
      <w:tblPr>
        <w:tblStyle w:val="37"/>
        <w:tblW w:w="0" w:type="auto"/>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108" w:type="dxa"/>
          <w:bottom w:w="0" w:type="dxa"/>
          <w:right w:w="108" w:type="dxa"/>
        </w:tblCellMar>
      </w:tblPr>
      <w:tblGrid>
        <w:gridCol w:w="3091"/>
        <w:gridCol w:w="3097"/>
        <w:gridCol w:w="3098"/>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强度等级</w:t>
            </w:r>
          </w:p>
        </w:tc>
        <w:tc>
          <w:tcPr>
            <w:tcW w:w="3285" w:type="dxa"/>
            <w:shd w:val="clear" w:color="auto" w:fill="auto"/>
            <w:vAlign w:val="center"/>
          </w:tcPr>
          <w:p>
            <w:pPr>
              <w:jc w:val="center"/>
              <w:rPr>
                <w:rFonts w:ascii="Times New Roman" w:hAnsi="Times New Roman" w:cs="Times New Roman"/>
                <w:bCs/>
                <w:snapToGrid w:val="0"/>
                <w:color w:val="000000"/>
                <w:sz w:val="21"/>
                <w:szCs w:val="21"/>
                <w:vertAlign w:val="subscript"/>
              </w:rPr>
            </w:pPr>
            <w:r>
              <w:rPr>
                <w:rFonts w:ascii="Times New Roman" w:hAnsi="Times New Roman" w:cs="Times New Roman"/>
                <w:bCs/>
                <w:snapToGrid w:val="0"/>
                <w:color w:val="000000"/>
                <w:sz w:val="21"/>
                <w:szCs w:val="21"/>
              </w:rPr>
              <w:t>抗弯强度</w:t>
            </w:r>
            <w:r>
              <w:rPr>
                <w:rFonts w:ascii="Times New Roman" w:hAnsi="Times New Roman" w:cs="Times New Roman"/>
                <w:bCs/>
                <w:i/>
                <w:iCs/>
                <w:snapToGrid w:val="0"/>
                <w:color w:val="000000"/>
                <w:sz w:val="21"/>
                <w:szCs w:val="21"/>
              </w:rPr>
              <w:t>f</w:t>
            </w:r>
            <w:r>
              <w:rPr>
                <w:rFonts w:ascii="Times New Roman" w:hAnsi="Times New Roman" w:cs="Times New Roman"/>
                <w:bCs/>
                <w:i/>
                <w:iCs/>
                <w:snapToGrid w:val="0"/>
                <w:color w:val="000000"/>
                <w:sz w:val="21"/>
                <w:szCs w:val="21"/>
                <w:vertAlign w:val="subscript"/>
              </w:rPr>
              <w:t>mk</w:t>
            </w:r>
            <w:r>
              <w:rPr>
                <w:rFonts w:ascii="Times New Roman" w:hAnsi="Times New Roman" w:cs="Times New Roman"/>
                <w:bCs/>
                <w:i/>
                <w:iCs/>
                <w:snapToGrid w:val="0"/>
                <w:color w:val="000000"/>
                <w:sz w:val="21"/>
                <w:szCs w:val="21"/>
              </w:rPr>
              <w:t xml:space="preserve"> </w:t>
            </w:r>
            <w:r>
              <w:rPr>
                <w:rFonts w:ascii="Times New Roman" w:hAnsi="Times New Roman" w:eastAsia="黑体" w:cs="Times New Roman"/>
                <w:bCs/>
                <w:snapToGrid w:val="0"/>
                <w:color w:val="000000"/>
                <w:sz w:val="21"/>
                <w:szCs w:val="21"/>
              </w:rPr>
              <w:t>(N/mm²)</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抗弯弹性模量</w:t>
            </w:r>
            <w:r>
              <w:rPr>
                <w:rFonts w:ascii="Times New Roman" w:hAnsi="Times New Roman" w:cs="Times New Roman"/>
                <w:bCs/>
                <w:i/>
                <w:iCs/>
                <w:snapToGrid w:val="0"/>
                <w:color w:val="000000"/>
                <w:sz w:val="21"/>
                <w:szCs w:val="21"/>
              </w:rPr>
              <w:t xml:space="preserve">E </w:t>
            </w:r>
            <w:r>
              <w:rPr>
                <w:rFonts w:ascii="Times New Roman" w:hAnsi="Times New Roman" w:eastAsia="黑体" w:cs="Times New Roman"/>
                <w:bCs/>
                <w:snapToGrid w:val="0"/>
                <w:color w:val="000000"/>
                <w:sz w:val="21"/>
                <w:szCs w:val="21"/>
              </w:rPr>
              <w:t>(N/mm²)</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TC</w:t>
            </w:r>
            <w:r>
              <w:rPr>
                <w:rFonts w:ascii="Times New Roman" w:hAnsi="Times New Roman" w:cs="Times New Roman"/>
                <w:bCs/>
                <w:snapToGrid w:val="0"/>
                <w:color w:val="000000"/>
                <w:sz w:val="21"/>
                <w:szCs w:val="21"/>
                <w:vertAlign w:val="subscript"/>
              </w:rPr>
              <w:t>YD</w:t>
            </w:r>
            <w:r>
              <w:rPr>
                <w:rFonts w:ascii="Times New Roman" w:hAnsi="Times New Roman" w:cs="Times New Roman"/>
                <w:bCs/>
                <w:snapToGrid w:val="0"/>
                <w:color w:val="000000"/>
                <w:sz w:val="21"/>
                <w:szCs w:val="21"/>
              </w:rPr>
              <w:t>30</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40</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14000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TC</w:t>
            </w:r>
            <w:r>
              <w:rPr>
                <w:rFonts w:ascii="Times New Roman" w:hAnsi="Times New Roman" w:cs="Times New Roman"/>
                <w:bCs/>
                <w:snapToGrid w:val="0"/>
                <w:color w:val="000000"/>
                <w:sz w:val="21"/>
                <w:szCs w:val="21"/>
                <w:vertAlign w:val="subscript"/>
              </w:rPr>
              <w:t>YD</w:t>
            </w:r>
            <w:r>
              <w:rPr>
                <w:rFonts w:ascii="Times New Roman" w:hAnsi="Times New Roman" w:cs="Times New Roman"/>
                <w:bCs/>
                <w:snapToGrid w:val="0"/>
                <w:color w:val="000000"/>
                <w:sz w:val="21"/>
                <w:szCs w:val="21"/>
              </w:rPr>
              <w:t>27</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36</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12500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TC</w:t>
            </w:r>
            <w:r>
              <w:rPr>
                <w:rFonts w:ascii="Times New Roman" w:hAnsi="Times New Roman" w:cs="Times New Roman"/>
                <w:bCs/>
                <w:snapToGrid w:val="0"/>
                <w:color w:val="000000"/>
                <w:sz w:val="21"/>
                <w:szCs w:val="21"/>
                <w:vertAlign w:val="subscript"/>
              </w:rPr>
              <w:t>YD</w:t>
            </w:r>
            <w:r>
              <w:rPr>
                <w:rFonts w:ascii="Times New Roman" w:hAnsi="Times New Roman" w:cs="Times New Roman"/>
                <w:bCs/>
                <w:snapToGrid w:val="0"/>
                <w:color w:val="000000"/>
                <w:sz w:val="21"/>
                <w:szCs w:val="21"/>
              </w:rPr>
              <w:t>24</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32</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11000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TC</w:t>
            </w:r>
            <w:r>
              <w:rPr>
                <w:rFonts w:ascii="Times New Roman" w:hAnsi="Times New Roman" w:cs="Times New Roman"/>
                <w:bCs/>
                <w:snapToGrid w:val="0"/>
                <w:color w:val="000000"/>
                <w:sz w:val="21"/>
                <w:szCs w:val="21"/>
                <w:vertAlign w:val="subscript"/>
              </w:rPr>
              <w:t>YD</w:t>
            </w:r>
            <w:r>
              <w:rPr>
                <w:rFonts w:ascii="Times New Roman" w:hAnsi="Times New Roman" w:cs="Times New Roman"/>
                <w:bCs/>
                <w:snapToGrid w:val="0"/>
                <w:color w:val="000000"/>
                <w:sz w:val="21"/>
                <w:szCs w:val="21"/>
              </w:rPr>
              <w:t>21</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28</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9500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TC</w:t>
            </w:r>
            <w:r>
              <w:rPr>
                <w:rFonts w:ascii="Times New Roman" w:hAnsi="Times New Roman" w:cs="Times New Roman"/>
                <w:bCs/>
                <w:snapToGrid w:val="0"/>
                <w:color w:val="000000"/>
                <w:sz w:val="21"/>
                <w:szCs w:val="21"/>
                <w:vertAlign w:val="subscript"/>
              </w:rPr>
              <w:t>YD</w:t>
            </w:r>
            <w:r>
              <w:rPr>
                <w:rFonts w:ascii="Times New Roman" w:hAnsi="Times New Roman" w:cs="Times New Roman"/>
                <w:bCs/>
                <w:snapToGrid w:val="0"/>
                <w:color w:val="000000"/>
                <w:sz w:val="21"/>
                <w:szCs w:val="21"/>
              </w:rPr>
              <w:t>18</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24</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8000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284"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TC</w:t>
            </w:r>
            <w:r>
              <w:rPr>
                <w:rFonts w:ascii="Times New Roman" w:hAnsi="Times New Roman" w:cs="Times New Roman"/>
                <w:bCs/>
                <w:snapToGrid w:val="0"/>
                <w:color w:val="000000"/>
                <w:sz w:val="21"/>
                <w:szCs w:val="21"/>
                <w:vertAlign w:val="subscript"/>
              </w:rPr>
              <w:t>YD</w:t>
            </w:r>
            <w:r>
              <w:rPr>
                <w:rFonts w:ascii="Times New Roman" w:hAnsi="Times New Roman" w:cs="Times New Roman"/>
                <w:bCs/>
                <w:snapToGrid w:val="0"/>
                <w:color w:val="000000"/>
                <w:sz w:val="21"/>
                <w:szCs w:val="21"/>
              </w:rPr>
              <w:t>15</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20</w:t>
            </w:r>
          </w:p>
        </w:tc>
        <w:tc>
          <w:tcPr>
            <w:tcW w:w="3285" w:type="dxa"/>
            <w:shd w:val="clear" w:color="auto" w:fill="auto"/>
            <w:vAlign w:val="center"/>
          </w:tcPr>
          <w:p>
            <w:pPr>
              <w:jc w:val="center"/>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6500</w:t>
            </w:r>
          </w:p>
        </w:tc>
      </w:tr>
    </w:tbl>
    <w:p>
      <w:pPr>
        <w:pStyle w:val="189"/>
      </w:pPr>
      <w:r>
        <w:rPr>
          <w:rFonts w:hint="eastAsia"/>
          <w:b/>
        </w:rPr>
        <w:t>3</w:t>
      </w:r>
      <w:r>
        <w:rPr>
          <w:b/>
        </w:rPr>
        <w:t>.2.9</w:t>
      </w:r>
      <w:r>
        <w:rPr>
          <w:rFonts w:hint="eastAsia"/>
          <w:b/>
        </w:rPr>
        <w:t xml:space="preserve"> </w:t>
      </w:r>
      <w:r>
        <w:t>铝合金型材用隔热材料中聚酰胺型材应符合</w:t>
      </w:r>
      <w:r>
        <w:rPr>
          <w:rFonts w:hint="eastAsia"/>
        </w:rPr>
        <w:t>国家现行标准</w:t>
      </w:r>
      <w:r>
        <w:t>《</w:t>
      </w:r>
      <w:r>
        <w:rPr>
          <w:rFonts w:hint="eastAsia"/>
        </w:rPr>
        <w:t>铝合金建筑型材用隔热材料</w:t>
      </w:r>
      <w:r>
        <w:t xml:space="preserve"> 第1部分：聚酰胺型材》GB/T</w:t>
      </w:r>
      <w:r>
        <w:rPr>
          <w:rFonts w:hint="eastAsia"/>
        </w:rPr>
        <w:t xml:space="preserve"> </w:t>
      </w:r>
      <w:r>
        <w:t>23615.1和《</w:t>
      </w:r>
      <w:r>
        <w:rPr>
          <w:rFonts w:hint="eastAsia"/>
        </w:rPr>
        <w:t>建筑铝合金型材用聚酰胺隔热条</w:t>
      </w:r>
      <w:r>
        <w:t>》JG/T</w:t>
      </w:r>
      <w:r>
        <w:rPr>
          <w:rFonts w:hint="eastAsia"/>
        </w:rPr>
        <w:t xml:space="preserve"> </w:t>
      </w:r>
      <w:r>
        <w:t>174规定。浇注型材中的聚氨酯隔热胶应符合</w:t>
      </w:r>
      <w:r>
        <w:rPr>
          <w:rFonts w:hint="eastAsia"/>
        </w:rPr>
        <w:t>现行国家标准</w:t>
      </w:r>
      <w:r>
        <w:t>《</w:t>
      </w:r>
      <w:r>
        <w:rPr>
          <w:rFonts w:hint="eastAsia"/>
        </w:rPr>
        <w:t>铝合金建筑型材用隔热材料</w:t>
      </w:r>
      <w:r>
        <w:t xml:space="preserve"> 第2部分：聚氨酯隔热胶》GB/T</w:t>
      </w:r>
      <w:r>
        <w:rPr>
          <w:rFonts w:hint="eastAsia"/>
        </w:rPr>
        <w:t xml:space="preserve"> </w:t>
      </w:r>
      <w:r>
        <w:t>23615.2的规定。其他隔热材料应符合现行国家标准相关规定及设计要求。</w:t>
      </w:r>
    </w:p>
    <w:p>
      <w:pPr>
        <w:spacing w:line="360" w:lineRule="auto"/>
        <w:rPr>
          <w:rFonts w:ascii="Times New Roman" w:hAnsi="Times New Roman"/>
        </w:rPr>
      </w:pPr>
      <w:r>
        <w:rPr>
          <w:rFonts w:hint="eastAsia" w:ascii="Times New Roman" w:hAnsi="Times New Roman" w:cs="Times New Roman"/>
          <w:b/>
          <w:bCs/>
          <w:szCs w:val="21"/>
        </w:rPr>
        <w:t>3</w:t>
      </w:r>
      <w:r>
        <w:rPr>
          <w:rFonts w:ascii="Times New Roman" w:hAnsi="Times New Roman" w:cs="Times New Roman"/>
          <w:b/>
          <w:bCs/>
          <w:szCs w:val="21"/>
        </w:rPr>
        <w:t>.2.10</w:t>
      </w:r>
      <w:r>
        <w:rPr>
          <w:rFonts w:hint="eastAsia" w:ascii="Times New Roman" w:hAnsi="Times New Roman" w:cs="Times New Roman"/>
          <w:b/>
          <w:bCs/>
          <w:szCs w:val="21"/>
        </w:rPr>
        <w:t xml:space="preserve"> </w:t>
      </w:r>
      <w:r>
        <w:rPr>
          <w:rFonts w:ascii="Times New Roman" w:hAnsi="Times New Roman" w:cs="Times New Roman"/>
        </w:rPr>
        <w:t>建筑</w:t>
      </w:r>
      <w:r>
        <w:rPr>
          <w:rFonts w:hint="eastAsia" w:ascii="Times New Roman" w:hAnsi="Times New Roman" w:cs="Times New Roman"/>
        </w:rPr>
        <w:t>幕墙开启</w:t>
      </w:r>
      <w:r>
        <w:rPr>
          <w:rFonts w:ascii="Times New Roman" w:hAnsi="Times New Roman" w:cs="Times New Roman"/>
        </w:rPr>
        <w:t>五金件常用材料应按现行国家标准《建筑门窗五金件 通用要求》GB /T 32223的要求</w:t>
      </w:r>
      <w:r>
        <w:rPr>
          <w:rFonts w:hint="eastAsia" w:ascii="Times New Roman" w:hAnsi="Times New Roman" w:cs="Times New Roman"/>
        </w:rPr>
        <w:t>，</w:t>
      </w:r>
      <w:r>
        <w:rPr>
          <w:rFonts w:ascii="Times New Roman" w:hAnsi="Times New Roman" w:cs="Times New Roman"/>
        </w:rPr>
        <w:t>取值应按表3.2.10采用。</w:t>
      </w:r>
    </w:p>
    <w:p>
      <w:pPr>
        <w:pStyle w:val="186"/>
        <w:rPr>
          <w:snapToGrid w:val="0"/>
        </w:rPr>
      </w:pPr>
      <w:r>
        <w:rPr>
          <w:snapToGrid w:val="0"/>
        </w:rPr>
        <w:t>表3.2.10 建筑门窗五金件常用材料要求</w:t>
      </w:r>
    </w:p>
    <w:tbl>
      <w:tblPr>
        <w:tblStyle w:val="37"/>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108" w:type="dxa"/>
          <w:bottom w:w="0" w:type="dxa"/>
          <w:right w:w="108" w:type="dxa"/>
        </w:tblCellMar>
      </w:tblPr>
      <w:tblGrid>
        <w:gridCol w:w="1892"/>
        <w:gridCol w:w="7394"/>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jc w:val="center"/>
        </w:trPr>
        <w:tc>
          <w:tcPr>
            <w:tcW w:w="1019" w:type="pct"/>
            <w:shd w:val="clear" w:color="auto" w:fill="auto"/>
            <w:vAlign w:val="center"/>
          </w:tcPr>
          <w:p>
            <w:pPr>
              <w:jc w:val="center"/>
              <w:rPr>
                <w:rFonts w:ascii="Times New Roman" w:hAnsi="Times New Roman" w:cs="Times New Roman"/>
              </w:rPr>
            </w:pPr>
            <w:r>
              <w:rPr>
                <w:rFonts w:ascii="Times New Roman" w:hAnsi="Times New Roman" w:cs="Times New Roman"/>
              </w:rPr>
              <w:t>材料</w:t>
            </w:r>
          </w:p>
        </w:tc>
        <w:tc>
          <w:tcPr>
            <w:tcW w:w="3981" w:type="pct"/>
            <w:shd w:val="clear" w:color="auto" w:fill="auto"/>
            <w:vAlign w:val="center"/>
          </w:tcPr>
          <w:p>
            <w:pPr>
              <w:jc w:val="center"/>
              <w:rPr>
                <w:rFonts w:ascii="Times New Roman" w:hAnsi="Times New Roman" w:cs="Times New Roman"/>
              </w:rPr>
            </w:pPr>
            <w:r>
              <w:rPr>
                <w:rFonts w:ascii="Times New Roman" w:hAnsi="Times New Roman" w:cs="Times New Roman"/>
              </w:rPr>
              <w:t>要求</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9" w:type="pct"/>
            <w:shd w:val="clear" w:color="auto" w:fill="auto"/>
            <w:vAlign w:val="center"/>
          </w:tcPr>
          <w:p>
            <w:pPr>
              <w:jc w:val="center"/>
              <w:rPr>
                <w:rFonts w:ascii="Times New Roman" w:hAnsi="Times New Roman" w:cs="Times New Roman"/>
              </w:rPr>
            </w:pPr>
            <w:r>
              <w:rPr>
                <w:rFonts w:ascii="Times New Roman" w:hAnsi="Times New Roman" w:cs="Times New Roman"/>
              </w:rPr>
              <w:t>碳素钢</w:t>
            </w:r>
          </w:p>
        </w:tc>
        <w:tc>
          <w:tcPr>
            <w:tcW w:w="3981" w:type="pct"/>
            <w:shd w:val="clear" w:color="auto" w:fill="auto"/>
            <w:vAlign w:val="center"/>
          </w:tcPr>
          <w:p>
            <w:pPr>
              <w:rPr>
                <w:rFonts w:ascii="Times New Roman" w:hAnsi="Times New Roman" w:cs="Times New Roman"/>
              </w:rPr>
            </w:pPr>
            <w:r>
              <w:rPr>
                <w:rFonts w:ascii="Times New Roman" w:hAnsi="Times New Roman" w:cs="Times New Roman"/>
              </w:rPr>
              <w:t>冷拉工艺部件不应低于《</w:t>
            </w:r>
            <w:r>
              <w:rPr>
                <w:rFonts w:ascii="Times New Roman" w:hAnsi="Times New Roman" w:cs="Times New Roman"/>
                <w:color w:val="333333"/>
                <w:shd w:val="clear" w:color="auto" w:fill="FFFFFF"/>
              </w:rPr>
              <w:t>碳素结构钢</w:t>
            </w:r>
            <w:r>
              <w:rPr>
                <w:rFonts w:ascii="Times New Roman" w:hAnsi="Times New Roman" w:cs="Times New Roman"/>
              </w:rPr>
              <w:t>》GB /T 700、《</w:t>
            </w:r>
            <w:r>
              <w:rPr>
                <w:rFonts w:ascii="Times New Roman" w:hAnsi="Times New Roman" w:cs="Times New Roman"/>
                <w:color w:val="333333"/>
                <w:shd w:val="clear" w:color="auto" w:fill="FFFFFF"/>
              </w:rPr>
              <w:t>冷拉圆钢、方钢、六角钢</w:t>
            </w:r>
            <w:r>
              <w:rPr>
                <w:rFonts w:ascii="Times New Roman" w:hAnsi="Times New Roman" w:cs="Times New Roman"/>
              </w:rPr>
              <w:t>》GB /T 905中Q235的规定；冷轧钢板及钢带不应低于《</w:t>
            </w:r>
            <w:r>
              <w:rPr>
                <w:rFonts w:ascii="Times New Roman" w:hAnsi="Times New Roman" w:cs="Times New Roman"/>
                <w:color w:val="333333"/>
                <w:shd w:val="clear" w:color="auto" w:fill="FFFFFF"/>
              </w:rPr>
              <w:t>碳素结构钢</w:t>
            </w:r>
            <w:r>
              <w:rPr>
                <w:rFonts w:ascii="Times New Roman" w:hAnsi="Times New Roman" w:cs="Times New Roman"/>
              </w:rPr>
              <w:t>》GB /T 700、《</w:t>
            </w:r>
            <w:r>
              <w:rPr>
                <w:rFonts w:ascii="Times New Roman" w:hAnsi="Times New Roman" w:cs="Times New Roman"/>
                <w:color w:val="333333"/>
                <w:shd w:val="clear" w:color="auto" w:fill="FFFFFF"/>
              </w:rPr>
              <w:t>碳素结构钢冷轧钢板及钢带</w:t>
            </w:r>
            <w:r>
              <w:rPr>
                <w:rFonts w:ascii="Times New Roman" w:hAnsi="Times New Roman" w:cs="Times New Roman"/>
              </w:rPr>
              <w:t>》GB /T 11253中Q235的规定；热轧工艺部件不应低于《</w:t>
            </w:r>
            <w:r>
              <w:rPr>
                <w:rFonts w:ascii="Times New Roman" w:hAnsi="Times New Roman" w:cs="Times New Roman"/>
                <w:color w:val="333333"/>
                <w:shd w:val="clear" w:color="auto" w:fill="FFFFFF"/>
              </w:rPr>
              <w:t>碳素结构钢</w:t>
            </w:r>
            <w:r>
              <w:rPr>
                <w:rFonts w:ascii="Times New Roman" w:hAnsi="Times New Roman" w:cs="Times New Roman"/>
              </w:rPr>
              <w:t>》GB /T 700、《</w:t>
            </w:r>
            <w:r>
              <w:rPr>
                <w:rFonts w:ascii="Times New Roman" w:hAnsi="Times New Roman" w:cs="Times New Roman"/>
                <w:color w:val="333333"/>
                <w:shd w:val="clear" w:color="auto" w:fill="FFFFFF"/>
              </w:rPr>
              <w:t>热轧钢棒尺寸</w:t>
            </w:r>
            <w:r>
              <w:rPr>
                <w:rFonts w:ascii="Times New Roman" w:hAnsi="Times New Roman" w:cs="Times New Roman"/>
              </w:rPr>
              <w:t>》GB /T 702中Q235的规定。</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9" w:type="pct"/>
            <w:shd w:val="clear" w:color="auto" w:fill="auto"/>
            <w:vAlign w:val="center"/>
          </w:tcPr>
          <w:p>
            <w:pPr>
              <w:jc w:val="center"/>
              <w:rPr>
                <w:rFonts w:ascii="Times New Roman" w:hAnsi="Times New Roman" w:cs="Times New Roman"/>
              </w:rPr>
            </w:pPr>
            <w:r>
              <w:rPr>
                <w:rFonts w:ascii="Times New Roman" w:hAnsi="Times New Roman" w:cs="Times New Roman"/>
              </w:rPr>
              <w:t>锌合金</w:t>
            </w:r>
          </w:p>
        </w:tc>
        <w:tc>
          <w:tcPr>
            <w:tcW w:w="3981" w:type="pct"/>
            <w:shd w:val="clear" w:color="auto" w:fill="auto"/>
            <w:vAlign w:val="center"/>
          </w:tcPr>
          <w:p>
            <w:pPr>
              <w:rPr>
                <w:rFonts w:ascii="Times New Roman" w:hAnsi="Times New Roman" w:cs="Times New Roman"/>
              </w:rPr>
            </w:pPr>
            <w:r>
              <w:rPr>
                <w:rFonts w:ascii="Times New Roman" w:hAnsi="Times New Roman" w:cs="Times New Roman"/>
              </w:rPr>
              <w:t>压铸锌合金不应低于《</w:t>
            </w:r>
            <w:r>
              <w:rPr>
                <w:rFonts w:ascii="Times New Roman" w:hAnsi="Times New Roman" w:cs="Times New Roman"/>
                <w:color w:val="333333"/>
                <w:shd w:val="clear" w:color="auto" w:fill="FFFFFF"/>
              </w:rPr>
              <w:t>压铸锌合金</w:t>
            </w:r>
            <w:r>
              <w:rPr>
                <w:rFonts w:ascii="Times New Roman" w:hAnsi="Times New Roman" w:cs="Times New Roman"/>
              </w:rPr>
              <w:t>》GB /T 13818中YZZnAl4Cul的规定。</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9" w:type="pct"/>
            <w:vMerge w:val="restart"/>
            <w:shd w:val="clear" w:color="auto" w:fill="auto"/>
            <w:vAlign w:val="center"/>
          </w:tcPr>
          <w:p>
            <w:pPr>
              <w:jc w:val="center"/>
              <w:rPr>
                <w:rFonts w:ascii="Times New Roman" w:hAnsi="Times New Roman" w:cs="Times New Roman"/>
              </w:rPr>
            </w:pPr>
            <w:r>
              <w:rPr>
                <w:rFonts w:ascii="Times New Roman" w:hAnsi="Times New Roman" w:cs="Times New Roman"/>
              </w:rPr>
              <w:t>铝合金</w:t>
            </w:r>
          </w:p>
        </w:tc>
        <w:tc>
          <w:tcPr>
            <w:tcW w:w="3981" w:type="pct"/>
            <w:shd w:val="clear" w:color="auto" w:fill="auto"/>
            <w:vAlign w:val="center"/>
          </w:tcPr>
          <w:p>
            <w:pPr>
              <w:rPr>
                <w:rFonts w:ascii="Times New Roman" w:hAnsi="Times New Roman" w:cs="Times New Roman"/>
              </w:rPr>
            </w:pPr>
            <w:r>
              <w:rPr>
                <w:rFonts w:ascii="Times New Roman" w:hAnsi="Times New Roman" w:cs="Times New Roman"/>
              </w:rPr>
              <w:t>挤压铝合金不应低于《</w:t>
            </w:r>
            <w:r>
              <w:rPr>
                <w:rFonts w:ascii="Times New Roman" w:hAnsi="Times New Roman" w:cs="Times New Roman"/>
                <w:color w:val="333333"/>
                <w:shd w:val="clear" w:color="auto" w:fill="FFFFFF"/>
              </w:rPr>
              <w:t>铝合金建筑型材 第1部分</w:t>
            </w:r>
            <w:r>
              <w:rPr>
                <w:rFonts w:hint="eastAsia" w:ascii="Times New Roman" w:hAnsi="Times New Roman" w:cs="Times New Roman"/>
                <w:color w:val="333333"/>
                <w:shd w:val="clear" w:color="auto" w:fill="FFFFFF"/>
                <w:lang w:eastAsia="zh-CN"/>
              </w:rPr>
              <w:t>：</w:t>
            </w:r>
            <w:r>
              <w:rPr>
                <w:rFonts w:ascii="Times New Roman" w:hAnsi="Times New Roman" w:cs="Times New Roman"/>
                <w:color w:val="333333"/>
                <w:shd w:val="clear" w:color="auto" w:fill="FFFFFF"/>
              </w:rPr>
              <w:t>基材</w:t>
            </w:r>
            <w:r>
              <w:rPr>
                <w:rFonts w:ascii="Times New Roman" w:hAnsi="Times New Roman" w:cs="Times New Roman"/>
              </w:rPr>
              <w:t>》GB 5237.1中6063 T5的规定。</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9" w:type="pct"/>
            <w:vMerge w:val="continue"/>
            <w:shd w:val="clear" w:color="auto" w:fill="auto"/>
            <w:vAlign w:val="center"/>
          </w:tcPr>
          <w:p>
            <w:pPr>
              <w:jc w:val="center"/>
              <w:rPr>
                <w:rFonts w:ascii="Times New Roman" w:hAnsi="Times New Roman" w:cs="Times New Roman"/>
              </w:rPr>
            </w:pPr>
          </w:p>
        </w:tc>
        <w:tc>
          <w:tcPr>
            <w:tcW w:w="3981" w:type="pct"/>
            <w:shd w:val="clear" w:color="auto" w:fill="auto"/>
            <w:vAlign w:val="center"/>
          </w:tcPr>
          <w:p>
            <w:pPr>
              <w:rPr>
                <w:rFonts w:ascii="Times New Roman" w:hAnsi="Times New Roman" w:cs="Times New Roman"/>
              </w:rPr>
            </w:pPr>
            <w:r>
              <w:rPr>
                <w:rFonts w:ascii="Times New Roman" w:hAnsi="Times New Roman" w:cs="Times New Roman"/>
              </w:rPr>
              <w:t>压铸铝合金不应低于《</w:t>
            </w:r>
            <w:r>
              <w:rPr>
                <w:rFonts w:ascii="Times New Roman" w:hAnsi="Times New Roman" w:cs="Times New Roman"/>
                <w:color w:val="333333"/>
                <w:shd w:val="clear" w:color="auto" w:fill="FFFFFF"/>
              </w:rPr>
              <w:t>压铸铝合金</w:t>
            </w:r>
            <w:r>
              <w:rPr>
                <w:rFonts w:ascii="Times New Roman" w:hAnsi="Times New Roman" w:cs="Times New Roman"/>
              </w:rPr>
              <w:t>》GB /T 15115中YZAlSil2的规定。</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9" w:type="pct"/>
            <w:vMerge w:val="continue"/>
            <w:shd w:val="clear" w:color="auto" w:fill="auto"/>
            <w:vAlign w:val="center"/>
          </w:tcPr>
          <w:p>
            <w:pPr>
              <w:jc w:val="center"/>
              <w:rPr>
                <w:rFonts w:ascii="Times New Roman" w:hAnsi="Times New Roman" w:cs="Times New Roman"/>
              </w:rPr>
            </w:pPr>
          </w:p>
        </w:tc>
        <w:tc>
          <w:tcPr>
            <w:tcW w:w="3981" w:type="pct"/>
            <w:shd w:val="clear" w:color="auto" w:fill="auto"/>
            <w:vAlign w:val="center"/>
          </w:tcPr>
          <w:p>
            <w:pPr>
              <w:rPr>
                <w:rFonts w:ascii="Times New Roman" w:hAnsi="Times New Roman" w:cs="Times New Roman"/>
              </w:rPr>
            </w:pPr>
            <w:r>
              <w:rPr>
                <w:rFonts w:ascii="Times New Roman" w:hAnsi="Times New Roman" w:cs="Times New Roman"/>
              </w:rPr>
              <w:t>锻压铝合金不应低于《</w:t>
            </w:r>
            <w:r>
              <w:rPr>
                <w:rFonts w:ascii="Times New Roman" w:hAnsi="Times New Roman" w:cs="Times New Roman"/>
                <w:color w:val="333333"/>
                <w:shd w:val="clear" w:color="auto" w:fill="FFFFFF"/>
              </w:rPr>
              <w:t>变形铝及铝合金化学成分</w:t>
            </w:r>
            <w:r>
              <w:rPr>
                <w:rFonts w:ascii="Times New Roman" w:hAnsi="Times New Roman" w:cs="Times New Roman"/>
              </w:rPr>
              <w:t>》GB /T 3190中7075的规定。</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9" w:type="pct"/>
            <w:vMerge w:val="restart"/>
            <w:shd w:val="clear" w:color="auto" w:fill="auto"/>
            <w:vAlign w:val="center"/>
          </w:tcPr>
          <w:p>
            <w:pPr>
              <w:jc w:val="center"/>
              <w:rPr>
                <w:rFonts w:ascii="Times New Roman" w:hAnsi="Times New Roman" w:cs="Times New Roman"/>
              </w:rPr>
            </w:pPr>
            <w:r>
              <w:rPr>
                <w:rFonts w:ascii="Times New Roman" w:hAnsi="Times New Roman" w:cs="Times New Roman"/>
              </w:rPr>
              <w:t>不锈钢</w:t>
            </w:r>
          </w:p>
        </w:tc>
        <w:tc>
          <w:tcPr>
            <w:tcW w:w="3981" w:type="pct"/>
            <w:shd w:val="clear" w:color="auto" w:fill="auto"/>
            <w:vAlign w:val="center"/>
          </w:tcPr>
          <w:p>
            <w:pPr>
              <w:rPr>
                <w:rFonts w:ascii="Times New Roman" w:hAnsi="Times New Roman" w:cs="Times New Roman"/>
              </w:rPr>
            </w:pPr>
            <w:r>
              <w:rPr>
                <w:rFonts w:ascii="Times New Roman" w:hAnsi="Times New Roman" w:cs="Times New Roman"/>
              </w:rPr>
              <w:t>不锈钢冷轧钢板不应低于《</w:t>
            </w:r>
            <w:r>
              <w:rPr>
                <w:rFonts w:ascii="Times New Roman" w:hAnsi="Times New Roman" w:cs="Times New Roman"/>
                <w:color w:val="333333"/>
                <w:shd w:val="clear" w:color="auto" w:fill="FFFFFF"/>
              </w:rPr>
              <w:t>不锈钢冷轧钢板和钢带</w:t>
            </w:r>
            <w:r>
              <w:rPr>
                <w:rFonts w:ascii="Times New Roman" w:hAnsi="Times New Roman" w:cs="Times New Roman"/>
              </w:rPr>
              <w:t>》GB /T 3280中0Cr18Ni9的规定。</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82" w:hRule="atLeast"/>
          <w:jc w:val="center"/>
        </w:trPr>
        <w:tc>
          <w:tcPr>
            <w:tcW w:w="1019" w:type="pct"/>
            <w:vMerge w:val="continue"/>
            <w:shd w:val="clear" w:color="auto" w:fill="auto"/>
            <w:vAlign w:val="center"/>
          </w:tcPr>
          <w:p>
            <w:pPr>
              <w:jc w:val="center"/>
              <w:rPr>
                <w:rFonts w:ascii="Times New Roman" w:hAnsi="Times New Roman" w:cs="Times New Roman"/>
              </w:rPr>
            </w:pPr>
          </w:p>
        </w:tc>
        <w:tc>
          <w:tcPr>
            <w:tcW w:w="3981" w:type="pct"/>
            <w:shd w:val="clear" w:color="auto" w:fill="auto"/>
            <w:vAlign w:val="center"/>
          </w:tcPr>
          <w:p>
            <w:pPr>
              <w:rPr>
                <w:rFonts w:ascii="Times New Roman" w:hAnsi="Times New Roman" w:cs="Times New Roman"/>
              </w:rPr>
            </w:pPr>
            <w:r>
              <w:rPr>
                <w:rFonts w:ascii="Times New Roman" w:hAnsi="Times New Roman" w:cs="Times New Roman"/>
              </w:rPr>
              <w:t>不锈钢棒不应低于《</w:t>
            </w:r>
            <w:r>
              <w:rPr>
                <w:rFonts w:ascii="Times New Roman" w:hAnsi="Times New Roman" w:cs="Times New Roman"/>
                <w:color w:val="333333"/>
                <w:shd w:val="clear" w:color="auto" w:fill="FFFFFF"/>
              </w:rPr>
              <w:t>不锈钢棒</w:t>
            </w:r>
            <w:r>
              <w:rPr>
                <w:rFonts w:ascii="Times New Roman" w:hAnsi="Times New Roman" w:cs="Times New Roman"/>
              </w:rPr>
              <w:t>》GB /T 1220中0Cr18Ni9的规定。</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9" w:type="pct"/>
            <w:vMerge w:val="restart"/>
            <w:shd w:val="clear" w:color="auto" w:fill="auto"/>
            <w:vAlign w:val="center"/>
          </w:tcPr>
          <w:p>
            <w:pPr>
              <w:jc w:val="center"/>
              <w:rPr>
                <w:rFonts w:ascii="Times New Roman" w:hAnsi="Times New Roman" w:cs="Times New Roman"/>
              </w:rPr>
            </w:pPr>
            <w:r>
              <w:rPr>
                <w:rFonts w:ascii="Times New Roman" w:hAnsi="Times New Roman" w:cs="Times New Roman"/>
              </w:rPr>
              <w:t>塑料</w:t>
            </w:r>
          </w:p>
        </w:tc>
        <w:tc>
          <w:tcPr>
            <w:tcW w:w="3981" w:type="pct"/>
            <w:shd w:val="clear" w:color="auto" w:fill="auto"/>
            <w:vAlign w:val="center"/>
          </w:tcPr>
          <w:p>
            <w:pPr>
              <w:rPr>
                <w:rFonts w:ascii="Times New Roman" w:hAnsi="Times New Roman" w:cs="Times New Roman"/>
              </w:rPr>
            </w:pPr>
            <w:r>
              <w:rPr>
                <w:rFonts w:ascii="Times New Roman" w:hAnsi="Times New Roman" w:cs="Times New Roman"/>
              </w:rPr>
              <w:t>ABS应采用弯曲强度不低于《</w:t>
            </w:r>
            <w:r>
              <w:rPr>
                <w:rFonts w:ascii="Times New Roman" w:hAnsi="Times New Roman" w:cs="Times New Roman"/>
                <w:color w:val="333333"/>
                <w:shd w:val="clear" w:color="auto" w:fill="FFFFFF"/>
              </w:rPr>
              <w:t>丙烯腈-丁二烯-苯乙烯</w:t>
            </w:r>
            <w:r>
              <w:rPr>
                <w:rFonts w:hint="eastAsia" w:ascii="Times New Roman" w:hAnsi="Times New Roman" w:cs="Times New Roman"/>
                <w:color w:val="333333"/>
                <w:shd w:val="clear" w:color="auto" w:fill="FFFFFF"/>
                <w:lang w:eastAsia="zh-CN"/>
              </w:rPr>
              <w:t>（</w:t>
            </w:r>
            <w:r>
              <w:rPr>
                <w:rFonts w:ascii="Times New Roman" w:hAnsi="Times New Roman" w:cs="Times New Roman"/>
                <w:color w:val="333333"/>
                <w:shd w:val="clear" w:color="auto" w:fill="FFFFFF"/>
              </w:rPr>
              <w:t>ABS</w:t>
            </w:r>
            <w:r>
              <w:rPr>
                <w:rFonts w:hint="eastAsia" w:ascii="Times New Roman" w:hAnsi="Times New Roman" w:cs="Times New Roman"/>
                <w:color w:val="333333"/>
                <w:shd w:val="clear" w:color="auto" w:fill="FFFFFF"/>
                <w:lang w:eastAsia="zh-CN"/>
              </w:rPr>
              <w:t>）</w:t>
            </w:r>
            <w:r>
              <w:rPr>
                <w:rFonts w:ascii="Times New Roman" w:hAnsi="Times New Roman" w:cs="Times New Roman"/>
                <w:color w:val="333333"/>
                <w:shd w:val="clear" w:color="auto" w:fill="FFFFFF"/>
              </w:rPr>
              <w:t>树脂</w:t>
            </w:r>
            <w:r>
              <w:rPr>
                <w:rFonts w:ascii="Times New Roman" w:hAnsi="Times New Roman" w:cs="Times New Roman"/>
              </w:rPr>
              <w:t>》GB /T 12672中62MPa的材料。</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9" w:type="pct"/>
            <w:vMerge w:val="continue"/>
            <w:shd w:val="clear" w:color="auto" w:fill="auto"/>
            <w:vAlign w:val="center"/>
          </w:tcPr>
          <w:p>
            <w:pPr>
              <w:jc w:val="center"/>
              <w:rPr>
                <w:rFonts w:ascii="Times New Roman" w:hAnsi="Times New Roman" w:cs="Times New Roman"/>
              </w:rPr>
            </w:pPr>
          </w:p>
        </w:tc>
        <w:tc>
          <w:tcPr>
            <w:tcW w:w="3981" w:type="pct"/>
            <w:shd w:val="clear" w:color="auto" w:fill="auto"/>
            <w:vAlign w:val="center"/>
          </w:tcPr>
          <w:p>
            <w:pPr>
              <w:rPr>
                <w:rFonts w:ascii="Times New Roman" w:hAnsi="Times New Roman" w:cs="Times New Roman"/>
                <w:highlight w:val="yellow"/>
              </w:rPr>
            </w:pPr>
            <w:r>
              <w:rPr>
                <w:rFonts w:ascii="Times New Roman" w:hAnsi="Times New Roman" w:cs="Times New Roman"/>
              </w:rPr>
              <w:t>聚甲醛应不低于《</w:t>
            </w:r>
            <w:r>
              <w:rPr>
                <w:rFonts w:ascii="Times New Roman" w:hAnsi="Times New Roman" w:cs="Times New Roman"/>
                <w:color w:val="333333"/>
                <w:shd w:val="clear" w:color="auto" w:fill="FFFFFF"/>
              </w:rPr>
              <w:t>塑料 聚甲醛</w:t>
            </w:r>
            <w:r>
              <w:rPr>
                <w:rFonts w:hint="eastAsia" w:ascii="Times New Roman" w:hAnsi="Times New Roman" w:cs="Times New Roman"/>
                <w:color w:val="333333"/>
                <w:shd w:val="clear" w:color="auto" w:fill="FFFFFF"/>
                <w:lang w:eastAsia="zh-CN"/>
              </w:rPr>
              <w:t>（</w:t>
            </w:r>
            <w:r>
              <w:rPr>
                <w:rFonts w:ascii="Times New Roman" w:hAnsi="Times New Roman" w:cs="Times New Roman"/>
                <w:color w:val="333333"/>
                <w:shd w:val="clear" w:color="auto" w:fill="FFFFFF"/>
              </w:rPr>
              <w:t>POM</w:t>
            </w:r>
            <w:r>
              <w:rPr>
                <w:rFonts w:hint="eastAsia" w:ascii="Times New Roman" w:hAnsi="Times New Roman" w:cs="Times New Roman"/>
                <w:color w:val="333333"/>
                <w:shd w:val="clear" w:color="auto" w:fill="FFFFFF"/>
                <w:lang w:eastAsia="zh-CN"/>
              </w:rPr>
              <w:t>）</w:t>
            </w:r>
            <w:r>
              <w:rPr>
                <w:rFonts w:ascii="Times New Roman" w:hAnsi="Times New Roman" w:cs="Times New Roman"/>
                <w:color w:val="333333"/>
                <w:shd w:val="clear" w:color="auto" w:fill="FFFFFF"/>
              </w:rPr>
              <w:t>模塑和挤塑材料 第3部分：通用产品要求</w:t>
            </w:r>
            <w:r>
              <w:rPr>
                <w:rFonts w:ascii="Times New Roman" w:hAnsi="Times New Roman" w:cs="Times New Roman"/>
              </w:rPr>
              <w:t>》GB /T 22271.3的规定。</w:t>
            </w:r>
          </w:p>
        </w:tc>
      </w:tr>
    </w:tbl>
    <w:p>
      <w:pPr>
        <w:pStyle w:val="120"/>
        <w:outlineLvl w:val="9"/>
        <w:rPr>
          <w:rFonts w:ascii="Times New Roman" w:hAnsi="Times New Roman"/>
          <w:strike/>
        </w:rPr>
      </w:pPr>
    </w:p>
    <w:p>
      <w:pPr>
        <w:rPr>
          <w:rFonts w:ascii="Times New Roman" w:hAnsi="Times New Roman"/>
          <w:snapToGrid w:val="0"/>
        </w:rPr>
      </w:pPr>
      <w:r>
        <w:rPr>
          <w:rFonts w:hint="eastAsia" w:ascii="Times New Roman" w:hAnsi="Times New Roman" w:cs="Times New Roman"/>
          <w:b/>
          <w:bCs/>
          <w:szCs w:val="21"/>
        </w:rPr>
        <w:t xml:space="preserve">3.2.11 </w:t>
      </w:r>
      <w:r>
        <w:rPr>
          <w:rFonts w:hint="eastAsia" w:ascii="Times New Roman" w:hAnsi="Times New Roman"/>
        </w:rPr>
        <w:t>干挂石材的强度应由法定检测机构检测，并符合《</w:t>
      </w:r>
      <w:r>
        <w:rPr>
          <w:rFonts w:ascii="Times New Roman" w:hAnsi="Times New Roman"/>
        </w:rPr>
        <w:t>干挂饰面石材</w:t>
      </w:r>
      <w:r>
        <w:rPr>
          <w:rFonts w:hint="eastAsia" w:ascii="Times New Roman" w:hAnsi="Times New Roman"/>
        </w:rPr>
        <w:t>》</w:t>
      </w:r>
      <w:r>
        <w:rPr>
          <w:rFonts w:ascii="Times New Roman" w:hAnsi="Times New Roman"/>
        </w:rPr>
        <w:t>GB/T 32834</w:t>
      </w:r>
      <w:r>
        <w:rPr>
          <w:rFonts w:hint="eastAsia" w:ascii="Times New Roman" w:hAnsi="Times New Roman"/>
        </w:rPr>
        <w:t>的规定。石材面板的抗弯、抗剪强度设计值可根据其弯曲强度试验的平均值</w:t>
      </w:r>
      <w:r>
        <w:rPr>
          <w:rFonts w:hint="eastAsia" w:ascii="Times New Roman" w:hAnsi="Times New Roman"/>
          <w:snapToGrid w:val="0"/>
        </w:rPr>
        <w:t>按照表</w:t>
      </w:r>
      <w:r>
        <w:rPr>
          <w:rFonts w:ascii="Times New Roman" w:hAnsi="Times New Roman"/>
          <w:snapToGrid w:val="0"/>
        </w:rPr>
        <w:t>3.2.11</w:t>
      </w:r>
      <w:r>
        <w:rPr>
          <w:rFonts w:hint="eastAsia" w:ascii="Times New Roman" w:hAnsi="Times New Roman"/>
          <w:snapToGrid w:val="0"/>
        </w:rPr>
        <w:t>中的安全系数计算得出。石材抗弯强度设计值、抗剪强度设计值应按下列公式计算：</w:t>
      </w:r>
    </w:p>
    <w:tbl>
      <w:tblPr>
        <w:tblStyle w:val="37"/>
        <w:tblW w:w="0" w:type="auto"/>
        <w:jc w:val="right"/>
        <w:tblLayout w:type="fixed"/>
        <w:tblCellMar>
          <w:top w:w="0" w:type="dxa"/>
          <w:left w:w="108" w:type="dxa"/>
          <w:bottom w:w="0" w:type="dxa"/>
          <w:right w:w="108" w:type="dxa"/>
        </w:tblCellMar>
      </w:tblPr>
      <w:tblGrid>
        <w:gridCol w:w="5917"/>
        <w:gridCol w:w="2268"/>
      </w:tblGrid>
      <w:tr>
        <w:tblPrEx>
          <w:tblCellMar>
            <w:top w:w="0" w:type="dxa"/>
            <w:left w:w="108" w:type="dxa"/>
            <w:bottom w:w="0" w:type="dxa"/>
            <w:right w:w="108" w:type="dxa"/>
          </w:tblCellMar>
        </w:tblPrEx>
        <w:trPr>
          <w:jc w:val="right"/>
        </w:trPr>
        <w:tc>
          <w:tcPr>
            <w:tcW w:w="5917" w:type="dxa"/>
            <w:shd w:val="clear" w:color="auto" w:fill="auto"/>
          </w:tcPr>
          <w:p>
            <w:pPr>
              <w:pStyle w:val="34"/>
              <w:rPr>
                <w:rFonts w:ascii="Times New Roman" w:hAnsi="Times New Roman"/>
                <w:sz w:val="21"/>
                <w:szCs w:val="21"/>
              </w:rPr>
            </w:pPr>
            <m:oMathPara>
              <m:oMathParaPr>
                <m:jc m:val="center"/>
              </m:oMathParaPr>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g1</m:t>
                    </m:r>
                    <m:ctrlPr>
                      <w:rPr>
                        <w:rFonts w:ascii="Cambria Math" w:hAnsi="Cambria Math"/>
                        <w:snapToGrid w:val="0"/>
                      </w:rPr>
                    </m:ctrlPr>
                  </m:sub>
                </m:sSub>
                <m:r>
                  <m:rPr>
                    <m:sty m:val="p"/>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gm</m:t>
                    </m:r>
                    <m:ctrlPr>
                      <w:rPr>
                        <w:rFonts w:ascii="Cambria Math" w:hAnsi="Cambria Math"/>
                        <w:snapToGrid w:val="0"/>
                      </w:rPr>
                    </m:ctrlPr>
                  </m:sub>
                </m:sSub>
                <m:r>
                  <m:rPr>
                    <m:sty m:val="p"/>
                  </m:rPr>
                  <w:rPr>
                    <w:rFonts w:ascii="Cambria Math" w:hAnsi="Cambria Math"/>
                    <w:snapToGrid w:val="0"/>
                  </w:rPr>
                  <m:t>/</m:t>
                </m:r>
                <m:sSub>
                  <m:sSubPr>
                    <m:ctrlPr>
                      <w:rPr>
                        <w:rFonts w:ascii="Cambria Math" w:hAnsi="Cambria Math"/>
                        <w:snapToGrid w:val="0"/>
                      </w:rPr>
                    </m:ctrlPr>
                  </m:sSubPr>
                  <m:e>
                    <m:r>
                      <m:rPr>
                        <m:sty m:val="p"/>
                      </m:rPr>
                      <w:rPr>
                        <w:rFonts w:ascii="Cambria Math" w:hAnsi="Cambria Math"/>
                        <w:snapToGrid w:val="0"/>
                      </w:rPr>
                      <m:t>K</m:t>
                    </m:r>
                    <m:ctrlPr>
                      <w:rPr>
                        <w:rFonts w:ascii="Cambria Math" w:hAnsi="Cambria Math"/>
                        <w:snapToGrid w:val="0"/>
                      </w:rPr>
                    </m:ctrlPr>
                  </m:e>
                  <m:sub>
                    <m:r>
                      <m:rPr/>
                      <w:rPr>
                        <w:rFonts w:ascii="Cambria Math" w:hAnsi="Cambria Math"/>
                        <w:snapToGrid w:val="0"/>
                      </w:rPr>
                      <m:t>bm</m:t>
                    </m:r>
                    <m:ctrlPr>
                      <w:rPr>
                        <w:rFonts w:ascii="Cambria Math" w:hAnsi="Cambria Math"/>
                        <w:snapToGrid w:val="0"/>
                      </w:rPr>
                    </m:ctrlPr>
                  </m:sub>
                </m:sSub>
              </m:oMath>
            </m:oMathPara>
          </w:p>
        </w:tc>
        <w:tc>
          <w:tcPr>
            <w:tcW w:w="2268" w:type="dxa"/>
            <w:shd w:val="clear" w:color="auto" w:fill="auto"/>
            <w:vAlign w:val="center"/>
          </w:tcPr>
          <w:p>
            <w:pPr>
              <w:jc w:val="right"/>
              <w:rPr>
                <w:rFonts w:ascii="Times New Roman" w:hAnsi="Times New Roman"/>
                <w:sz w:val="21"/>
                <w:szCs w:val="21"/>
              </w:rPr>
            </w:pPr>
            <w:r>
              <w:rPr>
                <w:rFonts w:ascii="Times New Roman" w:hAnsi="Times New Roman"/>
                <w:sz w:val="21"/>
                <w:szCs w:val="21"/>
              </w:rPr>
              <w:t>（3.2.11-1）</w:t>
            </w:r>
          </w:p>
        </w:tc>
      </w:tr>
      <w:tr>
        <w:tblPrEx>
          <w:tblCellMar>
            <w:top w:w="0" w:type="dxa"/>
            <w:left w:w="108" w:type="dxa"/>
            <w:bottom w:w="0" w:type="dxa"/>
            <w:right w:w="108" w:type="dxa"/>
          </w:tblCellMar>
        </w:tblPrEx>
        <w:trPr>
          <w:jc w:val="right"/>
        </w:trPr>
        <w:tc>
          <w:tcPr>
            <w:tcW w:w="5917" w:type="dxa"/>
            <w:shd w:val="clear" w:color="auto" w:fill="auto"/>
          </w:tcPr>
          <w:p>
            <w:pPr>
              <w:pStyle w:val="34"/>
              <w:rPr>
                <w:rFonts w:ascii="Cambria Math" w:hAnsi="Cambria Math"/>
                <w:snapToGrid w:val="0"/>
                <w:oMath/>
              </w:rPr>
            </w:pPr>
            <m:oMathPara>
              <m:oMathParaPr>
                <m:jc m:val="center"/>
              </m:oMathParaPr>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g2</m:t>
                    </m:r>
                    <m:ctrlPr>
                      <w:rPr>
                        <w:rFonts w:ascii="Cambria Math" w:hAnsi="Cambria Math"/>
                        <w:snapToGrid w:val="0"/>
                      </w:rPr>
                    </m:ctrlPr>
                  </m:sub>
                </m:sSub>
                <m:r>
                  <m:rPr>
                    <m:sty m:val="p"/>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gm</m:t>
                    </m:r>
                    <m:ctrlPr>
                      <w:rPr>
                        <w:rFonts w:ascii="Cambria Math" w:hAnsi="Cambria Math"/>
                        <w:snapToGrid w:val="0"/>
                      </w:rPr>
                    </m:ctrlPr>
                  </m:sub>
                </m:sSub>
                <m:r>
                  <m:rPr>
                    <m:sty m:val="p"/>
                  </m:rPr>
                  <w:rPr>
                    <w:rFonts w:ascii="Cambria Math" w:hAnsi="Cambria Math"/>
                    <w:snapToGrid w:val="0"/>
                  </w:rPr>
                  <m:t>/</m:t>
                </m:r>
                <m:sSub>
                  <m:sSubPr>
                    <m:ctrlPr>
                      <w:rPr>
                        <w:rFonts w:ascii="Cambria Math" w:hAnsi="Cambria Math"/>
                        <w:snapToGrid w:val="0"/>
                      </w:rPr>
                    </m:ctrlPr>
                  </m:sSubPr>
                  <m:e>
                    <m:r>
                      <m:rPr>
                        <m:sty m:val="p"/>
                      </m:rPr>
                      <w:rPr>
                        <w:rFonts w:ascii="Cambria Math" w:hAnsi="Cambria Math"/>
                        <w:snapToGrid w:val="0"/>
                      </w:rPr>
                      <m:t>K</m:t>
                    </m:r>
                    <m:ctrlPr>
                      <w:rPr>
                        <w:rFonts w:ascii="Cambria Math" w:hAnsi="Cambria Math"/>
                        <w:snapToGrid w:val="0"/>
                      </w:rPr>
                    </m:ctrlPr>
                  </m:e>
                  <m:sub>
                    <m:r>
                      <m:rPr/>
                      <w:rPr>
                        <w:rFonts w:ascii="Cambria Math" w:hAnsi="Cambria Math"/>
                        <w:snapToGrid w:val="0"/>
                      </w:rPr>
                      <m:t>cm</m:t>
                    </m:r>
                    <m:ctrlPr>
                      <w:rPr>
                        <w:rFonts w:ascii="Cambria Math" w:hAnsi="Cambria Math"/>
                        <w:snapToGrid w:val="0"/>
                      </w:rPr>
                    </m:ctrlPr>
                  </m:sub>
                </m:sSub>
              </m:oMath>
            </m:oMathPara>
          </w:p>
        </w:tc>
        <w:tc>
          <w:tcPr>
            <w:tcW w:w="2268" w:type="dxa"/>
            <w:shd w:val="clear" w:color="auto" w:fill="auto"/>
            <w:vAlign w:val="center"/>
          </w:tcPr>
          <w:p>
            <w:pPr>
              <w:jc w:val="right"/>
              <w:rPr>
                <w:rFonts w:ascii="Times New Roman" w:hAnsi="Times New Roman"/>
                <w:sz w:val="21"/>
                <w:szCs w:val="21"/>
              </w:rPr>
            </w:pPr>
            <w:r>
              <w:rPr>
                <w:rFonts w:ascii="Times New Roman" w:hAnsi="Times New Roman"/>
                <w:sz w:val="21"/>
                <w:szCs w:val="21"/>
              </w:rPr>
              <w:t>（3.2.11-2）</w:t>
            </w:r>
          </w:p>
        </w:tc>
      </w:tr>
    </w:tbl>
    <w:p>
      <w:pPr>
        <w:pStyle w:val="189"/>
        <w:ind w:firstLine="480"/>
      </w:pPr>
      <w:r>
        <w:rPr>
          <w:rFonts w:hint="eastAsia"/>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i/>
                <w:sz w:val="21"/>
                <w:szCs w:val="21"/>
              </w:rPr>
            </w:pPr>
            <m:oMathPara>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g1</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hint="eastAsia" w:ascii="Times New Roman" w:hAnsi="Times New Roman"/>
                <w:sz w:val="21"/>
                <w:szCs w:val="21"/>
              </w:rPr>
              <w:t>石材面板抗弯强度设计值</w:t>
            </w:r>
            <w:r>
              <w:rPr>
                <w:rFonts w:hint="eastAsia" w:ascii="Times New Roman" w:hAnsi="Times New Roman"/>
                <w:sz w:val="21"/>
                <w:szCs w:val="21"/>
                <w:lang w:eastAsia="zh-CN"/>
              </w:rPr>
              <w:t>（</w:t>
            </w:r>
            <w:r>
              <w:rPr>
                <w:rFonts w:hint="eastAsia" w:ascii="Times New Roman" w:hAnsi="Times New Roman"/>
                <w:sz w:val="21"/>
                <w:szCs w:val="21"/>
              </w:rPr>
              <w:t>N/mm²)；</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i/>
                <w:sz w:val="21"/>
                <w:szCs w:val="21"/>
              </w:rPr>
            </w:pPr>
            <m:oMathPara>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m:sty m:val="p"/>
                      </m:rPr>
                      <w:rPr>
                        <w:rFonts w:ascii="Cambria Math" w:hAnsi="Cambria Math"/>
                        <w:snapToGrid w:val="0"/>
                      </w:rPr>
                      <m:t>g2</m:t>
                    </m:r>
                    <m:ctrlPr>
                      <w:rPr>
                        <w:rFonts w:hint="eastAsia" w:ascii="Cambria Math" w:hAnsi="Cambria Math"/>
                        <w:snapToGrid w:val="0"/>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hint="eastAsia" w:ascii="Times New Roman" w:hAnsi="Times New Roman"/>
                <w:sz w:val="21"/>
                <w:szCs w:val="21"/>
              </w:rPr>
              <w:t>石材面板抗剪强度设计值</w:t>
            </w:r>
            <w:r>
              <w:rPr>
                <w:rFonts w:hint="eastAsia" w:ascii="Times New Roman" w:hAnsi="Times New Roman"/>
                <w:sz w:val="21"/>
                <w:szCs w:val="21"/>
                <w:lang w:eastAsia="zh-CN"/>
              </w:rPr>
              <w:t>（</w:t>
            </w:r>
            <w:r>
              <w:rPr>
                <w:rFonts w:hint="eastAsia" w:ascii="Times New Roman" w:hAnsi="Times New Roman"/>
                <w:sz w:val="21"/>
                <w:szCs w:val="21"/>
              </w:rPr>
              <w:t>N/mm²)；</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i/>
                <w:sz w:val="21"/>
                <w:szCs w:val="21"/>
              </w:rPr>
            </w:pPr>
            <m:oMathPara>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gm</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hint="eastAsia" w:ascii="Times New Roman" w:hAnsi="Times New Roman"/>
                <w:sz w:val="21"/>
                <w:szCs w:val="21"/>
              </w:rPr>
              <w:t>石材面板弯曲强度试验平均值</w:t>
            </w:r>
            <w:r>
              <w:rPr>
                <w:rFonts w:hint="eastAsia" w:ascii="Times New Roman" w:hAnsi="Times New Roman"/>
                <w:sz w:val="21"/>
                <w:szCs w:val="21"/>
                <w:lang w:eastAsia="zh-CN"/>
              </w:rPr>
              <w:t>（</w:t>
            </w:r>
            <w:r>
              <w:rPr>
                <w:rFonts w:hint="eastAsia" w:ascii="Times New Roman" w:hAnsi="Times New Roman"/>
                <w:sz w:val="21"/>
                <w:szCs w:val="21"/>
              </w:rPr>
              <w:t>N/mm²)；</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i/>
                <w:sz w:val="21"/>
                <w:szCs w:val="21"/>
              </w:rPr>
            </w:pPr>
            <m:oMathPara>
              <m:oMath>
                <m:sSub>
                  <m:sSubPr>
                    <m:ctrlPr>
                      <w:rPr>
                        <w:rFonts w:ascii="Cambria Math" w:hAnsi="Cambria Math"/>
                        <w:snapToGrid w:val="0"/>
                      </w:rPr>
                    </m:ctrlPr>
                  </m:sSubPr>
                  <m:e>
                    <m:r>
                      <m:rPr/>
                      <w:rPr>
                        <w:rFonts w:ascii="Cambria Math" w:hAnsi="Cambria Math"/>
                        <w:snapToGrid w:val="0"/>
                      </w:rPr>
                      <m:t>K</m:t>
                    </m:r>
                    <m:ctrlPr>
                      <w:rPr>
                        <w:rFonts w:ascii="Cambria Math" w:hAnsi="Cambria Math"/>
                        <w:snapToGrid w:val="0"/>
                      </w:rPr>
                    </m:ctrlPr>
                  </m:e>
                  <m:sub>
                    <m:r>
                      <m:rPr/>
                      <w:rPr>
                        <w:rFonts w:ascii="Cambria Math" w:hAnsi="Cambria Math"/>
                        <w:snapToGrid w:val="0"/>
                      </w:rPr>
                      <m:t>bm</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hint="eastAsia" w:ascii="Times New Roman" w:hAnsi="Times New Roman"/>
                <w:sz w:val="21"/>
                <w:szCs w:val="21"/>
              </w:rPr>
              <w:t>石材抗弯设计材料强度安全系数；</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
                <m:sSub>
                  <m:sSubPr>
                    <m:ctrlPr>
                      <w:rPr>
                        <w:rFonts w:ascii="Cambria Math" w:hAnsi="Cambria Math"/>
                        <w:snapToGrid w:val="0"/>
                      </w:rPr>
                    </m:ctrlPr>
                  </m:sSubPr>
                  <m:e>
                    <m:r>
                      <m:rPr/>
                      <w:rPr>
                        <w:rFonts w:ascii="Cambria Math" w:hAnsi="Cambria Math"/>
                        <w:snapToGrid w:val="0"/>
                      </w:rPr>
                      <m:t>K</m:t>
                    </m:r>
                    <m:ctrlPr>
                      <w:rPr>
                        <w:rFonts w:ascii="Cambria Math" w:hAnsi="Cambria Math"/>
                        <w:snapToGrid w:val="0"/>
                      </w:rPr>
                    </m:ctrlPr>
                  </m:e>
                  <m:sub>
                    <m:r>
                      <m:rPr/>
                      <w:rPr>
                        <w:rFonts w:ascii="Cambria Math" w:hAnsi="Cambria Math"/>
                        <w:snapToGrid w:val="0"/>
                      </w:rPr>
                      <m:t>cm</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hint="eastAsia" w:ascii="Times New Roman" w:hAnsi="Times New Roman"/>
                <w:sz w:val="21"/>
                <w:szCs w:val="21"/>
              </w:rPr>
              <w:t>石材抗剪设计材料强度安全系数。</w:t>
            </w:r>
          </w:p>
        </w:tc>
      </w:tr>
    </w:tbl>
    <w:p>
      <w:pPr>
        <w:pStyle w:val="186"/>
        <w:rPr>
          <w:snapToGrid w:val="0"/>
        </w:rPr>
      </w:pPr>
      <w:r>
        <w:rPr>
          <w:snapToGrid w:val="0"/>
        </w:rPr>
        <w:t>表</w:t>
      </w:r>
      <w:r>
        <w:rPr>
          <w:rFonts w:hint="eastAsia"/>
          <w:snapToGrid w:val="0"/>
        </w:rPr>
        <w:t>3</w:t>
      </w:r>
      <w:r>
        <w:rPr>
          <w:snapToGrid w:val="0"/>
        </w:rPr>
        <w:t>.2.</w:t>
      </w:r>
      <w:r>
        <w:rPr>
          <w:rFonts w:hint="eastAsia"/>
          <w:snapToGrid w:val="0"/>
        </w:rPr>
        <w:t>11</w:t>
      </w:r>
      <w:r>
        <w:rPr>
          <w:snapToGrid w:val="0"/>
        </w:rPr>
        <w:t xml:space="preserve"> </w:t>
      </w:r>
      <w:r>
        <w:rPr>
          <w:rFonts w:hint="eastAsia"/>
          <w:snapToGrid w:val="0"/>
        </w:rPr>
        <w:t>不同石材的安全系数取值</w:t>
      </w:r>
    </w:p>
    <w:tbl>
      <w:tblPr>
        <w:tblStyle w:val="37"/>
        <w:tblW w:w="4998" w:type="pct"/>
        <w:tblInd w:w="0" w:type="dxa"/>
        <w:tblLayout w:type="autofit"/>
        <w:tblCellMar>
          <w:top w:w="0" w:type="dxa"/>
          <w:left w:w="108" w:type="dxa"/>
          <w:bottom w:w="0" w:type="dxa"/>
          <w:right w:w="108" w:type="dxa"/>
        </w:tblCellMar>
      </w:tblPr>
      <w:tblGrid>
        <w:gridCol w:w="1589"/>
        <w:gridCol w:w="1915"/>
        <w:gridCol w:w="2890"/>
        <w:gridCol w:w="2888"/>
      </w:tblGrid>
      <w:tr>
        <w:tblPrEx>
          <w:tblCellMar>
            <w:top w:w="0" w:type="dxa"/>
            <w:left w:w="108" w:type="dxa"/>
            <w:bottom w:w="0" w:type="dxa"/>
            <w:right w:w="108" w:type="dxa"/>
          </w:tblCellMar>
        </w:tblPrEx>
        <w:trPr>
          <w:trHeight w:val="348" w:hRule="atLeast"/>
        </w:trPr>
        <w:tc>
          <w:tcPr>
            <w:tcW w:w="8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石材种类</w:t>
            </w:r>
          </w:p>
        </w:tc>
        <w:tc>
          <w:tcPr>
            <w:tcW w:w="25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抗弯</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抗剪</w:t>
            </w:r>
          </w:p>
        </w:tc>
      </w:tr>
      <w:tr>
        <w:tblPrEx>
          <w:tblCellMar>
            <w:top w:w="0" w:type="dxa"/>
            <w:left w:w="108" w:type="dxa"/>
            <w:bottom w:w="0" w:type="dxa"/>
            <w:right w:w="108" w:type="dxa"/>
          </w:tblCellMar>
        </w:tblPrEx>
        <w:trPr>
          <w:trHeight w:val="348" w:hRule="atLeast"/>
        </w:trPr>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总安全系数</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材料强度安全系数</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材料强度安全系数</w:t>
            </w:r>
          </w:p>
        </w:tc>
      </w:tr>
      <w:tr>
        <w:tblPrEx>
          <w:tblCellMar>
            <w:top w:w="0" w:type="dxa"/>
            <w:left w:w="108" w:type="dxa"/>
            <w:bottom w:w="0" w:type="dxa"/>
            <w:right w:w="108" w:type="dxa"/>
          </w:tblCellMar>
        </w:tblPrEx>
        <w:trPr>
          <w:trHeight w:val="348" w:hRule="atLeast"/>
        </w:trPr>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花岗岩</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3</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2.15</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4.30</w:t>
            </w:r>
          </w:p>
        </w:tc>
      </w:tr>
      <w:tr>
        <w:tblPrEx>
          <w:tblCellMar>
            <w:top w:w="0" w:type="dxa"/>
            <w:left w:w="108" w:type="dxa"/>
            <w:bottom w:w="0" w:type="dxa"/>
            <w:right w:w="108" w:type="dxa"/>
          </w:tblCellMar>
        </w:tblPrEx>
        <w:trPr>
          <w:trHeight w:val="348" w:hRule="atLeast"/>
        </w:trPr>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大理石</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5</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3.60</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7.10</w:t>
            </w:r>
          </w:p>
        </w:tc>
      </w:tr>
      <w:tr>
        <w:tblPrEx>
          <w:tblCellMar>
            <w:top w:w="0" w:type="dxa"/>
            <w:left w:w="108" w:type="dxa"/>
            <w:bottom w:w="0" w:type="dxa"/>
            <w:right w:w="108" w:type="dxa"/>
          </w:tblCellMar>
        </w:tblPrEx>
        <w:trPr>
          <w:trHeight w:val="348" w:hRule="atLeast"/>
        </w:trPr>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石灰石</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6</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4.30</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8.60</w:t>
            </w:r>
          </w:p>
        </w:tc>
      </w:tr>
      <w:tr>
        <w:tblPrEx>
          <w:tblCellMar>
            <w:top w:w="0" w:type="dxa"/>
            <w:left w:w="108" w:type="dxa"/>
            <w:bottom w:w="0" w:type="dxa"/>
            <w:right w:w="108" w:type="dxa"/>
          </w:tblCellMar>
        </w:tblPrEx>
        <w:trPr>
          <w:trHeight w:val="348" w:hRule="atLeast"/>
        </w:trPr>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砂岩</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8</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5.70</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11.40</w:t>
            </w:r>
          </w:p>
        </w:tc>
      </w:tr>
    </w:tbl>
    <w:p>
      <w:pPr>
        <w:pStyle w:val="186"/>
        <w:rPr>
          <w:snapToGrid w:val="0"/>
        </w:rPr>
      </w:pPr>
    </w:p>
    <w:p>
      <w:pPr>
        <w:ind w:firstLine="480" w:firstLineChars="200"/>
        <w:rPr>
          <w:rFonts w:ascii="Times New Roman" w:hAnsi="Times New Roman" w:eastAsia="仿宋_GB2312" w:cs="仿宋_GB2312"/>
          <w:highlight w:val="none"/>
        </w:rPr>
      </w:pPr>
      <w:r>
        <w:rPr>
          <w:rFonts w:hint="eastAsia" w:ascii="Times New Roman" w:hAnsi="Times New Roman" w:eastAsia="仿宋_GB2312" w:cs="仿宋_GB2312"/>
          <w:highlight w:val="none"/>
        </w:rPr>
        <w:t>条文说明：本条参照《上海市建筑幕墙工程技术标准》</w:t>
      </w:r>
      <w:r>
        <w:rPr>
          <w:rFonts w:ascii="Times New Roman" w:hAnsi="Times New Roman" w:eastAsia="仿宋_GB2312" w:cs="仿宋_GB2312"/>
          <w:highlight w:val="none"/>
        </w:rPr>
        <w:t>DG/TJ 08-56-2019</w:t>
      </w:r>
      <w:r>
        <w:rPr>
          <w:rFonts w:hint="eastAsia" w:ascii="Times New Roman" w:hAnsi="Times New Roman" w:eastAsia="仿宋_GB2312" w:cs="仿宋_GB2312"/>
          <w:highlight w:val="none"/>
        </w:rPr>
        <w:t>第</w:t>
      </w:r>
      <w:r>
        <w:rPr>
          <w:rFonts w:ascii="Times New Roman" w:hAnsi="Times New Roman" w:eastAsia="仿宋_GB2312" w:cs="仿宋_GB2312"/>
          <w:highlight w:val="none"/>
        </w:rPr>
        <w:t>11.4.4</w:t>
      </w:r>
      <w:r>
        <w:rPr>
          <w:rFonts w:hint="eastAsia" w:ascii="Times New Roman" w:hAnsi="Times New Roman" w:eastAsia="仿宋_GB2312" w:cs="仿宋_GB2312"/>
          <w:highlight w:val="none"/>
        </w:rPr>
        <w:t>条相关规定制定。</w:t>
      </w:r>
    </w:p>
    <w:p>
      <w:pPr>
        <w:pStyle w:val="120"/>
        <w:outlineLvl w:val="9"/>
        <w:rPr>
          <w:rFonts w:ascii="Times New Roman" w:hAnsi="Times New Roman"/>
        </w:rPr>
      </w:pPr>
    </w:p>
    <w:p>
      <w:pPr>
        <w:rPr>
          <w:rFonts w:ascii="Times New Roman" w:hAnsi="Times New Roman"/>
        </w:rPr>
      </w:pPr>
      <w:r>
        <w:rPr>
          <w:rFonts w:hint="eastAsia" w:ascii="Times New Roman" w:hAnsi="Times New Roman" w:cs="Times New Roman"/>
          <w:b/>
          <w:bCs/>
          <w:szCs w:val="21"/>
        </w:rPr>
        <w:t>3.2.12</w:t>
      </w:r>
      <w:r>
        <w:rPr>
          <w:rFonts w:ascii="Times New Roman" w:hAnsi="Times New Roman"/>
        </w:rPr>
        <w:t xml:space="preserve"> </w:t>
      </w:r>
      <w:r>
        <w:rPr>
          <w:rFonts w:hint="eastAsia" w:ascii="Times New Roman" w:hAnsi="Times New Roman"/>
        </w:rPr>
        <w:t>石材蜂窝板的强度应由法定检测机构检测，并符合《建筑装饰用石材蜂窝复合板》</w:t>
      </w:r>
      <w:r>
        <w:rPr>
          <w:rFonts w:ascii="Times New Roman" w:hAnsi="Times New Roman"/>
        </w:rPr>
        <w:t>JG/T 328</w:t>
      </w:r>
      <w:r>
        <w:rPr>
          <w:rFonts w:hint="eastAsia" w:ascii="Times New Roman" w:hAnsi="Times New Roman"/>
        </w:rPr>
        <w:t>的规定。石材蜂窝板的石材面板抗弯强度标准值应根据整版的弯曲试验结果，按下式计算值和抗弯强度试验值的最小值</w:t>
      </w:r>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min</m:t>
            </m:r>
            <m:ctrlPr>
              <w:rPr>
                <w:rFonts w:ascii="Cambria Math" w:hAnsi="Cambria Math"/>
                <w:snapToGrid w:val="0"/>
              </w:rPr>
            </m:ctrlPr>
          </m:sub>
        </m:sSub>
      </m:oMath>
      <w:r>
        <w:rPr>
          <w:rFonts w:hint="eastAsia" w:ascii="Times New Roman" w:hAnsi="Times New Roman"/>
        </w:rPr>
        <w:t>两者中的低值确定。</w:t>
      </w:r>
    </w:p>
    <w:tbl>
      <w:tblPr>
        <w:tblStyle w:val="37"/>
        <w:tblW w:w="0" w:type="auto"/>
        <w:jc w:val="right"/>
        <w:tblLayout w:type="fixed"/>
        <w:tblCellMar>
          <w:top w:w="0" w:type="dxa"/>
          <w:left w:w="108" w:type="dxa"/>
          <w:bottom w:w="0" w:type="dxa"/>
          <w:right w:w="108" w:type="dxa"/>
        </w:tblCellMar>
      </w:tblPr>
      <w:tblGrid>
        <w:gridCol w:w="5917"/>
        <w:gridCol w:w="2268"/>
      </w:tblGrid>
      <w:tr>
        <w:tblPrEx>
          <w:tblCellMar>
            <w:top w:w="0" w:type="dxa"/>
            <w:left w:w="108" w:type="dxa"/>
            <w:bottom w:w="0" w:type="dxa"/>
            <w:right w:w="108" w:type="dxa"/>
          </w:tblCellMar>
        </w:tblPrEx>
        <w:trPr>
          <w:jc w:val="right"/>
        </w:trPr>
        <w:tc>
          <w:tcPr>
            <w:tcW w:w="5917" w:type="dxa"/>
            <w:shd w:val="clear" w:color="auto" w:fill="auto"/>
          </w:tcPr>
          <w:p>
            <w:pPr>
              <w:rPr>
                <w:rFonts w:ascii="Times New Roman" w:hAnsi="Times New Roman"/>
                <w:sz w:val="21"/>
                <w:szCs w:val="21"/>
              </w:rPr>
            </w:pPr>
            <m:oMathPara>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k</m:t>
                    </m:r>
                    <m:ctrlPr>
                      <w:rPr>
                        <w:rFonts w:ascii="Cambria Math" w:hAnsi="Cambria Math"/>
                        <w:snapToGrid w:val="0"/>
                      </w:rPr>
                    </m:ctrlPr>
                  </m:sub>
                </m:sSub>
                <m:r>
                  <m:rPr>
                    <m:sty m:val="p"/>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m</m:t>
                    </m:r>
                    <m:ctrlPr>
                      <w:rPr>
                        <w:rFonts w:ascii="Cambria Math" w:hAnsi="Cambria Math"/>
                        <w:snapToGrid w:val="0"/>
                      </w:rPr>
                    </m:ctrlPr>
                  </m:sub>
                </m:sSub>
                <m:r>
                  <m:rPr>
                    <m:sty m:val="p"/>
                  </m:rPr>
                  <w:rPr>
                    <w:rFonts w:ascii="Cambria Math" w:hAnsi="Cambria Math"/>
                    <w:snapToGrid w:val="0"/>
                  </w:rPr>
                  <m:t>−1.645</m:t>
                </m:r>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m:sty m:val="p"/>
                      </m:rPr>
                      <w:rPr>
                        <w:rFonts w:ascii="Cambria Math" w:hAnsi="Cambria Math"/>
                        <w:snapToGrid w:val="0"/>
                      </w:rPr>
                      <m:t>0</m:t>
                    </m:r>
                    <m:ctrlPr>
                      <w:rPr>
                        <w:rFonts w:ascii="Cambria Math" w:hAnsi="Cambria Math"/>
                        <w:snapToGrid w:val="0"/>
                      </w:rPr>
                    </m:ctrlPr>
                  </m:sub>
                </m:sSub>
              </m:oMath>
            </m:oMathPara>
          </w:p>
        </w:tc>
        <w:tc>
          <w:tcPr>
            <w:tcW w:w="2268" w:type="dxa"/>
            <w:shd w:val="clear" w:color="auto" w:fill="auto"/>
            <w:vAlign w:val="center"/>
          </w:tcPr>
          <w:p>
            <w:pPr>
              <w:jc w:val="right"/>
              <w:rPr>
                <w:rFonts w:ascii="Times New Roman" w:hAnsi="Times New Roman"/>
                <w:sz w:val="21"/>
                <w:szCs w:val="21"/>
              </w:rPr>
            </w:pPr>
            <w:r>
              <w:rPr>
                <w:rFonts w:ascii="Times New Roman" w:hAnsi="Times New Roman"/>
                <w:sz w:val="21"/>
                <w:szCs w:val="21"/>
              </w:rPr>
              <w:t>（3.2.12-1）</w:t>
            </w:r>
          </w:p>
        </w:tc>
      </w:tr>
    </w:tbl>
    <w:p>
      <w:pPr>
        <w:pStyle w:val="189"/>
        <w:ind w:firstLine="480"/>
      </w:pPr>
      <w:r>
        <w:rPr>
          <w:rFonts w:hint="eastAsia"/>
        </w:rPr>
        <w:t>式中：</w:t>
      </w:r>
    </w:p>
    <w:tbl>
      <w:tblPr>
        <w:tblStyle w:val="37"/>
        <w:tblW w:w="6950" w:type="dxa"/>
        <w:tblInd w:w="0" w:type="dxa"/>
        <w:tblLayout w:type="fixed"/>
        <w:tblCellMar>
          <w:top w:w="0" w:type="dxa"/>
          <w:left w:w="108" w:type="dxa"/>
          <w:bottom w:w="0" w:type="dxa"/>
          <w:right w:w="108" w:type="dxa"/>
        </w:tblCellMar>
      </w:tblPr>
      <w:tblGrid>
        <w:gridCol w:w="1242"/>
        <w:gridCol w:w="743"/>
        <w:gridCol w:w="4965"/>
      </w:tblGrid>
      <w:tr>
        <w:tblPrEx>
          <w:tblCellMar>
            <w:top w:w="0" w:type="dxa"/>
            <w:left w:w="108" w:type="dxa"/>
            <w:bottom w:w="0" w:type="dxa"/>
            <w:right w:w="108" w:type="dxa"/>
          </w:tblCellMar>
        </w:tblPrEx>
        <w:tc>
          <w:tcPr>
            <w:tcW w:w="1242" w:type="dxa"/>
            <w:shd w:val="clear" w:color="auto" w:fill="auto"/>
          </w:tcPr>
          <w:p>
            <w:pPr>
              <w:jc w:val="right"/>
              <w:rPr>
                <w:rFonts w:ascii="Times New Roman" w:hAnsi="Times New Roman"/>
                <w:i/>
                <w:sz w:val="21"/>
                <w:szCs w:val="21"/>
              </w:rPr>
            </w:pPr>
            <m:oMathPara>
              <m:oMathParaPr>
                <m:jc m:val="right"/>
              </m:oMathParaPr>
              <m:oMath>
                <m:sSub>
                  <m:sSubPr>
                    <m:ctrlPr>
                      <w:rPr>
                        <w:rFonts w:ascii="Cambria Math" w:hAnsi="Cambria Math"/>
                        <w:i/>
                        <w:sz w:val="21"/>
                        <w:szCs w:val="21"/>
                      </w:rPr>
                    </m:ctrlPr>
                  </m:sSubPr>
                  <m:e>
                    <m:r>
                      <m:rPr/>
                      <w:rPr>
                        <w:rFonts w:ascii="Cambria Math" w:hAnsi="Cambria Math"/>
                        <w:sz w:val="21"/>
                        <w:szCs w:val="21"/>
                      </w:rPr>
                      <m:t>f</m:t>
                    </m:r>
                    <m:ctrlPr>
                      <w:rPr>
                        <w:rFonts w:ascii="Cambria Math" w:hAnsi="Cambria Math"/>
                        <w:i/>
                        <w:sz w:val="21"/>
                        <w:szCs w:val="21"/>
                      </w:rPr>
                    </m:ctrlPr>
                  </m:e>
                  <m:sub>
                    <m:r>
                      <m:rPr/>
                      <w:rPr>
                        <w:rFonts w:ascii="Cambria Math" w:hAnsi="Cambria Math"/>
                        <w:sz w:val="21"/>
                        <w:szCs w:val="21"/>
                      </w:rPr>
                      <m:t>k</m:t>
                    </m:r>
                    <m:ctrlPr>
                      <w:rPr>
                        <w:rFonts w:ascii="Cambria Math" w:hAnsi="Cambria Math"/>
                        <w:i/>
                        <w:sz w:val="21"/>
                        <w:szCs w:val="21"/>
                      </w:rPr>
                    </m:ctrlPr>
                  </m:sub>
                </m:sSub>
              </m:oMath>
            </m:oMathPara>
          </w:p>
        </w:tc>
        <w:tc>
          <w:tcPr>
            <w:tcW w:w="743"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4965" w:type="dxa"/>
            <w:shd w:val="clear" w:color="auto" w:fill="auto"/>
          </w:tcPr>
          <w:p>
            <w:pPr>
              <w:rPr>
                <w:rFonts w:ascii="Times New Roman" w:hAnsi="Times New Roman"/>
                <w:snapToGrid w:val="0"/>
                <w:sz w:val="21"/>
                <w:szCs w:val="21"/>
              </w:rPr>
            </w:pPr>
            <w:r>
              <w:rPr>
                <w:rFonts w:hint="eastAsia" w:ascii="Times New Roman" w:hAnsi="Times New Roman"/>
                <w:snapToGrid w:val="0"/>
                <w:sz w:val="21"/>
                <w:szCs w:val="21"/>
              </w:rPr>
              <w:t>石材蜂窝板石材面板抗弯强度标准值</w:t>
            </w:r>
            <w:r>
              <w:rPr>
                <w:rFonts w:hint="eastAsia" w:ascii="Times New Roman" w:hAnsi="Times New Roman"/>
                <w:snapToGrid w:val="0"/>
                <w:sz w:val="21"/>
                <w:szCs w:val="21"/>
                <w:lang w:eastAsia="zh-CN"/>
              </w:rPr>
              <w:t>（</w:t>
            </w:r>
            <w:r>
              <w:rPr>
                <w:rFonts w:ascii="Times New Roman" w:hAnsi="Times New Roman"/>
                <w:snapToGrid w:val="0"/>
                <w:sz w:val="21"/>
                <w:szCs w:val="21"/>
              </w:rPr>
              <w:t>N/mm</w:t>
            </w:r>
            <w:r>
              <w:rPr>
                <w:rFonts w:hint="eastAsia" w:ascii="Times New Roman" w:hAnsi="Times New Roman"/>
                <w:snapToGrid w:val="0"/>
                <w:sz w:val="21"/>
                <w:szCs w:val="21"/>
              </w:rPr>
              <w:t>²</w:t>
            </w:r>
            <w:r>
              <w:rPr>
                <w:rFonts w:ascii="Times New Roman" w:hAnsi="Times New Roman"/>
                <w:snapToGrid w:val="0"/>
                <w:sz w:val="21"/>
                <w:szCs w:val="21"/>
              </w:rPr>
              <w:t>)</w:t>
            </w:r>
            <w:r>
              <w:rPr>
                <w:rFonts w:hint="eastAsia" w:ascii="Times New Roman" w:hAnsi="Times New Roman"/>
                <w:snapToGrid w:val="0"/>
                <w:sz w:val="21"/>
                <w:szCs w:val="21"/>
              </w:rPr>
              <w:t>；</w:t>
            </w:r>
          </w:p>
        </w:tc>
      </w:tr>
      <w:tr>
        <w:tblPrEx>
          <w:tblCellMar>
            <w:top w:w="0" w:type="dxa"/>
            <w:left w:w="108" w:type="dxa"/>
            <w:bottom w:w="0" w:type="dxa"/>
            <w:right w:w="108" w:type="dxa"/>
          </w:tblCellMar>
        </w:tblPrEx>
        <w:tc>
          <w:tcPr>
            <w:tcW w:w="1242" w:type="dxa"/>
            <w:shd w:val="clear" w:color="auto" w:fill="auto"/>
          </w:tcPr>
          <w:p>
            <w:pPr>
              <w:jc w:val="right"/>
              <w:rPr>
                <w:rFonts w:ascii="Cambria Math" w:hAnsi="Cambria Math"/>
                <w:sz w:val="21"/>
                <w:szCs w:val="21"/>
                <w:oMath/>
              </w:rPr>
            </w:pPr>
            <m:oMathPara>
              <m:oMathParaPr>
                <m:jc m:val="right"/>
              </m:oMathParaPr>
              <m:oMath>
                <m:sSub>
                  <m:sSubPr>
                    <m:ctrlPr>
                      <w:rPr>
                        <w:rFonts w:ascii="Cambria Math" w:hAnsi="Cambria Math"/>
                        <w:i/>
                        <w:sz w:val="21"/>
                        <w:szCs w:val="21"/>
                      </w:rPr>
                    </m:ctrlPr>
                  </m:sSubPr>
                  <m:e>
                    <m:r>
                      <m:rPr/>
                      <w:rPr>
                        <w:rFonts w:ascii="Cambria Math" w:hAnsi="Cambria Math"/>
                        <w:sz w:val="21"/>
                        <w:szCs w:val="21"/>
                      </w:rPr>
                      <m:t>f</m:t>
                    </m:r>
                    <m:ctrlPr>
                      <w:rPr>
                        <w:rFonts w:ascii="Cambria Math" w:hAnsi="Cambria Math"/>
                        <w:i/>
                        <w:sz w:val="21"/>
                        <w:szCs w:val="21"/>
                      </w:rPr>
                    </m:ctrlPr>
                  </m:e>
                  <m:sub>
                    <m:r>
                      <m:rPr/>
                      <w:rPr>
                        <w:rFonts w:ascii="Cambria Math" w:hAnsi="Cambria Math"/>
                        <w:sz w:val="21"/>
                        <w:szCs w:val="21"/>
                      </w:rPr>
                      <m:t>m</m:t>
                    </m:r>
                    <m:ctrlPr>
                      <w:rPr>
                        <w:rFonts w:ascii="Cambria Math" w:hAnsi="Cambria Math"/>
                        <w:i/>
                        <w:sz w:val="21"/>
                        <w:szCs w:val="21"/>
                      </w:rPr>
                    </m:ctrlPr>
                  </m:sub>
                </m:sSub>
              </m:oMath>
            </m:oMathPara>
          </w:p>
        </w:tc>
        <w:tc>
          <w:tcPr>
            <w:tcW w:w="743"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4965" w:type="dxa"/>
            <w:shd w:val="clear" w:color="auto" w:fill="auto"/>
          </w:tcPr>
          <w:p>
            <w:pPr>
              <w:rPr>
                <w:rFonts w:ascii="Times New Roman" w:hAnsi="Times New Roman"/>
                <w:snapToGrid w:val="0"/>
                <w:sz w:val="21"/>
                <w:szCs w:val="21"/>
              </w:rPr>
            </w:pPr>
            <w:r>
              <w:rPr>
                <w:rFonts w:hint="eastAsia" w:ascii="Times New Roman" w:hAnsi="Times New Roman"/>
                <w:snapToGrid w:val="0"/>
                <w:sz w:val="21"/>
                <w:szCs w:val="21"/>
              </w:rPr>
              <w:t>石材蜂窝板石材面板抗弯强度试验平均值</w:t>
            </w:r>
            <w:r>
              <w:rPr>
                <w:rFonts w:hint="eastAsia" w:ascii="Times New Roman" w:hAnsi="Times New Roman"/>
                <w:snapToGrid w:val="0"/>
                <w:sz w:val="21"/>
                <w:szCs w:val="21"/>
                <w:lang w:eastAsia="zh-CN"/>
              </w:rPr>
              <w:t>（</w:t>
            </w:r>
            <w:r>
              <w:rPr>
                <w:rFonts w:ascii="Times New Roman" w:hAnsi="Times New Roman"/>
                <w:snapToGrid w:val="0"/>
                <w:sz w:val="21"/>
                <w:szCs w:val="21"/>
              </w:rPr>
              <w:t>N/mm</w:t>
            </w:r>
            <w:r>
              <w:rPr>
                <w:rFonts w:hint="eastAsia" w:ascii="Times New Roman" w:hAnsi="Times New Roman"/>
                <w:snapToGrid w:val="0"/>
                <w:sz w:val="21"/>
                <w:szCs w:val="21"/>
              </w:rPr>
              <w:t>²</w:t>
            </w:r>
            <w:r>
              <w:rPr>
                <w:rFonts w:ascii="Times New Roman" w:hAnsi="Times New Roman"/>
                <w:snapToGrid w:val="0"/>
                <w:sz w:val="21"/>
                <w:szCs w:val="21"/>
              </w:rPr>
              <w:t>)</w:t>
            </w:r>
            <w:r>
              <w:rPr>
                <w:rFonts w:hint="eastAsia" w:ascii="Times New Roman" w:hAnsi="Times New Roman"/>
                <w:snapToGrid w:val="0"/>
                <w:sz w:val="21"/>
                <w:szCs w:val="21"/>
              </w:rPr>
              <w:t>；</w:t>
            </w:r>
          </w:p>
        </w:tc>
      </w:tr>
      <w:tr>
        <w:tblPrEx>
          <w:tblCellMar>
            <w:top w:w="0" w:type="dxa"/>
            <w:left w:w="108" w:type="dxa"/>
            <w:bottom w:w="0" w:type="dxa"/>
            <w:right w:w="108" w:type="dxa"/>
          </w:tblCellMar>
        </w:tblPrEx>
        <w:tc>
          <w:tcPr>
            <w:tcW w:w="1242" w:type="dxa"/>
            <w:shd w:val="clear" w:color="auto" w:fill="auto"/>
          </w:tcPr>
          <w:p>
            <w:pPr>
              <w:jc w:val="right"/>
              <w:rPr>
                <w:rFonts w:ascii="Cambria Math" w:hAnsi="Cambria Math"/>
                <w:sz w:val="21"/>
                <w:szCs w:val="21"/>
                <w:oMath/>
              </w:rPr>
            </w:pPr>
            <m:oMathPara>
              <m:oMathParaPr>
                <m:jc m:val="right"/>
              </m:oMathParaPr>
              <m:oMath>
                <m:sSub>
                  <m:sSubPr>
                    <m:ctrlPr>
                      <w:rPr>
                        <w:rFonts w:ascii="Cambria Math" w:hAnsi="Cambria Math"/>
                        <w:i/>
                        <w:sz w:val="21"/>
                        <w:szCs w:val="21"/>
                      </w:rPr>
                    </m:ctrlPr>
                  </m:sSubPr>
                  <m:e>
                    <m:r>
                      <m:rPr/>
                      <w:rPr>
                        <w:rFonts w:ascii="Cambria Math" w:hAnsi="Cambria Math"/>
                        <w:sz w:val="21"/>
                        <w:szCs w:val="21"/>
                      </w:rPr>
                      <m:t>f</m:t>
                    </m:r>
                    <m:ctrlPr>
                      <w:rPr>
                        <w:rFonts w:ascii="Cambria Math" w:hAnsi="Cambria Math"/>
                        <w:i/>
                        <w:sz w:val="21"/>
                        <w:szCs w:val="21"/>
                      </w:rPr>
                    </m:ctrlPr>
                  </m:e>
                  <m:sub>
                    <m:r>
                      <m:rPr/>
                      <w:rPr>
                        <w:rFonts w:ascii="Cambria Math" w:hAnsi="Cambria Math"/>
                        <w:sz w:val="21"/>
                        <w:szCs w:val="21"/>
                      </w:rPr>
                      <m:t>0</m:t>
                    </m:r>
                    <m:ctrlPr>
                      <w:rPr>
                        <w:rFonts w:ascii="Cambria Math" w:hAnsi="Cambria Math"/>
                        <w:i/>
                        <w:sz w:val="21"/>
                        <w:szCs w:val="21"/>
                      </w:rPr>
                    </m:ctrlPr>
                  </m:sub>
                </m:sSub>
              </m:oMath>
            </m:oMathPara>
          </w:p>
        </w:tc>
        <w:tc>
          <w:tcPr>
            <w:tcW w:w="743"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4965" w:type="dxa"/>
            <w:shd w:val="clear" w:color="auto" w:fill="auto"/>
          </w:tcPr>
          <w:p>
            <w:pPr>
              <w:rPr>
                <w:rFonts w:ascii="Times New Roman" w:hAnsi="Times New Roman"/>
                <w:snapToGrid w:val="0"/>
                <w:sz w:val="21"/>
                <w:szCs w:val="21"/>
              </w:rPr>
            </w:pPr>
            <w:r>
              <w:rPr>
                <w:rFonts w:hint="eastAsia" w:ascii="Times New Roman" w:hAnsi="Times New Roman"/>
                <w:snapToGrid w:val="0"/>
                <w:sz w:val="21"/>
                <w:szCs w:val="21"/>
              </w:rPr>
              <w:t>石材蜂窝板石材面板抗弯强度试验标准差</w:t>
            </w:r>
            <w:r>
              <w:rPr>
                <w:rFonts w:hint="eastAsia" w:ascii="Times New Roman" w:hAnsi="Times New Roman"/>
                <w:snapToGrid w:val="0"/>
                <w:sz w:val="21"/>
                <w:szCs w:val="21"/>
                <w:lang w:eastAsia="zh-CN"/>
              </w:rPr>
              <w:t>（</w:t>
            </w:r>
            <w:r>
              <w:rPr>
                <w:rFonts w:ascii="Times New Roman" w:hAnsi="Times New Roman"/>
                <w:snapToGrid w:val="0"/>
                <w:sz w:val="21"/>
                <w:szCs w:val="21"/>
              </w:rPr>
              <w:t>N/mm</w:t>
            </w:r>
            <w:r>
              <w:rPr>
                <w:rFonts w:hint="eastAsia" w:ascii="Times New Roman" w:hAnsi="Times New Roman"/>
                <w:snapToGrid w:val="0"/>
                <w:sz w:val="21"/>
                <w:szCs w:val="21"/>
              </w:rPr>
              <w:t>²</w:t>
            </w:r>
            <w:r>
              <w:rPr>
                <w:rFonts w:ascii="Times New Roman" w:hAnsi="Times New Roman"/>
                <w:snapToGrid w:val="0"/>
                <w:sz w:val="21"/>
                <w:szCs w:val="21"/>
              </w:rPr>
              <w:t>)</w:t>
            </w:r>
            <w:r>
              <w:rPr>
                <w:rFonts w:hint="eastAsia" w:ascii="Times New Roman" w:hAnsi="Times New Roman"/>
                <w:snapToGrid w:val="0"/>
                <w:sz w:val="21"/>
                <w:szCs w:val="21"/>
              </w:rPr>
              <w:t>。</w:t>
            </w:r>
          </w:p>
        </w:tc>
      </w:tr>
    </w:tbl>
    <w:p>
      <w:pPr>
        <w:pStyle w:val="34"/>
        <w:ind w:firstLine="480" w:firstLineChars="200"/>
        <w:jc w:val="both"/>
        <w:rPr>
          <w:rFonts w:ascii="Times New Roman" w:hAnsi="Times New Roman"/>
        </w:rPr>
      </w:pPr>
      <w:r>
        <w:rPr>
          <w:rFonts w:hint="eastAsia" w:ascii="Times New Roman" w:hAnsi="Times New Roman"/>
        </w:rPr>
        <w:t>石材蜂窝板石材面板的抗弯强度设计值可根据其弯曲强度标准值按照表</w:t>
      </w:r>
      <w:r>
        <w:rPr>
          <w:rFonts w:ascii="Times New Roman" w:hAnsi="Times New Roman"/>
        </w:rPr>
        <w:t>3.2.12</w:t>
      </w:r>
      <w:r>
        <w:rPr>
          <w:rFonts w:hint="eastAsia" w:ascii="Times New Roman" w:hAnsi="Times New Roman"/>
        </w:rPr>
        <w:t>中</w:t>
      </w:r>
      <w:r>
        <w:rPr>
          <w:rFonts w:hint="eastAsia" w:ascii="Times New Roman" w:hAnsi="Times New Roman"/>
          <w:lang w:eastAsia="zh-CN"/>
        </w:rPr>
        <w:t>的</w:t>
      </w:r>
      <w:r>
        <w:rPr>
          <w:rFonts w:hint="eastAsia" w:ascii="Times New Roman" w:hAnsi="Times New Roman"/>
          <w:snapToGrid w:val="0"/>
        </w:rPr>
        <w:t>材料性能分项系数</w:t>
      </w:r>
      <w:r>
        <w:rPr>
          <w:rFonts w:hint="eastAsia" w:ascii="Times New Roman" w:hAnsi="Times New Roman"/>
        </w:rPr>
        <w:t>计算得出。石材蜂窝板石材面板抗弯强度设计值应按下列公式计算：</w:t>
      </w:r>
    </w:p>
    <w:tbl>
      <w:tblPr>
        <w:tblStyle w:val="37"/>
        <w:tblW w:w="0" w:type="auto"/>
        <w:jc w:val="right"/>
        <w:tblLayout w:type="fixed"/>
        <w:tblCellMar>
          <w:top w:w="0" w:type="dxa"/>
          <w:left w:w="108" w:type="dxa"/>
          <w:bottom w:w="0" w:type="dxa"/>
          <w:right w:w="108" w:type="dxa"/>
        </w:tblCellMar>
      </w:tblPr>
      <w:tblGrid>
        <w:gridCol w:w="5917"/>
        <w:gridCol w:w="2268"/>
      </w:tblGrid>
      <w:tr>
        <w:tblPrEx>
          <w:tblCellMar>
            <w:top w:w="0" w:type="dxa"/>
            <w:left w:w="108" w:type="dxa"/>
            <w:bottom w:w="0" w:type="dxa"/>
            <w:right w:w="108" w:type="dxa"/>
          </w:tblCellMar>
        </w:tblPrEx>
        <w:trPr>
          <w:jc w:val="right"/>
        </w:trPr>
        <w:tc>
          <w:tcPr>
            <w:tcW w:w="5917" w:type="dxa"/>
            <w:shd w:val="clear" w:color="auto" w:fill="auto"/>
          </w:tcPr>
          <w:p>
            <w:pPr>
              <w:pStyle w:val="34"/>
              <w:rPr>
                <w:rFonts w:ascii="Times New Roman" w:hAnsi="Times New Roman"/>
                <w:sz w:val="21"/>
                <w:szCs w:val="21"/>
              </w:rPr>
            </w:pPr>
            <m:oMathPara>
              <m:oMathParaPr>
                <m:jc m:val="center"/>
              </m:oMathParaPr>
              <m:oMath>
                <m:r>
                  <m:rPr/>
                  <w:rPr>
                    <w:rFonts w:ascii="Cambria Math" w:hAnsi="Cambria Math"/>
                    <w:snapToGrid w:val="0"/>
                  </w:rPr>
                  <m:t>f</m:t>
                </m:r>
                <m:r>
                  <m:rPr>
                    <m:sty m:val="p"/>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k</m:t>
                    </m:r>
                    <m:ctrlPr>
                      <w:rPr>
                        <w:rFonts w:ascii="Cambria Math" w:hAnsi="Cambria Math"/>
                        <w:snapToGrid w:val="0"/>
                      </w:rPr>
                    </m:ctrlPr>
                  </m:sub>
                </m:sSub>
                <m:r>
                  <m:rPr>
                    <m:sty m:val="p"/>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r</m:t>
                    </m:r>
                    <m:ctrlPr>
                      <w:rPr>
                        <w:rFonts w:ascii="Cambria Math" w:hAnsi="Cambria Math"/>
                        <w:snapToGrid w:val="0"/>
                      </w:rPr>
                    </m:ctrlPr>
                  </m:sub>
                </m:sSub>
              </m:oMath>
            </m:oMathPara>
          </w:p>
        </w:tc>
        <w:tc>
          <w:tcPr>
            <w:tcW w:w="2268" w:type="dxa"/>
            <w:shd w:val="clear" w:color="auto" w:fill="auto"/>
            <w:vAlign w:val="center"/>
          </w:tcPr>
          <w:p>
            <w:pPr>
              <w:jc w:val="right"/>
              <w:rPr>
                <w:rFonts w:ascii="Times New Roman" w:hAnsi="Times New Roman"/>
                <w:sz w:val="21"/>
                <w:szCs w:val="21"/>
              </w:rPr>
            </w:pPr>
            <w:r>
              <w:rPr>
                <w:rFonts w:ascii="Times New Roman" w:hAnsi="Times New Roman"/>
                <w:sz w:val="21"/>
                <w:szCs w:val="21"/>
              </w:rPr>
              <w:t>（3.2.12-2）</w:t>
            </w:r>
          </w:p>
        </w:tc>
      </w:tr>
    </w:tbl>
    <w:p>
      <w:pPr>
        <w:rPr>
          <w:rFonts w:ascii="Times New Roman" w:hAnsi="Times New Roman"/>
          <w:snapToGrid w:val="0"/>
        </w:rPr>
      </w:pPr>
    </w:p>
    <w:p>
      <w:pPr>
        <w:pStyle w:val="189"/>
        <w:ind w:firstLine="480"/>
      </w:pPr>
      <w:r>
        <w:rPr>
          <w:rFonts w:hint="eastAsia"/>
        </w:rP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i/>
                <w:sz w:val="21"/>
                <w:szCs w:val="21"/>
              </w:rPr>
            </w:pPr>
            <m:oMathPara>
              <m:oMathParaPr>
                <m:jc m:val="right"/>
              </m:oMathParaPr>
              <m:oMath>
                <m:r>
                  <m:rPr/>
                  <w:rPr>
                    <w:rFonts w:ascii="Cambria Math" w:hAnsi="Cambria Math"/>
                    <w:snapToGrid w:val="0"/>
                  </w:rPr>
                  <m:t>f</m:t>
                </m:r>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hint="eastAsia" w:ascii="Times New Roman" w:hAnsi="Times New Roman"/>
                <w:snapToGrid w:val="0"/>
                <w:sz w:val="21"/>
                <w:szCs w:val="21"/>
              </w:rPr>
              <w:t>石材蜂窝板石材面板抗弯强度设计值</w:t>
            </w:r>
            <w:r>
              <w:rPr>
                <w:rFonts w:hint="eastAsia" w:ascii="Times New Roman" w:hAnsi="Times New Roman"/>
                <w:snapToGrid w:val="0"/>
                <w:sz w:val="21"/>
                <w:szCs w:val="21"/>
                <w:lang w:eastAsia="zh-CN"/>
              </w:rPr>
              <w:t>（</w:t>
            </w:r>
            <w:r>
              <w:rPr>
                <w:rFonts w:ascii="Times New Roman" w:hAnsi="Times New Roman"/>
                <w:snapToGrid w:val="0"/>
                <w:sz w:val="21"/>
                <w:szCs w:val="21"/>
              </w:rPr>
              <w:t>N/mm</w:t>
            </w:r>
            <w:r>
              <w:rPr>
                <w:rFonts w:hint="eastAsia" w:ascii="Times New Roman" w:hAnsi="Times New Roman"/>
                <w:snapToGrid w:val="0"/>
                <w:sz w:val="21"/>
                <w:szCs w:val="21"/>
              </w:rPr>
              <w:t>²</w:t>
            </w:r>
            <w:r>
              <w:rPr>
                <w:rFonts w:ascii="Times New Roman" w:hAnsi="Times New Roman"/>
                <w:snapToGrid w:val="0"/>
                <w:sz w:val="21"/>
                <w:szCs w:val="21"/>
              </w:rPr>
              <w:t>)</w:t>
            </w:r>
            <w:r>
              <w:rPr>
                <w:rFonts w:hint="eastAsia" w:ascii="Times New Roman" w:hAnsi="Times New Roman"/>
                <w:snapToGrid w:val="0"/>
                <w:sz w:val="21"/>
                <w:szCs w:val="21"/>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i/>
                <w:sz w:val="21"/>
                <w:szCs w:val="21"/>
              </w:rPr>
            </w:pPr>
            <m:oMathPara>
              <m:oMathParaPr>
                <m:jc m:val="right"/>
              </m:oMathParaPr>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k</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hint="eastAsia" w:ascii="Times New Roman" w:hAnsi="Times New Roman"/>
                <w:snapToGrid w:val="0"/>
                <w:sz w:val="21"/>
                <w:szCs w:val="21"/>
              </w:rPr>
              <w:t>石材蜂窝板石材面板抗弯强度标准值</w:t>
            </w:r>
            <w:r>
              <w:rPr>
                <w:rFonts w:hint="eastAsia" w:ascii="Times New Roman" w:hAnsi="Times New Roman"/>
                <w:snapToGrid w:val="0"/>
                <w:sz w:val="21"/>
                <w:szCs w:val="21"/>
                <w:lang w:eastAsia="zh-CN"/>
              </w:rPr>
              <w:t>（</w:t>
            </w:r>
            <w:r>
              <w:rPr>
                <w:rFonts w:ascii="Times New Roman" w:hAnsi="Times New Roman"/>
                <w:snapToGrid w:val="0"/>
                <w:sz w:val="21"/>
                <w:szCs w:val="21"/>
              </w:rPr>
              <w:t>N/mm</w:t>
            </w:r>
            <w:r>
              <w:rPr>
                <w:rFonts w:hint="eastAsia" w:ascii="Times New Roman" w:hAnsi="Times New Roman"/>
                <w:snapToGrid w:val="0"/>
                <w:sz w:val="21"/>
                <w:szCs w:val="21"/>
              </w:rPr>
              <w:t>²</w:t>
            </w:r>
            <w:r>
              <w:rPr>
                <w:rFonts w:ascii="Times New Roman" w:hAnsi="Times New Roman"/>
                <w:snapToGrid w:val="0"/>
                <w:sz w:val="21"/>
                <w:szCs w:val="21"/>
              </w:rPr>
              <w:t>)</w:t>
            </w:r>
            <w:r>
              <w:rPr>
                <w:rFonts w:hint="eastAsia" w:ascii="Times New Roman" w:hAnsi="Times New Roman"/>
                <w:snapToGrid w:val="0"/>
                <w:sz w:val="21"/>
                <w:szCs w:val="21"/>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i/>
                <w:sz w:val="21"/>
                <w:szCs w:val="21"/>
              </w:rPr>
            </w:pPr>
            <m:oMathPara>
              <m:oMathParaPr>
                <m:jc m:val="right"/>
              </m:oMathParaPr>
              <m:oMath>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r</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hint="eastAsia" w:ascii="Times New Roman" w:hAnsi="Times New Roman"/>
                <w:snapToGrid w:val="0"/>
                <w:sz w:val="21"/>
                <w:szCs w:val="21"/>
              </w:rPr>
              <w:t>石材蜂窝板石材面板材料性能分项系数，应符合本规范表</w:t>
            </w:r>
            <w:r>
              <w:rPr>
                <w:rFonts w:ascii="Times New Roman" w:hAnsi="Times New Roman"/>
                <w:snapToGrid w:val="0"/>
                <w:sz w:val="21"/>
                <w:szCs w:val="21"/>
              </w:rPr>
              <w:t>3.2.16</w:t>
            </w:r>
            <w:r>
              <w:rPr>
                <w:rFonts w:hint="eastAsia" w:ascii="Times New Roman" w:hAnsi="Times New Roman"/>
                <w:snapToGrid w:val="0"/>
                <w:sz w:val="21"/>
                <w:szCs w:val="21"/>
              </w:rPr>
              <w:t>条的规定。</w:t>
            </w:r>
          </w:p>
        </w:tc>
      </w:tr>
    </w:tbl>
    <w:p>
      <w:pPr>
        <w:pStyle w:val="186"/>
        <w:rPr>
          <w:snapToGrid w:val="0"/>
        </w:rPr>
      </w:pPr>
      <w:r>
        <w:rPr>
          <w:snapToGrid w:val="0"/>
        </w:rPr>
        <w:t>表</w:t>
      </w:r>
      <w:r>
        <w:rPr>
          <w:rFonts w:hint="eastAsia"/>
          <w:snapToGrid w:val="0"/>
        </w:rPr>
        <w:t>3</w:t>
      </w:r>
      <w:r>
        <w:rPr>
          <w:snapToGrid w:val="0"/>
        </w:rPr>
        <w:t>.2.</w:t>
      </w:r>
      <w:r>
        <w:rPr>
          <w:rFonts w:hint="eastAsia"/>
          <w:snapToGrid w:val="0"/>
        </w:rPr>
        <w:t>12</w:t>
      </w:r>
      <w:r>
        <w:rPr>
          <w:snapToGrid w:val="0"/>
        </w:rPr>
        <w:t xml:space="preserve"> </w:t>
      </w:r>
      <w:r>
        <w:rPr>
          <w:rFonts w:hint="eastAsia"/>
          <w:snapToGrid w:val="0"/>
        </w:rPr>
        <w:t>石材蜂窝板石材面板材料性能分项系数</w:t>
      </w:r>
    </w:p>
    <w:tbl>
      <w:tblPr>
        <w:tblStyle w:val="37"/>
        <w:tblW w:w="4999" w:type="pct"/>
        <w:tblInd w:w="0" w:type="dxa"/>
        <w:tblLayout w:type="autofit"/>
        <w:tblCellMar>
          <w:top w:w="0" w:type="dxa"/>
          <w:left w:w="108" w:type="dxa"/>
          <w:bottom w:w="0" w:type="dxa"/>
          <w:right w:w="108" w:type="dxa"/>
        </w:tblCellMar>
      </w:tblPr>
      <w:tblGrid>
        <w:gridCol w:w="3641"/>
        <w:gridCol w:w="2057"/>
        <w:gridCol w:w="1529"/>
        <w:gridCol w:w="2057"/>
      </w:tblGrid>
      <w:tr>
        <w:tblPrEx>
          <w:tblCellMar>
            <w:top w:w="0" w:type="dxa"/>
            <w:left w:w="108" w:type="dxa"/>
            <w:bottom w:w="0" w:type="dxa"/>
            <w:right w:w="108" w:type="dxa"/>
          </w:tblCellMar>
        </w:tblPrEx>
        <w:trPr>
          <w:trHeight w:val="90" w:hRule="atLeast"/>
        </w:trPr>
        <w:tc>
          <w:tcPr>
            <w:tcW w:w="19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背板材质类型</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花岗石</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砂岩</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石灰石</w:t>
            </w:r>
          </w:p>
        </w:tc>
      </w:tr>
      <w:tr>
        <w:tblPrEx>
          <w:tblCellMar>
            <w:top w:w="0" w:type="dxa"/>
            <w:left w:w="108" w:type="dxa"/>
            <w:bottom w:w="0" w:type="dxa"/>
            <w:right w:w="108" w:type="dxa"/>
          </w:tblCellMar>
        </w:tblPrEx>
        <w:trPr>
          <w:trHeight w:val="90" w:hRule="atLeast"/>
        </w:trPr>
        <w:tc>
          <w:tcPr>
            <w:tcW w:w="19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lang w:bidi="ar"/>
              </w:rPr>
            </w:pPr>
            <w:r>
              <w:rPr>
                <w:rFonts w:hint="eastAsia" w:ascii="Times New Roman" w:hAnsi="Times New Roman"/>
                <w:lang w:bidi="ar"/>
              </w:rPr>
              <w:t>铝蜂窝板</w:t>
            </w:r>
          </w:p>
          <w:p>
            <w:pPr>
              <w:jc w:val="center"/>
              <w:textAlignment w:val="center"/>
              <w:rPr>
                <w:rFonts w:ascii="Times New Roman" w:hAnsi="Times New Roman"/>
              </w:rPr>
            </w:pPr>
            <w:r>
              <w:rPr>
                <w:rFonts w:hint="eastAsia" w:ascii="Times New Roman" w:hAnsi="Times New Roman"/>
                <w:lang w:bidi="ar"/>
              </w:rPr>
              <w:t>钢蜂窝板</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1.5</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1.8</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1.8</w:t>
            </w:r>
          </w:p>
        </w:tc>
      </w:tr>
      <w:tr>
        <w:tblPrEx>
          <w:tblCellMar>
            <w:top w:w="0" w:type="dxa"/>
            <w:left w:w="108" w:type="dxa"/>
            <w:bottom w:w="0" w:type="dxa"/>
            <w:right w:w="108" w:type="dxa"/>
          </w:tblCellMar>
        </w:tblPrEx>
        <w:trPr>
          <w:trHeight w:val="455" w:hRule="atLeast"/>
        </w:trPr>
        <w:tc>
          <w:tcPr>
            <w:tcW w:w="19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玻纤蜂窝板</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1.8</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2.15</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2.15</w:t>
            </w:r>
          </w:p>
        </w:tc>
      </w:tr>
    </w:tbl>
    <w:p>
      <w:pPr>
        <w:pStyle w:val="186"/>
        <w:rPr>
          <w:snapToGrid w:val="0"/>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条文说明：本条参照《人造板材幕墙工程技术规范》</w:t>
      </w:r>
      <w:r>
        <w:rPr>
          <w:rFonts w:ascii="Times New Roman" w:hAnsi="Times New Roman" w:eastAsia="仿宋_GB2312" w:cs="仿宋_GB2312"/>
        </w:rPr>
        <w:t>JGJ 336-2016</w:t>
      </w:r>
      <w:r>
        <w:rPr>
          <w:rFonts w:hint="eastAsia" w:ascii="Times New Roman" w:hAnsi="Times New Roman" w:eastAsia="仿宋_GB2312" w:cs="仿宋_GB2312"/>
        </w:rPr>
        <w:t>第</w:t>
      </w:r>
      <w:r>
        <w:rPr>
          <w:rFonts w:ascii="Times New Roman" w:hAnsi="Times New Roman" w:eastAsia="仿宋_GB2312" w:cs="仿宋_GB2312"/>
        </w:rPr>
        <w:t>5.2.6</w:t>
      </w:r>
      <w:r>
        <w:rPr>
          <w:rFonts w:hint="eastAsia" w:ascii="Times New Roman" w:hAnsi="Times New Roman" w:eastAsia="仿宋_GB2312" w:cs="仿宋_GB2312"/>
        </w:rPr>
        <w:t>、</w:t>
      </w:r>
      <w:r>
        <w:rPr>
          <w:rFonts w:ascii="Times New Roman" w:hAnsi="Times New Roman" w:eastAsia="仿宋_GB2312" w:cs="仿宋_GB2312"/>
        </w:rPr>
        <w:t>5.2.7</w:t>
      </w:r>
      <w:r>
        <w:rPr>
          <w:rFonts w:hint="eastAsia" w:ascii="Times New Roman" w:hAnsi="Times New Roman" w:eastAsia="仿宋_GB2312" w:cs="仿宋_GB2312"/>
        </w:rPr>
        <w:t>、</w:t>
      </w:r>
      <w:r>
        <w:rPr>
          <w:rFonts w:ascii="Times New Roman" w:hAnsi="Times New Roman" w:eastAsia="仿宋_GB2312" w:cs="仿宋_GB2312"/>
        </w:rPr>
        <w:t>5.2.8</w:t>
      </w:r>
      <w:r>
        <w:rPr>
          <w:rFonts w:hint="eastAsia" w:ascii="Times New Roman" w:hAnsi="Times New Roman" w:eastAsia="仿宋_GB2312" w:cs="仿宋_GB2312"/>
        </w:rPr>
        <w:t>条相关规定制定。</w:t>
      </w:r>
    </w:p>
    <w:p>
      <w:pPr>
        <w:rPr>
          <w:rFonts w:ascii="Times New Roman" w:hAnsi="Times New Roman"/>
        </w:rPr>
      </w:pPr>
    </w:p>
    <w:p>
      <w:pPr>
        <w:rPr>
          <w:rFonts w:ascii="Times New Roman" w:hAnsi="Times New Roman"/>
          <w:snapToGrid w:val="0"/>
        </w:rPr>
      </w:pPr>
      <w:r>
        <w:rPr>
          <w:rFonts w:hint="eastAsia" w:ascii="Times New Roman" w:hAnsi="Times New Roman" w:cs="Times New Roman"/>
          <w:b/>
          <w:bCs/>
          <w:szCs w:val="21"/>
        </w:rPr>
        <w:t>3.2.13</w:t>
      </w:r>
      <w:r>
        <w:rPr>
          <w:rFonts w:ascii="Times New Roman" w:hAnsi="Times New Roman"/>
          <w:b/>
        </w:rPr>
        <w:t xml:space="preserve"> </w:t>
      </w:r>
      <w:r>
        <w:rPr>
          <w:rFonts w:hint="eastAsia" w:ascii="Times New Roman" w:hAnsi="Times New Roman"/>
        </w:rPr>
        <w:t>蜂窝铝板的强度设计值可根据厂家提供的强度标准值（或最小值）除以</w:t>
      </w:r>
      <w:r>
        <w:rPr>
          <w:rFonts w:hint="eastAsia" w:ascii="Times New Roman" w:hAnsi="Times New Roman"/>
          <w:snapToGrid w:val="0"/>
        </w:rPr>
        <w:t>材料性能分项系数</w:t>
      </w:r>
      <w:r>
        <w:rPr>
          <w:rFonts w:ascii="Times New Roman" w:hAnsi="Times New Roman"/>
        </w:rPr>
        <w:t>1.428</w:t>
      </w:r>
      <w:r>
        <w:rPr>
          <w:rFonts w:hint="eastAsia" w:ascii="Times New Roman" w:hAnsi="Times New Roman"/>
        </w:rPr>
        <w:t>采用，也可按表</w:t>
      </w:r>
      <w:r>
        <w:rPr>
          <w:rFonts w:ascii="Times New Roman" w:hAnsi="Times New Roman"/>
        </w:rPr>
        <w:t>3.2.13</w:t>
      </w:r>
      <w:r>
        <w:rPr>
          <w:rFonts w:hint="eastAsia" w:ascii="Times New Roman" w:hAnsi="Times New Roman"/>
        </w:rPr>
        <w:t>采用。</w:t>
      </w:r>
    </w:p>
    <w:p>
      <w:pPr>
        <w:jc w:val="center"/>
        <w:rPr>
          <w:rFonts w:ascii="Times New Roman" w:hAnsi="Times New Roman"/>
          <w:snapToGrid w:val="0"/>
        </w:rPr>
      </w:pPr>
      <w:r>
        <w:rPr>
          <w:rFonts w:ascii="Times New Roman" w:hAnsi="Times New Roman"/>
          <w:snapToGrid w:val="0"/>
        </w:rPr>
        <w:t xml:space="preserve">表3.2.13 </w:t>
      </w:r>
      <w:r>
        <w:rPr>
          <w:rFonts w:hint="eastAsia" w:ascii="Times New Roman" w:hAnsi="Times New Roman"/>
          <w:snapToGrid w:val="0"/>
        </w:rPr>
        <w:t>蜂窝铝板强度设计值</w:t>
      </w:r>
    </w:p>
    <w:tbl>
      <w:tblPr>
        <w:tblStyle w:val="37"/>
        <w:tblW w:w="4998" w:type="pct"/>
        <w:tblInd w:w="0" w:type="dxa"/>
        <w:tblLayout w:type="autofit"/>
        <w:tblCellMar>
          <w:top w:w="0" w:type="dxa"/>
          <w:left w:w="108" w:type="dxa"/>
          <w:bottom w:w="0" w:type="dxa"/>
          <w:right w:w="108" w:type="dxa"/>
        </w:tblCellMar>
      </w:tblPr>
      <w:tblGrid>
        <w:gridCol w:w="2831"/>
        <w:gridCol w:w="3170"/>
        <w:gridCol w:w="3281"/>
      </w:tblGrid>
      <w:tr>
        <w:tblPrEx>
          <w:tblCellMar>
            <w:top w:w="0" w:type="dxa"/>
            <w:left w:w="108" w:type="dxa"/>
            <w:bottom w:w="0" w:type="dxa"/>
            <w:right w:w="108" w:type="dxa"/>
          </w:tblCellMar>
        </w:tblPrEx>
        <w:trPr>
          <w:trHeight w:val="365" w:hRule="atLeast"/>
        </w:trPr>
        <w:tc>
          <w:tcPr>
            <w:tcW w:w="15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板厚</w:t>
            </w:r>
            <w:r>
              <w:rPr>
                <w:rFonts w:ascii="Times New Roman" w:hAnsi="Times New Roman"/>
                <w:lang w:bidi="ar"/>
              </w:rPr>
              <w:t>t</w:t>
            </w:r>
            <w:r>
              <w:rPr>
                <w:rFonts w:hint="eastAsia" w:ascii="Times New Roman" w:hAnsi="Times New Roman"/>
                <w:lang w:bidi="ar"/>
              </w:rPr>
              <w:t>（</w:t>
            </w:r>
            <w:r>
              <w:rPr>
                <w:rFonts w:ascii="Times New Roman" w:hAnsi="Times New Roman"/>
                <w:lang w:bidi="ar"/>
              </w:rPr>
              <w:t>mm</w:t>
            </w:r>
            <w:r>
              <w:rPr>
                <w:rFonts w:hint="eastAsia" w:ascii="Times New Roman" w:hAnsi="Times New Roman"/>
                <w:lang w:bidi="ar"/>
              </w:rPr>
              <w:t>）</w:t>
            </w:r>
          </w:p>
        </w:tc>
        <w:tc>
          <w:tcPr>
            <w:tcW w:w="17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抗拉强度</w:t>
            </w:r>
          </w:p>
        </w:tc>
        <w:tc>
          <w:tcPr>
            <w:tcW w:w="17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抗剪强度</w:t>
            </w:r>
          </w:p>
        </w:tc>
      </w:tr>
      <w:tr>
        <w:tblPrEx>
          <w:tblCellMar>
            <w:top w:w="0" w:type="dxa"/>
            <w:left w:w="108" w:type="dxa"/>
            <w:bottom w:w="0" w:type="dxa"/>
            <w:right w:w="108" w:type="dxa"/>
          </w:tblCellMar>
        </w:tblPrEx>
        <w:trPr>
          <w:trHeight w:val="365" w:hRule="atLeast"/>
        </w:trPr>
        <w:tc>
          <w:tcPr>
            <w:tcW w:w="15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20</w:t>
            </w:r>
          </w:p>
        </w:tc>
        <w:tc>
          <w:tcPr>
            <w:tcW w:w="17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10.5</w:t>
            </w:r>
          </w:p>
        </w:tc>
        <w:tc>
          <w:tcPr>
            <w:tcW w:w="17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1.4</w:t>
            </w:r>
          </w:p>
        </w:tc>
      </w:tr>
    </w:tbl>
    <w:p>
      <w:pPr>
        <w:jc w:val="center"/>
        <w:rPr>
          <w:rFonts w:ascii="Times New Roman" w:hAnsi="Times New Roman"/>
          <w:snapToGrid w:val="0"/>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条文说明：本条参照《金属与石材幕墙工程技术规范》</w:t>
      </w:r>
      <w:r>
        <w:rPr>
          <w:rFonts w:ascii="Times New Roman" w:hAnsi="Times New Roman" w:eastAsia="仿宋_GB2312" w:cs="仿宋_GB2312"/>
        </w:rPr>
        <w:t>JGJ 133-2001</w:t>
      </w:r>
      <w:r>
        <w:rPr>
          <w:rFonts w:hint="eastAsia" w:ascii="Times New Roman" w:hAnsi="Times New Roman" w:eastAsia="仿宋_GB2312" w:cs="仿宋_GB2312"/>
        </w:rPr>
        <w:t>第</w:t>
      </w:r>
      <w:r>
        <w:rPr>
          <w:rFonts w:ascii="Times New Roman" w:hAnsi="Times New Roman" w:eastAsia="仿宋_GB2312" w:cs="仿宋_GB2312"/>
        </w:rPr>
        <w:t>5.3.4</w:t>
      </w:r>
      <w:r>
        <w:rPr>
          <w:rFonts w:hint="eastAsia" w:ascii="Times New Roman" w:hAnsi="Times New Roman" w:eastAsia="仿宋_GB2312" w:cs="仿宋_GB2312"/>
        </w:rPr>
        <w:t>条及其条文说明相关规定制定。</w:t>
      </w:r>
    </w:p>
    <w:p>
      <w:pPr>
        <w:rPr>
          <w:rFonts w:ascii="Times New Roman" w:hAnsi="Times New Roman"/>
        </w:rPr>
      </w:pPr>
    </w:p>
    <w:p>
      <w:pPr>
        <w:rPr>
          <w:rFonts w:ascii="Times New Roman" w:hAnsi="Times New Roman"/>
        </w:rPr>
      </w:pPr>
    </w:p>
    <w:p>
      <w:pPr>
        <w:rPr>
          <w:rFonts w:ascii="Times New Roman" w:hAnsi="Times New Roman"/>
          <w:snapToGrid w:val="0"/>
        </w:rPr>
      </w:pPr>
      <w:r>
        <w:rPr>
          <w:rFonts w:hint="eastAsia" w:ascii="Times New Roman" w:hAnsi="Times New Roman" w:cs="Times New Roman"/>
          <w:b/>
          <w:bCs/>
          <w:szCs w:val="21"/>
        </w:rPr>
        <w:t xml:space="preserve">3.2.14 </w:t>
      </w:r>
      <w:r>
        <w:rPr>
          <w:rFonts w:hint="eastAsia" w:ascii="Times New Roman" w:hAnsi="Times New Roman"/>
        </w:rPr>
        <w:t>铝塑复合板的力学性能应符合《建筑幕墙用铝塑复合板》</w:t>
      </w:r>
      <w:r>
        <w:rPr>
          <w:rFonts w:ascii="Times New Roman" w:hAnsi="Times New Roman"/>
        </w:rPr>
        <w:t>GB/T 17748</w:t>
      </w:r>
      <w:r>
        <w:rPr>
          <w:rFonts w:hint="eastAsia" w:ascii="Times New Roman" w:hAnsi="Times New Roman"/>
        </w:rPr>
        <w:t>的规定，铝塑复合板的强度设计值可根据厂家提供的强度标准值（或最小值）除以</w:t>
      </w:r>
      <w:r>
        <w:rPr>
          <w:rFonts w:hint="eastAsia" w:ascii="Times New Roman" w:hAnsi="Times New Roman"/>
          <w:snapToGrid w:val="0"/>
        </w:rPr>
        <w:t>材料性能分项系数</w:t>
      </w:r>
      <w:r>
        <w:rPr>
          <w:rFonts w:ascii="Times New Roman" w:hAnsi="Times New Roman"/>
        </w:rPr>
        <w:t>1.428</w:t>
      </w:r>
      <w:r>
        <w:rPr>
          <w:rFonts w:hint="eastAsia" w:ascii="Times New Roman" w:hAnsi="Times New Roman"/>
        </w:rPr>
        <w:t>采用，也可按表</w:t>
      </w:r>
      <w:r>
        <w:rPr>
          <w:rFonts w:ascii="Times New Roman" w:hAnsi="Times New Roman"/>
        </w:rPr>
        <w:t>3.2.14</w:t>
      </w:r>
      <w:r>
        <w:rPr>
          <w:rFonts w:hint="eastAsia" w:ascii="Times New Roman" w:hAnsi="Times New Roman"/>
        </w:rPr>
        <w:t>采用。</w:t>
      </w:r>
    </w:p>
    <w:p>
      <w:pPr>
        <w:jc w:val="center"/>
        <w:rPr>
          <w:rFonts w:ascii="Times New Roman" w:hAnsi="Times New Roman"/>
          <w:snapToGrid w:val="0"/>
        </w:rPr>
      </w:pPr>
      <w:r>
        <w:rPr>
          <w:rFonts w:ascii="Times New Roman" w:hAnsi="Times New Roman"/>
          <w:snapToGrid w:val="0"/>
        </w:rPr>
        <w:t xml:space="preserve">表3.2.14 </w:t>
      </w:r>
      <w:r>
        <w:rPr>
          <w:rFonts w:hint="eastAsia" w:ascii="Times New Roman" w:hAnsi="Times New Roman"/>
          <w:snapToGrid w:val="0"/>
        </w:rPr>
        <w:t>铝塑复合板强度设计值</w:t>
      </w:r>
    </w:p>
    <w:tbl>
      <w:tblPr>
        <w:tblStyle w:val="37"/>
        <w:tblW w:w="4999" w:type="pct"/>
        <w:tblInd w:w="0" w:type="dxa"/>
        <w:tblLayout w:type="autofit"/>
        <w:tblCellMar>
          <w:top w:w="0" w:type="dxa"/>
          <w:left w:w="108" w:type="dxa"/>
          <w:bottom w:w="0" w:type="dxa"/>
          <w:right w:w="108" w:type="dxa"/>
        </w:tblCellMar>
      </w:tblPr>
      <w:tblGrid>
        <w:gridCol w:w="2827"/>
        <w:gridCol w:w="3185"/>
        <w:gridCol w:w="3272"/>
      </w:tblGrid>
      <w:tr>
        <w:tblPrEx>
          <w:tblCellMar>
            <w:top w:w="0" w:type="dxa"/>
            <w:left w:w="108" w:type="dxa"/>
            <w:bottom w:w="0" w:type="dxa"/>
            <w:right w:w="108" w:type="dxa"/>
          </w:tblCellMar>
        </w:tblPrEx>
        <w:trPr>
          <w:trHeight w:val="165" w:hRule="atLeast"/>
        </w:trPr>
        <w:tc>
          <w:tcPr>
            <w:tcW w:w="152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板厚</w:t>
            </w:r>
            <w:r>
              <w:rPr>
                <w:rFonts w:ascii="Times New Roman" w:hAnsi="Times New Roman"/>
                <w:lang w:bidi="ar"/>
              </w:rPr>
              <w:t>t</w:t>
            </w:r>
            <w:r>
              <w:rPr>
                <w:rFonts w:hint="eastAsia" w:ascii="Times New Roman" w:hAnsi="Times New Roman"/>
                <w:lang w:bidi="ar"/>
              </w:rPr>
              <w:t>（</w:t>
            </w:r>
            <w:r>
              <w:rPr>
                <w:rFonts w:ascii="Times New Roman" w:hAnsi="Times New Roman"/>
                <w:lang w:bidi="ar"/>
              </w:rPr>
              <w:t>mm</w:t>
            </w:r>
            <w:r>
              <w:rPr>
                <w:rFonts w:hint="eastAsia" w:ascii="Times New Roman" w:hAnsi="Times New Roman"/>
                <w:lang w:bidi="ar"/>
              </w:rPr>
              <w:t>）</w:t>
            </w: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Style w:val="208"/>
                <w:rFonts w:hint="default" w:ascii="Times New Roman" w:hAnsi="Times New Roman"/>
                <w:szCs w:val="24"/>
                <w:lang w:bidi="ar"/>
              </w:rPr>
              <w:t>抗拉强度</w:t>
            </w:r>
          </w:p>
        </w:tc>
        <w:tc>
          <w:tcPr>
            <w:tcW w:w="17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抗剪强度</w:t>
            </w:r>
          </w:p>
        </w:tc>
      </w:tr>
      <w:tr>
        <w:tblPrEx>
          <w:tblCellMar>
            <w:top w:w="0" w:type="dxa"/>
            <w:left w:w="108" w:type="dxa"/>
            <w:bottom w:w="0" w:type="dxa"/>
            <w:right w:w="108" w:type="dxa"/>
          </w:tblCellMar>
        </w:tblPrEx>
        <w:trPr>
          <w:trHeight w:val="90" w:hRule="atLeast"/>
        </w:trPr>
        <w:tc>
          <w:tcPr>
            <w:tcW w:w="152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4</w:t>
            </w: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70</w:t>
            </w:r>
          </w:p>
        </w:tc>
        <w:tc>
          <w:tcPr>
            <w:tcW w:w="17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20</w:t>
            </w:r>
          </w:p>
        </w:tc>
      </w:tr>
    </w:tbl>
    <w:p>
      <w:pPr>
        <w:jc w:val="center"/>
        <w:rPr>
          <w:rFonts w:ascii="Times New Roman" w:hAnsi="Times New Roman"/>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条文说明：本条参照《金属与石材幕墙工程技术规范》</w:t>
      </w:r>
      <w:r>
        <w:rPr>
          <w:rFonts w:ascii="Times New Roman" w:hAnsi="Times New Roman" w:eastAsia="仿宋_GB2312" w:cs="仿宋_GB2312"/>
        </w:rPr>
        <w:t>JGJ 133-2001</w:t>
      </w:r>
      <w:r>
        <w:rPr>
          <w:rFonts w:hint="eastAsia" w:ascii="Times New Roman" w:hAnsi="Times New Roman" w:eastAsia="仿宋_GB2312" w:cs="仿宋_GB2312"/>
        </w:rPr>
        <w:t>第</w:t>
      </w:r>
      <w:r>
        <w:rPr>
          <w:rFonts w:ascii="Times New Roman" w:hAnsi="Times New Roman" w:eastAsia="仿宋_GB2312" w:cs="仿宋_GB2312"/>
        </w:rPr>
        <w:t>5.3.3</w:t>
      </w:r>
      <w:r>
        <w:rPr>
          <w:rFonts w:hint="eastAsia" w:ascii="Times New Roman" w:hAnsi="Times New Roman" w:eastAsia="仿宋_GB2312" w:cs="仿宋_GB2312"/>
        </w:rPr>
        <w:t>条及其条文说明相关规定制定。</w:t>
      </w:r>
    </w:p>
    <w:p>
      <w:pPr>
        <w:jc w:val="center"/>
        <w:rPr>
          <w:rFonts w:ascii="Times New Roman" w:hAnsi="Times New Roman"/>
        </w:rPr>
      </w:pPr>
    </w:p>
    <w:p>
      <w:pPr>
        <w:rPr>
          <w:rFonts w:ascii="Times New Roman" w:hAnsi="Times New Roman"/>
        </w:rPr>
      </w:pPr>
      <w:r>
        <w:rPr>
          <w:rFonts w:hint="eastAsia" w:ascii="Times New Roman" w:hAnsi="Times New Roman" w:cs="Times New Roman"/>
          <w:b/>
          <w:bCs/>
          <w:szCs w:val="21"/>
        </w:rPr>
        <w:t xml:space="preserve">3.2.15 </w:t>
      </w:r>
      <w:r>
        <w:rPr>
          <w:rFonts w:hint="eastAsia" w:ascii="Times New Roman" w:hAnsi="Times New Roman"/>
        </w:rPr>
        <w:t>瓷板的力学性能应符合《建筑幕墙用瓷板》</w:t>
      </w:r>
      <w:r>
        <w:rPr>
          <w:rFonts w:ascii="Times New Roman" w:hAnsi="Times New Roman"/>
        </w:rPr>
        <w:t>JG/T 217</w:t>
      </w:r>
      <w:r>
        <w:rPr>
          <w:rFonts w:hint="eastAsia" w:ascii="Times New Roman" w:hAnsi="Times New Roman"/>
        </w:rPr>
        <w:t>的规定，瓷板的强度设计值可根据厂家提供的强度标准值（或最小值）除以</w:t>
      </w:r>
      <w:r>
        <w:rPr>
          <w:rFonts w:hint="eastAsia" w:ascii="Times New Roman" w:hAnsi="Times New Roman"/>
          <w:snapToGrid w:val="0"/>
        </w:rPr>
        <w:t>材料性能分项系数</w:t>
      </w:r>
      <w:r>
        <w:rPr>
          <w:rFonts w:ascii="Times New Roman" w:hAnsi="Times New Roman"/>
        </w:rPr>
        <w:t>1.8</w:t>
      </w:r>
      <w:r>
        <w:rPr>
          <w:rFonts w:hint="eastAsia" w:ascii="Times New Roman" w:hAnsi="Times New Roman"/>
        </w:rPr>
        <w:t>采用，抗剪强度取抗弯强度的</w:t>
      </w:r>
      <w:r>
        <w:rPr>
          <w:rFonts w:ascii="Times New Roman" w:hAnsi="Times New Roman"/>
        </w:rPr>
        <w:t>50%</w:t>
      </w:r>
      <w:r>
        <w:rPr>
          <w:rFonts w:hint="eastAsia" w:ascii="Times New Roman" w:hAnsi="Times New Roman"/>
        </w:rPr>
        <w:t>，也可按表</w:t>
      </w:r>
      <w:r>
        <w:rPr>
          <w:rFonts w:ascii="Times New Roman" w:hAnsi="Times New Roman"/>
        </w:rPr>
        <w:t>3.2.15</w:t>
      </w:r>
      <w:r>
        <w:rPr>
          <w:rFonts w:hint="eastAsia" w:ascii="Times New Roman" w:hAnsi="Times New Roman"/>
        </w:rPr>
        <w:t>采用。</w:t>
      </w:r>
    </w:p>
    <w:p>
      <w:pPr>
        <w:jc w:val="center"/>
        <w:rPr>
          <w:rFonts w:ascii="Times New Roman" w:hAnsi="Times New Roman"/>
        </w:rPr>
      </w:pPr>
      <w:r>
        <w:rPr>
          <w:rFonts w:ascii="Times New Roman" w:hAnsi="Times New Roman"/>
          <w:snapToGrid w:val="0"/>
        </w:rPr>
        <w:t xml:space="preserve">表3.2.19 </w:t>
      </w:r>
      <w:r>
        <w:rPr>
          <w:rFonts w:hint="eastAsia" w:ascii="Times New Roman" w:hAnsi="Times New Roman"/>
          <w:snapToGrid w:val="0"/>
        </w:rPr>
        <w:t>瓷板强度设计值</w:t>
      </w:r>
    </w:p>
    <w:tbl>
      <w:tblPr>
        <w:tblStyle w:val="37"/>
        <w:tblW w:w="4998" w:type="pct"/>
        <w:tblInd w:w="0" w:type="dxa"/>
        <w:tblLayout w:type="autofit"/>
        <w:tblCellMar>
          <w:top w:w="0" w:type="dxa"/>
          <w:left w:w="108" w:type="dxa"/>
          <w:bottom w:w="0" w:type="dxa"/>
          <w:right w:w="108" w:type="dxa"/>
        </w:tblCellMar>
      </w:tblPr>
      <w:tblGrid>
        <w:gridCol w:w="1600"/>
        <w:gridCol w:w="3735"/>
        <w:gridCol w:w="3947"/>
      </w:tblGrid>
      <w:tr>
        <w:tblPrEx>
          <w:tblCellMar>
            <w:top w:w="0" w:type="dxa"/>
            <w:left w:w="108" w:type="dxa"/>
            <w:bottom w:w="0" w:type="dxa"/>
            <w:right w:w="108" w:type="dxa"/>
          </w:tblCellMar>
        </w:tblPrEx>
        <w:trPr>
          <w:trHeight w:val="335"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材料种类</w:t>
            </w:r>
          </w:p>
        </w:tc>
        <w:tc>
          <w:tcPr>
            <w:tcW w:w="2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抗弯强度设计值</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抗剪强度设计值</w:t>
            </w:r>
          </w:p>
        </w:tc>
      </w:tr>
      <w:tr>
        <w:tblPrEx>
          <w:tblCellMar>
            <w:top w:w="0" w:type="dxa"/>
            <w:left w:w="108" w:type="dxa"/>
            <w:bottom w:w="0" w:type="dxa"/>
            <w:right w:w="108" w:type="dxa"/>
          </w:tblCellMar>
        </w:tblPrEx>
        <w:trPr>
          <w:trHeight w:val="90"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瓷板</w:t>
            </w:r>
          </w:p>
        </w:tc>
        <w:tc>
          <w:tcPr>
            <w:tcW w:w="2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15.0</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7.5</w:t>
            </w:r>
          </w:p>
        </w:tc>
      </w:tr>
    </w:tbl>
    <w:p>
      <w:pPr>
        <w:ind w:firstLine="480" w:firstLineChars="200"/>
        <w:rPr>
          <w:rFonts w:ascii="Times New Roman" w:hAnsi="Times New Roman" w:eastAsia="仿宋_GB2312" w:cs="仿宋_GB2312"/>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条文说明：本条参照《人造板材幕墙工程技术规范》</w:t>
      </w:r>
      <w:r>
        <w:rPr>
          <w:rFonts w:ascii="Times New Roman" w:hAnsi="Times New Roman" w:eastAsia="仿宋_GB2312" w:cs="仿宋_GB2312"/>
        </w:rPr>
        <w:t>JGJ 336-2016</w:t>
      </w:r>
      <w:r>
        <w:rPr>
          <w:rFonts w:hint="eastAsia" w:ascii="Times New Roman" w:hAnsi="Times New Roman" w:eastAsia="仿宋_GB2312" w:cs="仿宋_GB2312"/>
        </w:rPr>
        <w:t>第</w:t>
      </w:r>
      <w:r>
        <w:rPr>
          <w:rFonts w:ascii="Times New Roman" w:hAnsi="Times New Roman" w:eastAsia="仿宋_GB2312" w:cs="仿宋_GB2312"/>
        </w:rPr>
        <w:t>5.2.5</w:t>
      </w:r>
      <w:r>
        <w:rPr>
          <w:rFonts w:hint="eastAsia" w:ascii="Times New Roman" w:hAnsi="Times New Roman" w:eastAsia="仿宋_GB2312" w:cs="仿宋_GB2312"/>
        </w:rPr>
        <w:t>条及其条文说明相关规定制定。</w:t>
      </w:r>
    </w:p>
    <w:p>
      <w:pPr>
        <w:jc w:val="center"/>
        <w:rPr>
          <w:rFonts w:ascii="Times New Roman" w:hAnsi="Times New Roman"/>
        </w:rPr>
      </w:pPr>
    </w:p>
    <w:p>
      <w:pPr>
        <w:rPr>
          <w:rFonts w:ascii="Times New Roman" w:hAnsi="Times New Roman"/>
        </w:rPr>
      </w:pPr>
      <w:r>
        <w:rPr>
          <w:rFonts w:hint="eastAsia" w:ascii="Times New Roman" w:hAnsi="Times New Roman" w:cs="Times New Roman"/>
          <w:b/>
          <w:bCs/>
          <w:szCs w:val="21"/>
        </w:rPr>
        <w:t>3.2.16</w:t>
      </w:r>
      <w:r>
        <w:rPr>
          <w:rFonts w:ascii="Times New Roman" w:hAnsi="Times New Roman"/>
          <w:b/>
        </w:rPr>
        <w:t xml:space="preserve"> </w:t>
      </w:r>
      <w:r>
        <w:rPr>
          <w:rFonts w:hint="eastAsia" w:ascii="Times New Roman" w:hAnsi="Times New Roman"/>
        </w:rPr>
        <w:t>陶板的力学性能应符合《建筑幕墙用陶板》</w:t>
      </w:r>
      <w:r>
        <w:rPr>
          <w:rFonts w:ascii="Times New Roman" w:hAnsi="Times New Roman"/>
        </w:rPr>
        <w:t>JG/T 324</w:t>
      </w:r>
      <w:r>
        <w:rPr>
          <w:rFonts w:hint="eastAsia" w:ascii="Times New Roman" w:hAnsi="Times New Roman"/>
        </w:rPr>
        <w:t>的规定，陶板的强度设计值可根据厂家提供的强度标准值（或最小值）除以</w:t>
      </w:r>
      <w:r>
        <w:rPr>
          <w:rFonts w:hint="eastAsia" w:ascii="Times New Roman" w:hAnsi="Times New Roman"/>
          <w:snapToGrid w:val="0"/>
        </w:rPr>
        <w:t>材料性能分项系数</w:t>
      </w:r>
      <w:r>
        <w:rPr>
          <w:rFonts w:ascii="Times New Roman" w:hAnsi="Times New Roman"/>
        </w:rPr>
        <w:t>1.8</w:t>
      </w:r>
      <w:r>
        <w:rPr>
          <w:rFonts w:hint="eastAsia" w:ascii="Times New Roman" w:hAnsi="Times New Roman"/>
        </w:rPr>
        <w:t>采用，抗剪强度按抗弯强度的</w:t>
      </w:r>
      <w:r>
        <w:rPr>
          <w:rFonts w:ascii="Times New Roman" w:hAnsi="Times New Roman"/>
        </w:rPr>
        <w:t>20%</w:t>
      </w:r>
      <w:r>
        <w:rPr>
          <w:rFonts w:hint="eastAsia" w:ascii="Times New Roman" w:hAnsi="Times New Roman"/>
        </w:rPr>
        <w:t>采用，也可按表</w:t>
      </w:r>
      <w:r>
        <w:rPr>
          <w:rFonts w:ascii="Times New Roman" w:hAnsi="Times New Roman"/>
        </w:rPr>
        <w:t>3.2.16</w:t>
      </w:r>
      <w:r>
        <w:rPr>
          <w:rFonts w:hint="eastAsia" w:ascii="Times New Roman" w:hAnsi="Times New Roman"/>
        </w:rPr>
        <w:t>采用。</w:t>
      </w:r>
    </w:p>
    <w:p>
      <w:pPr>
        <w:jc w:val="center"/>
        <w:rPr>
          <w:rFonts w:ascii="Times New Roman" w:hAnsi="Times New Roman"/>
        </w:rPr>
      </w:pPr>
      <w:r>
        <w:rPr>
          <w:rFonts w:ascii="Times New Roman" w:hAnsi="Times New Roman"/>
          <w:snapToGrid w:val="0"/>
        </w:rPr>
        <w:t xml:space="preserve">表3.2.20 </w:t>
      </w:r>
      <w:r>
        <w:rPr>
          <w:rFonts w:hint="eastAsia" w:ascii="Times New Roman" w:hAnsi="Times New Roman"/>
          <w:snapToGrid w:val="0"/>
        </w:rPr>
        <w:t>陶板强度设计值</w:t>
      </w:r>
    </w:p>
    <w:tbl>
      <w:tblPr>
        <w:tblStyle w:val="37"/>
        <w:tblW w:w="4998" w:type="pct"/>
        <w:tblInd w:w="0" w:type="dxa"/>
        <w:tblLayout w:type="autofit"/>
        <w:tblCellMar>
          <w:top w:w="0" w:type="dxa"/>
          <w:left w:w="108" w:type="dxa"/>
          <w:bottom w:w="0" w:type="dxa"/>
          <w:right w:w="108" w:type="dxa"/>
        </w:tblCellMar>
      </w:tblPr>
      <w:tblGrid>
        <w:gridCol w:w="1600"/>
        <w:gridCol w:w="1239"/>
        <w:gridCol w:w="1239"/>
        <w:gridCol w:w="1257"/>
        <w:gridCol w:w="1239"/>
        <w:gridCol w:w="1239"/>
        <w:gridCol w:w="1469"/>
      </w:tblGrid>
      <w:tr>
        <w:tblPrEx>
          <w:tblCellMar>
            <w:top w:w="0" w:type="dxa"/>
            <w:left w:w="108" w:type="dxa"/>
            <w:bottom w:w="0" w:type="dxa"/>
            <w:right w:w="108" w:type="dxa"/>
          </w:tblCellMar>
        </w:tblPrEx>
        <w:trPr>
          <w:trHeight w:val="288"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材料种类</w:t>
            </w:r>
          </w:p>
        </w:tc>
        <w:tc>
          <w:tcPr>
            <w:tcW w:w="201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抗弯强度设计值</w:t>
            </w:r>
          </w:p>
        </w:tc>
        <w:tc>
          <w:tcPr>
            <w:tcW w:w="212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抗剪强度设计值</w:t>
            </w:r>
          </w:p>
        </w:tc>
      </w:tr>
      <w:tr>
        <w:tblPrEx>
          <w:tblCellMar>
            <w:top w:w="0" w:type="dxa"/>
            <w:left w:w="108" w:type="dxa"/>
            <w:bottom w:w="0" w:type="dxa"/>
            <w:right w:w="108" w:type="dxa"/>
          </w:tblCellMar>
        </w:tblPrEx>
        <w:trPr>
          <w:trHeight w:val="320" w:hRule="atLeast"/>
        </w:trPr>
        <w:tc>
          <w:tcPr>
            <w:tcW w:w="8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陶板</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A</w:t>
            </w:r>
            <w:r>
              <w:rPr>
                <w:rFonts w:hint="eastAsia" w:ascii="Times New Roman" w:hAnsi="Times New Roman"/>
                <w:lang w:bidi="ar"/>
              </w:rPr>
              <w:t>Ⅰ类</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A</w:t>
            </w:r>
            <w:r>
              <w:rPr>
                <w:rFonts w:hint="eastAsia" w:ascii="Times New Roman" w:hAnsi="Times New Roman"/>
                <w:lang w:bidi="ar"/>
              </w:rPr>
              <w:t>Ⅱ</w:t>
            </w:r>
            <w:r>
              <w:rPr>
                <w:rFonts w:ascii="Times New Roman" w:hAnsi="Times New Roman"/>
                <w:lang w:bidi="ar"/>
              </w:rPr>
              <w:t>a</w:t>
            </w:r>
            <w:r>
              <w:rPr>
                <w:rFonts w:hint="eastAsia" w:ascii="Times New Roman" w:hAnsi="Times New Roman"/>
                <w:lang w:bidi="ar"/>
              </w:rPr>
              <w:t>类</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A</w:t>
            </w:r>
            <w:r>
              <w:rPr>
                <w:rFonts w:hint="eastAsia" w:ascii="Times New Roman" w:hAnsi="Times New Roman"/>
                <w:lang w:bidi="ar"/>
              </w:rPr>
              <w:t>Ⅱ</w:t>
            </w:r>
            <w:r>
              <w:rPr>
                <w:rFonts w:ascii="Times New Roman" w:hAnsi="Times New Roman"/>
                <w:lang w:bidi="ar"/>
              </w:rPr>
              <w:t>b</w:t>
            </w:r>
            <w:r>
              <w:rPr>
                <w:rFonts w:hint="eastAsia" w:ascii="Times New Roman" w:hAnsi="Times New Roman"/>
                <w:lang w:bidi="ar"/>
              </w:rPr>
              <w:t>类</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A</w:t>
            </w:r>
            <w:r>
              <w:rPr>
                <w:rFonts w:hint="eastAsia" w:ascii="Times New Roman" w:hAnsi="Times New Roman"/>
                <w:lang w:bidi="ar"/>
              </w:rPr>
              <w:t>Ⅰ类</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A</w:t>
            </w:r>
            <w:r>
              <w:rPr>
                <w:rFonts w:hint="eastAsia" w:ascii="Times New Roman" w:hAnsi="Times New Roman"/>
                <w:lang w:bidi="ar"/>
              </w:rPr>
              <w:t>Ⅱ</w:t>
            </w:r>
            <w:r>
              <w:rPr>
                <w:rFonts w:ascii="Times New Roman" w:hAnsi="Times New Roman"/>
                <w:lang w:bidi="ar"/>
              </w:rPr>
              <w:t>a</w:t>
            </w:r>
            <w:r>
              <w:rPr>
                <w:rFonts w:hint="eastAsia" w:ascii="Times New Roman" w:hAnsi="Times New Roman"/>
                <w:lang w:bidi="ar"/>
              </w:rPr>
              <w:t>类</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A</w:t>
            </w:r>
            <w:r>
              <w:rPr>
                <w:rFonts w:hint="eastAsia" w:ascii="Times New Roman" w:hAnsi="Times New Roman"/>
                <w:lang w:bidi="ar"/>
              </w:rPr>
              <w:t>Ⅱ</w:t>
            </w:r>
            <w:r>
              <w:rPr>
                <w:rFonts w:ascii="Times New Roman" w:hAnsi="Times New Roman"/>
                <w:lang w:bidi="ar"/>
              </w:rPr>
              <w:t>b</w:t>
            </w:r>
            <w:r>
              <w:rPr>
                <w:rFonts w:hint="eastAsia" w:ascii="Times New Roman" w:hAnsi="Times New Roman"/>
                <w:lang w:bidi="ar"/>
              </w:rPr>
              <w:t>类</w:t>
            </w:r>
          </w:p>
        </w:tc>
      </w:tr>
      <w:tr>
        <w:tblPrEx>
          <w:tblCellMar>
            <w:top w:w="0" w:type="dxa"/>
            <w:left w:w="108" w:type="dxa"/>
            <w:bottom w:w="0" w:type="dxa"/>
            <w:right w:w="108" w:type="dxa"/>
          </w:tblCellMar>
        </w:tblPrEx>
        <w:trPr>
          <w:trHeight w:val="320" w:hRule="atLeast"/>
        </w:trPr>
        <w:tc>
          <w:tcPr>
            <w:tcW w:w="8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10.0</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6.2</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4.5</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2.0</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1.2</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0.9</w:t>
            </w:r>
          </w:p>
        </w:tc>
      </w:tr>
    </w:tbl>
    <w:p>
      <w:pPr>
        <w:jc w:val="center"/>
        <w:rPr>
          <w:rFonts w:ascii="Times New Roman" w:hAnsi="Times New Roman"/>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条文说明：本条参照《人造板材幕墙工程技术规范》</w:t>
      </w:r>
      <w:r>
        <w:rPr>
          <w:rFonts w:ascii="Times New Roman" w:hAnsi="Times New Roman" w:eastAsia="仿宋_GB2312" w:cs="仿宋_GB2312"/>
        </w:rPr>
        <w:t>JGJ 336-2016</w:t>
      </w:r>
      <w:r>
        <w:rPr>
          <w:rFonts w:hint="eastAsia" w:ascii="Times New Roman" w:hAnsi="Times New Roman" w:eastAsia="仿宋_GB2312" w:cs="仿宋_GB2312"/>
        </w:rPr>
        <w:t>第</w:t>
      </w:r>
      <w:r>
        <w:rPr>
          <w:rFonts w:ascii="Times New Roman" w:hAnsi="Times New Roman" w:eastAsia="仿宋_GB2312" w:cs="仿宋_GB2312"/>
        </w:rPr>
        <w:t>5.2.5</w:t>
      </w:r>
      <w:r>
        <w:rPr>
          <w:rFonts w:hint="eastAsia" w:ascii="Times New Roman" w:hAnsi="Times New Roman" w:eastAsia="仿宋_GB2312" w:cs="仿宋_GB2312"/>
        </w:rPr>
        <w:t>条及其条文说明相关规定制定。</w:t>
      </w:r>
    </w:p>
    <w:p>
      <w:pPr>
        <w:jc w:val="center"/>
        <w:rPr>
          <w:rFonts w:ascii="Times New Roman" w:hAnsi="Times New Roman"/>
        </w:rPr>
      </w:pPr>
    </w:p>
    <w:p>
      <w:pPr>
        <w:rPr>
          <w:rFonts w:ascii="Times New Roman" w:hAnsi="Times New Roman"/>
        </w:rPr>
      </w:pPr>
      <w:r>
        <w:rPr>
          <w:rFonts w:hint="eastAsia" w:ascii="Times New Roman" w:hAnsi="Times New Roman" w:cs="Times New Roman"/>
          <w:b/>
          <w:bCs/>
          <w:szCs w:val="21"/>
        </w:rPr>
        <w:t>3.2.17</w:t>
      </w:r>
      <w:r>
        <w:rPr>
          <w:rFonts w:ascii="Times New Roman" w:hAnsi="Times New Roman"/>
          <w:b/>
        </w:rPr>
        <w:t xml:space="preserve"> </w:t>
      </w:r>
      <w:r>
        <w:rPr>
          <w:rFonts w:hint="eastAsia" w:ascii="Times New Roman" w:hAnsi="Times New Roman"/>
        </w:rPr>
        <w:t>微晶玻璃的力学性能应符合《建筑装饰用微晶玻璃》</w:t>
      </w:r>
      <w:r>
        <w:rPr>
          <w:rFonts w:ascii="Times New Roman" w:hAnsi="Times New Roman"/>
        </w:rPr>
        <w:t>JC/T 872</w:t>
      </w:r>
      <w:r>
        <w:rPr>
          <w:rFonts w:hint="eastAsia" w:ascii="Times New Roman" w:hAnsi="Times New Roman"/>
        </w:rPr>
        <w:t>的规定，微晶玻璃的强度设计值可根据厂家提供的强度标准值（或最小值）除以</w:t>
      </w:r>
      <w:r>
        <w:rPr>
          <w:rFonts w:hint="eastAsia" w:ascii="Times New Roman" w:hAnsi="Times New Roman"/>
          <w:snapToGrid w:val="0"/>
        </w:rPr>
        <w:t>材料性能分项系数</w:t>
      </w:r>
      <w:r>
        <w:rPr>
          <w:rFonts w:ascii="Times New Roman" w:hAnsi="Times New Roman"/>
        </w:rPr>
        <w:t>1.8</w:t>
      </w:r>
      <w:r>
        <w:rPr>
          <w:rFonts w:hint="eastAsia" w:ascii="Times New Roman" w:hAnsi="Times New Roman"/>
        </w:rPr>
        <w:t>采用，抗剪强度按抗弯强度的</w:t>
      </w:r>
      <w:r>
        <w:rPr>
          <w:rFonts w:ascii="Times New Roman" w:hAnsi="Times New Roman"/>
        </w:rPr>
        <w:t>20%</w:t>
      </w:r>
      <w:r>
        <w:rPr>
          <w:rFonts w:hint="eastAsia" w:ascii="Times New Roman" w:hAnsi="Times New Roman"/>
        </w:rPr>
        <w:t>采用，也可按表</w:t>
      </w:r>
      <w:r>
        <w:rPr>
          <w:rFonts w:ascii="Times New Roman" w:hAnsi="Times New Roman"/>
        </w:rPr>
        <w:t>3.2.17</w:t>
      </w:r>
      <w:r>
        <w:rPr>
          <w:rFonts w:hint="eastAsia" w:ascii="Times New Roman" w:hAnsi="Times New Roman"/>
        </w:rPr>
        <w:t>采用。</w:t>
      </w:r>
    </w:p>
    <w:p>
      <w:pPr>
        <w:jc w:val="center"/>
        <w:rPr>
          <w:rFonts w:ascii="Times New Roman" w:hAnsi="Times New Roman"/>
          <w:snapToGrid w:val="0"/>
        </w:rPr>
      </w:pPr>
      <w:r>
        <w:rPr>
          <w:rFonts w:ascii="Times New Roman" w:hAnsi="Times New Roman"/>
          <w:snapToGrid w:val="0"/>
        </w:rPr>
        <w:t xml:space="preserve">表3.2.17 </w:t>
      </w:r>
      <w:r>
        <w:rPr>
          <w:rFonts w:hint="eastAsia" w:ascii="Times New Roman" w:hAnsi="Times New Roman"/>
        </w:rPr>
        <w:t>微晶玻璃</w:t>
      </w:r>
      <w:r>
        <w:rPr>
          <w:rFonts w:hint="eastAsia" w:ascii="Times New Roman" w:hAnsi="Times New Roman"/>
          <w:snapToGrid w:val="0"/>
        </w:rPr>
        <w:t>强度设计值</w:t>
      </w:r>
    </w:p>
    <w:tbl>
      <w:tblPr>
        <w:tblStyle w:val="37"/>
        <w:tblW w:w="4998" w:type="pct"/>
        <w:tblInd w:w="0" w:type="dxa"/>
        <w:tblLayout w:type="autofit"/>
        <w:tblCellMar>
          <w:top w:w="0" w:type="dxa"/>
          <w:left w:w="108" w:type="dxa"/>
          <w:bottom w:w="0" w:type="dxa"/>
          <w:right w:w="108" w:type="dxa"/>
        </w:tblCellMar>
      </w:tblPr>
      <w:tblGrid>
        <w:gridCol w:w="1600"/>
        <w:gridCol w:w="3735"/>
        <w:gridCol w:w="3947"/>
      </w:tblGrid>
      <w:tr>
        <w:tblPrEx>
          <w:tblCellMar>
            <w:top w:w="0" w:type="dxa"/>
            <w:left w:w="108" w:type="dxa"/>
            <w:bottom w:w="0" w:type="dxa"/>
            <w:right w:w="108" w:type="dxa"/>
          </w:tblCellMar>
        </w:tblPrEx>
        <w:trPr>
          <w:trHeight w:val="288"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材料种类</w:t>
            </w:r>
          </w:p>
        </w:tc>
        <w:tc>
          <w:tcPr>
            <w:tcW w:w="2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抗弯强度设计值</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抗剪强度设计值</w:t>
            </w:r>
          </w:p>
        </w:tc>
      </w:tr>
      <w:tr>
        <w:tblPrEx>
          <w:tblCellMar>
            <w:top w:w="0" w:type="dxa"/>
            <w:left w:w="108" w:type="dxa"/>
            <w:bottom w:w="0" w:type="dxa"/>
            <w:right w:w="108" w:type="dxa"/>
          </w:tblCellMar>
        </w:tblPrEx>
        <w:trPr>
          <w:trHeight w:val="320"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微晶玻璃</w:t>
            </w:r>
          </w:p>
        </w:tc>
        <w:tc>
          <w:tcPr>
            <w:tcW w:w="2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16.0</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3.2</w:t>
            </w:r>
          </w:p>
        </w:tc>
      </w:tr>
    </w:tbl>
    <w:p>
      <w:pPr>
        <w:ind w:firstLine="480" w:firstLineChars="200"/>
        <w:rPr>
          <w:rFonts w:ascii="Times New Roman" w:hAnsi="Times New Roman" w:eastAsia="仿宋_GB2312" w:cs="仿宋_GB2312"/>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条文说明：本条参照《人造板材幕墙工程技术规范》</w:t>
      </w:r>
      <w:r>
        <w:rPr>
          <w:rFonts w:ascii="Times New Roman" w:hAnsi="Times New Roman" w:eastAsia="仿宋_GB2312" w:cs="仿宋_GB2312"/>
        </w:rPr>
        <w:t>JGJ 336-2016</w:t>
      </w:r>
      <w:r>
        <w:rPr>
          <w:rFonts w:hint="eastAsia" w:ascii="Times New Roman" w:hAnsi="Times New Roman" w:eastAsia="仿宋_GB2312" w:cs="仿宋_GB2312"/>
        </w:rPr>
        <w:t>第</w:t>
      </w:r>
      <w:r>
        <w:rPr>
          <w:rFonts w:ascii="Times New Roman" w:hAnsi="Times New Roman" w:eastAsia="仿宋_GB2312" w:cs="仿宋_GB2312"/>
        </w:rPr>
        <w:t>5.2.5</w:t>
      </w:r>
      <w:r>
        <w:rPr>
          <w:rFonts w:hint="eastAsia" w:ascii="Times New Roman" w:hAnsi="Times New Roman" w:eastAsia="仿宋_GB2312" w:cs="仿宋_GB2312"/>
        </w:rPr>
        <w:t>条及其条文说明相关规定制定。</w:t>
      </w:r>
    </w:p>
    <w:p>
      <w:pPr>
        <w:rPr>
          <w:rFonts w:ascii="Times New Roman" w:hAnsi="Times New Roman"/>
          <w:b/>
        </w:rPr>
      </w:pPr>
    </w:p>
    <w:p>
      <w:pPr>
        <w:rPr>
          <w:rFonts w:ascii="Times New Roman" w:hAnsi="Times New Roman"/>
        </w:rPr>
      </w:pPr>
      <w:r>
        <w:rPr>
          <w:rFonts w:hint="eastAsia" w:ascii="Times New Roman" w:hAnsi="Times New Roman" w:cs="Times New Roman"/>
          <w:b/>
          <w:bCs/>
          <w:szCs w:val="21"/>
        </w:rPr>
        <w:t>3.2.18</w:t>
      </w:r>
      <w:r>
        <w:rPr>
          <w:rFonts w:ascii="Times New Roman" w:hAnsi="Times New Roman"/>
          <w:b/>
        </w:rPr>
        <w:t xml:space="preserve"> </w:t>
      </w:r>
      <w:r>
        <w:rPr>
          <w:rFonts w:hint="eastAsia" w:ascii="Times New Roman" w:hAnsi="Times New Roman"/>
        </w:rPr>
        <w:t>木纤维板的力学性能应符合《建筑幕墙用高压热固化木纤维板》</w:t>
      </w:r>
      <w:r>
        <w:rPr>
          <w:rFonts w:ascii="Times New Roman" w:hAnsi="Times New Roman"/>
        </w:rPr>
        <w:t>JG/T 260</w:t>
      </w:r>
      <w:r>
        <w:rPr>
          <w:rFonts w:hint="eastAsia" w:ascii="Times New Roman" w:hAnsi="Times New Roman"/>
        </w:rPr>
        <w:t>的规定，木纤维板的强度设计值可根据厂家提供的强度标准值（或最小值）除以</w:t>
      </w:r>
      <w:r>
        <w:rPr>
          <w:rFonts w:hint="eastAsia" w:ascii="Times New Roman" w:hAnsi="Times New Roman"/>
          <w:snapToGrid w:val="0"/>
        </w:rPr>
        <w:t>材料性能分项系数</w:t>
      </w:r>
      <w:r>
        <w:rPr>
          <w:rFonts w:ascii="Times New Roman" w:hAnsi="Times New Roman"/>
        </w:rPr>
        <w:t>1.5</w:t>
      </w:r>
      <w:r>
        <w:rPr>
          <w:rFonts w:hint="eastAsia" w:ascii="Times New Roman" w:hAnsi="Times New Roman"/>
        </w:rPr>
        <w:t>采用，也可按表</w:t>
      </w:r>
      <w:r>
        <w:rPr>
          <w:rFonts w:ascii="Times New Roman" w:hAnsi="Times New Roman"/>
        </w:rPr>
        <w:t>3.2.18</w:t>
      </w:r>
      <w:r>
        <w:rPr>
          <w:rFonts w:hint="eastAsia" w:ascii="Times New Roman" w:hAnsi="Times New Roman"/>
        </w:rPr>
        <w:t>采用。</w:t>
      </w:r>
    </w:p>
    <w:p>
      <w:pPr>
        <w:jc w:val="center"/>
        <w:rPr>
          <w:rFonts w:ascii="Times New Roman" w:hAnsi="Times New Roman"/>
          <w:snapToGrid w:val="0"/>
        </w:rPr>
      </w:pPr>
      <w:r>
        <w:rPr>
          <w:rFonts w:ascii="Times New Roman" w:hAnsi="Times New Roman"/>
          <w:snapToGrid w:val="0"/>
        </w:rPr>
        <w:t xml:space="preserve">表3.2.18 </w:t>
      </w:r>
      <w:r>
        <w:rPr>
          <w:rFonts w:hint="eastAsia" w:ascii="Times New Roman" w:hAnsi="Times New Roman"/>
        </w:rPr>
        <w:t>木纤维板</w:t>
      </w:r>
      <w:r>
        <w:rPr>
          <w:rFonts w:hint="eastAsia" w:ascii="Times New Roman" w:hAnsi="Times New Roman"/>
          <w:snapToGrid w:val="0"/>
        </w:rPr>
        <w:t>强度设计值</w:t>
      </w:r>
    </w:p>
    <w:tbl>
      <w:tblPr>
        <w:tblStyle w:val="37"/>
        <w:tblW w:w="4998" w:type="pct"/>
        <w:tblInd w:w="0" w:type="dxa"/>
        <w:tblLayout w:type="autofit"/>
        <w:tblCellMar>
          <w:top w:w="0" w:type="dxa"/>
          <w:left w:w="108" w:type="dxa"/>
          <w:bottom w:w="0" w:type="dxa"/>
          <w:right w:w="108" w:type="dxa"/>
        </w:tblCellMar>
      </w:tblPr>
      <w:tblGrid>
        <w:gridCol w:w="1600"/>
        <w:gridCol w:w="3735"/>
        <w:gridCol w:w="3947"/>
      </w:tblGrid>
      <w:tr>
        <w:tblPrEx>
          <w:tblCellMar>
            <w:top w:w="0" w:type="dxa"/>
            <w:left w:w="108" w:type="dxa"/>
            <w:bottom w:w="0" w:type="dxa"/>
            <w:right w:w="108" w:type="dxa"/>
          </w:tblCellMar>
        </w:tblPrEx>
        <w:trPr>
          <w:trHeight w:val="288"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材料种类</w:t>
            </w:r>
          </w:p>
        </w:tc>
        <w:tc>
          <w:tcPr>
            <w:tcW w:w="2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抗弯强度设计值</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抗剪强度设计值</w:t>
            </w:r>
          </w:p>
        </w:tc>
      </w:tr>
      <w:tr>
        <w:tblPrEx>
          <w:tblCellMar>
            <w:top w:w="0" w:type="dxa"/>
            <w:left w:w="108" w:type="dxa"/>
            <w:bottom w:w="0" w:type="dxa"/>
            <w:right w:w="108" w:type="dxa"/>
          </w:tblCellMar>
        </w:tblPrEx>
        <w:trPr>
          <w:trHeight w:val="320"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木纤维板</w:t>
            </w:r>
          </w:p>
        </w:tc>
        <w:tc>
          <w:tcPr>
            <w:tcW w:w="2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56.0</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w:t>
            </w:r>
          </w:p>
        </w:tc>
      </w:tr>
    </w:tbl>
    <w:p>
      <w:pPr>
        <w:ind w:firstLine="480" w:firstLineChars="200"/>
        <w:rPr>
          <w:rFonts w:ascii="Times New Roman" w:hAnsi="Times New Roman" w:eastAsia="仿宋_GB2312" w:cs="仿宋_GB2312"/>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条文说明：本条参照《人造板材幕墙工程技术规范》</w:t>
      </w:r>
      <w:r>
        <w:rPr>
          <w:rFonts w:ascii="Times New Roman" w:hAnsi="Times New Roman" w:eastAsia="仿宋_GB2312" w:cs="仿宋_GB2312"/>
        </w:rPr>
        <w:t>JGJ 336-2016</w:t>
      </w:r>
      <w:r>
        <w:rPr>
          <w:rFonts w:hint="eastAsia" w:ascii="Times New Roman" w:hAnsi="Times New Roman" w:eastAsia="仿宋_GB2312" w:cs="仿宋_GB2312"/>
        </w:rPr>
        <w:t>第</w:t>
      </w:r>
      <w:r>
        <w:rPr>
          <w:rFonts w:ascii="Times New Roman" w:hAnsi="Times New Roman" w:eastAsia="仿宋_GB2312" w:cs="仿宋_GB2312"/>
        </w:rPr>
        <w:t>5.2.5</w:t>
      </w:r>
      <w:r>
        <w:rPr>
          <w:rFonts w:hint="eastAsia" w:ascii="Times New Roman" w:hAnsi="Times New Roman" w:eastAsia="仿宋_GB2312" w:cs="仿宋_GB2312"/>
        </w:rPr>
        <w:t>条及其条文说明相关规定制定。</w:t>
      </w:r>
    </w:p>
    <w:p>
      <w:pPr>
        <w:jc w:val="center"/>
        <w:rPr>
          <w:rFonts w:ascii="Times New Roman" w:hAnsi="Times New Roman"/>
        </w:rPr>
      </w:pPr>
    </w:p>
    <w:p>
      <w:pPr>
        <w:rPr>
          <w:rFonts w:ascii="Times New Roman" w:hAnsi="Times New Roman"/>
        </w:rPr>
      </w:pPr>
      <w:r>
        <w:rPr>
          <w:rFonts w:hint="eastAsia" w:ascii="Times New Roman" w:hAnsi="Times New Roman" w:cs="Times New Roman"/>
          <w:b/>
          <w:bCs/>
          <w:szCs w:val="21"/>
        </w:rPr>
        <w:t xml:space="preserve">3.2.19 </w:t>
      </w:r>
      <w:r>
        <w:rPr>
          <w:rFonts w:hint="eastAsia" w:ascii="Times New Roman" w:hAnsi="Times New Roman"/>
        </w:rPr>
        <w:t>纤维水泥板的力学性能应符合《外墙用非承重纤维增强水泥板》</w:t>
      </w:r>
      <w:r>
        <w:rPr>
          <w:rFonts w:ascii="Times New Roman" w:hAnsi="Times New Roman"/>
        </w:rPr>
        <w:t>JG/T 396</w:t>
      </w:r>
      <w:r>
        <w:rPr>
          <w:rFonts w:hint="eastAsia" w:ascii="Times New Roman" w:hAnsi="Times New Roman"/>
        </w:rPr>
        <w:t>的规定，且幕墙用纤维水泥板强度等级不宜低于Ⅲ级。纤维水泥板的强度设计值可根据厂家提供的强度标准值（或最小值）除以</w:t>
      </w:r>
      <w:r>
        <w:rPr>
          <w:rFonts w:hint="eastAsia" w:ascii="Times New Roman" w:hAnsi="Times New Roman"/>
          <w:snapToGrid w:val="0"/>
        </w:rPr>
        <w:t>材料性能分项系数</w:t>
      </w:r>
      <w:r>
        <w:rPr>
          <w:rFonts w:ascii="Times New Roman" w:hAnsi="Times New Roman"/>
        </w:rPr>
        <w:t>1.6</w:t>
      </w:r>
      <w:r>
        <w:rPr>
          <w:rFonts w:hint="eastAsia" w:ascii="Times New Roman" w:hAnsi="Times New Roman"/>
        </w:rPr>
        <w:t>采用，抗剪强度按抗弯强度的</w:t>
      </w:r>
      <w:r>
        <w:rPr>
          <w:rFonts w:ascii="Times New Roman" w:hAnsi="Times New Roman"/>
        </w:rPr>
        <w:t>20%</w:t>
      </w:r>
      <w:r>
        <w:rPr>
          <w:rFonts w:hint="eastAsia" w:ascii="Times New Roman" w:hAnsi="Times New Roman"/>
        </w:rPr>
        <w:t>采用，也可按表</w:t>
      </w:r>
      <w:r>
        <w:rPr>
          <w:rFonts w:ascii="Times New Roman" w:hAnsi="Times New Roman"/>
        </w:rPr>
        <w:t>3.2.19</w:t>
      </w:r>
      <w:r>
        <w:rPr>
          <w:rFonts w:hint="eastAsia" w:ascii="Times New Roman" w:hAnsi="Times New Roman"/>
        </w:rPr>
        <w:t>采用。</w:t>
      </w:r>
    </w:p>
    <w:p>
      <w:pPr>
        <w:jc w:val="center"/>
        <w:rPr>
          <w:rFonts w:ascii="Times New Roman" w:hAnsi="Times New Roman"/>
          <w:snapToGrid w:val="0"/>
        </w:rPr>
      </w:pPr>
      <w:r>
        <w:rPr>
          <w:rFonts w:ascii="Times New Roman" w:hAnsi="Times New Roman"/>
          <w:snapToGrid w:val="0"/>
        </w:rPr>
        <w:t xml:space="preserve">表3.2.19 </w:t>
      </w:r>
      <w:r>
        <w:rPr>
          <w:rFonts w:hint="eastAsia" w:ascii="Times New Roman" w:hAnsi="Times New Roman"/>
        </w:rPr>
        <w:t>纤维水泥板</w:t>
      </w:r>
      <w:r>
        <w:rPr>
          <w:rFonts w:hint="eastAsia" w:ascii="Times New Roman" w:hAnsi="Times New Roman"/>
          <w:snapToGrid w:val="0"/>
        </w:rPr>
        <w:t>强度设计值</w:t>
      </w:r>
    </w:p>
    <w:tbl>
      <w:tblPr>
        <w:tblStyle w:val="37"/>
        <w:tblW w:w="4998" w:type="pct"/>
        <w:tblInd w:w="0" w:type="dxa"/>
        <w:tblLayout w:type="autofit"/>
        <w:tblCellMar>
          <w:top w:w="0" w:type="dxa"/>
          <w:left w:w="108" w:type="dxa"/>
          <w:bottom w:w="0" w:type="dxa"/>
          <w:right w:w="108" w:type="dxa"/>
        </w:tblCellMar>
      </w:tblPr>
      <w:tblGrid>
        <w:gridCol w:w="1600"/>
        <w:gridCol w:w="3735"/>
        <w:gridCol w:w="3947"/>
      </w:tblGrid>
      <w:tr>
        <w:tblPrEx>
          <w:tblCellMar>
            <w:top w:w="0" w:type="dxa"/>
            <w:left w:w="108" w:type="dxa"/>
            <w:bottom w:w="0" w:type="dxa"/>
            <w:right w:w="108" w:type="dxa"/>
          </w:tblCellMar>
        </w:tblPrEx>
        <w:trPr>
          <w:trHeight w:val="288"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材料种类</w:t>
            </w:r>
          </w:p>
        </w:tc>
        <w:tc>
          <w:tcPr>
            <w:tcW w:w="2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抗弯强度设计值</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抗剪强度设计值</w:t>
            </w:r>
          </w:p>
        </w:tc>
      </w:tr>
      <w:tr>
        <w:tblPrEx>
          <w:tblCellMar>
            <w:top w:w="0" w:type="dxa"/>
            <w:left w:w="108" w:type="dxa"/>
            <w:bottom w:w="0" w:type="dxa"/>
            <w:right w:w="108" w:type="dxa"/>
          </w:tblCellMar>
        </w:tblPrEx>
        <w:trPr>
          <w:trHeight w:val="315"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纤维水泥板</w:t>
            </w:r>
          </w:p>
        </w:tc>
        <w:tc>
          <w:tcPr>
            <w:tcW w:w="2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11.5</w:t>
            </w:r>
          </w:p>
        </w:tc>
        <w:tc>
          <w:tcPr>
            <w:tcW w:w="212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2.3</w:t>
            </w:r>
          </w:p>
        </w:tc>
      </w:tr>
    </w:tbl>
    <w:p>
      <w:pPr>
        <w:ind w:firstLine="480" w:firstLineChars="200"/>
        <w:rPr>
          <w:rFonts w:ascii="Times New Roman" w:hAnsi="Times New Roman" w:eastAsia="仿宋_GB2312" w:cs="仿宋_GB2312"/>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条文说明：本条参照《人造板材幕墙工程技术规范》</w:t>
      </w:r>
      <w:r>
        <w:rPr>
          <w:rFonts w:ascii="Times New Roman" w:hAnsi="Times New Roman" w:eastAsia="仿宋_GB2312" w:cs="仿宋_GB2312"/>
        </w:rPr>
        <w:t>JGJ 336-2016</w:t>
      </w:r>
      <w:r>
        <w:rPr>
          <w:rFonts w:hint="eastAsia" w:ascii="Times New Roman" w:hAnsi="Times New Roman" w:eastAsia="仿宋_GB2312" w:cs="仿宋_GB2312"/>
        </w:rPr>
        <w:t>第</w:t>
      </w:r>
      <w:r>
        <w:rPr>
          <w:rFonts w:ascii="Times New Roman" w:hAnsi="Times New Roman" w:eastAsia="仿宋_GB2312" w:cs="仿宋_GB2312"/>
        </w:rPr>
        <w:t>3.4.4</w:t>
      </w:r>
      <w:r>
        <w:rPr>
          <w:rFonts w:hint="eastAsia" w:ascii="Times New Roman" w:hAnsi="Times New Roman" w:eastAsia="仿宋_GB2312" w:cs="仿宋_GB2312"/>
        </w:rPr>
        <w:t>条和第</w:t>
      </w:r>
      <w:r>
        <w:rPr>
          <w:rFonts w:ascii="Times New Roman" w:hAnsi="Times New Roman" w:eastAsia="仿宋_GB2312" w:cs="仿宋_GB2312"/>
        </w:rPr>
        <w:t>5.2.5</w:t>
      </w:r>
      <w:r>
        <w:rPr>
          <w:rFonts w:hint="eastAsia" w:ascii="Times New Roman" w:hAnsi="Times New Roman" w:eastAsia="仿宋_GB2312" w:cs="仿宋_GB2312"/>
        </w:rPr>
        <w:t>条及其条文说明相关规定制定。</w:t>
      </w:r>
    </w:p>
    <w:p>
      <w:pPr>
        <w:jc w:val="center"/>
        <w:rPr>
          <w:rFonts w:ascii="Times New Roman" w:hAnsi="Times New Roman"/>
          <w:snapToGrid w:val="0"/>
        </w:rPr>
      </w:pPr>
    </w:p>
    <w:p>
      <w:pPr>
        <w:jc w:val="center"/>
        <w:rPr>
          <w:rFonts w:ascii="Times New Roman" w:hAnsi="Times New Roman"/>
        </w:rPr>
      </w:pPr>
    </w:p>
    <w:p>
      <w:pPr>
        <w:rPr>
          <w:rFonts w:ascii="Times New Roman" w:hAnsi="Times New Roman"/>
        </w:rPr>
      </w:pPr>
      <w:r>
        <w:rPr>
          <w:rFonts w:hint="eastAsia" w:ascii="Times New Roman" w:hAnsi="Times New Roman" w:cs="Times New Roman"/>
          <w:b/>
          <w:bCs/>
          <w:szCs w:val="21"/>
        </w:rPr>
        <w:t xml:space="preserve">3.2.20 </w:t>
      </w:r>
      <w:r>
        <w:rPr>
          <w:rFonts w:hint="eastAsia" w:ascii="Times New Roman" w:hAnsi="Times New Roman"/>
        </w:rPr>
        <w:t>玻璃纤维增强水泥（</w:t>
      </w:r>
      <w:r>
        <w:rPr>
          <w:rFonts w:ascii="Times New Roman" w:hAnsi="Times New Roman"/>
        </w:rPr>
        <w:t>GRC</w:t>
      </w:r>
      <w:r>
        <w:rPr>
          <w:rFonts w:hint="eastAsia" w:ascii="Times New Roman" w:hAnsi="Times New Roman"/>
        </w:rPr>
        <w:t>）外墙板的力学性能应符合《玻璃纤维增强水泥（</w:t>
      </w:r>
      <w:r>
        <w:rPr>
          <w:rFonts w:ascii="Times New Roman" w:hAnsi="Times New Roman"/>
        </w:rPr>
        <w:t>GRC</w:t>
      </w:r>
      <w:r>
        <w:rPr>
          <w:rFonts w:hint="eastAsia" w:ascii="Times New Roman" w:hAnsi="Times New Roman"/>
        </w:rPr>
        <w:t>）外墙板》</w:t>
      </w:r>
      <w:r>
        <w:rPr>
          <w:rFonts w:ascii="Times New Roman" w:hAnsi="Times New Roman"/>
        </w:rPr>
        <w:t>JC/T 1057</w:t>
      </w:r>
      <w:r>
        <w:rPr>
          <w:rFonts w:hint="eastAsia" w:ascii="Times New Roman" w:hAnsi="Times New Roman"/>
        </w:rPr>
        <w:t>和《</w:t>
      </w:r>
      <w:r>
        <w:rPr>
          <w:rFonts w:ascii="Times New Roman" w:hAnsi="Times New Roman"/>
        </w:rPr>
        <w:t>玻璃纤维增强水泥（GRC）建筑应用技术标准</w:t>
      </w:r>
      <w:r>
        <w:rPr>
          <w:rFonts w:hint="eastAsia" w:ascii="Times New Roman" w:hAnsi="Times New Roman"/>
        </w:rPr>
        <w:t>》</w:t>
      </w:r>
      <w:r>
        <w:rPr>
          <w:rFonts w:ascii="Times New Roman" w:hAnsi="Times New Roman"/>
        </w:rPr>
        <w:t>JGJ/T 423</w:t>
      </w:r>
      <w:r>
        <w:rPr>
          <w:rFonts w:hint="eastAsia" w:ascii="Times New Roman" w:hAnsi="Times New Roman"/>
        </w:rPr>
        <w:t>的规定。</w:t>
      </w:r>
      <w:r>
        <w:rPr>
          <w:rFonts w:ascii="Times New Roman" w:hAnsi="Times New Roman"/>
        </w:rPr>
        <w:t>GRC</w:t>
      </w:r>
      <w:r>
        <w:rPr>
          <w:rFonts w:hint="eastAsia" w:ascii="Times New Roman" w:hAnsi="Times New Roman"/>
        </w:rPr>
        <w:t>材料强度等级应按</w:t>
      </w:r>
      <w:r>
        <w:rPr>
          <w:rFonts w:ascii="Times New Roman" w:hAnsi="Times New Roman"/>
        </w:rPr>
        <w:t>GRC</w:t>
      </w:r>
      <w:r>
        <w:rPr>
          <w:rFonts w:hint="eastAsia" w:ascii="Times New Roman" w:hAnsi="Times New Roman"/>
        </w:rPr>
        <w:t>材料抗弯强度标准值确定，</w:t>
      </w:r>
      <w:r>
        <w:rPr>
          <w:rFonts w:ascii="Times New Roman" w:hAnsi="Times New Roman"/>
        </w:rPr>
        <w:t>GRC</w:t>
      </w:r>
      <w:r>
        <w:rPr>
          <w:rFonts w:hint="eastAsia" w:ascii="Times New Roman" w:hAnsi="Times New Roman"/>
        </w:rPr>
        <w:t>材料抗弯强度标准值和比例极限强度标准值应按表</w:t>
      </w:r>
      <w:r>
        <w:rPr>
          <w:rFonts w:ascii="Times New Roman" w:hAnsi="Times New Roman"/>
        </w:rPr>
        <w:t>3.2.20</w:t>
      </w:r>
      <w:r>
        <w:rPr>
          <w:rFonts w:hint="eastAsia" w:ascii="Times New Roman" w:hAnsi="Times New Roman"/>
        </w:rPr>
        <w:t>采用。</w:t>
      </w:r>
    </w:p>
    <w:p>
      <w:pPr>
        <w:pStyle w:val="34"/>
        <w:jc w:val="center"/>
        <w:rPr>
          <w:rFonts w:ascii="Times New Roman" w:hAnsi="Times New Roman"/>
          <w:snapToGrid w:val="0"/>
        </w:rPr>
      </w:pPr>
      <w:r>
        <w:rPr>
          <w:rFonts w:ascii="Times New Roman" w:hAnsi="Times New Roman"/>
          <w:snapToGrid w:val="0"/>
        </w:rPr>
        <w:t>表3.2.20 GRC</w:t>
      </w:r>
      <w:r>
        <w:rPr>
          <w:rFonts w:hint="eastAsia" w:ascii="Times New Roman" w:hAnsi="Times New Roman"/>
          <w:snapToGrid w:val="0"/>
        </w:rPr>
        <w:t>材料强度标准值</w:t>
      </w:r>
    </w:p>
    <w:tbl>
      <w:tblPr>
        <w:tblStyle w:val="37"/>
        <w:tblW w:w="4998" w:type="pct"/>
        <w:tblInd w:w="0" w:type="dxa"/>
        <w:tblLayout w:type="autofit"/>
        <w:tblCellMar>
          <w:top w:w="0" w:type="dxa"/>
          <w:left w:w="108" w:type="dxa"/>
          <w:bottom w:w="0" w:type="dxa"/>
          <w:right w:w="108" w:type="dxa"/>
        </w:tblCellMar>
      </w:tblPr>
      <w:tblGrid>
        <w:gridCol w:w="2135"/>
        <w:gridCol w:w="1760"/>
        <w:gridCol w:w="1760"/>
        <w:gridCol w:w="1760"/>
        <w:gridCol w:w="1867"/>
      </w:tblGrid>
      <w:tr>
        <w:tblPrEx>
          <w:tblCellMar>
            <w:top w:w="0" w:type="dxa"/>
            <w:left w:w="108" w:type="dxa"/>
            <w:bottom w:w="0" w:type="dxa"/>
            <w:right w:w="108" w:type="dxa"/>
          </w:tblCellMar>
        </w:tblPrEx>
        <w:trPr>
          <w:trHeight w:val="405" w:hRule="atLeast"/>
        </w:trPr>
        <w:tc>
          <w:tcPr>
            <w:tcW w:w="11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强度种类</w:t>
            </w:r>
          </w:p>
        </w:tc>
        <w:tc>
          <w:tcPr>
            <w:tcW w:w="384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强度等级</w:t>
            </w:r>
          </w:p>
        </w:tc>
      </w:tr>
      <w:tr>
        <w:tblPrEx>
          <w:tblCellMar>
            <w:top w:w="0" w:type="dxa"/>
            <w:left w:w="108" w:type="dxa"/>
            <w:bottom w:w="0" w:type="dxa"/>
            <w:right w:w="108" w:type="dxa"/>
          </w:tblCellMar>
        </w:tblPrEx>
        <w:trPr>
          <w:trHeight w:val="380" w:hRule="atLeast"/>
        </w:trPr>
        <w:tc>
          <w:tcPr>
            <w:tcW w:w="11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8</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10</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15</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18</w:t>
            </w:r>
          </w:p>
        </w:tc>
      </w:tr>
      <w:tr>
        <w:tblPrEx>
          <w:tblCellMar>
            <w:top w:w="0" w:type="dxa"/>
            <w:left w:w="108" w:type="dxa"/>
            <w:bottom w:w="0" w:type="dxa"/>
            <w:right w:w="108" w:type="dxa"/>
          </w:tblCellMar>
        </w:tblPrEx>
        <w:trPr>
          <w:trHeight w:val="390" w:hRule="atLeast"/>
        </w:trPr>
        <w:tc>
          <w:tcPr>
            <w:tcW w:w="11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m:oMathPara>
              <m:oMathParaPr>
                <m:jc m:val="center"/>
              </m:oMathParaPr>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Lk</m:t>
                    </m:r>
                    <m:ctrlPr>
                      <w:rPr>
                        <w:rFonts w:ascii="Cambria Math" w:hAnsi="Cambria Math"/>
                        <w:snapToGrid w:val="0"/>
                      </w:rPr>
                    </m:ctrlPr>
                  </m:sub>
                </m:sSub>
              </m:oMath>
            </m:oMathPara>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5</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6</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6</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7</w:t>
            </w:r>
          </w:p>
        </w:tc>
      </w:tr>
      <w:tr>
        <w:tblPrEx>
          <w:tblCellMar>
            <w:top w:w="0" w:type="dxa"/>
            <w:left w:w="108" w:type="dxa"/>
            <w:bottom w:w="0" w:type="dxa"/>
            <w:right w:w="108" w:type="dxa"/>
          </w:tblCellMar>
        </w:tblPrEx>
        <w:trPr>
          <w:trHeight w:val="395" w:hRule="atLeast"/>
        </w:trPr>
        <w:tc>
          <w:tcPr>
            <w:tcW w:w="11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m:oMathPara>
              <m:oMathParaPr>
                <m:jc m:val="center"/>
              </m:oMathParaPr>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Mk</m:t>
                    </m:r>
                    <m:ctrlPr>
                      <w:rPr>
                        <w:rFonts w:ascii="Cambria Math" w:hAnsi="Cambria Math"/>
                        <w:snapToGrid w:val="0"/>
                      </w:rPr>
                    </m:ctrlPr>
                  </m:sub>
                </m:sSub>
              </m:oMath>
            </m:oMathPara>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8</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10</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15</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18</w:t>
            </w:r>
          </w:p>
        </w:tc>
      </w:tr>
    </w:tbl>
    <w:p>
      <w:pPr>
        <w:pStyle w:val="34"/>
        <w:rPr>
          <w:rFonts w:ascii="Times New Roman" w:hAnsi="Times New Roman"/>
        </w:rPr>
      </w:pPr>
      <w:r>
        <w:rPr>
          <w:rFonts w:ascii="Times New Roman" w:hAnsi="Times New Roman"/>
        </w:rPr>
        <w:t>GRC</w:t>
      </w:r>
      <w:r>
        <w:rPr>
          <w:rFonts w:hint="eastAsia" w:ascii="Times New Roman" w:hAnsi="Times New Roman"/>
        </w:rPr>
        <w:t>材料的抗拉强度标准值和抗拉初裂强度标准值按下列公式计算：</w:t>
      </w:r>
    </w:p>
    <w:tbl>
      <w:tblPr>
        <w:tblStyle w:val="37"/>
        <w:tblW w:w="0" w:type="auto"/>
        <w:jc w:val="right"/>
        <w:tblLayout w:type="fixed"/>
        <w:tblCellMar>
          <w:top w:w="0" w:type="dxa"/>
          <w:left w:w="108" w:type="dxa"/>
          <w:bottom w:w="0" w:type="dxa"/>
          <w:right w:w="108" w:type="dxa"/>
        </w:tblCellMar>
      </w:tblPr>
      <w:tblGrid>
        <w:gridCol w:w="5917"/>
        <w:gridCol w:w="2268"/>
      </w:tblGrid>
      <w:tr>
        <w:tblPrEx>
          <w:tblCellMar>
            <w:top w:w="0" w:type="dxa"/>
            <w:left w:w="108" w:type="dxa"/>
            <w:bottom w:w="0" w:type="dxa"/>
            <w:right w:w="108" w:type="dxa"/>
          </w:tblCellMar>
        </w:tblPrEx>
        <w:trPr>
          <w:jc w:val="right"/>
        </w:trPr>
        <w:tc>
          <w:tcPr>
            <w:tcW w:w="5917" w:type="dxa"/>
            <w:shd w:val="clear" w:color="auto" w:fill="auto"/>
          </w:tcPr>
          <w:p>
            <w:pPr>
              <w:pStyle w:val="34"/>
              <w:rPr>
                <w:rFonts w:ascii="Times New Roman" w:hAnsi="Times New Roman"/>
                <w:sz w:val="21"/>
                <w:szCs w:val="21"/>
              </w:rPr>
            </w:pPr>
            <m:oMathPara>
              <m:oMathParaPr>
                <m:jc m:val="center"/>
              </m:oMathParaPr>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Uk</m:t>
                    </m:r>
                    <m:ctrlPr>
                      <w:rPr>
                        <w:rFonts w:ascii="Cambria Math" w:hAnsi="Cambria Math"/>
                        <w:snapToGrid w:val="0"/>
                      </w:rPr>
                    </m:ctrlPr>
                  </m:sub>
                </m:sSub>
                <m:r>
                  <m:rPr>
                    <m:sty m:val="p"/>
                  </m:rPr>
                  <w:rPr>
                    <w:rFonts w:ascii="Cambria Math" w:hAnsi="Cambria Math"/>
                    <w:snapToGrid w:val="0"/>
                  </w:rPr>
                  <m:t>=0.4</m:t>
                </m:r>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Mk</m:t>
                    </m:r>
                    <m:ctrlPr>
                      <w:rPr>
                        <w:rFonts w:ascii="Cambria Math" w:hAnsi="Cambria Math"/>
                        <w:snapToGrid w:val="0"/>
                      </w:rPr>
                    </m:ctrlPr>
                  </m:sub>
                </m:sSub>
              </m:oMath>
            </m:oMathPara>
          </w:p>
        </w:tc>
        <w:tc>
          <w:tcPr>
            <w:tcW w:w="2268" w:type="dxa"/>
            <w:shd w:val="clear" w:color="auto" w:fill="auto"/>
            <w:vAlign w:val="center"/>
          </w:tcPr>
          <w:p>
            <w:pPr>
              <w:jc w:val="right"/>
              <w:rPr>
                <w:rFonts w:ascii="Times New Roman" w:hAnsi="Times New Roman"/>
                <w:sz w:val="21"/>
                <w:szCs w:val="21"/>
              </w:rPr>
            </w:pPr>
            <w:r>
              <w:rPr>
                <w:rFonts w:ascii="Times New Roman" w:hAnsi="Times New Roman"/>
                <w:sz w:val="21"/>
                <w:szCs w:val="21"/>
              </w:rPr>
              <w:t>（3.2.20-1）</w:t>
            </w:r>
          </w:p>
        </w:tc>
      </w:tr>
      <w:tr>
        <w:tblPrEx>
          <w:tblCellMar>
            <w:top w:w="0" w:type="dxa"/>
            <w:left w:w="108" w:type="dxa"/>
            <w:bottom w:w="0" w:type="dxa"/>
            <w:right w:w="108" w:type="dxa"/>
          </w:tblCellMar>
        </w:tblPrEx>
        <w:trPr>
          <w:jc w:val="right"/>
        </w:trPr>
        <w:tc>
          <w:tcPr>
            <w:tcW w:w="5917" w:type="dxa"/>
            <w:shd w:val="clear" w:color="auto" w:fill="auto"/>
          </w:tcPr>
          <w:p>
            <w:pPr>
              <w:pStyle w:val="34"/>
              <w:rPr>
                <w:rFonts w:ascii="Cambria Math" w:hAnsi="Cambria Math"/>
                <w:snapToGrid w:val="0"/>
                <w:oMath/>
              </w:rPr>
            </w:pPr>
            <m:oMathPara>
              <m:oMathParaPr>
                <m:jc m:val="center"/>
              </m:oMathParaPr>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Bk</m:t>
                    </m:r>
                    <m:ctrlPr>
                      <w:rPr>
                        <w:rFonts w:ascii="Cambria Math" w:hAnsi="Cambria Math"/>
                        <w:snapToGrid w:val="0"/>
                      </w:rPr>
                    </m:ctrlPr>
                  </m:sub>
                </m:sSub>
                <m:r>
                  <m:rPr>
                    <m:sty m:val="p"/>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Lk</m:t>
                    </m:r>
                    <m:ctrlPr>
                      <w:rPr>
                        <w:rFonts w:ascii="Cambria Math" w:hAnsi="Cambria Math"/>
                        <w:snapToGrid w:val="0"/>
                      </w:rPr>
                    </m:ctrlPr>
                  </m:sub>
                </m:sSub>
                <m:r>
                  <m:rPr>
                    <m:sty m:val="p"/>
                  </m:rPr>
                  <w:rPr>
                    <w:rFonts w:ascii="Cambria Math" w:hAnsi="Cambria Math"/>
                    <w:snapToGrid w:val="0"/>
                  </w:rPr>
                  <m:t>/1.5</m:t>
                </m:r>
              </m:oMath>
            </m:oMathPara>
          </w:p>
        </w:tc>
        <w:tc>
          <w:tcPr>
            <w:tcW w:w="2268" w:type="dxa"/>
            <w:shd w:val="clear" w:color="auto" w:fill="auto"/>
            <w:vAlign w:val="center"/>
          </w:tcPr>
          <w:p>
            <w:pPr>
              <w:jc w:val="right"/>
              <w:rPr>
                <w:rFonts w:ascii="Times New Roman" w:hAnsi="Times New Roman"/>
                <w:sz w:val="21"/>
                <w:szCs w:val="21"/>
              </w:rPr>
            </w:pPr>
            <w:r>
              <w:rPr>
                <w:rFonts w:ascii="Times New Roman" w:hAnsi="Times New Roman"/>
                <w:sz w:val="21"/>
                <w:szCs w:val="21"/>
              </w:rPr>
              <w:t>（3.2.20-2）</w:t>
            </w:r>
          </w:p>
        </w:tc>
      </w:tr>
    </w:tbl>
    <w:p>
      <w:pPr>
        <w:rPr>
          <w:rFonts w:ascii="Times New Roman" w:hAnsi="Times New Roman"/>
          <w:snapToGrid w:val="0"/>
        </w:rPr>
      </w:pPr>
    </w:p>
    <w:p>
      <w:pPr>
        <w:pStyle w:val="189"/>
        <w:ind w:firstLine="480"/>
      </w:pPr>
      <w:r>
        <w:rPr>
          <w:rFonts w:hint="eastAsia"/>
        </w:rP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i/>
                <w:sz w:val="21"/>
                <w:szCs w:val="21"/>
              </w:rPr>
            </w:pPr>
            <m:oMathPara>
              <m:oMathParaPr>
                <m:jc m:val="center"/>
              </m:oMathParaPr>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Uk</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ascii="Times New Roman" w:hAnsi="Times New Roman"/>
                <w:snapToGrid w:val="0"/>
                <w:sz w:val="21"/>
                <w:szCs w:val="21"/>
              </w:rPr>
              <w:t>GRC</w:t>
            </w:r>
            <w:r>
              <w:rPr>
                <w:rFonts w:hint="eastAsia" w:ascii="Times New Roman" w:hAnsi="Times New Roman"/>
                <w:snapToGrid w:val="0"/>
                <w:sz w:val="21"/>
                <w:szCs w:val="21"/>
              </w:rPr>
              <w:t>材料抗拉强度标准值</w:t>
            </w:r>
            <w:r>
              <w:rPr>
                <w:rFonts w:hint="eastAsia" w:ascii="Times New Roman" w:hAnsi="Times New Roman"/>
                <w:snapToGrid w:val="0"/>
                <w:sz w:val="21"/>
                <w:szCs w:val="21"/>
                <w:lang w:eastAsia="zh-CN"/>
              </w:rPr>
              <w:t>（</w:t>
            </w:r>
            <w:r>
              <w:rPr>
                <w:rFonts w:ascii="Times New Roman" w:hAnsi="Times New Roman"/>
                <w:snapToGrid w:val="0"/>
                <w:sz w:val="21"/>
                <w:szCs w:val="21"/>
              </w:rPr>
              <w:t>N/mm</w:t>
            </w:r>
            <w:r>
              <w:rPr>
                <w:rFonts w:hint="eastAsia" w:ascii="Times New Roman" w:hAnsi="Times New Roman"/>
                <w:snapToGrid w:val="0"/>
                <w:sz w:val="21"/>
                <w:szCs w:val="21"/>
              </w:rPr>
              <w:t>²</w:t>
            </w:r>
            <w:r>
              <w:rPr>
                <w:rFonts w:ascii="Times New Roman" w:hAnsi="Times New Roman"/>
                <w:snapToGrid w:val="0"/>
                <w:sz w:val="21"/>
                <w:szCs w:val="21"/>
              </w:rPr>
              <w:t>)</w:t>
            </w:r>
            <w:r>
              <w:rPr>
                <w:rFonts w:hint="eastAsia" w:ascii="Times New Roman" w:hAnsi="Times New Roman"/>
                <w:snapToGrid w:val="0"/>
                <w:sz w:val="21"/>
                <w:szCs w:val="21"/>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i/>
                <w:sz w:val="21"/>
                <w:szCs w:val="21"/>
              </w:rPr>
            </w:pPr>
            <m:oMathPara>
              <m:oMathParaPr>
                <m:jc m:val="center"/>
              </m:oMathParaPr>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Mk</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ascii="Times New Roman" w:hAnsi="Times New Roman"/>
                <w:snapToGrid w:val="0"/>
                <w:sz w:val="21"/>
                <w:szCs w:val="21"/>
              </w:rPr>
              <w:t>GRC</w:t>
            </w:r>
            <w:r>
              <w:rPr>
                <w:rFonts w:hint="eastAsia" w:ascii="Times New Roman" w:hAnsi="Times New Roman"/>
                <w:snapToGrid w:val="0"/>
                <w:sz w:val="21"/>
                <w:szCs w:val="21"/>
              </w:rPr>
              <w:t>材料抗弯强度标准值</w:t>
            </w:r>
            <w:r>
              <w:rPr>
                <w:rFonts w:hint="eastAsia" w:ascii="Times New Roman" w:hAnsi="Times New Roman"/>
                <w:snapToGrid w:val="0"/>
                <w:sz w:val="21"/>
                <w:szCs w:val="21"/>
                <w:lang w:eastAsia="zh-CN"/>
              </w:rPr>
              <w:t>（</w:t>
            </w:r>
            <w:r>
              <w:rPr>
                <w:rFonts w:ascii="Times New Roman" w:hAnsi="Times New Roman"/>
                <w:snapToGrid w:val="0"/>
                <w:sz w:val="21"/>
                <w:szCs w:val="21"/>
              </w:rPr>
              <w:t>N/mm</w:t>
            </w:r>
            <w:r>
              <w:rPr>
                <w:rFonts w:hint="eastAsia" w:ascii="Times New Roman" w:hAnsi="Times New Roman"/>
                <w:snapToGrid w:val="0"/>
                <w:sz w:val="21"/>
                <w:szCs w:val="21"/>
              </w:rPr>
              <w:t>²</w:t>
            </w:r>
            <w:r>
              <w:rPr>
                <w:rFonts w:ascii="Times New Roman" w:hAnsi="Times New Roman"/>
                <w:snapToGrid w:val="0"/>
                <w:sz w:val="21"/>
                <w:szCs w:val="21"/>
              </w:rPr>
              <w:t>)</w:t>
            </w:r>
            <w:r>
              <w:rPr>
                <w:rFonts w:hint="eastAsia" w:ascii="Times New Roman" w:hAnsi="Times New Roman"/>
                <w:snapToGrid w:val="0"/>
                <w:sz w:val="21"/>
                <w:szCs w:val="21"/>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i/>
                <w:sz w:val="21"/>
                <w:szCs w:val="21"/>
              </w:rPr>
            </w:pPr>
            <m:oMathPara>
              <m:oMathParaPr>
                <m:jc m:val="center"/>
              </m:oMathParaPr>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Bk</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ascii="Times New Roman" w:hAnsi="Times New Roman"/>
                <w:snapToGrid w:val="0"/>
                <w:sz w:val="21"/>
                <w:szCs w:val="21"/>
              </w:rPr>
              <w:t>GRC</w:t>
            </w:r>
            <w:r>
              <w:rPr>
                <w:rFonts w:hint="eastAsia" w:ascii="Times New Roman" w:hAnsi="Times New Roman"/>
                <w:snapToGrid w:val="0"/>
                <w:sz w:val="21"/>
                <w:szCs w:val="21"/>
              </w:rPr>
              <w:t>材料抗拉初裂强度标准值</w:t>
            </w:r>
            <w:r>
              <w:rPr>
                <w:rFonts w:hint="eastAsia" w:ascii="Times New Roman" w:hAnsi="Times New Roman"/>
                <w:snapToGrid w:val="0"/>
                <w:sz w:val="21"/>
                <w:szCs w:val="21"/>
                <w:lang w:eastAsia="zh-CN"/>
              </w:rPr>
              <w:t>（</w:t>
            </w:r>
            <w:r>
              <w:rPr>
                <w:rFonts w:ascii="Times New Roman" w:hAnsi="Times New Roman"/>
                <w:snapToGrid w:val="0"/>
                <w:sz w:val="21"/>
                <w:szCs w:val="21"/>
              </w:rPr>
              <w:t>N/mm</w:t>
            </w:r>
            <w:r>
              <w:rPr>
                <w:rFonts w:hint="eastAsia" w:ascii="Times New Roman" w:hAnsi="Times New Roman"/>
                <w:snapToGrid w:val="0"/>
                <w:sz w:val="21"/>
                <w:szCs w:val="21"/>
              </w:rPr>
              <w:t>²</w:t>
            </w:r>
            <w:r>
              <w:rPr>
                <w:rFonts w:ascii="Times New Roman" w:hAnsi="Times New Roman"/>
                <w:snapToGrid w:val="0"/>
                <w:sz w:val="21"/>
                <w:szCs w:val="21"/>
              </w:rPr>
              <w:t>)</w:t>
            </w:r>
            <w:r>
              <w:rPr>
                <w:rFonts w:hint="eastAsia" w:ascii="Times New Roman" w:hAnsi="Times New Roman"/>
                <w:snapToGrid w:val="0"/>
                <w:sz w:val="21"/>
                <w:szCs w:val="21"/>
              </w:rPr>
              <w:t>；</w:t>
            </w:r>
          </w:p>
        </w:tc>
      </w:tr>
      <w:tr>
        <w:tblPrEx>
          <w:tblCellMar>
            <w:top w:w="0" w:type="dxa"/>
            <w:left w:w="108" w:type="dxa"/>
            <w:bottom w:w="0" w:type="dxa"/>
            <w:right w:w="108" w:type="dxa"/>
          </w:tblCellMar>
        </w:tblPrEx>
        <w:tc>
          <w:tcPr>
            <w:tcW w:w="1134" w:type="dxa"/>
            <w:shd w:val="clear" w:color="auto" w:fill="auto"/>
          </w:tcPr>
          <w:p>
            <w:pPr>
              <w:jc w:val="right"/>
              <w:rPr>
                <w:rFonts w:ascii="Cambria Math" w:hAnsi="Cambria Math"/>
                <w:snapToGrid w:val="0"/>
                <w:oMath/>
              </w:rPr>
            </w:pPr>
            <m:oMathPara>
              <m:oMathParaPr>
                <m:jc m:val="center"/>
              </m:oMathParaPr>
              <m:oMath>
                <m:sSub>
                  <m:sSubPr>
                    <m:ctrlPr>
                      <w:rPr>
                        <w:rFonts w:ascii="Cambria Math" w:hAnsi="Cambria Math"/>
                        <w:snapToGrid w:val="0"/>
                      </w:rPr>
                    </m:ctrlPr>
                  </m:sSubPr>
                  <m:e>
                    <m:r>
                      <m:rPr/>
                      <w:rPr>
                        <w:rFonts w:ascii="Cambria Math" w:hAnsi="Cambria Math"/>
                        <w:snapToGrid w:val="0"/>
                      </w:rPr>
                      <m:t>f</m:t>
                    </m:r>
                    <m:ctrlPr>
                      <w:rPr>
                        <w:rFonts w:ascii="Cambria Math" w:hAnsi="Cambria Math"/>
                        <w:snapToGrid w:val="0"/>
                      </w:rPr>
                    </m:ctrlPr>
                  </m:e>
                  <m:sub>
                    <m:r>
                      <m:rPr/>
                      <w:rPr>
                        <w:rFonts w:ascii="Cambria Math" w:hAnsi="Cambria Math"/>
                        <w:snapToGrid w:val="0"/>
                      </w:rPr>
                      <m:t>Lk</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napToGrid w:val="0"/>
                <w:sz w:val="21"/>
                <w:szCs w:val="21"/>
              </w:rPr>
            </w:pPr>
            <w:r>
              <w:rPr>
                <w:rFonts w:ascii="Times New Roman" w:hAnsi="Times New Roman"/>
                <w:snapToGrid w:val="0"/>
                <w:sz w:val="21"/>
                <w:szCs w:val="21"/>
              </w:rPr>
              <w:t>GRC</w:t>
            </w:r>
            <w:r>
              <w:rPr>
                <w:rFonts w:hint="eastAsia" w:ascii="Times New Roman" w:hAnsi="Times New Roman"/>
                <w:snapToGrid w:val="0"/>
                <w:sz w:val="21"/>
                <w:szCs w:val="21"/>
              </w:rPr>
              <w:t>材料抗比例极限强度标准值</w:t>
            </w:r>
            <w:r>
              <w:rPr>
                <w:rFonts w:hint="eastAsia" w:ascii="Times New Roman" w:hAnsi="Times New Roman"/>
                <w:snapToGrid w:val="0"/>
                <w:sz w:val="21"/>
                <w:szCs w:val="21"/>
                <w:lang w:eastAsia="zh-CN"/>
              </w:rPr>
              <w:t>（</w:t>
            </w:r>
            <w:r>
              <w:rPr>
                <w:rFonts w:ascii="Times New Roman" w:hAnsi="Times New Roman"/>
                <w:snapToGrid w:val="0"/>
                <w:sz w:val="21"/>
                <w:szCs w:val="21"/>
              </w:rPr>
              <w:t>N/mm</w:t>
            </w:r>
            <w:r>
              <w:rPr>
                <w:rFonts w:hint="eastAsia" w:ascii="Times New Roman" w:hAnsi="Times New Roman"/>
                <w:snapToGrid w:val="0"/>
                <w:sz w:val="21"/>
                <w:szCs w:val="21"/>
              </w:rPr>
              <w:t>²</w:t>
            </w:r>
            <w:r>
              <w:rPr>
                <w:rFonts w:ascii="Times New Roman" w:hAnsi="Times New Roman"/>
                <w:snapToGrid w:val="0"/>
                <w:sz w:val="21"/>
                <w:szCs w:val="21"/>
              </w:rPr>
              <w:t>)</w:t>
            </w:r>
            <w:r>
              <w:rPr>
                <w:rFonts w:hint="eastAsia" w:ascii="Times New Roman" w:hAnsi="Times New Roman"/>
                <w:snapToGrid w:val="0"/>
                <w:sz w:val="21"/>
                <w:szCs w:val="21"/>
              </w:rPr>
              <w:t>。</w:t>
            </w:r>
          </w:p>
        </w:tc>
      </w:tr>
    </w:tbl>
    <w:p>
      <w:pPr>
        <w:ind w:firstLine="480" w:firstLineChars="200"/>
        <w:rPr>
          <w:rFonts w:ascii="Times New Roman" w:hAnsi="Times New Roman" w:eastAsia="仿宋_GB2312" w:cs="仿宋_GB2312"/>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条文说明：本条参照《玻璃纤维增强水泥（</w:t>
      </w:r>
      <w:r>
        <w:rPr>
          <w:rFonts w:ascii="Times New Roman" w:hAnsi="Times New Roman" w:eastAsia="仿宋_GB2312" w:cs="仿宋_GB2312"/>
        </w:rPr>
        <w:t>GRC</w:t>
      </w:r>
      <w:r>
        <w:rPr>
          <w:rFonts w:hint="eastAsia" w:ascii="Times New Roman" w:hAnsi="Times New Roman" w:eastAsia="仿宋_GB2312" w:cs="仿宋_GB2312"/>
        </w:rPr>
        <w:t>）建筑应用技术标准》</w:t>
      </w:r>
      <w:r>
        <w:rPr>
          <w:rFonts w:ascii="Times New Roman" w:hAnsi="Times New Roman" w:eastAsia="仿宋_GB2312" w:cs="仿宋_GB2312"/>
        </w:rPr>
        <w:t>JGJ/T 423-2018</w:t>
      </w:r>
      <w:r>
        <w:rPr>
          <w:rFonts w:hint="eastAsia" w:ascii="Times New Roman" w:hAnsi="Times New Roman" w:eastAsia="仿宋_GB2312" w:cs="仿宋_GB2312"/>
        </w:rPr>
        <w:t>第</w:t>
      </w:r>
      <w:r>
        <w:rPr>
          <w:rFonts w:ascii="Times New Roman" w:hAnsi="Times New Roman" w:eastAsia="仿宋_GB2312" w:cs="仿宋_GB2312"/>
        </w:rPr>
        <w:t>5.2.6</w:t>
      </w:r>
      <w:r>
        <w:rPr>
          <w:rFonts w:hint="eastAsia" w:ascii="Times New Roman" w:hAnsi="Times New Roman" w:eastAsia="仿宋_GB2312" w:cs="仿宋_GB2312"/>
        </w:rPr>
        <w:t>、</w:t>
      </w:r>
      <w:r>
        <w:rPr>
          <w:rFonts w:ascii="Times New Roman" w:hAnsi="Times New Roman" w:eastAsia="仿宋_GB2312" w:cs="仿宋_GB2312"/>
        </w:rPr>
        <w:t>5.2.7</w:t>
      </w:r>
      <w:r>
        <w:rPr>
          <w:rFonts w:hint="eastAsia" w:ascii="Times New Roman" w:hAnsi="Times New Roman" w:eastAsia="仿宋_GB2312" w:cs="仿宋_GB2312"/>
        </w:rPr>
        <w:t>条相关规定制定。</w:t>
      </w:r>
    </w:p>
    <w:p>
      <w:pPr>
        <w:ind w:firstLine="480" w:firstLineChars="200"/>
        <w:rPr>
          <w:rFonts w:ascii="Times New Roman" w:hAnsi="Times New Roman" w:eastAsia="仿宋_GB2312" w:cs="仿宋_GB2312"/>
        </w:rPr>
      </w:pPr>
    </w:p>
    <w:p>
      <w:pPr>
        <w:rPr>
          <w:rFonts w:ascii="Times New Roman" w:hAnsi="Times New Roman"/>
        </w:rPr>
      </w:pPr>
      <w:r>
        <w:rPr>
          <w:rFonts w:hint="eastAsia" w:ascii="Times New Roman" w:hAnsi="Times New Roman" w:cs="Times New Roman"/>
          <w:b/>
          <w:bCs/>
          <w:szCs w:val="21"/>
        </w:rPr>
        <w:t>3.2.21</w:t>
      </w:r>
      <w:r>
        <w:rPr>
          <w:rFonts w:ascii="Times New Roman" w:hAnsi="Times New Roman"/>
          <w:b/>
        </w:rPr>
        <w:t xml:space="preserve"> </w:t>
      </w:r>
      <w:r>
        <w:rPr>
          <w:rFonts w:hint="eastAsia" w:ascii="Times New Roman" w:hAnsi="Times New Roman"/>
        </w:rPr>
        <w:t>聚碳酸酯板原材料的力学性能应符合《聚碳酸酯</w:t>
      </w:r>
      <w:r>
        <w:rPr>
          <w:rFonts w:hint="eastAsia" w:ascii="Times New Roman" w:hAnsi="Times New Roman"/>
          <w:lang w:eastAsia="zh-CN"/>
        </w:rPr>
        <w:t>（</w:t>
      </w:r>
      <w:r>
        <w:rPr>
          <w:rFonts w:ascii="Times New Roman" w:hAnsi="Times New Roman"/>
        </w:rPr>
        <w:t>PC</w:t>
      </w:r>
      <w:r>
        <w:rPr>
          <w:rFonts w:hint="eastAsia" w:ascii="Times New Roman" w:hAnsi="Times New Roman"/>
          <w:lang w:eastAsia="zh-CN"/>
        </w:rPr>
        <w:t>）</w:t>
      </w:r>
      <w:r>
        <w:rPr>
          <w:rFonts w:hint="eastAsia" w:ascii="Times New Roman" w:hAnsi="Times New Roman"/>
        </w:rPr>
        <w:t>实心板》</w:t>
      </w:r>
      <w:r>
        <w:rPr>
          <w:rFonts w:ascii="Times New Roman" w:hAnsi="Times New Roman"/>
        </w:rPr>
        <w:t>JG/T 347</w:t>
      </w:r>
      <w:r>
        <w:rPr>
          <w:rFonts w:hint="eastAsia" w:ascii="Times New Roman" w:hAnsi="Times New Roman"/>
        </w:rPr>
        <w:t>和《聚碳酸酯</w:t>
      </w:r>
      <w:r>
        <w:rPr>
          <w:rFonts w:hint="eastAsia" w:ascii="Times New Roman" w:hAnsi="Times New Roman"/>
          <w:lang w:eastAsia="zh-CN"/>
        </w:rPr>
        <w:t>（</w:t>
      </w:r>
      <w:r>
        <w:rPr>
          <w:rFonts w:ascii="Times New Roman" w:hAnsi="Times New Roman"/>
        </w:rPr>
        <w:t>PC</w:t>
      </w:r>
      <w:r>
        <w:rPr>
          <w:rFonts w:hint="eastAsia" w:ascii="Times New Roman" w:hAnsi="Times New Roman"/>
          <w:lang w:eastAsia="zh-CN"/>
        </w:rPr>
        <w:t>）</w:t>
      </w:r>
      <w:r>
        <w:rPr>
          <w:rFonts w:hint="eastAsia" w:ascii="Times New Roman" w:hAnsi="Times New Roman"/>
        </w:rPr>
        <w:t>中空板》</w:t>
      </w:r>
      <w:r>
        <w:rPr>
          <w:rFonts w:ascii="Times New Roman" w:hAnsi="Times New Roman"/>
        </w:rPr>
        <w:t>JG/T 116</w:t>
      </w:r>
      <w:r>
        <w:rPr>
          <w:rFonts w:hint="eastAsia" w:ascii="Times New Roman" w:hAnsi="Times New Roman"/>
        </w:rPr>
        <w:t>的规定，也可按表</w:t>
      </w:r>
      <w:r>
        <w:rPr>
          <w:rFonts w:ascii="Times New Roman" w:hAnsi="Times New Roman"/>
        </w:rPr>
        <w:t>3.2.21</w:t>
      </w:r>
      <w:r>
        <w:rPr>
          <w:rFonts w:hint="eastAsia" w:ascii="Times New Roman" w:hAnsi="Times New Roman"/>
        </w:rPr>
        <w:t>采用。</w:t>
      </w:r>
    </w:p>
    <w:p>
      <w:pPr>
        <w:jc w:val="center"/>
        <w:rPr>
          <w:rFonts w:ascii="Times New Roman" w:hAnsi="Times New Roman"/>
        </w:rPr>
      </w:pPr>
      <w:r>
        <w:rPr>
          <w:rFonts w:ascii="Times New Roman" w:hAnsi="Times New Roman"/>
          <w:snapToGrid w:val="0"/>
        </w:rPr>
        <w:t xml:space="preserve">表3.2.21 </w:t>
      </w:r>
      <w:r>
        <w:rPr>
          <w:rFonts w:hint="eastAsia" w:ascii="Times New Roman" w:hAnsi="Times New Roman"/>
        </w:rPr>
        <w:t>聚碳酸酯板原材料</w:t>
      </w:r>
      <w:r>
        <w:rPr>
          <w:rFonts w:hint="eastAsia" w:ascii="Times New Roman" w:hAnsi="Times New Roman"/>
          <w:snapToGrid w:val="0"/>
        </w:rPr>
        <w:t>强度标准值</w:t>
      </w:r>
    </w:p>
    <w:tbl>
      <w:tblPr>
        <w:tblStyle w:val="37"/>
        <w:tblW w:w="4999" w:type="pct"/>
        <w:tblInd w:w="0" w:type="dxa"/>
        <w:tblLayout w:type="autofit"/>
        <w:tblCellMar>
          <w:top w:w="0" w:type="dxa"/>
          <w:left w:w="108" w:type="dxa"/>
          <w:bottom w:w="0" w:type="dxa"/>
          <w:right w:w="108" w:type="dxa"/>
        </w:tblCellMar>
      </w:tblPr>
      <w:tblGrid>
        <w:gridCol w:w="3744"/>
        <w:gridCol w:w="5540"/>
      </w:tblGrid>
      <w:tr>
        <w:tblPrEx>
          <w:tblCellMar>
            <w:top w:w="0" w:type="dxa"/>
            <w:left w:w="108" w:type="dxa"/>
            <w:bottom w:w="0" w:type="dxa"/>
            <w:right w:w="108" w:type="dxa"/>
          </w:tblCellMar>
        </w:tblPrEx>
        <w:trPr>
          <w:trHeight w:val="288" w:hRule="atLeast"/>
        </w:trPr>
        <w:tc>
          <w:tcPr>
            <w:tcW w:w="20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项目</w:t>
            </w:r>
          </w:p>
        </w:tc>
        <w:tc>
          <w:tcPr>
            <w:tcW w:w="29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技术要求指标</w:t>
            </w:r>
          </w:p>
        </w:tc>
      </w:tr>
      <w:tr>
        <w:tblPrEx>
          <w:tblCellMar>
            <w:top w:w="0" w:type="dxa"/>
            <w:left w:w="108" w:type="dxa"/>
            <w:bottom w:w="0" w:type="dxa"/>
            <w:right w:w="108" w:type="dxa"/>
          </w:tblCellMar>
        </w:tblPrEx>
        <w:trPr>
          <w:trHeight w:val="288" w:hRule="atLeast"/>
        </w:trPr>
        <w:tc>
          <w:tcPr>
            <w:tcW w:w="201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rPr>
            </w:pPr>
            <w:r>
              <w:rPr>
                <w:rFonts w:hint="eastAsia" w:ascii="Times New Roman" w:hAnsi="Times New Roman"/>
                <w:lang w:bidi="ar"/>
              </w:rPr>
              <w:t>拉伸屈服强度</w:t>
            </w:r>
            <w:r>
              <w:rPr>
                <w:rFonts w:ascii="Times New Roman" w:hAnsi="Times New Roman"/>
                <w:lang w:bidi="ar"/>
              </w:rPr>
              <w:t>/MPa</w:t>
            </w:r>
          </w:p>
        </w:tc>
        <w:tc>
          <w:tcPr>
            <w:tcW w:w="29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60</w:t>
            </w:r>
          </w:p>
        </w:tc>
      </w:tr>
      <w:tr>
        <w:tblPrEx>
          <w:tblCellMar>
            <w:top w:w="0" w:type="dxa"/>
            <w:left w:w="108" w:type="dxa"/>
            <w:bottom w:w="0" w:type="dxa"/>
            <w:right w:w="108" w:type="dxa"/>
          </w:tblCellMar>
        </w:tblPrEx>
        <w:trPr>
          <w:trHeight w:val="288" w:hRule="atLeast"/>
        </w:trPr>
        <w:tc>
          <w:tcPr>
            <w:tcW w:w="201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rPr>
            </w:pPr>
            <w:r>
              <w:rPr>
                <w:rFonts w:hint="eastAsia" w:ascii="Times New Roman" w:hAnsi="Times New Roman"/>
                <w:lang w:bidi="ar"/>
              </w:rPr>
              <w:t>拉伸弹性模量</w:t>
            </w:r>
            <w:r>
              <w:rPr>
                <w:rFonts w:ascii="Times New Roman" w:hAnsi="Times New Roman"/>
                <w:lang w:bidi="ar"/>
              </w:rPr>
              <w:t>/MPa</w:t>
            </w:r>
          </w:p>
        </w:tc>
        <w:tc>
          <w:tcPr>
            <w:tcW w:w="29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2200</w:t>
            </w:r>
          </w:p>
        </w:tc>
      </w:tr>
      <w:tr>
        <w:tblPrEx>
          <w:tblCellMar>
            <w:top w:w="0" w:type="dxa"/>
            <w:left w:w="108" w:type="dxa"/>
            <w:bottom w:w="0" w:type="dxa"/>
            <w:right w:w="108" w:type="dxa"/>
          </w:tblCellMar>
        </w:tblPrEx>
        <w:trPr>
          <w:trHeight w:val="288" w:hRule="atLeast"/>
        </w:trPr>
        <w:tc>
          <w:tcPr>
            <w:tcW w:w="201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rPr>
            </w:pPr>
            <w:r>
              <w:rPr>
                <w:rFonts w:hint="eastAsia" w:ascii="Times New Roman" w:hAnsi="Times New Roman"/>
                <w:lang w:bidi="ar"/>
              </w:rPr>
              <w:t>弯曲强度</w:t>
            </w:r>
            <w:r>
              <w:rPr>
                <w:rFonts w:ascii="Times New Roman" w:hAnsi="Times New Roman"/>
                <w:lang w:bidi="ar"/>
              </w:rPr>
              <w:t>/MPa</w:t>
            </w:r>
          </w:p>
        </w:tc>
        <w:tc>
          <w:tcPr>
            <w:tcW w:w="29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60</w:t>
            </w:r>
          </w:p>
        </w:tc>
      </w:tr>
      <w:tr>
        <w:tblPrEx>
          <w:tblCellMar>
            <w:top w:w="0" w:type="dxa"/>
            <w:left w:w="108" w:type="dxa"/>
            <w:bottom w:w="0" w:type="dxa"/>
            <w:right w:w="108" w:type="dxa"/>
          </w:tblCellMar>
        </w:tblPrEx>
        <w:trPr>
          <w:trHeight w:val="288" w:hRule="atLeast"/>
        </w:trPr>
        <w:tc>
          <w:tcPr>
            <w:tcW w:w="201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rPr>
            </w:pPr>
            <w:r>
              <w:rPr>
                <w:rFonts w:hint="eastAsia" w:ascii="Times New Roman" w:hAnsi="Times New Roman"/>
                <w:lang w:bidi="ar"/>
              </w:rPr>
              <w:t>弯曲弹性模量</w:t>
            </w:r>
            <w:r>
              <w:rPr>
                <w:rFonts w:ascii="Times New Roman" w:hAnsi="Times New Roman"/>
                <w:lang w:bidi="ar"/>
              </w:rPr>
              <w:t>/MPa</w:t>
            </w:r>
          </w:p>
        </w:tc>
        <w:tc>
          <w:tcPr>
            <w:tcW w:w="29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2200</w:t>
            </w:r>
          </w:p>
        </w:tc>
      </w:tr>
    </w:tbl>
    <w:p>
      <w:pPr>
        <w:ind w:firstLine="480" w:firstLineChars="200"/>
        <w:rPr>
          <w:rFonts w:ascii="Times New Roman" w:hAnsi="Times New Roman" w:eastAsia="仿宋_GB2312" w:cs="仿宋_GB2312"/>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条文说明：本条参照《聚碳酸酯</w:t>
      </w:r>
      <w:r>
        <w:rPr>
          <w:rFonts w:hint="eastAsia" w:ascii="Times New Roman" w:hAnsi="Times New Roman" w:eastAsia="仿宋_GB2312" w:cs="仿宋_GB2312"/>
          <w:lang w:eastAsia="zh-CN"/>
        </w:rPr>
        <w:t>（</w:t>
      </w:r>
      <w:r>
        <w:rPr>
          <w:rFonts w:ascii="Times New Roman" w:hAnsi="Times New Roman" w:eastAsia="仿宋_GB2312" w:cs="仿宋_GB2312"/>
        </w:rPr>
        <w:t>PC</w:t>
      </w:r>
      <w:r>
        <w:rPr>
          <w:rFonts w:hint="eastAsia" w:ascii="Times New Roman" w:hAnsi="Times New Roman" w:eastAsia="仿宋_GB2312" w:cs="仿宋_GB2312"/>
          <w:lang w:eastAsia="zh-CN"/>
        </w:rPr>
        <w:t>）</w:t>
      </w:r>
      <w:r>
        <w:rPr>
          <w:rFonts w:hint="eastAsia" w:ascii="Times New Roman" w:hAnsi="Times New Roman" w:eastAsia="仿宋_GB2312" w:cs="仿宋_GB2312"/>
        </w:rPr>
        <w:t>实心板》</w:t>
      </w:r>
      <w:r>
        <w:rPr>
          <w:rFonts w:ascii="Times New Roman" w:hAnsi="Times New Roman" w:eastAsia="仿宋_GB2312" w:cs="仿宋_GB2312"/>
        </w:rPr>
        <w:t>JG/T 347-2012</w:t>
      </w:r>
      <w:r>
        <w:rPr>
          <w:rFonts w:hint="eastAsia" w:ascii="Times New Roman" w:hAnsi="Times New Roman" w:eastAsia="仿宋_GB2312" w:cs="仿宋_GB2312"/>
        </w:rPr>
        <w:t>第</w:t>
      </w:r>
      <w:r>
        <w:rPr>
          <w:rFonts w:ascii="Times New Roman" w:hAnsi="Times New Roman" w:eastAsia="仿宋_GB2312" w:cs="仿宋_GB2312"/>
        </w:rPr>
        <w:t>5.1</w:t>
      </w:r>
      <w:r>
        <w:rPr>
          <w:rFonts w:hint="eastAsia" w:ascii="Times New Roman" w:hAnsi="Times New Roman" w:eastAsia="仿宋_GB2312" w:cs="仿宋_GB2312"/>
        </w:rPr>
        <w:t>条相关规定制定。</w:t>
      </w:r>
    </w:p>
    <w:p>
      <w:pPr>
        <w:rPr>
          <w:rFonts w:ascii="Times New Roman" w:hAnsi="Times New Roman"/>
        </w:rPr>
      </w:pPr>
    </w:p>
    <w:p>
      <w:pPr>
        <w:rPr>
          <w:rFonts w:ascii="Times New Roman" w:hAnsi="Times New Roman"/>
        </w:rPr>
      </w:pPr>
      <w:r>
        <w:rPr>
          <w:rFonts w:hint="eastAsia" w:ascii="Times New Roman" w:hAnsi="Times New Roman" w:cs="Times New Roman"/>
          <w:b/>
          <w:bCs/>
          <w:szCs w:val="21"/>
        </w:rPr>
        <w:t xml:space="preserve">3.2.22 </w:t>
      </w:r>
      <w:r>
        <w:rPr>
          <w:rFonts w:hint="eastAsia" w:ascii="Times New Roman" w:hAnsi="Times New Roman"/>
        </w:rPr>
        <w:t>搪瓷板强度设计值可按表</w:t>
      </w:r>
      <w:r>
        <w:rPr>
          <w:rFonts w:ascii="Times New Roman" w:hAnsi="Times New Roman"/>
        </w:rPr>
        <w:t>3.2.22</w:t>
      </w:r>
      <w:r>
        <w:rPr>
          <w:rFonts w:hint="eastAsia" w:ascii="Times New Roman" w:hAnsi="Times New Roman"/>
        </w:rPr>
        <w:t>采用。</w:t>
      </w:r>
    </w:p>
    <w:p>
      <w:pPr>
        <w:jc w:val="center"/>
        <w:rPr>
          <w:rFonts w:ascii="Times New Roman" w:hAnsi="Times New Roman"/>
          <w:snapToGrid w:val="0"/>
        </w:rPr>
      </w:pPr>
      <w:r>
        <w:rPr>
          <w:rFonts w:ascii="Times New Roman" w:hAnsi="Times New Roman"/>
          <w:snapToGrid w:val="0"/>
        </w:rPr>
        <w:t xml:space="preserve">表3.2.22 </w:t>
      </w:r>
      <w:r>
        <w:rPr>
          <w:rFonts w:hint="eastAsia" w:ascii="Times New Roman" w:hAnsi="Times New Roman"/>
        </w:rPr>
        <w:t>搪瓷板</w:t>
      </w:r>
      <w:r>
        <w:rPr>
          <w:rFonts w:hint="eastAsia" w:ascii="Times New Roman" w:hAnsi="Times New Roman"/>
          <w:snapToGrid w:val="0"/>
        </w:rPr>
        <w:t>强度设计值</w:t>
      </w:r>
    </w:p>
    <w:tbl>
      <w:tblPr>
        <w:tblStyle w:val="37"/>
        <w:tblW w:w="4998" w:type="pct"/>
        <w:tblInd w:w="0" w:type="dxa"/>
        <w:tblLayout w:type="autofit"/>
        <w:tblCellMar>
          <w:top w:w="0" w:type="dxa"/>
          <w:left w:w="108" w:type="dxa"/>
          <w:bottom w:w="0" w:type="dxa"/>
          <w:right w:w="108" w:type="dxa"/>
        </w:tblCellMar>
      </w:tblPr>
      <w:tblGrid>
        <w:gridCol w:w="3188"/>
        <w:gridCol w:w="3038"/>
        <w:gridCol w:w="3056"/>
      </w:tblGrid>
      <w:tr>
        <w:tblPrEx>
          <w:tblCellMar>
            <w:top w:w="0" w:type="dxa"/>
            <w:left w:w="108" w:type="dxa"/>
            <w:bottom w:w="0" w:type="dxa"/>
            <w:right w:w="108" w:type="dxa"/>
          </w:tblCellMar>
        </w:tblPrEx>
        <w:trPr>
          <w:trHeight w:val="385" w:hRule="atLeast"/>
        </w:trPr>
        <w:tc>
          <w:tcPr>
            <w:tcW w:w="17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cs="Arial"/>
              </w:rPr>
            </w:pPr>
            <w:r>
              <w:rPr>
                <w:rStyle w:val="209"/>
                <w:rFonts w:ascii="Times New Roman" w:hAnsi="Times New Roman"/>
                <w:color w:val="auto"/>
                <w:sz w:val="24"/>
                <w:szCs w:val="24"/>
                <w:lang w:bidi="ar"/>
              </w:rPr>
              <w:t>材料</w:t>
            </w:r>
          </w:p>
        </w:tc>
        <w:tc>
          <w:tcPr>
            <w:tcW w:w="16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cs="Arial"/>
              </w:rPr>
            </w:pPr>
            <w:r>
              <w:rPr>
                <w:rStyle w:val="209"/>
                <w:rFonts w:ascii="Times New Roman" w:hAnsi="Times New Roman"/>
                <w:color w:val="auto"/>
                <w:sz w:val="24"/>
                <w:szCs w:val="24"/>
                <w:lang w:bidi="ar"/>
              </w:rPr>
              <w:t>抗弯强度设计值</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cs="Arial"/>
              </w:rPr>
            </w:pPr>
            <w:r>
              <w:rPr>
                <w:rStyle w:val="209"/>
                <w:rFonts w:ascii="Times New Roman" w:hAnsi="Times New Roman"/>
                <w:color w:val="auto"/>
                <w:sz w:val="24"/>
                <w:szCs w:val="24"/>
                <w:lang w:bidi="ar"/>
              </w:rPr>
              <w:t>抗剪强度设计值</w:t>
            </w:r>
          </w:p>
        </w:tc>
      </w:tr>
      <w:tr>
        <w:tblPrEx>
          <w:tblCellMar>
            <w:top w:w="0" w:type="dxa"/>
            <w:left w:w="108" w:type="dxa"/>
            <w:bottom w:w="0" w:type="dxa"/>
            <w:right w:w="108" w:type="dxa"/>
          </w:tblCellMar>
        </w:tblPrEx>
        <w:trPr>
          <w:trHeight w:val="380" w:hRule="atLeast"/>
        </w:trPr>
        <w:tc>
          <w:tcPr>
            <w:tcW w:w="17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cs="Arial"/>
              </w:rPr>
            </w:pPr>
            <w:r>
              <w:rPr>
                <w:rStyle w:val="209"/>
                <w:rFonts w:ascii="Times New Roman" w:hAnsi="Times New Roman"/>
                <w:color w:val="auto"/>
                <w:sz w:val="24"/>
                <w:szCs w:val="24"/>
                <w:lang w:bidi="ar"/>
              </w:rPr>
              <w:t>单体搪瓷板</w:t>
            </w:r>
          </w:p>
        </w:tc>
        <w:tc>
          <w:tcPr>
            <w:tcW w:w="16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215</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125</w:t>
            </w:r>
          </w:p>
        </w:tc>
      </w:tr>
      <w:tr>
        <w:tblPrEx>
          <w:tblCellMar>
            <w:top w:w="0" w:type="dxa"/>
            <w:left w:w="108" w:type="dxa"/>
            <w:bottom w:w="0" w:type="dxa"/>
            <w:right w:w="108" w:type="dxa"/>
          </w:tblCellMar>
        </w:tblPrEx>
        <w:trPr>
          <w:trHeight w:val="395" w:hRule="atLeast"/>
        </w:trPr>
        <w:tc>
          <w:tcPr>
            <w:tcW w:w="17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cs="Arial"/>
              </w:rPr>
            </w:pPr>
            <w:r>
              <w:rPr>
                <w:rStyle w:val="209"/>
                <w:rFonts w:ascii="Times New Roman" w:hAnsi="Times New Roman"/>
                <w:color w:val="auto"/>
                <w:sz w:val="24"/>
                <w:szCs w:val="24"/>
                <w:lang w:bidi="ar"/>
              </w:rPr>
              <w:t>复合搪瓷板</w:t>
            </w:r>
          </w:p>
        </w:tc>
        <w:tc>
          <w:tcPr>
            <w:tcW w:w="16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60</w:t>
            </w:r>
          </w:p>
        </w:tc>
        <w:tc>
          <w:tcPr>
            <w:tcW w:w="16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40</w:t>
            </w:r>
          </w:p>
        </w:tc>
      </w:tr>
    </w:tbl>
    <w:p>
      <w:pPr>
        <w:ind w:firstLine="480" w:firstLineChars="200"/>
        <w:rPr>
          <w:rFonts w:ascii="Times New Roman" w:hAnsi="Times New Roman" w:eastAsia="仿宋_GB2312" w:cs="仿宋_GB2312"/>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条文说明：本条参照《上海市建筑幕墙工程技术标准》</w:t>
      </w:r>
      <w:r>
        <w:rPr>
          <w:rFonts w:ascii="Times New Roman" w:hAnsi="Times New Roman" w:eastAsia="仿宋_GB2312" w:cs="仿宋_GB2312"/>
        </w:rPr>
        <w:t>DG/TJ 08-56-2019</w:t>
      </w:r>
      <w:r>
        <w:rPr>
          <w:rFonts w:hint="eastAsia" w:ascii="Times New Roman" w:hAnsi="Times New Roman" w:eastAsia="仿宋_GB2312" w:cs="仿宋_GB2312"/>
        </w:rPr>
        <w:t>表</w:t>
      </w:r>
      <w:r>
        <w:rPr>
          <w:rFonts w:ascii="Times New Roman" w:hAnsi="Times New Roman" w:eastAsia="仿宋_GB2312" w:cs="仿宋_GB2312"/>
        </w:rPr>
        <w:t>3.2.11</w:t>
      </w:r>
      <w:r>
        <w:rPr>
          <w:rFonts w:hint="eastAsia" w:ascii="Times New Roman" w:hAnsi="Times New Roman" w:eastAsia="仿宋_GB2312" w:cs="仿宋_GB2312"/>
        </w:rPr>
        <w:t>相关规定制定。</w:t>
      </w:r>
    </w:p>
    <w:p>
      <w:pPr>
        <w:rPr>
          <w:rFonts w:ascii="Times New Roman" w:hAnsi="Times New Roman"/>
          <w:b/>
          <w:bCs/>
        </w:rPr>
      </w:pPr>
    </w:p>
    <w:p>
      <w:pPr>
        <w:rPr>
          <w:rFonts w:ascii="Times New Roman" w:hAnsi="Times New Roman"/>
        </w:rPr>
      </w:pPr>
      <w:r>
        <w:rPr>
          <w:rFonts w:hint="eastAsia" w:ascii="Times New Roman" w:hAnsi="Times New Roman" w:cs="Times New Roman"/>
          <w:b/>
          <w:bCs/>
          <w:szCs w:val="21"/>
        </w:rPr>
        <w:t>3.2.23</w:t>
      </w:r>
      <w:r>
        <w:rPr>
          <w:rFonts w:ascii="Times New Roman" w:hAnsi="Times New Roman"/>
          <w:b/>
        </w:rPr>
        <w:t xml:space="preserve"> </w:t>
      </w:r>
      <w:r>
        <w:rPr>
          <w:rFonts w:ascii="Times New Roman" w:hAnsi="Times New Roman"/>
        </w:rPr>
        <w:t>U</w:t>
      </w:r>
      <w:r>
        <w:rPr>
          <w:rFonts w:hint="eastAsia" w:ascii="Times New Roman" w:hAnsi="Times New Roman"/>
        </w:rPr>
        <w:t>型玻璃强度设计值应取</w:t>
      </w:r>
      <w:r>
        <w:rPr>
          <w:rFonts w:ascii="Times New Roman" w:hAnsi="Times New Roman"/>
        </w:rPr>
        <w:t>17MPa</w:t>
      </w:r>
      <w:r>
        <w:rPr>
          <w:rFonts w:hint="eastAsia" w:ascii="Times New Roman" w:hAnsi="Times New Roman"/>
        </w:rPr>
        <w:t>，钢化</w:t>
      </w:r>
      <w:r>
        <w:rPr>
          <w:rFonts w:ascii="Times New Roman" w:hAnsi="Times New Roman"/>
        </w:rPr>
        <w:t>U</w:t>
      </w:r>
      <w:r>
        <w:rPr>
          <w:rFonts w:hint="eastAsia" w:ascii="Times New Roman" w:hAnsi="Times New Roman"/>
        </w:rPr>
        <w:t>型玻璃强度设计值应取</w:t>
      </w:r>
      <w:r>
        <w:rPr>
          <w:rFonts w:ascii="Times New Roman" w:hAnsi="Times New Roman"/>
        </w:rPr>
        <w:t>51MPa</w:t>
      </w:r>
      <w:r>
        <w:rPr>
          <w:rFonts w:hint="eastAsia" w:ascii="Times New Roman" w:hAnsi="Times New Roman"/>
        </w:rPr>
        <w:t>。</w:t>
      </w:r>
    </w:p>
    <w:p>
      <w:pPr>
        <w:ind w:firstLine="480" w:firstLineChars="200"/>
        <w:rPr>
          <w:rFonts w:ascii="Times New Roman" w:hAnsi="Times New Roman" w:eastAsia="仿宋_GB2312" w:cs="仿宋_GB2312"/>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条文说明：本条参照《建筑玻璃应用技术规程》</w:t>
      </w:r>
      <w:r>
        <w:rPr>
          <w:rFonts w:ascii="Times New Roman" w:hAnsi="Times New Roman" w:eastAsia="仿宋_GB2312" w:cs="仿宋_GB2312"/>
        </w:rPr>
        <w:t xml:space="preserve">JGJ 113-2015 </w:t>
      </w:r>
      <w:r>
        <w:rPr>
          <w:rFonts w:hint="eastAsia" w:ascii="Times New Roman" w:hAnsi="Times New Roman" w:eastAsia="仿宋_GB2312" w:cs="仿宋_GB2312"/>
        </w:rPr>
        <w:t>第</w:t>
      </w:r>
      <w:r>
        <w:rPr>
          <w:rFonts w:ascii="Times New Roman" w:hAnsi="Times New Roman" w:eastAsia="仿宋_GB2312" w:cs="仿宋_GB2312"/>
        </w:rPr>
        <w:t>11.2.2</w:t>
      </w:r>
      <w:r>
        <w:rPr>
          <w:rFonts w:hint="eastAsia" w:ascii="Times New Roman" w:hAnsi="Times New Roman" w:eastAsia="仿宋_GB2312" w:cs="仿宋_GB2312"/>
        </w:rPr>
        <w:t>条相关规定制定。</w:t>
      </w:r>
    </w:p>
    <w:p>
      <w:pPr>
        <w:rPr>
          <w:rFonts w:ascii="Times New Roman" w:hAnsi="Times New Roman"/>
          <w:b/>
          <w:bCs/>
        </w:rPr>
      </w:pPr>
    </w:p>
    <w:p>
      <w:pPr>
        <w:rPr>
          <w:rFonts w:ascii="Times New Roman" w:hAnsi="Times New Roman"/>
        </w:rPr>
      </w:pPr>
      <w:r>
        <w:rPr>
          <w:rFonts w:hint="eastAsia" w:ascii="Times New Roman" w:hAnsi="Times New Roman" w:cs="Times New Roman"/>
          <w:b/>
          <w:bCs/>
          <w:szCs w:val="21"/>
        </w:rPr>
        <w:t>3.2.24</w:t>
      </w:r>
      <w:r>
        <w:rPr>
          <w:rFonts w:ascii="Times New Roman" w:hAnsi="Times New Roman"/>
          <w:b/>
        </w:rPr>
        <w:t xml:space="preserve"> </w:t>
      </w:r>
      <w:r>
        <w:rPr>
          <w:rFonts w:hint="eastAsia" w:ascii="Times New Roman" w:hAnsi="Times New Roman"/>
        </w:rPr>
        <w:t>彩钢板、钛及钛合金板、铜及铜合金板等单层金属板的抗拉强度设计值可按其屈服强度除以系数</w:t>
      </w:r>
      <w:r>
        <w:rPr>
          <w:rFonts w:ascii="Times New Roman" w:hAnsi="Times New Roman"/>
        </w:rPr>
        <w:t xml:space="preserve"> 1.15</w:t>
      </w:r>
      <w:r>
        <w:rPr>
          <w:rFonts w:hint="eastAsia" w:ascii="Times New Roman" w:hAnsi="Times New Roman"/>
        </w:rPr>
        <w:t>采用。</w:t>
      </w:r>
      <w:r>
        <w:rPr>
          <w:rFonts w:ascii="Times New Roman" w:hAnsi="Times New Roman"/>
        </w:rPr>
        <w:t xml:space="preserve"> </w:t>
      </w:r>
    </w:p>
    <w:p>
      <w:pPr>
        <w:ind w:firstLine="480" w:firstLineChars="200"/>
        <w:rPr>
          <w:rFonts w:ascii="Times New Roman" w:hAnsi="Times New Roman" w:eastAsia="仿宋_GB2312" w:cs="仿宋_GB2312"/>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条文说明：本条参照《建筑幕墙工程技术标准》</w:t>
      </w:r>
      <w:r>
        <w:rPr>
          <w:rFonts w:ascii="Times New Roman" w:hAnsi="Times New Roman" w:eastAsia="仿宋_GB2312" w:cs="仿宋_GB2312"/>
        </w:rPr>
        <w:t>DB32</w:t>
      </w:r>
      <w:r>
        <w:rPr>
          <w:rFonts w:hint="eastAsia" w:ascii="微软雅黑" w:hAnsi="微软雅黑" w:eastAsia="微软雅黑" w:cs="微软雅黑"/>
        </w:rPr>
        <w:t>∕</w:t>
      </w:r>
      <w:r>
        <w:rPr>
          <w:rFonts w:ascii="Times New Roman" w:hAnsi="Times New Roman" w:eastAsia="仿宋_GB2312" w:cs="仿宋_GB2312"/>
        </w:rPr>
        <w:t>T 4065-2021</w:t>
      </w:r>
      <w:r>
        <w:rPr>
          <w:rFonts w:hint="eastAsia" w:ascii="Times New Roman" w:hAnsi="Times New Roman" w:eastAsia="仿宋_GB2312" w:cs="仿宋_GB2312"/>
        </w:rPr>
        <w:t>（江苏省地方标准）第</w:t>
      </w:r>
      <w:r>
        <w:rPr>
          <w:rFonts w:ascii="Times New Roman" w:hAnsi="Times New Roman" w:eastAsia="仿宋_GB2312" w:cs="仿宋_GB2312"/>
        </w:rPr>
        <w:t>6.2.22</w:t>
      </w:r>
      <w:r>
        <w:rPr>
          <w:rFonts w:hint="eastAsia" w:ascii="Times New Roman" w:hAnsi="Times New Roman" w:eastAsia="仿宋_GB2312" w:cs="仿宋_GB2312"/>
        </w:rPr>
        <w:t>条相关规定制定。</w:t>
      </w:r>
    </w:p>
    <w:p>
      <w:pPr>
        <w:ind w:firstLine="480" w:firstLineChars="200"/>
        <w:rPr>
          <w:rFonts w:ascii="Times New Roman" w:hAnsi="Times New Roman" w:eastAsia="仿宋_GB2312" w:cs="仿宋_GB2312"/>
        </w:rPr>
      </w:pPr>
    </w:p>
    <w:p>
      <w:pPr>
        <w:rPr>
          <w:rFonts w:ascii="Times New Roman" w:hAnsi="Times New Roman"/>
        </w:rPr>
      </w:pPr>
      <w:r>
        <w:rPr>
          <w:rFonts w:hint="eastAsia" w:ascii="Times New Roman" w:hAnsi="Times New Roman" w:cs="Times New Roman"/>
          <w:b/>
          <w:bCs/>
          <w:szCs w:val="21"/>
        </w:rPr>
        <w:t xml:space="preserve">3.2.25 </w:t>
      </w:r>
      <w:r>
        <w:rPr>
          <w:rFonts w:hint="eastAsia" w:ascii="Times New Roman" w:hAnsi="Times New Roman"/>
        </w:rPr>
        <w:t>不锈钢饰面复合板、钛锌合金饰面复合板、铜饰面复合板等复合金属板的抗拉强度设计值可根据其强度试验平均值除以系数</w:t>
      </w:r>
      <w:r>
        <w:rPr>
          <w:rFonts w:ascii="Times New Roman" w:hAnsi="Times New Roman"/>
        </w:rPr>
        <w:t xml:space="preserve"> 1.428 </w:t>
      </w:r>
      <w:r>
        <w:rPr>
          <w:rFonts w:hint="eastAsia" w:ascii="Times New Roman" w:hAnsi="Times New Roman"/>
        </w:rPr>
        <w:t>取用。</w:t>
      </w:r>
    </w:p>
    <w:p>
      <w:pPr>
        <w:ind w:firstLine="480" w:firstLineChars="200"/>
        <w:rPr>
          <w:rFonts w:ascii="Times New Roman" w:hAnsi="Times New Roman" w:eastAsia="仿宋_GB2312" w:cs="仿宋_GB2312"/>
        </w:rPr>
      </w:pPr>
    </w:p>
    <w:p>
      <w:pPr>
        <w:ind w:firstLine="480" w:firstLineChars="200"/>
        <w:rPr>
          <w:rFonts w:ascii="Times New Roman" w:hAnsi="Times New Roman" w:eastAsia="仿宋_GB2312" w:cs="仿宋_GB2312"/>
        </w:rPr>
      </w:pPr>
      <w:r>
        <w:rPr>
          <w:rFonts w:hint="eastAsia" w:ascii="Times New Roman" w:hAnsi="Times New Roman" w:eastAsia="仿宋_GB2312" w:cs="仿宋_GB2312"/>
        </w:rPr>
        <w:t>条文说明：本条参照《建筑幕墙工程技术标准》</w:t>
      </w:r>
      <w:r>
        <w:rPr>
          <w:rFonts w:ascii="Times New Roman" w:hAnsi="Times New Roman" w:eastAsia="仿宋_GB2312" w:cs="仿宋_GB2312"/>
        </w:rPr>
        <w:t>DB32</w:t>
      </w:r>
      <w:r>
        <w:rPr>
          <w:rFonts w:hint="eastAsia" w:ascii="微软雅黑" w:hAnsi="微软雅黑" w:eastAsia="微软雅黑" w:cs="微软雅黑"/>
        </w:rPr>
        <w:t>∕</w:t>
      </w:r>
      <w:r>
        <w:rPr>
          <w:rFonts w:ascii="Times New Roman" w:hAnsi="Times New Roman" w:eastAsia="仿宋_GB2312" w:cs="仿宋_GB2312"/>
        </w:rPr>
        <w:t>T 4065-2021</w:t>
      </w:r>
      <w:r>
        <w:rPr>
          <w:rFonts w:hint="eastAsia" w:ascii="Times New Roman" w:hAnsi="Times New Roman" w:eastAsia="仿宋_GB2312" w:cs="仿宋_GB2312"/>
        </w:rPr>
        <w:t>（江苏省地方标准）第</w:t>
      </w:r>
      <w:r>
        <w:rPr>
          <w:rFonts w:ascii="Times New Roman" w:hAnsi="Times New Roman" w:eastAsia="仿宋_GB2312" w:cs="仿宋_GB2312"/>
        </w:rPr>
        <w:t>6.2.23</w:t>
      </w:r>
      <w:r>
        <w:rPr>
          <w:rFonts w:hint="eastAsia" w:ascii="Times New Roman" w:hAnsi="Times New Roman" w:eastAsia="仿宋_GB2312" w:cs="仿宋_GB2312"/>
        </w:rPr>
        <w:t>条相关规定制定。</w:t>
      </w:r>
    </w:p>
    <w:p>
      <w:pPr>
        <w:rPr>
          <w:rFonts w:ascii="Times New Roman" w:hAnsi="Times New Roman"/>
        </w:rPr>
      </w:pPr>
    </w:p>
    <w:p>
      <w:pPr>
        <w:ind w:left="241" w:hanging="241" w:hangingChars="100"/>
        <w:rPr>
          <w:rFonts w:ascii="Times New Roman" w:hAnsi="Times New Roman"/>
        </w:rPr>
      </w:pPr>
      <w:r>
        <w:rPr>
          <w:rFonts w:hint="eastAsia" w:ascii="Times New Roman" w:hAnsi="Times New Roman" w:cs="Times New Roman"/>
          <w:b/>
          <w:bCs/>
          <w:szCs w:val="21"/>
        </w:rPr>
        <w:t>3.2.26</w:t>
      </w:r>
      <w:r>
        <w:rPr>
          <w:rFonts w:hint="eastAsia" w:ascii="Times New Roman" w:hAnsi="Times New Roman"/>
        </w:rPr>
        <w:t>膜结构用膜材的力学性能应符合《膜结构技术规程》</w:t>
      </w:r>
      <w:r>
        <w:rPr>
          <w:rFonts w:ascii="Times New Roman" w:hAnsi="Times New Roman"/>
        </w:rPr>
        <w:t>CECS 158</w:t>
      </w:r>
      <w:r>
        <w:rPr>
          <w:rFonts w:hint="eastAsia" w:ascii="Times New Roman" w:hAnsi="Times New Roman"/>
        </w:rPr>
        <w:t>和《膜结构用涂层织物》</w:t>
      </w:r>
      <w:r>
        <w:rPr>
          <w:rFonts w:ascii="Times New Roman" w:hAnsi="Times New Roman"/>
        </w:rPr>
        <w:t>FZ/T64014</w:t>
      </w:r>
      <w:r>
        <w:rPr>
          <w:rFonts w:hint="eastAsia" w:ascii="Times New Roman" w:hAnsi="Times New Roman"/>
        </w:rPr>
        <w:t>的规定，可根据试验方法进行试验确定，也可按表</w:t>
      </w:r>
      <w:r>
        <w:rPr>
          <w:rFonts w:ascii="Times New Roman" w:hAnsi="Times New Roman"/>
        </w:rPr>
        <w:t>3.2.26-1</w:t>
      </w:r>
      <w:r>
        <w:rPr>
          <w:rFonts w:hint="eastAsia" w:ascii="Times New Roman" w:hAnsi="Times New Roman"/>
        </w:rPr>
        <w:t>～表</w:t>
      </w:r>
      <w:r>
        <w:rPr>
          <w:rFonts w:ascii="Times New Roman" w:hAnsi="Times New Roman"/>
        </w:rPr>
        <w:t>3.2.26-3</w:t>
      </w:r>
      <w:r>
        <w:rPr>
          <w:rFonts w:hint="eastAsia" w:ascii="Times New Roman" w:hAnsi="Times New Roman"/>
        </w:rPr>
        <w:t>采用。</w:t>
      </w:r>
    </w:p>
    <w:p>
      <w:pPr>
        <w:jc w:val="center"/>
        <w:rPr>
          <w:rFonts w:ascii="Times New Roman" w:hAnsi="Times New Roman"/>
        </w:rPr>
      </w:pPr>
      <w:r>
        <w:rPr>
          <w:rFonts w:ascii="Times New Roman" w:hAnsi="Times New Roman"/>
          <w:snapToGrid w:val="0"/>
        </w:rPr>
        <w:t xml:space="preserve">表3.2.26-1 </w:t>
      </w:r>
      <w:r>
        <w:rPr>
          <w:rFonts w:hint="eastAsia" w:ascii="Times New Roman" w:hAnsi="Times New Roman"/>
        </w:rPr>
        <w:t>常用</w:t>
      </w:r>
      <w:r>
        <w:rPr>
          <w:rFonts w:ascii="Times New Roman" w:hAnsi="Times New Roman"/>
        </w:rPr>
        <w:t>G</w:t>
      </w:r>
      <w:r>
        <w:rPr>
          <w:rFonts w:hint="eastAsia" w:ascii="Times New Roman" w:hAnsi="Times New Roman"/>
        </w:rPr>
        <w:t>类膜材</w:t>
      </w:r>
      <w:r>
        <w:rPr>
          <w:rFonts w:hint="eastAsia" w:ascii="Times New Roman" w:hAnsi="Times New Roman"/>
          <w:snapToGrid w:val="0"/>
        </w:rPr>
        <w:t>强度标准值</w:t>
      </w:r>
    </w:p>
    <w:tbl>
      <w:tblPr>
        <w:tblStyle w:val="37"/>
        <w:tblW w:w="4998" w:type="pct"/>
        <w:tblInd w:w="0" w:type="dxa"/>
        <w:tblLayout w:type="autofit"/>
        <w:tblCellMar>
          <w:top w:w="0" w:type="dxa"/>
          <w:left w:w="108" w:type="dxa"/>
          <w:bottom w:w="0" w:type="dxa"/>
          <w:right w:w="108" w:type="dxa"/>
        </w:tblCellMar>
      </w:tblPr>
      <w:tblGrid>
        <w:gridCol w:w="667"/>
        <w:gridCol w:w="3713"/>
        <w:gridCol w:w="1759"/>
        <w:gridCol w:w="1770"/>
        <w:gridCol w:w="1373"/>
      </w:tblGrid>
      <w:tr>
        <w:tblPrEx>
          <w:tblCellMar>
            <w:top w:w="0" w:type="dxa"/>
            <w:left w:w="108" w:type="dxa"/>
            <w:bottom w:w="0" w:type="dxa"/>
            <w:right w:w="108" w:type="dxa"/>
          </w:tblCellMar>
        </w:tblPrEx>
        <w:trPr>
          <w:trHeight w:val="755"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代号</w:t>
            </w:r>
          </w:p>
        </w:tc>
        <w:tc>
          <w:tcPr>
            <w:tcW w:w="19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lang w:bidi="ar"/>
              </w:rPr>
            </w:pPr>
            <w:r>
              <w:rPr>
                <w:rFonts w:hint="eastAsia" w:ascii="Times New Roman" w:hAnsi="Times New Roman"/>
                <w:lang w:bidi="ar"/>
              </w:rPr>
              <w:t>经</w:t>
            </w:r>
            <w:r>
              <w:rPr>
                <w:rFonts w:ascii="Times New Roman" w:hAnsi="Times New Roman"/>
                <w:lang w:bidi="ar"/>
              </w:rPr>
              <w:t>/</w:t>
            </w:r>
            <w:r>
              <w:rPr>
                <w:rFonts w:hint="eastAsia" w:ascii="Times New Roman" w:hAnsi="Times New Roman"/>
                <w:lang w:bidi="ar"/>
              </w:rPr>
              <w:t>纬向极限抗拉强度标准值</w:t>
            </w:r>
          </w:p>
          <w:p>
            <w:pPr>
              <w:jc w:val="center"/>
              <w:textAlignment w:val="center"/>
              <w:rPr>
                <w:rFonts w:ascii="Times New Roman" w:hAnsi="Times New Roman"/>
              </w:rPr>
            </w:pPr>
            <w:r>
              <w:rPr>
                <w:rFonts w:hint="eastAsia" w:ascii="Times New Roman" w:hAnsi="Times New Roman"/>
                <w:lang w:eastAsia="zh-CN" w:bidi="ar"/>
              </w:rPr>
              <w:t>(</w:t>
            </w:r>
            <w:r>
              <w:rPr>
                <w:rFonts w:ascii="Times New Roman" w:hAnsi="Times New Roman"/>
                <w:lang w:bidi="ar"/>
              </w:rPr>
              <w:t>N/5cm)</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lang w:bidi="ar"/>
              </w:rPr>
            </w:pPr>
            <w:r>
              <w:rPr>
                <w:rFonts w:hint="eastAsia" w:ascii="Times New Roman" w:hAnsi="Times New Roman"/>
                <w:lang w:bidi="ar"/>
              </w:rPr>
              <w:t>丝径</w:t>
            </w:r>
          </w:p>
          <w:p>
            <w:pPr>
              <w:jc w:val="center"/>
              <w:textAlignment w:val="center"/>
              <w:rPr>
                <w:rFonts w:ascii="Times New Roman" w:hAnsi="Times New Roman"/>
              </w:rPr>
            </w:pPr>
            <w:r>
              <w:rPr>
                <w:rFonts w:hint="eastAsia" w:ascii="Times New Roman" w:hAnsi="Times New Roman"/>
                <w:lang w:eastAsia="zh-CN" w:bidi="ar"/>
              </w:rPr>
              <w:t>(</w:t>
            </w:r>
            <w:r>
              <w:rPr>
                <w:rFonts w:hint="eastAsia" w:ascii="Times New Roman" w:hAnsi="Times New Roman"/>
                <w:lang w:bidi="ar"/>
              </w:rPr>
              <w:t>μ</w:t>
            </w:r>
            <w:r>
              <w:rPr>
                <w:rFonts w:ascii="Times New Roman" w:hAnsi="Times New Roman"/>
                <w:lang w:bidi="ar"/>
              </w:rPr>
              <w:t>m)</w:t>
            </w: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lang w:bidi="ar"/>
              </w:rPr>
            </w:pPr>
            <w:r>
              <w:rPr>
                <w:rFonts w:hint="eastAsia" w:ascii="Times New Roman" w:hAnsi="Times New Roman"/>
                <w:lang w:bidi="ar"/>
              </w:rPr>
              <w:t>厚度</w:t>
            </w:r>
          </w:p>
          <w:p>
            <w:pPr>
              <w:jc w:val="center"/>
              <w:textAlignment w:val="center"/>
              <w:rPr>
                <w:rFonts w:ascii="Times New Roman" w:hAnsi="Times New Roman"/>
              </w:rPr>
            </w:pPr>
            <w:r>
              <w:rPr>
                <w:rFonts w:hint="eastAsia" w:ascii="Times New Roman" w:hAnsi="Times New Roman"/>
                <w:lang w:eastAsia="zh-CN" w:bidi="ar"/>
              </w:rPr>
              <w:t>(</w:t>
            </w:r>
            <w:r>
              <w:rPr>
                <w:rFonts w:ascii="Times New Roman" w:hAnsi="Times New Roman"/>
                <w:lang w:bidi="ar"/>
              </w:rPr>
              <w:t>mm)</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lang w:bidi="ar"/>
              </w:rPr>
            </w:pPr>
            <w:r>
              <w:rPr>
                <w:rFonts w:hint="eastAsia" w:ascii="Times New Roman" w:hAnsi="Times New Roman"/>
                <w:lang w:bidi="ar"/>
              </w:rPr>
              <w:t>重量</w:t>
            </w:r>
          </w:p>
          <w:p>
            <w:pPr>
              <w:jc w:val="center"/>
              <w:textAlignment w:val="center"/>
              <w:rPr>
                <w:rFonts w:ascii="Times New Roman" w:hAnsi="Times New Roman"/>
              </w:rPr>
            </w:pPr>
            <w:r>
              <w:rPr>
                <w:rFonts w:hint="eastAsia" w:ascii="Times New Roman" w:hAnsi="Times New Roman"/>
                <w:lang w:eastAsia="zh-CN" w:bidi="ar"/>
              </w:rPr>
              <w:t>(</w:t>
            </w:r>
            <w:r>
              <w:rPr>
                <w:rFonts w:ascii="Times New Roman" w:hAnsi="Times New Roman"/>
                <w:lang w:bidi="ar"/>
              </w:rPr>
              <w:t>g/m</w:t>
            </w:r>
            <w:r>
              <w:rPr>
                <w:rFonts w:hint="eastAsia" w:ascii="Times New Roman" w:hAnsi="Times New Roman"/>
                <w:lang w:bidi="ar"/>
              </w:rPr>
              <w:t>²</w:t>
            </w:r>
            <w:r>
              <w:rPr>
                <w:rFonts w:ascii="Times New Roman" w:hAnsi="Times New Roman"/>
                <w:lang w:bidi="ar"/>
              </w:rPr>
              <w:t>)</w:t>
            </w:r>
          </w:p>
        </w:tc>
      </w:tr>
      <w:tr>
        <w:tblPrEx>
          <w:tblCellMar>
            <w:top w:w="0" w:type="dxa"/>
            <w:left w:w="108" w:type="dxa"/>
            <w:bottom w:w="0" w:type="dxa"/>
            <w:right w:w="108" w:type="dxa"/>
          </w:tblCellMar>
        </w:tblPrEx>
        <w:trPr>
          <w:trHeight w:val="320"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G3</w:t>
            </w:r>
          </w:p>
        </w:tc>
        <w:tc>
          <w:tcPr>
            <w:tcW w:w="19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3200/2500</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3</w:t>
            </w:r>
            <w:r>
              <w:rPr>
                <w:rFonts w:hint="eastAsia" w:ascii="Times New Roman" w:hAnsi="Times New Roman"/>
                <w:lang w:bidi="ar"/>
              </w:rPr>
              <w:t>、</w:t>
            </w:r>
            <w:r>
              <w:rPr>
                <w:rFonts w:ascii="Times New Roman" w:hAnsi="Times New Roman"/>
                <w:lang w:bidi="ar"/>
              </w:rPr>
              <w:t>4</w:t>
            </w:r>
            <w:r>
              <w:rPr>
                <w:rFonts w:hint="eastAsia" w:ascii="Times New Roman" w:hAnsi="Times New Roman"/>
                <w:lang w:bidi="ar"/>
              </w:rPr>
              <w:t>或</w:t>
            </w:r>
            <w:r>
              <w:rPr>
                <w:rFonts w:ascii="Times New Roman" w:hAnsi="Times New Roman"/>
                <w:lang w:bidi="ar"/>
              </w:rPr>
              <w:t>6</w:t>
            </w: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0.25</w:t>
            </w:r>
            <w:r>
              <w:rPr>
                <w:rFonts w:hint="eastAsia" w:ascii="Times New Roman" w:hAnsi="Times New Roman"/>
                <w:lang w:bidi="ar"/>
              </w:rPr>
              <w:t>～</w:t>
            </w:r>
            <w:r>
              <w:rPr>
                <w:rFonts w:ascii="Times New Roman" w:hAnsi="Times New Roman"/>
                <w:lang w:bidi="ar"/>
              </w:rPr>
              <w:t>0.45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400</w:t>
            </w:r>
          </w:p>
        </w:tc>
      </w:tr>
      <w:tr>
        <w:tblPrEx>
          <w:tblCellMar>
            <w:top w:w="0" w:type="dxa"/>
            <w:left w:w="108" w:type="dxa"/>
            <w:bottom w:w="0" w:type="dxa"/>
            <w:right w:w="108" w:type="dxa"/>
          </w:tblCellMar>
        </w:tblPrEx>
        <w:trPr>
          <w:trHeight w:val="330"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G4</w:t>
            </w:r>
          </w:p>
        </w:tc>
        <w:tc>
          <w:tcPr>
            <w:tcW w:w="19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4200/4000</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3</w:t>
            </w:r>
            <w:r>
              <w:rPr>
                <w:rFonts w:hint="eastAsia" w:ascii="Times New Roman" w:hAnsi="Times New Roman"/>
                <w:lang w:bidi="ar"/>
              </w:rPr>
              <w:t>、</w:t>
            </w:r>
            <w:r>
              <w:rPr>
                <w:rFonts w:ascii="Times New Roman" w:hAnsi="Times New Roman"/>
                <w:lang w:bidi="ar"/>
              </w:rPr>
              <w:t>4</w:t>
            </w:r>
            <w:r>
              <w:rPr>
                <w:rFonts w:hint="eastAsia" w:ascii="Times New Roman" w:hAnsi="Times New Roman"/>
                <w:lang w:bidi="ar"/>
              </w:rPr>
              <w:t>或</w:t>
            </w:r>
            <w:r>
              <w:rPr>
                <w:rFonts w:ascii="Times New Roman" w:hAnsi="Times New Roman"/>
                <w:lang w:bidi="ar"/>
              </w:rPr>
              <w:t>.6</w:t>
            </w: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0.40</w:t>
            </w:r>
            <w:r>
              <w:rPr>
                <w:rFonts w:hint="eastAsia" w:ascii="Times New Roman" w:hAnsi="Times New Roman"/>
                <w:lang w:bidi="ar"/>
              </w:rPr>
              <w:t>～</w:t>
            </w:r>
            <w:r>
              <w:rPr>
                <w:rFonts w:ascii="Times New Roman" w:hAnsi="Times New Roman"/>
                <w:lang w:bidi="ar"/>
              </w:rPr>
              <w:t>0.60</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800</w:t>
            </w:r>
          </w:p>
        </w:tc>
      </w:tr>
      <w:tr>
        <w:tblPrEx>
          <w:tblCellMar>
            <w:top w:w="0" w:type="dxa"/>
            <w:left w:w="108" w:type="dxa"/>
            <w:bottom w:w="0" w:type="dxa"/>
            <w:right w:w="108" w:type="dxa"/>
          </w:tblCellMar>
        </w:tblPrEx>
        <w:trPr>
          <w:trHeight w:val="320"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G5</w:t>
            </w:r>
          </w:p>
        </w:tc>
        <w:tc>
          <w:tcPr>
            <w:tcW w:w="19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6000/5000</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3</w:t>
            </w:r>
            <w:r>
              <w:rPr>
                <w:rFonts w:hint="eastAsia" w:ascii="Times New Roman" w:hAnsi="Times New Roman"/>
                <w:lang w:bidi="ar"/>
              </w:rPr>
              <w:t>、</w:t>
            </w:r>
            <w:r>
              <w:rPr>
                <w:rFonts w:ascii="Times New Roman" w:hAnsi="Times New Roman"/>
                <w:lang w:bidi="ar"/>
              </w:rPr>
              <w:t>4</w:t>
            </w:r>
            <w:r>
              <w:rPr>
                <w:rFonts w:hint="eastAsia" w:ascii="Times New Roman" w:hAnsi="Times New Roman"/>
                <w:lang w:bidi="ar"/>
              </w:rPr>
              <w:t>或</w:t>
            </w:r>
            <w:r>
              <w:rPr>
                <w:rFonts w:ascii="Times New Roman" w:hAnsi="Times New Roman"/>
                <w:lang w:bidi="ar"/>
              </w:rPr>
              <w:t>6</w:t>
            </w: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0.50</w:t>
            </w:r>
            <w:r>
              <w:rPr>
                <w:rFonts w:hint="eastAsia" w:ascii="Times New Roman" w:hAnsi="Times New Roman"/>
                <w:lang w:bidi="ar"/>
              </w:rPr>
              <w:t>～</w:t>
            </w:r>
            <w:r>
              <w:rPr>
                <w:rFonts w:ascii="Times New Roman" w:hAnsi="Times New Roman"/>
                <w:lang w:bidi="ar"/>
              </w:rPr>
              <w:t>0.95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1000</w:t>
            </w:r>
          </w:p>
        </w:tc>
      </w:tr>
      <w:tr>
        <w:tblPrEx>
          <w:tblCellMar>
            <w:top w:w="0" w:type="dxa"/>
            <w:left w:w="108" w:type="dxa"/>
            <w:bottom w:w="0" w:type="dxa"/>
            <w:right w:w="108" w:type="dxa"/>
          </w:tblCellMar>
        </w:tblPrEx>
        <w:trPr>
          <w:trHeight w:val="320"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G6</w:t>
            </w:r>
          </w:p>
        </w:tc>
        <w:tc>
          <w:tcPr>
            <w:tcW w:w="19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6800/6000</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3</w:t>
            </w:r>
            <w:r>
              <w:rPr>
                <w:rFonts w:hint="eastAsia" w:ascii="Times New Roman" w:hAnsi="Times New Roman"/>
                <w:lang w:bidi="ar"/>
              </w:rPr>
              <w:t>、</w:t>
            </w:r>
            <w:r>
              <w:rPr>
                <w:rFonts w:ascii="Times New Roman" w:hAnsi="Times New Roman"/>
                <w:lang w:bidi="ar"/>
              </w:rPr>
              <w:t>4</w:t>
            </w: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0.65</w:t>
            </w:r>
            <w:r>
              <w:rPr>
                <w:rFonts w:hint="eastAsia" w:ascii="Times New Roman" w:hAnsi="Times New Roman"/>
                <w:lang w:bidi="ar"/>
              </w:rPr>
              <w:t>～</w:t>
            </w:r>
            <w:r>
              <w:rPr>
                <w:rFonts w:ascii="Times New Roman" w:hAnsi="Times New Roman"/>
                <w:lang w:bidi="ar"/>
              </w:rPr>
              <w:t>1.0</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1100</w:t>
            </w:r>
          </w:p>
        </w:tc>
      </w:tr>
      <w:tr>
        <w:tblPrEx>
          <w:tblCellMar>
            <w:top w:w="0" w:type="dxa"/>
            <w:left w:w="108" w:type="dxa"/>
            <w:bottom w:w="0" w:type="dxa"/>
            <w:right w:w="108" w:type="dxa"/>
          </w:tblCellMar>
        </w:tblPrEx>
        <w:trPr>
          <w:trHeight w:val="310"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G7</w:t>
            </w:r>
          </w:p>
        </w:tc>
        <w:tc>
          <w:tcPr>
            <w:tcW w:w="19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8000/7000</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3</w:t>
            </w:r>
            <w:r>
              <w:rPr>
                <w:rFonts w:hint="eastAsia" w:ascii="Times New Roman" w:hAnsi="Times New Roman"/>
                <w:lang w:bidi="ar"/>
              </w:rPr>
              <w:t>、</w:t>
            </w:r>
            <w:r>
              <w:rPr>
                <w:rFonts w:ascii="Times New Roman" w:hAnsi="Times New Roman"/>
                <w:lang w:bidi="ar"/>
              </w:rPr>
              <w:t>4</w:t>
            </w: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0.75</w:t>
            </w:r>
            <w:r>
              <w:rPr>
                <w:rFonts w:hint="eastAsia" w:ascii="Times New Roman" w:hAnsi="Times New Roman"/>
                <w:lang w:bidi="ar"/>
              </w:rPr>
              <w:t>～</w:t>
            </w:r>
            <w:r>
              <w:rPr>
                <w:rFonts w:ascii="Times New Roman" w:hAnsi="Times New Roman"/>
                <w:lang w:bidi="ar"/>
              </w:rPr>
              <w:t>1.15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1200</w:t>
            </w:r>
          </w:p>
        </w:tc>
      </w:tr>
      <w:tr>
        <w:tblPrEx>
          <w:tblCellMar>
            <w:top w:w="0" w:type="dxa"/>
            <w:left w:w="108" w:type="dxa"/>
            <w:bottom w:w="0" w:type="dxa"/>
            <w:right w:w="108" w:type="dxa"/>
          </w:tblCellMar>
        </w:tblPrEx>
        <w:trPr>
          <w:trHeight w:val="315"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G8</w:t>
            </w:r>
          </w:p>
        </w:tc>
        <w:tc>
          <w:tcPr>
            <w:tcW w:w="19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9000/8000</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3</w:t>
            </w:r>
            <w:r>
              <w:rPr>
                <w:rFonts w:hint="eastAsia" w:ascii="Times New Roman" w:hAnsi="Times New Roman"/>
                <w:lang w:bidi="ar"/>
              </w:rPr>
              <w:t>、</w:t>
            </w:r>
            <w:r>
              <w:rPr>
                <w:rFonts w:ascii="Times New Roman" w:hAnsi="Times New Roman"/>
                <w:lang w:bidi="ar"/>
              </w:rPr>
              <w:t>4</w:t>
            </w:r>
          </w:p>
        </w:tc>
        <w:tc>
          <w:tcPr>
            <w:tcW w:w="9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0.85</w:t>
            </w:r>
            <w:r>
              <w:rPr>
                <w:rFonts w:hint="eastAsia" w:ascii="Times New Roman" w:hAnsi="Times New Roman"/>
                <w:lang w:bidi="ar"/>
              </w:rPr>
              <w:t>～</w:t>
            </w:r>
            <w:r>
              <w:rPr>
                <w:rFonts w:ascii="Times New Roman" w:hAnsi="Times New Roman"/>
                <w:lang w:bidi="ar"/>
              </w:rPr>
              <w:t>1.25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1300</w:t>
            </w:r>
          </w:p>
        </w:tc>
      </w:tr>
    </w:tbl>
    <w:p>
      <w:pPr>
        <w:jc w:val="both"/>
        <w:rPr>
          <w:rFonts w:ascii="Times New Roman" w:hAnsi="Times New Roman"/>
        </w:rPr>
      </w:pPr>
    </w:p>
    <w:p>
      <w:pPr>
        <w:jc w:val="center"/>
        <w:rPr>
          <w:rFonts w:ascii="Times New Roman" w:hAnsi="Times New Roman"/>
        </w:rPr>
      </w:pPr>
      <w:r>
        <w:rPr>
          <w:rFonts w:ascii="Times New Roman" w:hAnsi="Times New Roman"/>
          <w:snapToGrid w:val="0"/>
        </w:rPr>
        <w:t xml:space="preserve">表3.2.26-2 </w:t>
      </w:r>
      <w:r>
        <w:rPr>
          <w:rFonts w:hint="eastAsia" w:ascii="Times New Roman" w:hAnsi="Times New Roman"/>
        </w:rPr>
        <w:t>常用</w:t>
      </w:r>
      <w:r>
        <w:rPr>
          <w:rFonts w:ascii="Times New Roman" w:hAnsi="Times New Roman"/>
        </w:rPr>
        <w:t>P</w:t>
      </w:r>
      <w:r>
        <w:rPr>
          <w:rFonts w:hint="eastAsia" w:ascii="Times New Roman" w:hAnsi="Times New Roman"/>
        </w:rPr>
        <w:t>类膜材</w:t>
      </w:r>
      <w:r>
        <w:rPr>
          <w:rFonts w:hint="eastAsia" w:ascii="Times New Roman" w:hAnsi="Times New Roman"/>
          <w:snapToGrid w:val="0"/>
        </w:rPr>
        <w:t>强度标准值</w:t>
      </w:r>
    </w:p>
    <w:tbl>
      <w:tblPr>
        <w:tblStyle w:val="37"/>
        <w:tblW w:w="4998" w:type="pct"/>
        <w:tblInd w:w="0" w:type="dxa"/>
        <w:tblLayout w:type="autofit"/>
        <w:tblCellMar>
          <w:top w:w="0" w:type="dxa"/>
          <w:left w:w="108" w:type="dxa"/>
          <w:bottom w:w="0" w:type="dxa"/>
          <w:right w:w="108" w:type="dxa"/>
        </w:tblCellMar>
      </w:tblPr>
      <w:tblGrid>
        <w:gridCol w:w="1515"/>
        <w:gridCol w:w="3753"/>
        <w:gridCol w:w="2035"/>
        <w:gridCol w:w="1979"/>
      </w:tblGrid>
      <w:tr>
        <w:tblPrEx>
          <w:tblCellMar>
            <w:top w:w="0" w:type="dxa"/>
            <w:left w:w="108" w:type="dxa"/>
            <w:bottom w:w="0" w:type="dxa"/>
            <w:right w:w="108" w:type="dxa"/>
          </w:tblCellMar>
        </w:tblPrEx>
        <w:trPr>
          <w:trHeight w:val="795" w:hRule="atLeast"/>
        </w:trPr>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代号</w:t>
            </w:r>
          </w:p>
        </w:tc>
        <w:tc>
          <w:tcPr>
            <w:tcW w:w="20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lang w:bidi="ar"/>
              </w:rPr>
            </w:pPr>
            <w:r>
              <w:rPr>
                <w:rFonts w:hint="eastAsia" w:ascii="Times New Roman" w:hAnsi="Times New Roman"/>
                <w:lang w:bidi="ar"/>
              </w:rPr>
              <w:t>经</w:t>
            </w:r>
            <w:r>
              <w:rPr>
                <w:rFonts w:ascii="Times New Roman" w:hAnsi="Times New Roman"/>
                <w:lang w:bidi="ar"/>
              </w:rPr>
              <w:t>/</w:t>
            </w:r>
            <w:r>
              <w:rPr>
                <w:rFonts w:hint="eastAsia" w:ascii="Times New Roman" w:hAnsi="Times New Roman"/>
                <w:lang w:bidi="ar"/>
              </w:rPr>
              <w:t>纬向极限抗拉强度标准值</w:t>
            </w:r>
          </w:p>
          <w:p>
            <w:pPr>
              <w:jc w:val="center"/>
              <w:textAlignment w:val="center"/>
              <w:rPr>
                <w:rFonts w:ascii="Times New Roman" w:hAnsi="Times New Roman"/>
              </w:rPr>
            </w:pPr>
            <w:r>
              <w:rPr>
                <w:rFonts w:hint="eastAsia" w:ascii="Times New Roman" w:hAnsi="Times New Roman"/>
                <w:lang w:eastAsia="zh-CN" w:bidi="ar"/>
              </w:rPr>
              <w:t>(</w:t>
            </w:r>
            <w:r>
              <w:rPr>
                <w:rFonts w:ascii="Times New Roman" w:hAnsi="Times New Roman"/>
                <w:lang w:bidi="ar"/>
              </w:rPr>
              <w:t>N/5cm)</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lang w:bidi="ar"/>
              </w:rPr>
            </w:pPr>
            <w:r>
              <w:rPr>
                <w:rFonts w:hint="eastAsia" w:ascii="Times New Roman" w:hAnsi="Times New Roman"/>
                <w:lang w:bidi="ar"/>
              </w:rPr>
              <w:t>厚度</w:t>
            </w:r>
          </w:p>
          <w:p>
            <w:pPr>
              <w:jc w:val="center"/>
              <w:textAlignment w:val="center"/>
              <w:rPr>
                <w:rFonts w:ascii="Times New Roman" w:hAnsi="Times New Roman"/>
              </w:rPr>
            </w:pPr>
            <w:r>
              <w:rPr>
                <w:rFonts w:hint="eastAsia" w:ascii="Times New Roman" w:hAnsi="Times New Roman"/>
                <w:lang w:eastAsia="zh-CN" w:bidi="ar"/>
              </w:rPr>
              <w:t>(</w:t>
            </w:r>
            <w:r>
              <w:rPr>
                <w:rFonts w:ascii="Times New Roman" w:hAnsi="Times New Roman"/>
                <w:lang w:bidi="ar"/>
              </w:rPr>
              <w:t>mm)</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240" w:firstLineChars="100"/>
              <w:textAlignment w:val="center"/>
              <w:rPr>
                <w:rFonts w:ascii="Times New Roman" w:hAnsi="Times New Roman"/>
                <w:lang w:bidi="ar"/>
              </w:rPr>
            </w:pPr>
            <w:r>
              <w:rPr>
                <w:rFonts w:hint="eastAsia" w:ascii="Times New Roman" w:hAnsi="Times New Roman"/>
                <w:lang w:bidi="ar"/>
              </w:rPr>
              <w:t>重量</w:t>
            </w:r>
          </w:p>
          <w:p>
            <w:pPr>
              <w:ind w:firstLine="240" w:firstLineChars="100"/>
              <w:textAlignment w:val="center"/>
              <w:rPr>
                <w:rFonts w:ascii="Times New Roman" w:hAnsi="Times New Roman"/>
              </w:rPr>
            </w:pPr>
            <w:r>
              <w:rPr>
                <w:rFonts w:hint="eastAsia" w:ascii="Times New Roman" w:hAnsi="Times New Roman"/>
                <w:lang w:eastAsia="zh-CN" w:bidi="ar"/>
              </w:rPr>
              <w:t>(</w:t>
            </w:r>
            <w:r>
              <w:rPr>
                <w:rFonts w:ascii="Times New Roman" w:hAnsi="Times New Roman"/>
                <w:lang w:bidi="ar"/>
              </w:rPr>
              <w:t>g/m</w:t>
            </w:r>
            <w:r>
              <w:rPr>
                <w:rFonts w:hint="eastAsia" w:ascii="Times New Roman" w:hAnsi="Times New Roman"/>
                <w:lang w:bidi="ar"/>
              </w:rPr>
              <w:t>²</w:t>
            </w:r>
            <w:r>
              <w:rPr>
                <w:rFonts w:ascii="Times New Roman" w:hAnsi="Times New Roman"/>
                <w:lang w:bidi="ar"/>
              </w:rPr>
              <w:t>)</w:t>
            </w:r>
          </w:p>
        </w:tc>
      </w:tr>
      <w:tr>
        <w:tblPrEx>
          <w:tblCellMar>
            <w:top w:w="0" w:type="dxa"/>
            <w:left w:w="108" w:type="dxa"/>
            <w:bottom w:w="0" w:type="dxa"/>
            <w:right w:w="108" w:type="dxa"/>
          </w:tblCellMar>
        </w:tblPrEx>
        <w:trPr>
          <w:trHeight w:val="390" w:hRule="atLeast"/>
        </w:trPr>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P2</w:t>
            </w:r>
          </w:p>
        </w:tc>
        <w:tc>
          <w:tcPr>
            <w:tcW w:w="20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2200/2000</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0.45</w:t>
            </w:r>
            <w:r>
              <w:rPr>
                <w:rFonts w:hint="eastAsia" w:ascii="Times New Roman" w:hAnsi="Times New Roman"/>
                <w:lang w:bidi="ar"/>
              </w:rPr>
              <w:t>～</w:t>
            </w:r>
            <w:r>
              <w:rPr>
                <w:rFonts w:ascii="Times New Roman" w:hAnsi="Times New Roman"/>
                <w:lang w:bidi="ar"/>
              </w:rPr>
              <w:t>0.65</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500</w:t>
            </w:r>
          </w:p>
        </w:tc>
      </w:tr>
      <w:tr>
        <w:tblPrEx>
          <w:tblCellMar>
            <w:top w:w="0" w:type="dxa"/>
            <w:left w:w="108" w:type="dxa"/>
            <w:bottom w:w="0" w:type="dxa"/>
            <w:right w:w="108" w:type="dxa"/>
          </w:tblCellMar>
        </w:tblPrEx>
        <w:trPr>
          <w:trHeight w:val="400" w:hRule="atLeast"/>
        </w:trPr>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P3</w:t>
            </w:r>
          </w:p>
        </w:tc>
        <w:tc>
          <w:tcPr>
            <w:tcW w:w="20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3200/3000</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0.55</w:t>
            </w:r>
            <w:r>
              <w:rPr>
                <w:rFonts w:hint="eastAsia" w:ascii="Times New Roman" w:hAnsi="Times New Roman"/>
                <w:lang w:bidi="ar"/>
              </w:rPr>
              <w:t>～</w:t>
            </w:r>
            <w:r>
              <w:rPr>
                <w:rFonts w:ascii="Times New Roman" w:hAnsi="Times New Roman"/>
                <w:lang w:bidi="ar"/>
              </w:rPr>
              <w:t>0.85</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750</w:t>
            </w:r>
          </w:p>
        </w:tc>
      </w:tr>
      <w:tr>
        <w:tblPrEx>
          <w:tblCellMar>
            <w:top w:w="0" w:type="dxa"/>
            <w:left w:w="108" w:type="dxa"/>
            <w:bottom w:w="0" w:type="dxa"/>
            <w:right w:w="108" w:type="dxa"/>
          </w:tblCellMar>
        </w:tblPrEx>
        <w:trPr>
          <w:trHeight w:val="400" w:hRule="atLeast"/>
        </w:trPr>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P4</w:t>
            </w:r>
          </w:p>
        </w:tc>
        <w:tc>
          <w:tcPr>
            <w:tcW w:w="20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4200/4000</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0.65</w:t>
            </w:r>
            <w:r>
              <w:rPr>
                <w:rFonts w:hint="eastAsia" w:ascii="Times New Roman" w:hAnsi="Times New Roman"/>
                <w:lang w:bidi="ar"/>
              </w:rPr>
              <w:t>～</w:t>
            </w:r>
            <w:r>
              <w:rPr>
                <w:rFonts w:ascii="Times New Roman" w:hAnsi="Times New Roman"/>
                <w:lang w:bidi="ar"/>
              </w:rPr>
              <w:t>0.95</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900</w:t>
            </w:r>
          </w:p>
        </w:tc>
      </w:tr>
      <w:tr>
        <w:tblPrEx>
          <w:tblCellMar>
            <w:top w:w="0" w:type="dxa"/>
            <w:left w:w="108" w:type="dxa"/>
            <w:bottom w:w="0" w:type="dxa"/>
            <w:right w:w="108" w:type="dxa"/>
          </w:tblCellMar>
        </w:tblPrEx>
        <w:trPr>
          <w:trHeight w:val="400" w:hRule="atLeast"/>
        </w:trPr>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P5</w:t>
            </w:r>
          </w:p>
        </w:tc>
        <w:tc>
          <w:tcPr>
            <w:tcW w:w="20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5300/5000</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0.75</w:t>
            </w:r>
            <w:r>
              <w:rPr>
                <w:rFonts w:hint="eastAsia" w:ascii="Times New Roman" w:hAnsi="Times New Roman"/>
                <w:lang w:bidi="ar"/>
              </w:rPr>
              <w:t>～</w:t>
            </w:r>
            <w:r>
              <w:rPr>
                <w:rFonts w:ascii="Times New Roman" w:hAnsi="Times New Roman"/>
                <w:lang w:bidi="ar"/>
              </w:rPr>
              <w:t>1.05</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1000</w:t>
            </w:r>
          </w:p>
        </w:tc>
      </w:tr>
      <w:tr>
        <w:tblPrEx>
          <w:tblCellMar>
            <w:top w:w="0" w:type="dxa"/>
            <w:left w:w="108" w:type="dxa"/>
            <w:bottom w:w="0" w:type="dxa"/>
            <w:right w:w="108" w:type="dxa"/>
          </w:tblCellMar>
        </w:tblPrEx>
        <w:trPr>
          <w:trHeight w:val="390" w:hRule="atLeast"/>
        </w:trPr>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P6</w:t>
            </w:r>
          </w:p>
        </w:tc>
        <w:tc>
          <w:tcPr>
            <w:tcW w:w="20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6400/6000</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1.00</w:t>
            </w:r>
            <w:r>
              <w:rPr>
                <w:rFonts w:hint="eastAsia" w:ascii="Times New Roman" w:hAnsi="Times New Roman"/>
                <w:lang w:bidi="ar"/>
              </w:rPr>
              <w:t>～</w:t>
            </w:r>
            <w:r>
              <w:rPr>
                <w:rFonts w:ascii="Times New Roman" w:hAnsi="Times New Roman"/>
                <w:lang w:bidi="ar"/>
              </w:rPr>
              <w:t>1.15</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1100</w:t>
            </w:r>
          </w:p>
        </w:tc>
      </w:tr>
      <w:tr>
        <w:tblPrEx>
          <w:tblCellMar>
            <w:top w:w="0" w:type="dxa"/>
            <w:left w:w="108" w:type="dxa"/>
            <w:bottom w:w="0" w:type="dxa"/>
            <w:right w:w="108" w:type="dxa"/>
          </w:tblCellMar>
        </w:tblPrEx>
        <w:trPr>
          <w:trHeight w:val="395" w:hRule="atLeast"/>
        </w:trPr>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P7</w:t>
            </w:r>
          </w:p>
        </w:tc>
        <w:tc>
          <w:tcPr>
            <w:tcW w:w="20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7500/7000</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1.05</w:t>
            </w:r>
            <w:r>
              <w:rPr>
                <w:rFonts w:hint="eastAsia" w:ascii="Times New Roman" w:hAnsi="Times New Roman"/>
                <w:lang w:bidi="ar"/>
              </w:rPr>
              <w:t>～</w:t>
            </w:r>
            <w:r>
              <w:rPr>
                <w:rFonts w:ascii="Times New Roman" w:hAnsi="Times New Roman"/>
                <w:lang w:bidi="ar"/>
              </w:rPr>
              <w:t>1.25</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hint="eastAsia" w:ascii="Times New Roman" w:hAnsi="Times New Roman"/>
                <w:lang w:bidi="ar"/>
              </w:rPr>
              <w:t>≥</w:t>
            </w:r>
            <w:r>
              <w:rPr>
                <w:rFonts w:ascii="Times New Roman" w:hAnsi="Times New Roman"/>
                <w:lang w:bidi="ar"/>
              </w:rPr>
              <w:t>1300</w:t>
            </w:r>
          </w:p>
        </w:tc>
      </w:tr>
    </w:tbl>
    <w:p>
      <w:pPr>
        <w:jc w:val="center"/>
        <w:rPr>
          <w:rFonts w:ascii="Times New Roman" w:hAnsi="Times New Roman"/>
        </w:rPr>
      </w:pPr>
    </w:p>
    <w:p>
      <w:pPr>
        <w:jc w:val="center"/>
        <w:rPr>
          <w:rFonts w:ascii="Times New Roman" w:hAnsi="Times New Roman"/>
          <w:snapToGrid w:val="0"/>
        </w:rPr>
      </w:pPr>
      <w:r>
        <w:rPr>
          <w:rFonts w:ascii="Times New Roman" w:hAnsi="Times New Roman"/>
          <w:snapToGrid w:val="0"/>
        </w:rPr>
        <w:t>表3.2.26-3 E</w:t>
      </w:r>
      <w:r>
        <w:rPr>
          <w:rFonts w:hint="eastAsia" w:ascii="Times New Roman" w:hAnsi="Times New Roman"/>
        </w:rPr>
        <w:t>类膜材</w:t>
      </w:r>
      <w:r>
        <w:rPr>
          <w:rFonts w:hint="eastAsia" w:ascii="Times New Roman" w:hAnsi="Times New Roman"/>
          <w:snapToGrid w:val="0"/>
        </w:rPr>
        <w:t>强度标准值</w:t>
      </w:r>
    </w:p>
    <w:tbl>
      <w:tblPr>
        <w:tblStyle w:val="37"/>
        <w:tblW w:w="4998" w:type="pct"/>
        <w:tblInd w:w="0" w:type="dxa"/>
        <w:tblLayout w:type="autofit"/>
        <w:tblCellMar>
          <w:top w:w="0" w:type="dxa"/>
          <w:left w:w="108" w:type="dxa"/>
          <w:bottom w:w="0" w:type="dxa"/>
          <w:right w:w="108" w:type="dxa"/>
        </w:tblCellMar>
      </w:tblPr>
      <w:tblGrid>
        <w:gridCol w:w="3019"/>
        <w:gridCol w:w="3014"/>
        <w:gridCol w:w="3249"/>
      </w:tblGrid>
      <w:tr>
        <w:tblPrEx>
          <w:tblCellMar>
            <w:top w:w="0" w:type="dxa"/>
            <w:left w:w="108" w:type="dxa"/>
            <w:bottom w:w="0" w:type="dxa"/>
            <w:right w:w="108" w:type="dxa"/>
          </w:tblCellMar>
        </w:tblPrEx>
        <w:trPr>
          <w:trHeight w:val="395" w:hRule="atLeast"/>
        </w:trPr>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cs="Arial"/>
              </w:rPr>
            </w:pPr>
            <w:r>
              <w:rPr>
                <w:rFonts w:ascii="Times New Roman" w:hAnsi="Times New Roman"/>
                <w:lang w:bidi="ar"/>
              </w:rPr>
              <w:t>第一屈服强度标准值</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cs="Arial"/>
              </w:rPr>
            </w:pPr>
            <w:r>
              <w:rPr>
                <w:rFonts w:ascii="Times New Roman" w:hAnsi="Times New Roman"/>
                <w:lang w:bidi="ar"/>
              </w:rPr>
              <w:t>第二屈服强度标准值</w:t>
            </w:r>
          </w:p>
        </w:tc>
        <w:tc>
          <w:tcPr>
            <w:tcW w:w="17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cs="Arial"/>
              </w:rPr>
            </w:pPr>
            <w:r>
              <w:rPr>
                <w:rFonts w:ascii="Times New Roman" w:hAnsi="Times New Roman"/>
                <w:lang w:bidi="ar"/>
              </w:rPr>
              <w:t>极限抗拉强度标准值</w:t>
            </w:r>
          </w:p>
        </w:tc>
      </w:tr>
      <w:tr>
        <w:tblPrEx>
          <w:tblCellMar>
            <w:top w:w="0" w:type="dxa"/>
            <w:left w:w="108" w:type="dxa"/>
            <w:bottom w:w="0" w:type="dxa"/>
            <w:right w:w="108" w:type="dxa"/>
          </w:tblCellMar>
        </w:tblPrEx>
        <w:trPr>
          <w:trHeight w:val="395" w:hRule="atLeast"/>
        </w:trPr>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16.3</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22.5</w:t>
            </w:r>
          </w:p>
        </w:tc>
        <w:tc>
          <w:tcPr>
            <w:tcW w:w="17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rPr>
            </w:pPr>
            <w:r>
              <w:rPr>
                <w:rFonts w:ascii="Times New Roman" w:hAnsi="Times New Roman"/>
                <w:lang w:bidi="ar"/>
              </w:rPr>
              <w:t>36.8</w:t>
            </w:r>
          </w:p>
        </w:tc>
      </w:tr>
    </w:tbl>
    <w:p>
      <w:pPr>
        <w:ind w:firstLine="480" w:firstLineChars="200"/>
        <w:rPr>
          <w:rFonts w:ascii="Times New Roman" w:hAnsi="Times New Roman" w:eastAsia="仿宋_GB2312" w:cs="仿宋_GB2312"/>
        </w:rPr>
      </w:pPr>
    </w:p>
    <w:p>
      <w:pPr>
        <w:pStyle w:val="120"/>
        <w:outlineLvl w:val="9"/>
        <w:rPr>
          <w:rFonts w:ascii="Times New Roman" w:hAnsi="Times New Roman"/>
        </w:rPr>
      </w:pPr>
      <w:r>
        <w:rPr>
          <w:rFonts w:hint="eastAsia" w:ascii="Times New Roman" w:hAnsi="Times New Roman" w:cs="仿宋_GB2312"/>
        </w:rPr>
        <w:t>条文说明：本条参照《膜结构技术规程》</w:t>
      </w:r>
      <w:r>
        <w:rPr>
          <w:rFonts w:ascii="Times New Roman" w:hAnsi="Times New Roman" w:cs="仿宋_GB2312"/>
        </w:rPr>
        <w:t>CECS 158</w:t>
      </w:r>
      <w:r>
        <w:rPr>
          <w:rFonts w:hint="eastAsia" w:ascii="Times New Roman" w:hAnsi="Times New Roman" w:cs="仿宋_GB2312"/>
        </w:rPr>
        <w:t>：</w:t>
      </w:r>
      <w:r>
        <w:rPr>
          <w:rFonts w:ascii="Times New Roman" w:hAnsi="Times New Roman" w:cs="仿宋_GB2312"/>
        </w:rPr>
        <w:t>2015</w:t>
      </w:r>
      <w:r>
        <w:rPr>
          <w:rFonts w:hint="eastAsia" w:ascii="Times New Roman" w:hAnsi="Times New Roman" w:cs="仿宋_GB2312"/>
        </w:rPr>
        <w:t>第</w:t>
      </w:r>
      <w:r>
        <w:rPr>
          <w:rFonts w:ascii="Times New Roman" w:hAnsi="Times New Roman" w:cs="仿宋_GB2312"/>
        </w:rPr>
        <w:t>4.1.3</w:t>
      </w:r>
      <w:r>
        <w:rPr>
          <w:rFonts w:hint="eastAsia" w:ascii="Times New Roman" w:hAnsi="Times New Roman" w:cs="仿宋_GB2312"/>
        </w:rPr>
        <w:t>条、</w:t>
      </w:r>
      <w:r>
        <w:rPr>
          <w:rFonts w:ascii="Times New Roman" w:hAnsi="Times New Roman" w:cs="仿宋_GB2312"/>
        </w:rPr>
        <w:t>4.1.4</w:t>
      </w:r>
      <w:r>
        <w:rPr>
          <w:rFonts w:hint="eastAsia" w:ascii="Times New Roman" w:hAnsi="Times New Roman" w:cs="仿宋_GB2312"/>
        </w:rPr>
        <w:t>条相关规定制定。</w:t>
      </w:r>
    </w:p>
    <w:p>
      <w:pPr>
        <w:pStyle w:val="120"/>
        <w:outlineLvl w:val="9"/>
        <w:rPr>
          <w:rFonts w:ascii="Times New Roman" w:hAnsi="Times New Roman"/>
        </w:rPr>
      </w:pPr>
    </w:p>
    <w:p>
      <w:pPr>
        <w:pStyle w:val="120"/>
        <w:ind w:firstLine="0" w:firstLineChars="0"/>
        <w:outlineLvl w:val="9"/>
        <w:rPr>
          <w:rFonts w:ascii="Times New Roman" w:hAnsi="Times New Roman"/>
        </w:rPr>
      </w:pPr>
    </w:p>
    <w:p>
      <w:pPr>
        <w:pStyle w:val="6"/>
        <w:rPr>
          <w:rFonts w:ascii="Times New Roman" w:hAnsi="Times New Roman"/>
        </w:rPr>
      </w:pPr>
      <w:bookmarkStart w:id="28" w:name="_Toc162996207"/>
      <w:r>
        <w:rPr>
          <w:rFonts w:ascii="Times New Roman" w:hAnsi="Times New Roman"/>
        </w:rPr>
        <w:t>3.3 材料物理性能</w:t>
      </w:r>
      <w:bookmarkEnd w:id="28"/>
    </w:p>
    <w:p>
      <w:pPr>
        <w:pStyle w:val="189"/>
      </w:pPr>
      <w:r>
        <w:rPr>
          <w:rFonts w:hint="eastAsia"/>
          <w:b/>
        </w:rPr>
        <w:t>3</w:t>
      </w:r>
      <w:r>
        <w:rPr>
          <w:b/>
        </w:rPr>
        <w:t>.3.1</w:t>
      </w:r>
      <w:r>
        <w:rPr>
          <w:rFonts w:hint="eastAsia"/>
          <w:b/>
        </w:rPr>
        <w:t xml:space="preserve"> </w:t>
      </w:r>
      <w:r>
        <w:t>建筑幕墙常用材料的物理力学性能指标可按表</w:t>
      </w:r>
      <w:r>
        <w:rPr>
          <w:rFonts w:hint="eastAsia"/>
        </w:rPr>
        <w:t>3</w:t>
      </w:r>
      <w:r>
        <w:t>.3.1采用。</w:t>
      </w:r>
    </w:p>
    <w:p>
      <w:pPr>
        <w:pStyle w:val="186"/>
        <w:rPr>
          <w:rFonts w:ascii="Times New Roman" w:hAnsi="Times New Roman" w:eastAsia="黑体"/>
          <w:snapToGrid w:val="0"/>
        </w:rPr>
      </w:pPr>
      <w:r>
        <w:rPr>
          <w:rFonts w:ascii="Times New Roman" w:hAnsi="Times New Roman" w:eastAsia="黑体"/>
          <w:snapToGrid w:val="0"/>
        </w:rPr>
        <w:t>表3.3.1  材料的物理力学性能指标</w:t>
      </w:r>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804"/>
        <w:gridCol w:w="1079"/>
        <w:gridCol w:w="2743"/>
        <w:gridCol w:w="1829"/>
        <w:gridCol w:w="183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6" w:hRule="atLeast"/>
          <w:jc w:val="center"/>
        </w:trPr>
        <w:tc>
          <w:tcPr>
            <w:tcW w:w="1552" w:type="pct"/>
            <w:gridSpan w:val="2"/>
            <w:tcBorders>
              <w:bottom w:val="single" w:color="auto" w:sz="4" w:space="0"/>
            </w:tcBorders>
            <w:vAlign w:val="center"/>
          </w:tcPr>
          <w:p>
            <w:pPr>
              <w:rPr>
                <w:rFonts w:ascii="Times New Roman" w:hAnsi="Times New Roman"/>
                <w:snapToGrid w:val="0"/>
                <w:sz w:val="21"/>
                <w:szCs w:val="21"/>
              </w:rPr>
            </w:pPr>
            <w:r>
              <w:rPr>
                <w:rFonts w:ascii="Times New Roman" w:hAnsi="Times New Roman"/>
                <w:snapToGrid w:val="0"/>
                <w:sz w:val="21"/>
                <w:szCs w:val="21"/>
              </w:rPr>
              <w:t>材    料</w:t>
            </w:r>
          </w:p>
        </w:tc>
        <w:tc>
          <w:tcPr>
            <w:tcW w:w="1476" w:type="pct"/>
            <w:tcBorders>
              <w:bottom w:val="single" w:color="auto" w:sz="4" w:space="0"/>
            </w:tcBorders>
            <w:vAlign w:val="center"/>
          </w:tcPr>
          <w:p>
            <w:pPr>
              <w:rPr>
                <w:rFonts w:ascii="Times New Roman" w:hAnsi="Times New Roman"/>
                <w:snapToGrid w:val="0"/>
                <w:sz w:val="21"/>
                <w:szCs w:val="21"/>
              </w:rPr>
            </w:pPr>
            <w:r>
              <w:rPr>
                <w:rFonts w:ascii="Times New Roman" w:hAnsi="Times New Roman"/>
                <w:snapToGrid w:val="0"/>
                <w:sz w:val="21"/>
                <w:szCs w:val="21"/>
              </w:rPr>
              <w:t>弹性模量E（N/mm</w:t>
            </w:r>
            <w:r>
              <w:rPr>
                <w:rFonts w:ascii="Times New Roman" w:hAnsi="Times New Roman"/>
                <w:snapToGrid w:val="0"/>
                <w:sz w:val="21"/>
                <w:szCs w:val="21"/>
                <w:vertAlign w:val="superscript"/>
              </w:rPr>
              <w:t>2</w:t>
            </w:r>
            <w:r>
              <w:rPr>
                <w:rFonts w:ascii="Times New Roman" w:hAnsi="Times New Roman"/>
                <w:snapToGrid w:val="0"/>
                <w:sz w:val="21"/>
                <w:szCs w:val="21"/>
              </w:rPr>
              <w:t>）</w:t>
            </w:r>
          </w:p>
        </w:tc>
        <w:tc>
          <w:tcPr>
            <w:tcW w:w="984" w:type="pct"/>
            <w:tcBorders>
              <w:bottom w:val="single" w:color="auto" w:sz="4" w:space="0"/>
            </w:tcBorders>
            <w:vAlign w:val="center"/>
          </w:tcPr>
          <w:p>
            <w:pPr>
              <w:rPr>
                <w:rFonts w:ascii="Times New Roman" w:hAnsi="Times New Roman"/>
                <w:snapToGrid w:val="0"/>
                <w:sz w:val="21"/>
                <w:szCs w:val="21"/>
              </w:rPr>
            </w:pPr>
            <w:r>
              <w:rPr>
                <w:rFonts w:ascii="Times New Roman" w:hAnsi="Times New Roman"/>
                <w:snapToGrid w:val="0"/>
                <w:sz w:val="21"/>
                <w:szCs w:val="21"/>
              </w:rPr>
              <w:t>泊松比</w:t>
            </w:r>
            <w:r>
              <w:rPr>
                <w:rFonts w:ascii="Times New Roman" w:hAnsi="Times New Roman"/>
                <w:snapToGrid w:val="0"/>
                <w:sz w:val="21"/>
                <w:szCs w:val="21"/>
              </w:rPr>
              <w:object>
                <v:shape id="_x0000_i1025" o:spt="75" type="#_x0000_t75" style="height:10.2pt;width:8.4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p>
        </w:tc>
        <w:tc>
          <w:tcPr>
            <w:tcW w:w="985" w:type="pct"/>
            <w:tcBorders>
              <w:bottom w:val="single" w:color="auto" w:sz="4" w:space="0"/>
            </w:tcBorders>
            <w:vAlign w:val="center"/>
          </w:tcPr>
          <w:p>
            <w:pPr>
              <w:rPr>
                <w:rFonts w:ascii="Times New Roman" w:hAnsi="Times New Roman"/>
                <w:snapToGrid w:val="0"/>
                <w:sz w:val="21"/>
                <w:szCs w:val="21"/>
              </w:rPr>
            </w:pPr>
            <w:r>
              <w:rPr>
                <w:rFonts w:ascii="Times New Roman" w:hAnsi="Times New Roman"/>
                <w:snapToGrid w:val="0"/>
                <w:sz w:val="21"/>
                <w:szCs w:val="21"/>
              </w:rPr>
              <w:t>线膨胀系数</w:t>
            </w:r>
          </w:p>
          <w:p>
            <w:pPr>
              <w:rPr>
                <w:rFonts w:ascii="Times New Roman" w:hAnsi="Times New Roman"/>
                <w:snapToGrid w:val="0"/>
                <w:sz w:val="21"/>
                <w:szCs w:val="21"/>
              </w:rPr>
            </w:pPr>
            <w:r>
              <w:rPr>
                <w:rFonts w:ascii="Times New Roman" w:hAnsi="Times New Roman"/>
                <w:snapToGrid w:val="0"/>
                <w:sz w:val="21"/>
                <w:szCs w:val="21"/>
              </w:rPr>
              <w:object>
                <v:shape id="_x0000_i1026" o:spt="75" type="#_x0000_t75" style="height:10.2pt;width:10.2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ascii="Times New Roman" w:hAnsi="Times New Roman"/>
                <w:snapToGrid w:val="0"/>
                <w:sz w:val="21"/>
                <w:szCs w:val="21"/>
              </w:rPr>
              <w:t>（10</w:t>
            </w:r>
            <w:r>
              <w:rPr>
                <w:rFonts w:ascii="Times New Roman" w:hAnsi="Times New Roman"/>
                <w:snapToGrid w:val="0"/>
                <w:sz w:val="21"/>
                <w:szCs w:val="21"/>
                <w:vertAlign w:val="superscript"/>
              </w:rPr>
              <w:t>-5</w:t>
            </w:r>
            <w:r>
              <w:rPr>
                <w:rFonts w:ascii="Times New Roman" w:hAnsi="Times New Roman"/>
                <w:snapToGrid w:val="0"/>
                <w:sz w:val="21"/>
                <w:szCs w:val="21"/>
              </w:rPr>
              <w:t>/°C）</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552" w:type="pct"/>
            <w:gridSpan w:val="2"/>
            <w:tcBorders>
              <w:top w:val="single" w:color="auto" w:sz="4" w:space="0"/>
              <w:bottom w:val="single" w:color="auto" w:sz="4" w:space="0"/>
              <w:right w:val="single" w:color="auto" w:sz="4" w:space="0"/>
            </w:tcBorders>
            <w:vAlign w:val="center"/>
          </w:tcPr>
          <w:p>
            <w:pPr>
              <w:rPr>
                <w:rFonts w:ascii="Times New Roman" w:hAnsi="Times New Roman"/>
                <w:snapToGrid w:val="0"/>
                <w:sz w:val="21"/>
                <w:szCs w:val="21"/>
              </w:rPr>
            </w:pPr>
            <w:r>
              <w:rPr>
                <w:rFonts w:ascii="Times New Roman" w:hAnsi="Times New Roman"/>
                <w:snapToGrid w:val="0"/>
                <w:sz w:val="21"/>
                <w:szCs w:val="21"/>
              </w:rPr>
              <w:t>玻璃</w:t>
            </w:r>
          </w:p>
        </w:tc>
        <w:tc>
          <w:tcPr>
            <w:tcW w:w="1476"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napToGrid w:val="0"/>
                <w:sz w:val="21"/>
                <w:szCs w:val="21"/>
              </w:rPr>
            </w:pPr>
            <w:r>
              <w:rPr>
                <w:rFonts w:ascii="Times New Roman" w:hAnsi="Times New Roman"/>
                <w:snapToGrid w:val="0"/>
                <w:sz w:val="21"/>
                <w:szCs w:val="21"/>
              </w:rPr>
              <w:t>0.72×10</w:t>
            </w:r>
            <w:r>
              <w:rPr>
                <w:rFonts w:ascii="Times New Roman" w:hAnsi="Times New Roman"/>
                <w:snapToGrid w:val="0"/>
                <w:sz w:val="21"/>
                <w:szCs w:val="21"/>
                <w:vertAlign w:val="superscript"/>
              </w:rPr>
              <w:t>5</w:t>
            </w:r>
          </w:p>
        </w:tc>
        <w:tc>
          <w:tcPr>
            <w:tcW w:w="98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napToGrid w:val="0"/>
                <w:sz w:val="21"/>
                <w:szCs w:val="21"/>
              </w:rPr>
            </w:pPr>
            <w:r>
              <w:rPr>
                <w:rFonts w:ascii="Times New Roman" w:hAnsi="Times New Roman"/>
                <w:snapToGrid w:val="0"/>
                <w:sz w:val="21"/>
                <w:szCs w:val="21"/>
              </w:rPr>
              <w:t>0.200</w:t>
            </w:r>
          </w:p>
        </w:tc>
        <w:tc>
          <w:tcPr>
            <w:tcW w:w="985" w:type="pct"/>
            <w:tcBorders>
              <w:top w:val="single" w:color="auto" w:sz="4" w:space="0"/>
              <w:left w:val="single" w:color="auto" w:sz="4" w:space="0"/>
              <w:bottom w:val="single" w:color="auto" w:sz="4" w:space="0"/>
            </w:tcBorders>
            <w:vAlign w:val="center"/>
          </w:tcPr>
          <w:p>
            <w:pPr>
              <w:rPr>
                <w:rFonts w:ascii="Times New Roman" w:hAnsi="Times New Roman"/>
                <w:snapToGrid w:val="0"/>
                <w:sz w:val="21"/>
                <w:szCs w:val="21"/>
              </w:rPr>
            </w:pPr>
            <w:r>
              <w:rPr>
                <w:rFonts w:ascii="Times New Roman" w:hAnsi="Times New Roman"/>
                <w:snapToGrid w:val="0"/>
                <w:sz w:val="21"/>
                <w:szCs w:val="21"/>
              </w:rPr>
              <w:t>0.80~1.00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0" w:hRule="atLeast"/>
          <w:jc w:val="center"/>
        </w:trPr>
        <w:tc>
          <w:tcPr>
            <w:tcW w:w="1552" w:type="pct"/>
            <w:gridSpan w:val="2"/>
            <w:tcBorders>
              <w:top w:val="single" w:color="auto" w:sz="4" w:space="0"/>
            </w:tcBorders>
            <w:vAlign w:val="center"/>
          </w:tcPr>
          <w:p>
            <w:pPr>
              <w:rPr>
                <w:rFonts w:ascii="Times New Roman" w:hAnsi="Times New Roman"/>
                <w:snapToGrid w:val="0"/>
                <w:sz w:val="21"/>
                <w:szCs w:val="21"/>
              </w:rPr>
            </w:pPr>
            <w:r>
              <w:rPr>
                <w:rFonts w:ascii="Times New Roman" w:hAnsi="Times New Roman"/>
                <w:snapToGrid w:val="0"/>
                <w:sz w:val="21"/>
                <w:szCs w:val="21"/>
              </w:rPr>
              <w:t>铝合金</w:t>
            </w:r>
          </w:p>
        </w:tc>
        <w:tc>
          <w:tcPr>
            <w:tcW w:w="1476" w:type="pct"/>
            <w:tcBorders>
              <w:top w:val="single" w:color="auto" w:sz="4" w:space="0"/>
            </w:tcBorders>
            <w:vAlign w:val="center"/>
          </w:tcPr>
          <w:p>
            <w:pPr>
              <w:rPr>
                <w:rFonts w:ascii="Times New Roman" w:hAnsi="Times New Roman"/>
                <w:snapToGrid w:val="0"/>
                <w:sz w:val="21"/>
                <w:szCs w:val="21"/>
              </w:rPr>
            </w:pPr>
            <w:r>
              <w:rPr>
                <w:rFonts w:ascii="Times New Roman" w:hAnsi="Times New Roman"/>
                <w:snapToGrid w:val="0"/>
                <w:sz w:val="21"/>
                <w:szCs w:val="21"/>
              </w:rPr>
              <w:t>0.70×10</w:t>
            </w:r>
            <w:r>
              <w:rPr>
                <w:rFonts w:ascii="Times New Roman" w:hAnsi="Times New Roman"/>
                <w:snapToGrid w:val="0"/>
                <w:sz w:val="21"/>
                <w:szCs w:val="21"/>
                <w:vertAlign w:val="superscript"/>
              </w:rPr>
              <w:t>5</w:t>
            </w:r>
          </w:p>
        </w:tc>
        <w:tc>
          <w:tcPr>
            <w:tcW w:w="984" w:type="pct"/>
            <w:tcBorders>
              <w:top w:val="single" w:color="auto" w:sz="4" w:space="0"/>
            </w:tcBorders>
            <w:vAlign w:val="center"/>
          </w:tcPr>
          <w:p>
            <w:pPr>
              <w:rPr>
                <w:rFonts w:ascii="Times New Roman" w:hAnsi="Times New Roman"/>
                <w:snapToGrid w:val="0"/>
                <w:sz w:val="21"/>
                <w:szCs w:val="21"/>
              </w:rPr>
            </w:pPr>
            <w:r>
              <w:rPr>
                <w:rFonts w:ascii="Times New Roman" w:hAnsi="Times New Roman"/>
                <w:snapToGrid w:val="0"/>
                <w:sz w:val="21"/>
                <w:szCs w:val="21"/>
              </w:rPr>
              <w:t>0.300</w:t>
            </w:r>
          </w:p>
        </w:tc>
        <w:tc>
          <w:tcPr>
            <w:tcW w:w="985" w:type="pct"/>
            <w:tcBorders>
              <w:top w:val="single" w:color="auto" w:sz="4" w:space="0"/>
            </w:tcBorders>
            <w:vAlign w:val="center"/>
          </w:tcPr>
          <w:p>
            <w:pPr>
              <w:rPr>
                <w:rFonts w:ascii="Times New Roman" w:hAnsi="Times New Roman"/>
                <w:snapToGrid w:val="0"/>
                <w:sz w:val="21"/>
                <w:szCs w:val="21"/>
              </w:rPr>
            </w:pPr>
            <w:r>
              <w:rPr>
                <w:rFonts w:ascii="Times New Roman" w:hAnsi="Times New Roman"/>
                <w:snapToGrid w:val="0"/>
                <w:sz w:val="21"/>
                <w:szCs w:val="21"/>
              </w:rPr>
              <w:t>2.35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552" w:type="pct"/>
            <w:gridSpan w:val="2"/>
            <w:vAlign w:val="center"/>
          </w:tcPr>
          <w:p>
            <w:pPr>
              <w:rPr>
                <w:rFonts w:ascii="Times New Roman" w:hAnsi="Times New Roman"/>
                <w:snapToGrid w:val="0"/>
                <w:sz w:val="21"/>
                <w:szCs w:val="21"/>
              </w:rPr>
            </w:pPr>
            <w:r>
              <w:rPr>
                <w:rFonts w:ascii="Times New Roman" w:hAnsi="Times New Roman"/>
                <w:snapToGrid w:val="0"/>
                <w:sz w:val="21"/>
                <w:szCs w:val="21"/>
              </w:rPr>
              <w:t>钢</w:t>
            </w:r>
          </w:p>
        </w:tc>
        <w:tc>
          <w:tcPr>
            <w:tcW w:w="1476" w:type="pct"/>
            <w:vMerge w:val="restart"/>
            <w:vAlign w:val="center"/>
          </w:tcPr>
          <w:p>
            <w:pPr>
              <w:rPr>
                <w:rFonts w:ascii="Times New Roman" w:hAnsi="Times New Roman"/>
                <w:snapToGrid w:val="0"/>
                <w:sz w:val="21"/>
                <w:szCs w:val="21"/>
              </w:rPr>
            </w:pPr>
            <w:r>
              <w:rPr>
                <w:rFonts w:ascii="Times New Roman" w:hAnsi="Times New Roman"/>
                <w:snapToGrid w:val="0"/>
                <w:sz w:val="21"/>
                <w:szCs w:val="21"/>
              </w:rPr>
              <w:t>2.06×10</w:t>
            </w:r>
            <w:r>
              <w:rPr>
                <w:rFonts w:ascii="Times New Roman" w:hAnsi="Times New Roman"/>
                <w:snapToGrid w:val="0"/>
                <w:sz w:val="21"/>
                <w:szCs w:val="21"/>
                <w:vertAlign w:val="superscript"/>
              </w:rPr>
              <w:t>5</w:t>
            </w:r>
          </w:p>
        </w:tc>
        <w:tc>
          <w:tcPr>
            <w:tcW w:w="984" w:type="pct"/>
            <w:vMerge w:val="restart"/>
            <w:vAlign w:val="center"/>
          </w:tcPr>
          <w:p>
            <w:pPr>
              <w:rPr>
                <w:rFonts w:ascii="Times New Roman" w:hAnsi="Times New Roman"/>
                <w:snapToGrid w:val="0"/>
                <w:sz w:val="21"/>
                <w:szCs w:val="21"/>
              </w:rPr>
            </w:pPr>
            <w:r>
              <w:rPr>
                <w:rFonts w:ascii="Times New Roman" w:hAnsi="Times New Roman"/>
                <w:snapToGrid w:val="0"/>
                <w:sz w:val="21"/>
                <w:szCs w:val="21"/>
              </w:rPr>
              <w:t>0.300</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1.20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552" w:type="pct"/>
            <w:gridSpan w:val="2"/>
            <w:vAlign w:val="center"/>
          </w:tcPr>
          <w:p>
            <w:pPr>
              <w:rPr>
                <w:rFonts w:ascii="Times New Roman" w:hAnsi="Times New Roman"/>
                <w:snapToGrid w:val="0"/>
                <w:sz w:val="21"/>
                <w:szCs w:val="21"/>
              </w:rPr>
            </w:pPr>
            <w:r>
              <w:rPr>
                <w:rFonts w:ascii="Times New Roman" w:hAnsi="Times New Roman"/>
                <w:snapToGrid w:val="0"/>
                <w:sz w:val="21"/>
                <w:szCs w:val="21"/>
              </w:rPr>
              <w:t>不锈钢</w:t>
            </w:r>
          </w:p>
        </w:tc>
        <w:tc>
          <w:tcPr>
            <w:tcW w:w="1476" w:type="pct"/>
            <w:vMerge w:val="continue"/>
            <w:vAlign w:val="center"/>
          </w:tcPr>
          <w:p>
            <w:pPr>
              <w:rPr>
                <w:rFonts w:ascii="Times New Roman" w:hAnsi="Times New Roman"/>
                <w:snapToGrid w:val="0"/>
                <w:sz w:val="21"/>
                <w:szCs w:val="21"/>
              </w:rPr>
            </w:pPr>
          </w:p>
        </w:tc>
        <w:tc>
          <w:tcPr>
            <w:tcW w:w="984" w:type="pct"/>
            <w:vMerge w:val="continue"/>
            <w:vAlign w:val="center"/>
          </w:tcPr>
          <w:p>
            <w:pPr>
              <w:rPr>
                <w:rFonts w:ascii="Times New Roman" w:hAnsi="Times New Roman"/>
                <w:snapToGrid w:val="0"/>
                <w:sz w:val="21"/>
                <w:szCs w:val="21"/>
              </w:rPr>
            </w:pP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1.80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552" w:type="pct"/>
            <w:gridSpan w:val="2"/>
            <w:vAlign w:val="center"/>
          </w:tcPr>
          <w:p>
            <w:pPr>
              <w:rPr>
                <w:rFonts w:ascii="Times New Roman" w:hAnsi="Times New Roman"/>
                <w:snapToGrid w:val="0"/>
                <w:sz w:val="21"/>
                <w:szCs w:val="21"/>
              </w:rPr>
            </w:pPr>
            <w:r>
              <w:rPr>
                <w:rFonts w:hint="eastAsia" w:ascii="Times New Roman" w:hAnsi="Times New Roman"/>
                <w:snapToGrid w:val="0"/>
                <w:sz w:val="21"/>
                <w:szCs w:val="21"/>
              </w:rPr>
              <w:t>木材</w:t>
            </w:r>
          </w:p>
        </w:tc>
        <w:tc>
          <w:tcPr>
            <w:tcW w:w="1476" w:type="pct"/>
            <w:vAlign w:val="center"/>
          </w:tcPr>
          <w:p>
            <w:pPr>
              <w:rPr>
                <w:rFonts w:ascii="Times New Roman" w:hAnsi="Times New Roman"/>
                <w:snapToGrid w:val="0"/>
                <w:sz w:val="21"/>
                <w:szCs w:val="21"/>
              </w:rPr>
            </w:pPr>
          </w:p>
        </w:tc>
        <w:tc>
          <w:tcPr>
            <w:tcW w:w="984" w:type="pct"/>
            <w:vAlign w:val="center"/>
          </w:tcPr>
          <w:p>
            <w:pPr>
              <w:rPr>
                <w:rFonts w:ascii="Times New Roman" w:hAnsi="Times New Roman"/>
                <w:snapToGrid w:val="0"/>
                <w:sz w:val="21"/>
                <w:szCs w:val="21"/>
              </w:rPr>
            </w:pPr>
          </w:p>
        </w:tc>
        <w:tc>
          <w:tcPr>
            <w:tcW w:w="985" w:type="pct"/>
            <w:vAlign w:val="center"/>
          </w:tcPr>
          <w:p>
            <w:pPr>
              <w:rPr>
                <w:rFonts w:ascii="Times New Roman" w:hAnsi="Times New Roman"/>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napToGrid w:val="0"/>
                <w:sz w:val="21"/>
                <w:szCs w:val="21"/>
              </w:rPr>
            </w:pPr>
            <w:r>
              <w:rPr>
                <w:rFonts w:hint="eastAsia" w:ascii="Times New Roman" w:hAnsi="Times New Roman"/>
                <w:snapToGrid w:val="0"/>
                <w:sz w:val="21"/>
                <w:szCs w:val="21"/>
              </w:rPr>
              <w:t>不锈钢绞线</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1.20×10</w:t>
            </w:r>
            <w:r>
              <w:rPr>
                <w:rFonts w:ascii="Times New Roman" w:hAnsi="Times New Roman"/>
                <w:snapToGrid w:val="0"/>
                <w:sz w:val="21"/>
                <w:szCs w:val="21"/>
                <w:vertAlign w:val="superscript"/>
              </w:rPr>
              <w:t>5</w:t>
            </w:r>
            <w:r>
              <w:rPr>
                <w:rFonts w:ascii="Times New Roman" w:hAnsi="Times New Roman"/>
                <w:snapToGrid w:val="0"/>
                <w:sz w:val="21"/>
                <w:szCs w:val="21"/>
              </w:rPr>
              <w:t>～1.50×10</w:t>
            </w:r>
            <w:r>
              <w:rPr>
                <w:rFonts w:ascii="Times New Roman" w:hAnsi="Times New Roman"/>
                <w:snapToGrid w:val="0"/>
                <w:sz w:val="21"/>
                <w:szCs w:val="21"/>
                <w:vertAlign w:val="superscript"/>
              </w:rPr>
              <w:t>5</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0.300</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1.80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napToGrid w:val="0"/>
                <w:sz w:val="21"/>
                <w:szCs w:val="21"/>
              </w:rPr>
            </w:pPr>
            <w:r>
              <w:rPr>
                <w:rFonts w:hint="eastAsia" w:ascii="Times New Roman" w:hAnsi="Times New Roman"/>
                <w:snapToGrid w:val="0"/>
                <w:sz w:val="21"/>
                <w:szCs w:val="21"/>
              </w:rPr>
              <w:t>消除应力的高强钢丝</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2.05×10</w:t>
            </w:r>
            <w:r>
              <w:rPr>
                <w:rFonts w:ascii="Times New Roman" w:hAnsi="Times New Roman"/>
                <w:snapToGrid w:val="0"/>
                <w:sz w:val="21"/>
                <w:szCs w:val="21"/>
                <w:vertAlign w:val="superscript"/>
              </w:rPr>
              <w:t>5</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0.300</w:t>
            </w:r>
          </w:p>
        </w:tc>
        <w:tc>
          <w:tcPr>
            <w:tcW w:w="985" w:type="pct"/>
            <w:vAlign w:val="center"/>
          </w:tcPr>
          <w:p>
            <w:pPr>
              <w:rPr>
                <w:rFonts w:ascii="Times New Roman" w:hAnsi="Times New Roman"/>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napToGrid w:val="0"/>
                <w:sz w:val="21"/>
                <w:szCs w:val="21"/>
              </w:rPr>
            </w:pPr>
            <w:r>
              <w:rPr>
                <w:rFonts w:hint="eastAsia" w:ascii="Times New Roman" w:hAnsi="Times New Roman"/>
                <w:snapToGrid w:val="0"/>
                <w:sz w:val="21"/>
                <w:szCs w:val="21"/>
              </w:rPr>
              <w:t>高强钢丝</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1.95×10</w:t>
            </w:r>
            <w:r>
              <w:rPr>
                <w:rFonts w:ascii="Times New Roman" w:hAnsi="Times New Roman"/>
                <w:snapToGrid w:val="0"/>
                <w:sz w:val="21"/>
                <w:szCs w:val="21"/>
                <w:vertAlign w:val="superscript"/>
              </w:rPr>
              <w:t>5</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0.300</w:t>
            </w:r>
          </w:p>
        </w:tc>
        <w:tc>
          <w:tcPr>
            <w:tcW w:w="985" w:type="pct"/>
            <w:vAlign w:val="center"/>
          </w:tcPr>
          <w:p>
            <w:pPr>
              <w:rPr>
                <w:rFonts w:ascii="Times New Roman" w:hAnsi="Times New Roman"/>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napToGrid w:val="0"/>
                <w:sz w:val="21"/>
                <w:szCs w:val="21"/>
              </w:rPr>
            </w:pPr>
            <w:r>
              <w:rPr>
                <w:rFonts w:hint="eastAsia" w:ascii="Times New Roman" w:hAnsi="Times New Roman"/>
                <w:snapToGrid w:val="0"/>
                <w:sz w:val="21"/>
                <w:szCs w:val="21"/>
              </w:rPr>
              <w:t>钢丝绳</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0.8×10</w:t>
            </w:r>
            <w:r>
              <w:rPr>
                <w:rFonts w:ascii="Times New Roman" w:hAnsi="Times New Roman"/>
                <w:snapToGrid w:val="0"/>
                <w:sz w:val="21"/>
                <w:szCs w:val="21"/>
                <w:vertAlign w:val="superscript"/>
              </w:rPr>
              <w:t>5</w:t>
            </w:r>
            <w:r>
              <w:rPr>
                <w:rFonts w:ascii="Times New Roman" w:hAnsi="Times New Roman"/>
                <w:snapToGrid w:val="0"/>
                <w:sz w:val="21"/>
                <w:szCs w:val="21"/>
              </w:rPr>
              <w:t>～1.00×10</w:t>
            </w:r>
            <w:r>
              <w:rPr>
                <w:rFonts w:ascii="Times New Roman" w:hAnsi="Times New Roman"/>
                <w:snapToGrid w:val="0"/>
                <w:sz w:val="21"/>
                <w:szCs w:val="21"/>
                <w:vertAlign w:val="superscript"/>
              </w:rPr>
              <w:t>5</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0.300</w:t>
            </w:r>
          </w:p>
        </w:tc>
        <w:tc>
          <w:tcPr>
            <w:tcW w:w="985" w:type="pct"/>
            <w:vAlign w:val="center"/>
          </w:tcPr>
          <w:p>
            <w:pPr>
              <w:rPr>
                <w:rFonts w:ascii="Times New Roman" w:hAnsi="Times New Roman"/>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971" w:type="pct"/>
            <w:vMerge w:val="restart"/>
            <w:vAlign w:val="center"/>
          </w:tcPr>
          <w:p>
            <w:pPr>
              <w:rPr>
                <w:rFonts w:ascii="Times New Roman" w:hAnsi="Times New Roman"/>
                <w:snapToGrid w:val="0"/>
                <w:sz w:val="21"/>
                <w:szCs w:val="21"/>
              </w:rPr>
            </w:pPr>
            <w:r>
              <w:rPr>
                <w:rFonts w:ascii="Times New Roman" w:hAnsi="Times New Roman"/>
                <w:snapToGrid w:val="0"/>
                <w:sz w:val="21"/>
                <w:szCs w:val="21"/>
              </w:rPr>
              <w:t>铝塑复合板</w:t>
            </w:r>
          </w:p>
        </w:tc>
        <w:tc>
          <w:tcPr>
            <w:tcW w:w="580" w:type="pct"/>
            <w:vAlign w:val="center"/>
          </w:tcPr>
          <w:p>
            <w:pPr>
              <w:rPr>
                <w:rFonts w:ascii="Times New Roman" w:hAnsi="Times New Roman"/>
                <w:snapToGrid w:val="0"/>
                <w:sz w:val="21"/>
                <w:szCs w:val="21"/>
              </w:rPr>
            </w:pPr>
            <w:r>
              <w:rPr>
                <w:rFonts w:ascii="Times New Roman" w:hAnsi="Times New Roman"/>
                <w:snapToGrid w:val="0"/>
                <w:sz w:val="21"/>
                <w:szCs w:val="21"/>
              </w:rPr>
              <w:t>4mm</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0.2×10</w:t>
            </w:r>
            <w:r>
              <w:rPr>
                <w:rFonts w:ascii="Times New Roman" w:hAnsi="Times New Roman"/>
                <w:snapToGrid w:val="0"/>
                <w:sz w:val="21"/>
                <w:szCs w:val="21"/>
                <w:vertAlign w:val="superscript"/>
              </w:rPr>
              <w:t>5</w:t>
            </w:r>
          </w:p>
        </w:tc>
        <w:tc>
          <w:tcPr>
            <w:tcW w:w="984" w:type="pct"/>
            <w:vMerge w:val="restart"/>
            <w:vAlign w:val="center"/>
          </w:tcPr>
          <w:p>
            <w:pPr>
              <w:rPr>
                <w:rFonts w:ascii="Times New Roman" w:hAnsi="Times New Roman"/>
                <w:snapToGrid w:val="0"/>
                <w:sz w:val="21"/>
                <w:szCs w:val="21"/>
              </w:rPr>
            </w:pPr>
            <w:r>
              <w:rPr>
                <w:rFonts w:ascii="Times New Roman" w:hAnsi="Times New Roman"/>
                <w:snapToGrid w:val="0"/>
                <w:sz w:val="21"/>
                <w:szCs w:val="21"/>
              </w:rPr>
              <w:t>0.250</w:t>
            </w:r>
          </w:p>
        </w:tc>
        <w:tc>
          <w:tcPr>
            <w:tcW w:w="985" w:type="pct"/>
            <w:vMerge w:val="restart"/>
            <w:vAlign w:val="center"/>
          </w:tcPr>
          <w:p>
            <w:pPr>
              <w:rPr>
                <w:rFonts w:ascii="Times New Roman" w:hAnsi="Times New Roman"/>
                <w:snapToGrid w:val="0"/>
                <w:sz w:val="21"/>
                <w:szCs w:val="21"/>
              </w:rPr>
            </w:pPr>
            <w:r>
              <w:rPr>
                <w:rFonts w:ascii="Times New Roman" w:hAnsi="Times New Roman"/>
                <w:snapToGrid w:val="0"/>
                <w:sz w:val="21"/>
                <w:szCs w:val="21"/>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971" w:type="pct"/>
            <w:vMerge w:val="continue"/>
            <w:vAlign w:val="center"/>
          </w:tcPr>
          <w:p>
            <w:pPr>
              <w:rPr>
                <w:rFonts w:ascii="Times New Roman" w:hAnsi="Times New Roman"/>
                <w:snapToGrid w:val="0"/>
                <w:sz w:val="21"/>
                <w:szCs w:val="21"/>
              </w:rPr>
            </w:pPr>
          </w:p>
        </w:tc>
        <w:tc>
          <w:tcPr>
            <w:tcW w:w="580" w:type="pct"/>
            <w:vAlign w:val="center"/>
          </w:tcPr>
          <w:p>
            <w:pPr>
              <w:rPr>
                <w:rFonts w:ascii="Times New Roman" w:hAnsi="Times New Roman"/>
                <w:snapToGrid w:val="0"/>
                <w:sz w:val="21"/>
                <w:szCs w:val="21"/>
              </w:rPr>
            </w:pPr>
            <w:r>
              <w:rPr>
                <w:rFonts w:ascii="Times New Roman" w:hAnsi="Times New Roman"/>
                <w:snapToGrid w:val="0"/>
                <w:sz w:val="21"/>
                <w:szCs w:val="21"/>
              </w:rPr>
              <w:t>6mm</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0.3×10</w:t>
            </w:r>
            <w:r>
              <w:rPr>
                <w:rFonts w:ascii="Times New Roman" w:hAnsi="Times New Roman"/>
                <w:snapToGrid w:val="0"/>
                <w:sz w:val="21"/>
                <w:szCs w:val="21"/>
                <w:vertAlign w:val="superscript"/>
              </w:rPr>
              <w:t>5</w:t>
            </w:r>
          </w:p>
        </w:tc>
        <w:tc>
          <w:tcPr>
            <w:tcW w:w="984" w:type="pct"/>
            <w:vMerge w:val="continue"/>
            <w:vAlign w:val="center"/>
          </w:tcPr>
          <w:p>
            <w:pPr>
              <w:rPr>
                <w:rFonts w:ascii="Times New Roman" w:hAnsi="Times New Roman"/>
                <w:snapToGrid w:val="0"/>
                <w:sz w:val="21"/>
                <w:szCs w:val="21"/>
              </w:rPr>
            </w:pPr>
          </w:p>
        </w:tc>
        <w:tc>
          <w:tcPr>
            <w:tcW w:w="985" w:type="pct"/>
            <w:vMerge w:val="continue"/>
            <w:vAlign w:val="center"/>
          </w:tcPr>
          <w:p>
            <w:pPr>
              <w:rPr>
                <w:rFonts w:ascii="Times New Roman" w:hAnsi="Times New Roman"/>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971" w:type="pct"/>
            <w:vMerge w:val="restart"/>
            <w:vAlign w:val="center"/>
          </w:tcPr>
          <w:p>
            <w:pPr>
              <w:rPr>
                <w:rFonts w:ascii="Times New Roman" w:hAnsi="Times New Roman"/>
                <w:snapToGrid w:val="0"/>
                <w:sz w:val="21"/>
                <w:szCs w:val="21"/>
              </w:rPr>
            </w:pPr>
            <w:r>
              <w:rPr>
                <w:rFonts w:ascii="Times New Roman" w:hAnsi="Times New Roman"/>
                <w:snapToGrid w:val="0"/>
                <w:sz w:val="21"/>
                <w:szCs w:val="21"/>
              </w:rPr>
              <w:t>蜂窝铝板</w:t>
            </w:r>
          </w:p>
        </w:tc>
        <w:tc>
          <w:tcPr>
            <w:tcW w:w="580" w:type="pct"/>
            <w:vAlign w:val="center"/>
          </w:tcPr>
          <w:p>
            <w:pPr>
              <w:rPr>
                <w:rFonts w:ascii="Times New Roman" w:hAnsi="Times New Roman"/>
                <w:snapToGrid w:val="0"/>
                <w:sz w:val="21"/>
                <w:szCs w:val="21"/>
              </w:rPr>
            </w:pPr>
            <w:r>
              <w:rPr>
                <w:rFonts w:ascii="Times New Roman" w:hAnsi="Times New Roman"/>
                <w:snapToGrid w:val="0"/>
                <w:sz w:val="21"/>
                <w:szCs w:val="21"/>
              </w:rPr>
              <w:t>10mm</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0.35×10</w:t>
            </w:r>
            <w:r>
              <w:rPr>
                <w:rFonts w:ascii="Times New Roman" w:hAnsi="Times New Roman"/>
                <w:snapToGrid w:val="0"/>
                <w:sz w:val="21"/>
                <w:szCs w:val="21"/>
                <w:vertAlign w:val="superscript"/>
              </w:rPr>
              <w:t>5</w:t>
            </w:r>
          </w:p>
        </w:tc>
        <w:tc>
          <w:tcPr>
            <w:tcW w:w="984" w:type="pct"/>
            <w:vMerge w:val="restart"/>
            <w:vAlign w:val="center"/>
          </w:tcPr>
          <w:p>
            <w:pPr>
              <w:rPr>
                <w:rFonts w:ascii="Times New Roman" w:hAnsi="Times New Roman"/>
                <w:snapToGrid w:val="0"/>
                <w:sz w:val="21"/>
                <w:szCs w:val="21"/>
              </w:rPr>
            </w:pPr>
            <w:r>
              <w:rPr>
                <w:rFonts w:ascii="Times New Roman" w:hAnsi="Times New Roman"/>
                <w:snapToGrid w:val="0"/>
                <w:sz w:val="21"/>
                <w:szCs w:val="21"/>
              </w:rPr>
              <w:t>0.250</w:t>
            </w:r>
          </w:p>
        </w:tc>
        <w:tc>
          <w:tcPr>
            <w:tcW w:w="985" w:type="pct"/>
            <w:vMerge w:val="restart"/>
            <w:vAlign w:val="center"/>
          </w:tcPr>
          <w:p>
            <w:pPr>
              <w:rPr>
                <w:rFonts w:ascii="Times New Roman" w:hAnsi="Times New Roman"/>
                <w:snapToGrid w:val="0"/>
                <w:sz w:val="21"/>
                <w:szCs w:val="21"/>
              </w:rPr>
            </w:pPr>
            <w:r>
              <w:rPr>
                <w:rFonts w:ascii="Times New Roman" w:hAnsi="Times New Roman"/>
                <w:snapToGrid w:val="0"/>
                <w:sz w:val="21"/>
                <w:szCs w:val="21"/>
              </w:rPr>
              <w:t>2.40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8" w:hRule="atLeast"/>
          <w:jc w:val="center"/>
        </w:trPr>
        <w:tc>
          <w:tcPr>
            <w:tcW w:w="971" w:type="pct"/>
            <w:vMerge w:val="continue"/>
            <w:vAlign w:val="center"/>
          </w:tcPr>
          <w:p>
            <w:pPr>
              <w:rPr>
                <w:rFonts w:ascii="Times New Roman" w:hAnsi="Times New Roman"/>
                <w:snapToGrid w:val="0"/>
                <w:sz w:val="21"/>
                <w:szCs w:val="21"/>
              </w:rPr>
            </w:pPr>
          </w:p>
        </w:tc>
        <w:tc>
          <w:tcPr>
            <w:tcW w:w="580" w:type="pct"/>
            <w:vAlign w:val="center"/>
          </w:tcPr>
          <w:p>
            <w:pPr>
              <w:rPr>
                <w:rFonts w:ascii="Times New Roman" w:hAnsi="Times New Roman"/>
                <w:snapToGrid w:val="0"/>
                <w:sz w:val="21"/>
                <w:szCs w:val="21"/>
              </w:rPr>
            </w:pPr>
            <w:r>
              <w:rPr>
                <w:rFonts w:ascii="Times New Roman" w:hAnsi="Times New Roman"/>
                <w:snapToGrid w:val="0"/>
                <w:sz w:val="21"/>
                <w:szCs w:val="21"/>
              </w:rPr>
              <w:t>15mm</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0.27×10</w:t>
            </w:r>
            <w:r>
              <w:rPr>
                <w:rFonts w:ascii="Times New Roman" w:hAnsi="Times New Roman"/>
                <w:snapToGrid w:val="0"/>
                <w:sz w:val="21"/>
                <w:szCs w:val="21"/>
                <w:vertAlign w:val="superscript"/>
              </w:rPr>
              <w:t>5</w:t>
            </w:r>
          </w:p>
        </w:tc>
        <w:tc>
          <w:tcPr>
            <w:tcW w:w="984" w:type="pct"/>
            <w:vMerge w:val="continue"/>
            <w:vAlign w:val="center"/>
          </w:tcPr>
          <w:p>
            <w:pPr>
              <w:rPr>
                <w:rFonts w:ascii="Times New Roman" w:hAnsi="Times New Roman"/>
                <w:snapToGrid w:val="0"/>
                <w:sz w:val="21"/>
                <w:szCs w:val="21"/>
              </w:rPr>
            </w:pPr>
          </w:p>
        </w:tc>
        <w:tc>
          <w:tcPr>
            <w:tcW w:w="985" w:type="pct"/>
            <w:vMerge w:val="continue"/>
            <w:vAlign w:val="center"/>
          </w:tcPr>
          <w:p>
            <w:pPr>
              <w:rPr>
                <w:rFonts w:ascii="Times New Roman" w:hAnsi="Times New Roman"/>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971" w:type="pct"/>
            <w:vMerge w:val="continue"/>
            <w:vAlign w:val="center"/>
          </w:tcPr>
          <w:p>
            <w:pPr>
              <w:rPr>
                <w:rFonts w:ascii="Times New Roman" w:hAnsi="Times New Roman"/>
                <w:snapToGrid w:val="0"/>
                <w:sz w:val="21"/>
                <w:szCs w:val="21"/>
              </w:rPr>
            </w:pPr>
          </w:p>
        </w:tc>
        <w:tc>
          <w:tcPr>
            <w:tcW w:w="580" w:type="pct"/>
            <w:vAlign w:val="center"/>
          </w:tcPr>
          <w:p>
            <w:pPr>
              <w:rPr>
                <w:rFonts w:ascii="Times New Roman" w:hAnsi="Times New Roman"/>
                <w:snapToGrid w:val="0"/>
                <w:sz w:val="21"/>
                <w:szCs w:val="21"/>
              </w:rPr>
            </w:pPr>
            <w:r>
              <w:rPr>
                <w:rFonts w:ascii="Times New Roman" w:hAnsi="Times New Roman"/>
                <w:snapToGrid w:val="0"/>
                <w:sz w:val="21"/>
                <w:szCs w:val="21"/>
              </w:rPr>
              <w:t>20mm</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0.21×10</w:t>
            </w:r>
            <w:r>
              <w:rPr>
                <w:rFonts w:ascii="Times New Roman" w:hAnsi="Times New Roman"/>
                <w:snapToGrid w:val="0"/>
                <w:sz w:val="21"/>
                <w:szCs w:val="21"/>
                <w:vertAlign w:val="superscript"/>
              </w:rPr>
              <w:t>5</w:t>
            </w:r>
          </w:p>
        </w:tc>
        <w:tc>
          <w:tcPr>
            <w:tcW w:w="984" w:type="pct"/>
            <w:vMerge w:val="continue"/>
            <w:vAlign w:val="center"/>
          </w:tcPr>
          <w:p>
            <w:pPr>
              <w:rPr>
                <w:rFonts w:ascii="Times New Roman" w:hAnsi="Times New Roman"/>
                <w:snapToGrid w:val="0"/>
                <w:sz w:val="21"/>
                <w:szCs w:val="21"/>
              </w:rPr>
            </w:pPr>
          </w:p>
        </w:tc>
        <w:tc>
          <w:tcPr>
            <w:tcW w:w="985" w:type="pct"/>
            <w:vMerge w:val="continue"/>
            <w:vAlign w:val="center"/>
          </w:tcPr>
          <w:p>
            <w:pPr>
              <w:rPr>
                <w:rFonts w:ascii="Times New Roman" w:hAnsi="Times New Roman"/>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971" w:type="pct"/>
            <w:vMerge w:val="restart"/>
            <w:vAlign w:val="center"/>
          </w:tcPr>
          <w:p>
            <w:pPr>
              <w:rPr>
                <w:rFonts w:ascii="Times New Roman" w:hAnsi="Times New Roman"/>
                <w:snapToGrid w:val="0"/>
                <w:sz w:val="21"/>
                <w:szCs w:val="21"/>
              </w:rPr>
            </w:pPr>
            <w:r>
              <w:rPr>
                <w:rFonts w:hint="eastAsia" w:ascii="Times New Roman" w:hAnsi="Times New Roman"/>
                <w:snapToGrid w:val="0"/>
                <w:sz w:val="21"/>
                <w:szCs w:val="21"/>
              </w:rPr>
              <w:t>搪瓷板</w:t>
            </w:r>
          </w:p>
        </w:tc>
        <w:tc>
          <w:tcPr>
            <w:tcW w:w="580" w:type="pct"/>
            <w:vAlign w:val="center"/>
          </w:tcPr>
          <w:p>
            <w:pPr>
              <w:rPr>
                <w:rFonts w:ascii="Times New Roman" w:hAnsi="Times New Roman"/>
                <w:snapToGrid w:val="0"/>
                <w:sz w:val="21"/>
                <w:szCs w:val="21"/>
              </w:rPr>
            </w:pPr>
            <w:r>
              <w:rPr>
                <w:rFonts w:hint="eastAsia" w:ascii="Times New Roman" w:hAnsi="Times New Roman"/>
                <w:snapToGrid w:val="0"/>
                <w:sz w:val="21"/>
                <w:szCs w:val="21"/>
              </w:rPr>
              <w:t>单体</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2.06×10</w:t>
            </w:r>
            <w:r>
              <w:rPr>
                <w:rFonts w:ascii="Times New Roman" w:hAnsi="Times New Roman"/>
                <w:snapToGrid w:val="0"/>
                <w:sz w:val="21"/>
                <w:szCs w:val="21"/>
                <w:vertAlign w:val="superscript"/>
              </w:rPr>
              <w:t>5</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0.300</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1.20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971" w:type="pct"/>
            <w:vMerge w:val="continue"/>
            <w:vAlign w:val="center"/>
          </w:tcPr>
          <w:p>
            <w:pPr>
              <w:rPr>
                <w:rFonts w:ascii="Times New Roman" w:hAnsi="Times New Roman"/>
                <w:snapToGrid w:val="0"/>
                <w:sz w:val="21"/>
                <w:szCs w:val="21"/>
              </w:rPr>
            </w:pPr>
          </w:p>
        </w:tc>
        <w:tc>
          <w:tcPr>
            <w:tcW w:w="580" w:type="pct"/>
            <w:vAlign w:val="center"/>
          </w:tcPr>
          <w:p>
            <w:pPr>
              <w:rPr>
                <w:rFonts w:ascii="Times New Roman" w:hAnsi="Times New Roman"/>
                <w:snapToGrid w:val="0"/>
                <w:sz w:val="21"/>
                <w:szCs w:val="21"/>
              </w:rPr>
            </w:pPr>
            <w:r>
              <w:rPr>
                <w:rFonts w:hint="eastAsia" w:ascii="Times New Roman" w:hAnsi="Times New Roman"/>
                <w:snapToGrid w:val="0"/>
                <w:sz w:val="21"/>
                <w:szCs w:val="21"/>
              </w:rPr>
              <w:t>复合</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1.20×10</w:t>
            </w:r>
            <w:r>
              <w:rPr>
                <w:rFonts w:ascii="Times New Roman" w:hAnsi="Times New Roman"/>
                <w:snapToGrid w:val="0"/>
                <w:sz w:val="21"/>
                <w:szCs w:val="21"/>
                <w:vertAlign w:val="superscript"/>
              </w:rPr>
              <w:t>5</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0.250</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0.90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1552" w:type="pct"/>
            <w:gridSpan w:val="2"/>
            <w:vAlign w:val="center"/>
          </w:tcPr>
          <w:p>
            <w:pPr>
              <w:rPr>
                <w:rFonts w:ascii="Times New Roman" w:hAnsi="Times New Roman"/>
                <w:snapToGrid w:val="0"/>
                <w:sz w:val="21"/>
                <w:szCs w:val="21"/>
              </w:rPr>
            </w:pPr>
            <w:r>
              <w:rPr>
                <w:rFonts w:ascii="Times New Roman" w:hAnsi="Times New Roman"/>
                <w:snapToGrid w:val="0"/>
                <w:sz w:val="21"/>
                <w:szCs w:val="21"/>
              </w:rPr>
              <w:t>花岗石板</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0.80×10</w:t>
            </w:r>
            <w:r>
              <w:rPr>
                <w:rFonts w:ascii="Times New Roman" w:hAnsi="Times New Roman"/>
                <w:snapToGrid w:val="0"/>
                <w:sz w:val="21"/>
                <w:szCs w:val="21"/>
                <w:vertAlign w:val="superscript"/>
              </w:rPr>
              <w:t>5</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0.125</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0.80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z w:val="21"/>
                <w:szCs w:val="21"/>
              </w:rPr>
            </w:pPr>
            <w:r>
              <w:rPr>
                <w:rFonts w:hint="eastAsia" w:ascii="Times New Roman" w:hAnsi="Times New Roman"/>
                <w:sz w:val="21"/>
                <w:szCs w:val="21"/>
              </w:rPr>
              <w:t>陶板</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0.20×10</w:t>
            </w:r>
            <w:r>
              <w:rPr>
                <w:rFonts w:ascii="Times New Roman" w:hAnsi="Times New Roman"/>
                <w:snapToGrid w:val="0"/>
                <w:sz w:val="21"/>
                <w:szCs w:val="21"/>
                <w:vertAlign w:val="superscript"/>
              </w:rPr>
              <w:t>5</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0.130</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0.70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z w:val="21"/>
                <w:szCs w:val="21"/>
              </w:rPr>
            </w:pPr>
            <w:r>
              <w:rPr>
                <w:rFonts w:hint="eastAsia" w:ascii="Times New Roman" w:hAnsi="Times New Roman"/>
                <w:sz w:val="21"/>
                <w:szCs w:val="21"/>
              </w:rPr>
              <w:t>微晶玻璃</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0.81×10</w:t>
            </w:r>
            <w:r>
              <w:rPr>
                <w:rFonts w:ascii="Times New Roman" w:hAnsi="Times New Roman"/>
                <w:snapToGrid w:val="0"/>
                <w:sz w:val="21"/>
                <w:szCs w:val="21"/>
                <w:vertAlign w:val="superscript"/>
              </w:rPr>
              <w:t>5</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0.200</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0.61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z w:val="21"/>
                <w:szCs w:val="21"/>
              </w:rPr>
            </w:pPr>
            <w:r>
              <w:rPr>
                <w:rFonts w:hint="eastAsia" w:ascii="Times New Roman" w:hAnsi="Times New Roman"/>
                <w:sz w:val="21"/>
                <w:szCs w:val="21"/>
              </w:rPr>
              <w:t>瓷板</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0.60×10</w:t>
            </w:r>
            <w:r>
              <w:rPr>
                <w:rFonts w:ascii="Times New Roman" w:hAnsi="Times New Roman"/>
                <w:snapToGrid w:val="0"/>
                <w:sz w:val="21"/>
                <w:szCs w:val="21"/>
                <w:vertAlign w:val="superscript"/>
              </w:rPr>
              <w:t>5</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0.250</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0.60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z w:val="21"/>
                <w:szCs w:val="21"/>
              </w:rPr>
            </w:pPr>
            <w:r>
              <w:rPr>
                <w:rFonts w:hint="eastAsia" w:ascii="Times New Roman" w:hAnsi="Times New Roman"/>
                <w:sz w:val="21"/>
                <w:szCs w:val="21"/>
              </w:rPr>
              <w:t>木纤维板</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0.09×10</w:t>
            </w:r>
            <w:r>
              <w:rPr>
                <w:rFonts w:ascii="Times New Roman" w:hAnsi="Times New Roman"/>
                <w:snapToGrid w:val="0"/>
                <w:sz w:val="21"/>
                <w:szCs w:val="21"/>
                <w:vertAlign w:val="superscript"/>
              </w:rPr>
              <w:t>5</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0.300</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2.20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z w:val="21"/>
                <w:szCs w:val="21"/>
              </w:rPr>
            </w:pPr>
            <w:r>
              <w:rPr>
                <w:rFonts w:hint="eastAsia" w:ascii="Times New Roman" w:hAnsi="Times New Roman"/>
                <w:sz w:val="21"/>
                <w:szCs w:val="21"/>
              </w:rPr>
              <w:t>纤维水泥板</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0.14×10</w:t>
            </w:r>
            <w:r>
              <w:rPr>
                <w:rFonts w:ascii="Times New Roman" w:hAnsi="Times New Roman"/>
                <w:snapToGrid w:val="0"/>
                <w:sz w:val="21"/>
                <w:szCs w:val="21"/>
                <w:vertAlign w:val="superscript"/>
              </w:rPr>
              <w:t>5</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0.250</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z w:val="21"/>
                <w:szCs w:val="21"/>
              </w:rPr>
            </w:pPr>
            <w:r>
              <w:rPr>
                <w:rFonts w:hint="eastAsia" w:ascii="Times New Roman" w:hAnsi="Times New Roman"/>
                <w:sz w:val="21"/>
                <w:szCs w:val="21"/>
              </w:rPr>
              <w:t>玻璃纤维增强水泥（</w:t>
            </w:r>
            <w:r>
              <w:rPr>
                <w:rFonts w:ascii="Times New Roman" w:hAnsi="Times New Roman"/>
                <w:sz w:val="21"/>
                <w:szCs w:val="21"/>
              </w:rPr>
              <w:t>GRC</w:t>
            </w:r>
            <w:r>
              <w:rPr>
                <w:rFonts w:hint="eastAsia" w:ascii="Times New Roman" w:hAnsi="Times New Roman"/>
                <w:sz w:val="21"/>
                <w:szCs w:val="21"/>
              </w:rPr>
              <w:t>）外墙板</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0.20×10</w:t>
            </w:r>
            <w:r>
              <w:rPr>
                <w:rFonts w:ascii="Times New Roman" w:hAnsi="Times New Roman"/>
                <w:snapToGrid w:val="0"/>
                <w:sz w:val="21"/>
                <w:szCs w:val="21"/>
                <w:vertAlign w:val="superscript"/>
              </w:rPr>
              <w:t>5</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0.240</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1.0～1.5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napToGrid w:val="0"/>
                <w:sz w:val="21"/>
                <w:szCs w:val="21"/>
              </w:rPr>
            </w:pPr>
            <w:r>
              <w:rPr>
                <w:rFonts w:hint="eastAsia" w:ascii="Times New Roman" w:hAnsi="Times New Roman"/>
                <w:sz w:val="21"/>
                <w:szCs w:val="21"/>
              </w:rPr>
              <w:t>聚碳酸酯板</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2200</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0.38</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6.5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napToGrid w:val="0"/>
                <w:sz w:val="21"/>
                <w:szCs w:val="21"/>
              </w:rPr>
            </w:pPr>
            <w:r>
              <w:rPr>
                <w:rFonts w:ascii="Times New Roman" w:hAnsi="Times New Roman"/>
                <w:snapToGrid w:val="0"/>
                <w:sz w:val="21"/>
                <w:szCs w:val="21"/>
              </w:rPr>
              <w:t>E</w:t>
            </w:r>
            <w:r>
              <w:rPr>
                <w:rFonts w:hint="eastAsia" w:ascii="Times New Roman" w:hAnsi="Times New Roman"/>
                <w:snapToGrid w:val="0"/>
                <w:sz w:val="21"/>
                <w:szCs w:val="21"/>
              </w:rPr>
              <w:t>类膜材</w:t>
            </w:r>
          </w:p>
        </w:tc>
        <w:tc>
          <w:tcPr>
            <w:tcW w:w="1476" w:type="pct"/>
            <w:vAlign w:val="center"/>
          </w:tcPr>
          <w:p>
            <w:pPr>
              <w:rPr>
                <w:rFonts w:ascii="Times New Roman" w:hAnsi="Times New Roman"/>
                <w:snapToGrid w:val="0"/>
                <w:sz w:val="21"/>
                <w:szCs w:val="21"/>
              </w:rPr>
            </w:pPr>
            <w:r>
              <w:rPr>
                <w:rFonts w:ascii="Times New Roman" w:hAnsi="Times New Roman"/>
                <w:snapToGrid w:val="0"/>
                <w:sz w:val="21"/>
                <w:szCs w:val="21"/>
              </w:rPr>
              <w:t>650</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0.42</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napToGrid w:val="0"/>
                <w:sz w:val="21"/>
                <w:szCs w:val="21"/>
              </w:rPr>
            </w:pPr>
            <w:r>
              <w:rPr>
                <w:rFonts w:ascii="Times New Roman" w:hAnsi="Times New Roman"/>
                <w:snapToGrid w:val="0"/>
                <w:sz w:val="21"/>
                <w:szCs w:val="21"/>
              </w:rPr>
              <w:t>G</w:t>
            </w:r>
            <w:r>
              <w:rPr>
                <w:rFonts w:hint="eastAsia" w:ascii="Times New Roman" w:hAnsi="Times New Roman"/>
                <w:snapToGrid w:val="0"/>
                <w:sz w:val="21"/>
                <w:szCs w:val="21"/>
              </w:rPr>
              <w:t>类膜材</w:t>
            </w:r>
          </w:p>
        </w:tc>
        <w:tc>
          <w:tcPr>
            <w:tcW w:w="1476" w:type="pct"/>
            <w:vAlign w:val="center"/>
          </w:tcPr>
          <w:p>
            <w:pPr>
              <w:rPr>
                <w:rFonts w:ascii="Times New Roman" w:hAnsi="Times New Roman"/>
                <w:snapToGrid w:val="0"/>
                <w:sz w:val="21"/>
                <w:szCs w:val="21"/>
              </w:rPr>
            </w:pPr>
            <w:r>
              <w:rPr>
                <w:rFonts w:hint="eastAsia" w:ascii="Times New Roman" w:hAnsi="Times New Roman"/>
                <w:snapToGrid w:val="0"/>
                <w:sz w:val="21"/>
                <w:szCs w:val="21"/>
              </w:rPr>
              <w:t>经向</w:t>
            </w:r>
            <w:r>
              <w:rPr>
                <w:rFonts w:ascii="Times New Roman" w:hAnsi="Times New Roman"/>
                <w:snapToGrid w:val="0"/>
                <w:sz w:val="21"/>
                <w:szCs w:val="21"/>
              </w:rPr>
              <w:t>1400/</w:t>
            </w:r>
            <w:r>
              <w:rPr>
                <w:rFonts w:hint="eastAsia" w:ascii="Times New Roman" w:hAnsi="Times New Roman"/>
                <w:snapToGrid w:val="0"/>
                <w:sz w:val="21"/>
                <w:szCs w:val="21"/>
              </w:rPr>
              <w:t>纬向</w:t>
            </w:r>
            <w:r>
              <w:rPr>
                <w:rFonts w:ascii="Times New Roman" w:hAnsi="Times New Roman"/>
                <w:snapToGrid w:val="0"/>
                <w:sz w:val="21"/>
                <w:szCs w:val="21"/>
              </w:rPr>
              <w:t>600</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napToGrid w:val="0"/>
                <w:sz w:val="21"/>
                <w:szCs w:val="21"/>
              </w:rPr>
            </w:pPr>
            <w:r>
              <w:rPr>
                <w:rFonts w:ascii="Times New Roman" w:hAnsi="Times New Roman"/>
                <w:snapToGrid w:val="0"/>
                <w:sz w:val="21"/>
                <w:szCs w:val="21"/>
              </w:rPr>
              <w:t>P</w:t>
            </w:r>
            <w:r>
              <w:rPr>
                <w:rFonts w:hint="eastAsia" w:ascii="Times New Roman" w:hAnsi="Times New Roman"/>
                <w:snapToGrid w:val="0"/>
                <w:sz w:val="21"/>
                <w:szCs w:val="21"/>
              </w:rPr>
              <w:t>类膜材</w:t>
            </w:r>
          </w:p>
        </w:tc>
        <w:tc>
          <w:tcPr>
            <w:tcW w:w="1476" w:type="pct"/>
            <w:vAlign w:val="center"/>
          </w:tcPr>
          <w:p>
            <w:pPr>
              <w:rPr>
                <w:rFonts w:ascii="Times New Roman" w:hAnsi="Times New Roman"/>
                <w:snapToGrid w:val="0"/>
                <w:sz w:val="21"/>
                <w:szCs w:val="21"/>
              </w:rPr>
            </w:pPr>
            <w:r>
              <w:rPr>
                <w:rFonts w:hint="eastAsia" w:ascii="Times New Roman" w:hAnsi="Times New Roman"/>
                <w:snapToGrid w:val="0"/>
                <w:sz w:val="21"/>
                <w:szCs w:val="21"/>
              </w:rPr>
              <w:t>经向</w:t>
            </w:r>
            <w:r>
              <w:rPr>
                <w:rFonts w:ascii="Times New Roman" w:hAnsi="Times New Roman"/>
                <w:snapToGrid w:val="0"/>
                <w:sz w:val="21"/>
                <w:szCs w:val="21"/>
              </w:rPr>
              <w:t>1000/</w:t>
            </w:r>
            <w:r>
              <w:rPr>
                <w:rFonts w:hint="eastAsia" w:ascii="Times New Roman" w:hAnsi="Times New Roman"/>
                <w:snapToGrid w:val="0"/>
                <w:sz w:val="21"/>
                <w:szCs w:val="21"/>
              </w:rPr>
              <w:t>纬向</w:t>
            </w:r>
            <w:r>
              <w:rPr>
                <w:rFonts w:ascii="Times New Roman" w:hAnsi="Times New Roman"/>
                <w:snapToGrid w:val="0"/>
                <w:sz w:val="21"/>
                <w:szCs w:val="21"/>
              </w:rPr>
              <w:t>400</w:t>
            </w:r>
          </w:p>
        </w:tc>
        <w:tc>
          <w:tcPr>
            <w:tcW w:w="984" w:type="pct"/>
            <w:vAlign w:val="center"/>
          </w:tcPr>
          <w:p>
            <w:pPr>
              <w:rPr>
                <w:rFonts w:ascii="Times New Roman" w:hAnsi="Times New Roman"/>
                <w:snapToGrid w:val="0"/>
                <w:sz w:val="21"/>
                <w:szCs w:val="21"/>
              </w:rPr>
            </w:pPr>
            <w:r>
              <w:rPr>
                <w:rFonts w:ascii="Times New Roman" w:hAnsi="Times New Roman"/>
                <w:snapToGrid w:val="0"/>
                <w:sz w:val="21"/>
                <w:szCs w:val="21"/>
              </w:rPr>
              <w:t>/</w:t>
            </w:r>
          </w:p>
        </w:tc>
        <w:tc>
          <w:tcPr>
            <w:tcW w:w="985" w:type="pct"/>
            <w:vAlign w:val="center"/>
          </w:tcPr>
          <w:p>
            <w:pPr>
              <w:rPr>
                <w:rFonts w:ascii="Times New Roman" w:hAnsi="Times New Roman"/>
                <w:snapToGrid w:val="0"/>
                <w:sz w:val="21"/>
                <w:szCs w:val="21"/>
              </w:rPr>
            </w:pPr>
            <w:r>
              <w:rPr>
                <w:rFonts w:ascii="Times New Roman" w:hAnsi="Times New Roman"/>
                <w:snapToGrid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2" w:type="pct"/>
            <w:gridSpan w:val="2"/>
            <w:vAlign w:val="center"/>
          </w:tcPr>
          <w:p>
            <w:pPr>
              <w:rPr>
                <w:rFonts w:ascii="Times New Roman" w:hAnsi="Times New Roman"/>
                <w:snapToGrid w:val="0"/>
                <w:sz w:val="21"/>
                <w:szCs w:val="21"/>
              </w:rPr>
            </w:pPr>
            <w:r>
              <w:rPr>
                <w:rFonts w:hint="eastAsia" w:ascii="Times New Roman" w:hAnsi="Times New Roman"/>
                <w:snapToGrid w:val="0"/>
                <w:sz w:val="21"/>
                <w:szCs w:val="21"/>
              </w:rPr>
              <w:t>铝镁锰板</w:t>
            </w:r>
          </w:p>
        </w:tc>
        <w:tc>
          <w:tcPr>
            <w:tcW w:w="1476" w:type="pct"/>
            <w:vAlign w:val="center"/>
          </w:tcPr>
          <w:p>
            <w:pPr>
              <w:rPr>
                <w:rFonts w:ascii="Times New Roman" w:hAnsi="Times New Roman"/>
                <w:snapToGrid w:val="0"/>
                <w:sz w:val="21"/>
                <w:szCs w:val="21"/>
              </w:rPr>
            </w:pPr>
          </w:p>
        </w:tc>
        <w:tc>
          <w:tcPr>
            <w:tcW w:w="984" w:type="pct"/>
            <w:vAlign w:val="center"/>
          </w:tcPr>
          <w:p>
            <w:pPr>
              <w:rPr>
                <w:rFonts w:ascii="Times New Roman" w:hAnsi="Times New Roman"/>
                <w:snapToGrid w:val="0"/>
                <w:sz w:val="21"/>
                <w:szCs w:val="21"/>
              </w:rPr>
            </w:pPr>
          </w:p>
        </w:tc>
        <w:tc>
          <w:tcPr>
            <w:tcW w:w="985" w:type="pct"/>
            <w:vAlign w:val="center"/>
          </w:tcPr>
          <w:p>
            <w:pPr>
              <w:rPr>
                <w:rFonts w:ascii="Times New Roman" w:hAnsi="Times New Roman"/>
                <w:snapToGrid w:val="0"/>
                <w:sz w:val="21"/>
                <w:szCs w:val="21"/>
              </w:rPr>
            </w:pPr>
          </w:p>
        </w:tc>
      </w:tr>
    </w:tbl>
    <w:p>
      <w:pPr>
        <w:pStyle w:val="189"/>
        <w:rPr>
          <w:b/>
        </w:rPr>
      </w:pPr>
    </w:p>
    <w:p>
      <w:pPr>
        <w:pStyle w:val="189"/>
      </w:pPr>
      <w:r>
        <w:rPr>
          <w:rFonts w:hint="eastAsia"/>
          <w:b/>
        </w:rPr>
        <w:t>3.</w:t>
      </w:r>
      <w:r>
        <w:rPr>
          <w:b/>
        </w:rPr>
        <w:t>3.2</w:t>
      </w:r>
      <w:r>
        <w:rPr>
          <w:rFonts w:hint="eastAsia"/>
          <w:b/>
        </w:rPr>
        <w:t xml:space="preserve"> </w:t>
      </w:r>
      <w:r>
        <w:t>建筑幕墙常用材料的重力密度标准值可按表</w:t>
      </w:r>
      <w:r>
        <w:rPr>
          <w:rFonts w:hint="eastAsia"/>
        </w:rPr>
        <w:t>3</w:t>
      </w:r>
      <w:r>
        <w:t>.3.2的规定采用。</w:t>
      </w:r>
    </w:p>
    <w:p>
      <w:pPr>
        <w:pStyle w:val="186"/>
        <w:rPr>
          <w:rFonts w:ascii="Times New Roman" w:hAnsi="Times New Roman" w:eastAsia="黑体"/>
          <w:snapToGrid w:val="0"/>
        </w:rPr>
      </w:pPr>
      <w:r>
        <w:rPr>
          <w:rFonts w:ascii="Times New Roman" w:hAnsi="Times New Roman" w:eastAsia="黑体"/>
          <w:snapToGrid w:val="0"/>
        </w:rPr>
        <w:t>表3.3.2  材料的重力密度（kN/m</w:t>
      </w:r>
      <w:r>
        <w:rPr>
          <w:rFonts w:ascii="Times New Roman" w:hAnsi="Times New Roman" w:eastAsia="黑体"/>
          <w:snapToGrid w:val="0"/>
          <w:vertAlign w:val="superscript"/>
        </w:rPr>
        <w:t>3</w:t>
      </w:r>
      <w:r>
        <w:rPr>
          <w:rFonts w:ascii="Times New Roman" w:hAnsi="Times New Roman" w:eastAsia="黑体"/>
          <w:snapToGrid w:val="0"/>
        </w:rPr>
        <w:t>）</w:t>
      </w:r>
    </w:p>
    <w:tbl>
      <w:tblPr>
        <w:tblStyle w:val="37"/>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10"/>
        <w:gridCol w:w="46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blHeader/>
        </w:trPr>
        <w:tc>
          <w:tcPr>
            <w:tcW w:w="2482" w:type="pct"/>
            <w:vAlign w:val="center"/>
          </w:tcPr>
          <w:p>
            <w:pPr>
              <w:pStyle w:val="191"/>
              <w:rPr>
                <w:sz w:val="21"/>
              </w:rPr>
            </w:pPr>
            <w:r>
              <w:rPr>
                <w:sz w:val="21"/>
              </w:rPr>
              <w:t>材    料</w:t>
            </w:r>
          </w:p>
        </w:tc>
        <w:tc>
          <w:tcPr>
            <w:tcW w:w="2518" w:type="pct"/>
            <w:vAlign w:val="center"/>
          </w:tcPr>
          <w:p>
            <w:pPr>
              <w:pStyle w:val="191"/>
              <w:rPr>
                <w:sz w:val="21"/>
              </w:rPr>
            </w:pPr>
            <w:r>
              <w:rPr>
                <w:sz w:val="21"/>
              </w:rPr>
              <w:object>
                <v:shape id="_x0000_i1027" o:spt="75" type="#_x0000_t75" style="height:18.6pt;width:12.6pt;" o:ole="t" fillcolor="#FFFFFF"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2482" w:type="pct"/>
            <w:vAlign w:val="center"/>
          </w:tcPr>
          <w:p>
            <w:pPr>
              <w:pStyle w:val="191"/>
              <w:rPr>
                <w:sz w:val="21"/>
              </w:rPr>
            </w:pPr>
            <w:r>
              <w:rPr>
                <w:sz w:val="21"/>
              </w:rPr>
              <w:t>玻璃</w:t>
            </w:r>
          </w:p>
        </w:tc>
        <w:tc>
          <w:tcPr>
            <w:tcW w:w="2518" w:type="pct"/>
            <w:vAlign w:val="center"/>
          </w:tcPr>
          <w:p>
            <w:pPr>
              <w:pStyle w:val="191"/>
              <w:rPr>
                <w:sz w:val="21"/>
              </w:rPr>
            </w:pPr>
            <w:r>
              <w:rPr>
                <w:sz w:val="21"/>
              </w:rPr>
              <w:t>25.6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482" w:type="pct"/>
            <w:vAlign w:val="center"/>
          </w:tcPr>
          <w:p>
            <w:pPr>
              <w:pStyle w:val="191"/>
              <w:rPr>
                <w:sz w:val="21"/>
              </w:rPr>
            </w:pPr>
            <w:r>
              <w:rPr>
                <w:sz w:val="21"/>
              </w:rPr>
              <w:t>钢材</w:t>
            </w:r>
          </w:p>
        </w:tc>
        <w:tc>
          <w:tcPr>
            <w:tcW w:w="2518" w:type="pct"/>
            <w:vAlign w:val="center"/>
          </w:tcPr>
          <w:p>
            <w:pPr>
              <w:pStyle w:val="191"/>
              <w:rPr>
                <w:sz w:val="21"/>
              </w:rPr>
            </w:pPr>
            <w:r>
              <w:rPr>
                <w:sz w:val="21"/>
              </w:rPr>
              <w:t>78.5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482" w:type="pct"/>
            <w:vAlign w:val="center"/>
          </w:tcPr>
          <w:p>
            <w:pPr>
              <w:pStyle w:val="191"/>
              <w:rPr>
                <w:sz w:val="21"/>
              </w:rPr>
            </w:pPr>
            <w:r>
              <w:rPr>
                <w:sz w:val="21"/>
              </w:rPr>
              <w:t>铝合金</w:t>
            </w:r>
          </w:p>
        </w:tc>
        <w:tc>
          <w:tcPr>
            <w:tcW w:w="2518" w:type="pct"/>
            <w:vAlign w:val="center"/>
          </w:tcPr>
          <w:p>
            <w:pPr>
              <w:pStyle w:val="191"/>
              <w:rPr>
                <w:sz w:val="21"/>
              </w:rPr>
            </w:pPr>
            <w:r>
              <w:rPr>
                <w:sz w:val="21"/>
              </w:rPr>
              <w:t>28.0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82" w:type="pct"/>
            <w:vAlign w:val="center"/>
          </w:tcPr>
          <w:p>
            <w:pPr>
              <w:pStyle w:val="191"/>
              <w:rPr>
                <w:sz w:val="21"/>
              </w:rPr>
            </w:pPr>
            <w:r>
              <w:rPr>
                <w:sz w:val="21"/>
              </w:rPr>
              <w:t>矿棉</w:t>
            </w:r>
          </w:p>
        </w:tc>
        <w:tc>
          <w:tcPr>
            <w:tcW w:w="2518" w:type="pct"/>
            <w:vAlign w:val="center"/>
          </w:tcPr>
          <w:p>
            <w:pPr>
              <w:pStyle w:val="191"/>
              <w:rPr>
                <w:sz w:val="21"/>
              </w:rPr>
            </w:pPr>
            <w:r>
              <w:rPr>
                <w:sz w:val="21"/>
              </w:rPr>
              <w:t>1.2～1.5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82" w:type="pct"/>
            <w:vAlign w:val="center"/>
          </w:tcPr>
          <w:p>
            <w:pPr>
              <w:pStyle w:val="191"/>
              <w:rPr>
                <w:sz w:val="21"/>
              </w:rPr>
            </w:pPr>
            <w:r>
              <w:rPr>
                <w:sz w:val="21"/>
              </w:rPr>
              <w:t>玻璃棉</w:t>
            </w:r>
          </w:p>
        </w:tc>
        <w:tc>
          <w:tcPr>
            <w:tcW w:w="2518" w:type="pct"/>
            <w:vAlign w:val="center"/>
          </w:tcPr>
          <w:p>
            <w:pPr>
              <w:pStyle w:val="191"/>
              <w:rPr>
                <w:sz w:val="21"/>
              </w:rPr>
            </w:pPr>
            <w:r>
              <w:rPr>
                <w:sz w:val="21"/>
              </w:rPr>
              <w:t>0.5～1.0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82" w:type="pct"/>
            <w:vAlign w:val="center"/>
          </w:tcPr>
          <w:p>
            <w:pPr>
              <w:pStyle w:val="191"/>
              <w:rPr>
                <w:sz w:val="21"/>
              </w:rPr>
            </w:pPr>
            <w:r>
              <w:rPr>
                <w:sz w:val="21"/>
              </w:rPr>
              <w:t>岩棉</w:t>
            </w:r>
          </w:p>
        </w:tc>
        <w:tc>
          <w:tcPr>
            <w:tcW w:w="2518" w:type="pct"/>
            <w:vAlign w:val="center"/>
          </w:tcPr>
          <w:p>
            <w:pPr>
              <w:pStyle w:val="191"/>
              <w:rPr>
                <w:sz w:val="21"/>
              </w:rPr>
            </w:pPr>
            <w:r>
              <w:rPr>
                <w:sz w:val="21"/>
              </w:rPr>
              <w:t>0.5～2.5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82" w:type="pct"/>
            <w:vAlign w:val="center"/>
          </w:tcPr>
          <w:p>
            <w:pPr>
              <w:pStyle w:val="191"/>
              <w:rPr>
                <w:sz w:val="21"/>
              </w:rPr>
            </w:pPr>
            <w:r>
              <w:rPr>
                <w:sz w:val="21"/>
              </w:rPr>
              <w:t>花岗岩</w:t>
            </w:r>
          </w:p>
        </w:tc>
        <w:tc>
          <w:tcPr>
            <w:tcW w:w="2518" w:type="pct"/>
            <w:vAlign w:val="center"/>
          </w:tcPr>
          <w:p>
            <w:pPr>
              <w:pStyle w:val="191"/>
              <w:rPr>
                <w:sz w:val="21"/>
              </w:rPr>
            </w:pPr>
            <w:r>
              <w:rPr>
                <w:sz w:val="21"/>
              </w:rPr>
              <w:t>28.0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82" w:type="pct"/>
            <w:vAlign w:val="center"/>
          </w:tcPr>
          <w:p>
            <w:pPr>
              <w:pStyle w:val="191"/>
              <w:rPr>
                <w:sz w:val="21"/>
              </w:rPr>
            </w:pPr>
            <w:r>
              <w:rPr>
                <w:rFonts w:hint="eastAsia"/>
                <w:sz w:val="21"/>
              </w:rPr>
              <w:t>石灰岩</w:t>
            </w:r>
          </w:p>
        </w:tc>
        <w:tc>
          <w:tcPr>
            <w:tcW w:w="2518" w:type="pct"/>
            <w:vAlign w:val="center"/>
          </w:tcPr>
          <w:p>
            <w:pPr>
              <w:pStyle w:val="191"/>
              <w:rPr>
                <w:sz w:val="21"/>
              </w:rPr>
            </w:pPr>
            <w:r>
              <w:rPr>
                <w:rFonts w:hint="eastAsia"/>
                <w:sz w:val="21"/>
              </w:rPr>
              <w:t>26.0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82" w:type="pct"/>
            <w:vAlign w:val="center"/>
          </w:tcPr>
          <w:p>
            <w:pPr>
              <w:pStyle w:val="191"/>
              <w:rPr>
                <w:sz w:val="21"/>
              </w:rPr>
            </w:pPr>
            <w:r>
              <w:rPr>
                <w:rFonts w:hint="eastAsia"/>
                <w:sz w:val="21"/>
              </w:rPr>
              <w:t>砂岩</w:t>
            </w:r>
          </w:p>
        </w:tc>
        <w:tc>
          <w:tcPr>
            <w:tcW w:w="2518" w:type="pct"/>
            <w:vAlign w:val="center"/>
          </w:tcPr>
          <w:p>
            <w:pPr>
              <w:pStyle w:val="191"/>
              <w:rPr>
                <w:sz w:val="21"/>
              </w:rPr>
            </w:pPr>
            <w:r>
              <w:rPr>
                <w:rFonts w:hint="eastAsia"/>
                <w:sz w:val="21"/>
              </w:rPr>
              <w:t>24.0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82" w:type="pct"/>
            <w:vAlign w:val="center"/>
          </w:tcPr>
          <w:p>
            <w:pPr>
              <w:pStyle w:val="191"/>
              <w:rPr>
                <w:sz w:val="21"/>
              </w:rPr>
            </w:pPr>
            <w:r>
              <w:rPr>
                <w:rFonts w:hint="eastAsia"/>
                <w:sz w:val="21"/>
              </w:rPr>
              <w:t>陶板</w:t>
            </w:r>
          </w:p>
        </w:tc>
        <w:tc>
          <w:tcPr>
            <w:tcW w:w="2518" w:type="pct"/>
            <w:vAlign w:val="center"/>
          </w:tcPr>
          <w:p>
            <w:pPr>
              <w:pStyle w:val="191"/>
              <w:rPr>
                <w:sz w:val="21"/>
              </w:rPr>
            </w:pPr>
            <w:r>
              <w:rPr>
                <w:rFonts w:hint="eastAsia"/>
                <w:sz w:val="21"/>
              </w:rPr>
              <w:t>20.0</w:t>
            </w:r>
            <w:r>
              <w:rPr>
                <w:sz w:val="21"/>
              </w:rPr>
              <w:t>~</w:t>
            </w:r>
            <w:r>
              <w:rPr>
                <w:rFonts w:hint="eastAsia"/>
                <w:sz w:val="21"/>
              </w:rPr>
              <w:t>24.0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82" w:type="pct"/>
            <w:vAlign w:val="center"/>
          </w:tcPr>
          <w:p>
            <w:pPr>
              <w:pStyle w:val="191"/>
              <w:rPr>
                <w:sz w:val="21"/>
              </w:rPr>
            </w:pPr>
            <w:r>
              <w:rPr>
                <w:rFonts w:hint="eastAsia"/>
                <w:sz w:val="21"/>
              </w:rPr>
              <w:t>微晶玻璃</w:t>
            </w:r>
          </w:p>
        </w:tc>
        <w:tc>
          <w:tcPr>
            <w:tcW w:w="2518" w:type="pct"/>
            <w:vAlign w:val="center"/>
          </w:tcPr>
          <w:p>
            <w:pPr>
              <w:pStyle w:val="191"/>
              <w:rPr>
                <w:sz w:val="21"/>
              </w:rPr>
            </w:pPr>
            <w:r>
              <w:rPr>
                <w:rFonts w:hint="eastAsia"/>
                <w:sz w:val="21"/>
              </w:rPr>
              <w:t>27.0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82" w:type="pct"/>
            <w:vAlign w:val="center"/>
          </w:tcPr>
          <w:p>
            <w:pPr>
              <w:pStyle w:val="191"/>
              <w:rPr>
                <w:sz w:val="21"/>
              </w:rPr>
            </w:pPr>
            <w:r>
              <w:rPr>
                <w:rFonts w:hint="eastAsia"/>
                <w:sz w:val="21"/>
              </w:rPr>
              <w:t>瓷板</w:t>
            </w:r>
          </w:p>
        </w:tc>
        <w:tc>
          <w:tcPr>
            <w:tcW w:w="2518" w:type="pct"/>
            <w:vAlign w:val="center"/>
          </w:tcPr>
          <w:p>
            <w:pPr>
              <w:pStyle w:val="191"/>
              <w:rPr>
                <w:sz w:val="21"/>
              </w:rPr>
            </w:pPr>
            <w:r>
              <w:rPr>
                <w:rFonts w:hint="eastAsia"/>
                <w:sz w:val="21"/>
              </w:rPr>
              <w:t>22.5</w:t>
            </w:r>
            <w:r>
              <w:rPr>
                <w:sz w:val="21"/>
              </w:rPr>
              <w:t>～</w:t>
            </w:r>
            <w:r>
              <w:rPr>
                <w:rFonts w:hint="eastAsia"/>
                <w:sz w:val="21"/>
              </w:rPr>
              <w:t>23.5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82" w:type="pct"/>
            <w:vAlign w:val="center"/>
          </w:tcPr>
          <w:p>
            <w:pPr>
              <w:pStyle w:val="191"/>
              <w:rPr>
                <w:sz w:val="21"/>
              </w:rPr>
            </w:pPr>
            <w:r>
              <w:rPr>
                <w:sz w:val="21"/>
              </w:rPr>
              <w:t>铝蜂窝芯</w:t>
            </w:r>
          </w:p>
        </w:tc>
        <w:tc>
          <w:tcPr>
            <w:tcW w:w="2518" w:type="pct"/>
            <w:vAlign w:val="center"/>
          </w:tcPr>
          <w:p>
            <w:pPr>
              <w:pStyle w:val="191"/>
              <w:rPr>
                <w:sz w:val="21"/>
              </w:rPr>
            </w:pPr>
            <w:r>
              <w:rPr>
                <w:sz w:val="21"/>
              </w:rPr>
              <w:t>0.38~0.39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82" w:type="pct"/>
            <w:vAlign w:val="center"/>
          </w:tcPr>
          <w:p>
            <w:pPr>
              <w:pStyle w:val="191"/>
              <w:rPr>
                <w:sz w:val="21"/>
              </w:rPr>
            </w:pPr>
            <w:r>
              <w:rPr>
                <w:rFonts w:hint="eastAsia"/>
                <w:sz w:val="21"/>
              </w:rPr>
              <w:t>玻璃纤维增强水泥（GRC）外墙板</w:t>
            </w:r>
          </w:p>
        </w:tc>
        <w:tc>
          <w:tcPr>
            <w:tcW w:w="2518" w:type="pct"/>
            <w:vAlign w:val="center"/>
          </w:tcPr>
          <w:p>
            <w:pPr>
              <w:pStyle w:val="191"/>
              <w:rPr>
                <w:sz w:val="21"/>
              </w:rPr>
            </w:pPr>
            <w:r>
              <w:rPr>
                <w:rFonts w:hint="eastAsia"/>
                <w:sz w:val="21"/>
              </w:rPr>
              <w:t>18.0</w:t>
            </w:r>
            <w:r>
              <w:rPr>
                <w:sz w:val="21"/>
              </w:rPr>
              <w:t>～</w:t>
            </w:r>
            <w:r>
              <w:rPr>
                <w:rFonts w:hint="eastAsia"/>
                <w:sz w:val="21"/>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82" w:type="pct"/>
            <w:vAlign w:val="center"/>
          </w:tcPr>
          <w:p>
            <w:pPr>
              <w:pStyle w:val="191"/>
              <w:rPr>
                <w:sz w:val="21"/>
              </w:rPr>
            </w:pPr>
            <w:r>
              <w:rPr>
                <w:rFonts w:hint="eastAsia"/>
                <w:sz w:val="21"/>
              </w:rPr>
              <w:t>纤维水泥板</w:t>
            </w:r>
          </w:p>
        </w:tc>
        <w:tc>
          <w:tcPr>
            <w:tcW w:w="2518" w:type="pct"/>
            <w:vAlign w:val="center"/>
          </w:tcPr>
          <w:p>
            <w:pPr>
              <w:pStyle w:val="191"/>
              <w:rPr>
                <w:sz w:val="21"/>
              </w:rPr>
            </w:pPr>
            <w:r>
              <w:rPr>
                <w:rFonts w:hint="eastAsia"/>
                <w:sz w:val="21"/>
              </w:rPr>
              <w:t>14.7</w:t>
            </w:r>
            <w:r>
              <w:rPr>
                <w:sz w:val="21"/>
              </w:rPr>
              <w:t>～</w:t>
            </w:r>
            <w:r>
              <w:rPr>
                <w:rFonts w:hint="eastAsia"/>
                <w:sz w:val="21"/>
              </w:rPr>
              <w:t>17.6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82" w:type="pct"/>
            <w:vAlign w:val="center"/>
          </w:tcPr>
          <w:p>
            <w:pPr>
              <w:pStyle w:val="191"/>
              <w:rPr>
                <w:sz w:val="21"/>
              </w:rPr>
            </w:pPr>
            <w:r>
              <w:rPr>
                <w:rFonts w:hint="eastAsia"/>
                <w:sz w:val="21"/>
              </w:rPr>
              <w:t>木纤维板</w:t>
            </w:r>
          </w:p>
        </w:tc>
        <w:tc>
          <w:tcPr>
            <w:tcW w:w="2518" w:type="pct"/>
            <w:vAlign w:val="center"/>
          </w:tcPr>
          <w:p>
            <w:pPr>
              <w:pStyle w:val="191"/>
              <w:rPr>
                <w:sz w:val="21"/>
              </w:rPr>
            </w:pPr>
            <w:r>
              <w:rPr>
                <w:rFonts w:hint="eastAsia"/>
                <w:sz w:val="21"/>
              </w:rPr>
              <w:t>12.7</w:t>
            </w:r>
          </w:p>
        </w:tc>
      </w:tr>
    </w:tbl>
    <w:p>
      <w:pPr>
        <w:rPr>
          <w:rFonts w:ascii="Times New Roman" w:hAnsi="Times New Roman"/>
        </w:rPr>
      </w:pPr>
    </w:p>
    <w:p>
      <w:pPr>
        <w:pStyle w:val="189"/>
      </w:pPr>
    </w:p>
    <w:p>
      <w:pPr>
        <w:pStyle w:val="188"/>
        <w:ind w:firstLine="480"/>
      </w:pPr>
    </w:p>
    <w:p>
      <w:pPr>
        <w:rPr>
          <w:rFonts w:ascii="Times New Roman" w:hAnsi="Times New Roman"/>
        </w:rPr>
        <w:sectPr>
          <w:footerReference r:id="rId10" w:type="default"/>
          <w:pgSz w:w="11906" w:h="16838"/>
          <w:pgMar w:top="1418" w:right="1418" w:bottom="1418" w:left="1418" w:header="851" w:footer="992" w:gutter="0"/>
          <w:pgNumType w:start="1"/>
          <w:cols w:space="720" w:num="1"/>
          <w:docGrid w:linePitch="312" w:charSpace="0"/>
        </w:sectPr>
      </w:pPr>
    </w:p>
    <w:p>
      <w:pPr>
        <w:pStyle w:val="196"/>
        <w:spacing w:before="120"/>
        <w:ind w:left="420" w:hanging="420"/>
      </w:pPr>
      <w:bookmarkStart w:id="29" w:name="_Toc162996208"/>
      <w:r>
        <w:rPr>
          <w:rFonts w:hint="eastAsia"/>
        </w:rPr>
        <w:t xml:space="preserve">4 </w:t>
      </w:r>
      <w:r>
        <w:t>结构计算基本规定</w:t>
      </w:r>
      <w:bookmarkEnd w:id="21"/>
      <w:bookmarkEnd w:id="29"/>
    </w:p>
    <w:p>
      <w:pPr>
        <w:pStyle w:val="198"/>
        <w:rPr>
          <w:rFonts w:ascii="Times New Roman" w:hAnsi="Times New Roman"/>
          <w:b w:val="0"/>
          <w:bCs/>
        </w:rPr>
      </w:pPr>
      <w:bookmarkStart w:id="30" w:name="_Toc90562018"/>
      <w:bookmarkStart w:id="31" w:name="_Toc162996209"/>
      <w:bookmarkStart w:id="32" w:name="_Toc10584"/>
      <w:r>
        <w:rPr>
          <w:rFonts w:hint="eastAsia" w:ascii="Times New Roman" w:hAnsi="Times New Roman"/>
        </w:rPr>
        <w:t>4</w:t>
      </w:r>
      <w:r>
        <w:rPr>
          <w:rFonts w:ascii="Times New Roman" w:hAnsi="Times New Roman"/>
        </w:rPr>
        <w:t>.1 一般规定</w:t>
      </w:r>
      <w:bookmarkEnd w:id="30"/>
      <w:bookmarkEnd w:id="31"/>
    </w:p>
    <w:bookmarkEnd w:id="32"/>
    <w:p>
      <w:pPr>
        <w:pStyle w:val="200"/>
      </w:pPr>
      <w:r>
        <w:rPr>
          <w:rFonts w:hint="eastAsia"/>
          <w:b/>
        </w:rPr>
        <w:t xml:space="preserve">4.1.1 </w:t>
      </w:r>
      <w:r>
        <w:rPr>
          <w:rFonts w:hint="eastAsia"/>
        </w:rPr>
        <w:t>结构计算原则根据现行国家标准《工程结构通用规范》GB 55001和《建筑结构可靠性设计统一标准》</w:t>
      </w:r>
      <w:r>
        <w:t>GB  50068制定。建筑幕墙应按围护结构设计目标要求，以满足安全性作为评价指标，进行结构设计。</w:t>
      </w:r>
    </w:p>
    <w:p>
      <w:pPr>
        <w:pStyle w:val="200"/>
      </w:pPr>
      <w:r>
        <w:rPr>
          <w:rFonts w:hint="eastAsia"/>
          <w:b/>
        </w:rPr>
        <w:t xml:space="preserve">4.1.2 </w:t>
      </w:r>
      <w:r>
        <w:rPr>
          <w:rFonts w:hint="eastAsia"/>
        </w:rPr>
        <w:t>幕墙结构的设计基准期应为50年。建筑幕墙的设计工作年限不小于25年，其支承结构的设计工作年限不小于50年。</w:t>
      </w:r>
    </w:p>
    <w:p>
      <w:pPr>
        <w:pStyle w:val="120"/>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 xml:space="preserve">4.1.2 </w:t>
      </w:r>
      <w:r>
        <w:rPr>
          <w:rFonts w:hint="eastAsia" w:ascii="Times New Roman" w:hAnsi="Times New Roman"/>
          <w:color w:val="000000" w:themeColor="text1"/>
          <w14:textFill>
            <w14:solidFill>
              <w14:schemeClr w14:val="tx1"/>
            </w14:solidFill>
          </w14:textFill>
        </w:rPr>
        <w:t>根据</w:t>
      </w:r>
      <w:r>
        <w:rPr>
          <w:rFonts w:hint="eastAsia" w:ascii="Times New Roman" w:hAnsi="Times New Roman"/>
        </w:rPr>
        <w:t>《建筑结构可靠性设计统一标准》</w:t>
      </w:r>
      <w:r>
        <w:rPr>
          <w:rFonts w:ascii="Times New Roman" w:hAnsi="Times New Roman"/>
        </w:rPr>
        <w:t>GB 50068-2018</w:t>
      </w:r>
      <w:r>
        <w:rPr>
          <w:rFonts w:hint="eastAsia" w:ascii="Times New Roman" w:hAnsi="Times New Roman"/>
        </w:rPr>
        <w:t>第</w:t>
      </w:r>
      <w:r>
        <w:rPr>
          <w:rFonts w:ascii="Times New Roman" w:hAnsi="Times New Roman"/>
        </w:rPr>
        <w:t>3.3.1</w:t>
      </w:r>
      <w:r>
        <w:rPr>
          <w:rFonts w:hint="eastAsia" w:ascii="Times New Roman" w:hAnsi="Times New Roman"/>
        </w:rPr>
        <w:t>条，建筑结构的设计基准期应为</w:t>
      </w:r>
      <w:r>
        <w:rPr>
          <w:rFonts w:ascii="Times New Roman" w:hAnsi="Times New Roman"/>
        </w:rPr>
        <w:t>50</w:t>
      </w:r>
      <w:r>
        <w:rPr>
          <w:rFonts w:hint="eastAsia" w:ascii="Times New Roman" w:hAnsi="Times New Roman"/>
        </w:rPr>
        <w:t>年。幕墙结构的设计基准期按照主体结构取</w:t>
      </w:r>
      <w:r>
        <w:rPr>
          <w:rFonts w:ascii="Times New Roman" w:hAnsi="Times New Roman"/>
        </w:rPr>
        <w:t>50</w:t>
      </w:r>
      <w:r>
        <w:rPr>
          <w:rFonts w:hint="eastAsia" w:ascii="Times New Roman" w:hAnsi="Times New Roman"/>
        </w:rPr>
        <w:t>年。</w:t>
      </w:r>
    </w:p>
    <w:p>
      <w:pPr>
        <w:pStyle w:val="120"/>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 xml:space="preserve">4.1.2 </w:t>
      </w:r>
      <w:r>
        <w:rPr>
          <w:rFonts w:hint="eastAsia" w:ascii="Times New Roman" w:hAnsi="Times New Roman"/>
          <w:color w:val="000000" w:themeColor="text1"/>
          <w14:textFill>
            <w14:solidFill>
              <w14:schemeClr w14:val="tx1"/>
            </w14:solidFill>
          </w14:textFill>
        </w:rPr>
        <w:t>幕</w:t>
      </w:r>
      <w:r>
        <w:rPr>
          <w:rFonts w:hint="eastAsia" w:ascii="Times New Roman" w:hAnsi="Times New Roman"/>
        </w:rPr>
        <w:t>墙面板、胶、五金件和其他附件，属于易更换件，其设计工作年限不小于</w:t>
      </w:r>
      <w:r>
        <w:rPr>
          <w:rFonts w:ascii="Times New Roman" w:hAnsi="Times New Roman"/>
        </w:rPr>
        <w:t>25</w:t>
      </w:r>
      <w:r>
        <w:rPr>
          <w:rFonts w:hint="eastAsia" w:ascii="Times New Roman" w:hAnsi="Times New Roman"/>
        </w:rPr>
        <w:t>年；幕墙支承结构、连接件、埋件等主要结构构件，更换困难，故规定其设计工作年限不小于</w:t>
      </w:r>
      <w:r>
        <w:rPr>
          <w:rFonts w:ascii="Times New Roman" w:hAnsi="Times New Roman"/>
        </w:rPr>
        <w:t>50</w:t>
      </w:r>
      <w:r>
        <w:rPr>
          <w:rFonts w:hint="eastAsia" w:ascii="Times New Roman" w:hAnsi="Times New Roman"/>
        </w:rPr>
        <w:t>年。当设计工作年限与设计基准期不一致时，根据《工程结构通用规范》</w:t>
      </w:r>
      <w:r>
        <w:rPr>
          <w:rFonts w:ascii="Times New Roman" w:hAnsi="Times New Roman"/>
        </w:rPr>
        <w:t>GB 55001-2021</w:t>
      </w:r>
      <w:r>
        <w:rPr>
          <w:rFonts w:hint="eastAsia" w:ascii="Times New Roman" w:hAnsi="Times New Roman"/>
        </w:rPr>
        <w:t>第</w:t>
      </w:r>
      <w:r>
        <w:rPr>
          <w:rFonts w:ascii="Times New Roman" w:hAnsi="Times New Roman"/>
        </w:rPr>
        <w:t>3.1.16</w:t>
      </w:r>
      <w:r>
        <w:rPr>
          <w:rFonts w:hint="eastAsia" w:ascii="Times New Roman" w:hAnsi="Times New Roman"/>
        </w:rPr>
        <w:t>条的规定，雪荷载与风荷载的设计工作年限调整系数应按重现期与设计工作年限相同的原则确定。幕墙设计工作年限的调整系数可统一按</w:t>
      </w:r>
      <w:r>
        <w:rPr>
          <w:rFonts w:ascii="Times New Roman" w:hAnsi="Times New Roman"/>
        </w:rPr>
        <w:t>50</w:t>
      </w:r>
      <w:r>
        <w:rPr>
          <w:rFonts w:hint="eastAsia" w:ascii="Times New Roman" w:hAnsi="Times New Roman"/>
        </w:rPr>
        <w:t>年取</w:t>
      </w:r>
      <w:r>
        <w:rPr>
          <w:rFonts w:ascii="Times New Roman" w:hAnsi="Times New Roman"/>
        </w:rPr>
        <w:t>1.0</w:t>
      </w:r>
      <w:r>
        <w:rPr>
          <w:rFonts w:hint="eastAsia" w:ascii="Times New Roman" w:hAnsi="Times New Roman"/>
        </w:rPr>
        <w:t>。</w:t>
      </w:r>
    </w:p>
    <w:p>
      <w:pPr>
        <w:pStyle w:val="200"/>
      </w:pPr>
      <w:r>
        <w:rPr>
          <w:rFonts w:hint="eastAsia"/>
          <w:b/>
        </w:rPr>
        <w:t xml:space="preserve">4.1.3 </w:t>
      </w:r>
      <w:r>
        <w:rPr>
          <w:rFonts w:hint="eastAsia"/>
        </w:rPr>
        <w:t>幕墙结构宜采用以概率理论为基础、以分项系数表达的极限状态设计方法。当采用容许应力法进行结构设计时，结构在作用的标准组合或地震组合下的应力值不应超过材料的容许应力值。当采用安全系数法进行结构设计时，结构在作用标准组合或地震组合下的效应值乘以安全系数之后，不应超过结构或构件的抗力值。</w:t>
      </w:r>
    </w:p>
    <w:p>
      <w:pPr>
        <w:pStyle w:val="120"/>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 xml:space="preserve">4.1.3 </w:t>
      </w:r>
      <w:r>
        <w:rPr>
          <w:rFonts w:hint="eastAsia" w:ascii="Times New Roman" w:hAnsi="Times New Roman"/>
          <w:color w:val="000000" w:themeColor="text1"/>
          <w14:textFill>
            <w14:solidFill>
              <w14:schemeClr w14:val="tx1"/>
            </w14:solidFill>
          </w14:textFill>
        </w:rPr>
        <w:t>参</w:t>
      </w:r>
      <w:r>
        <w:rPr>
          <w:rFonts w:hint="eastAsia" w:ascii="Times New Roman" w:hAnsi="Times New Roman"/>
        </w:rPr>
        <w:t>《建筑结构可靠性设计统一标准》</w:t>
      </w:r>
      <w:r>
        <w:rPr>
          <w:rFonts w:ascii="Times New Roman" w:hAnsi="Times New Roman"/>
        </w:rPr>
        <w:t>GB 50068-2018</w:t>
      </w:r>
      <w:r>
        <w:rPr>
          <w:rFonts w:hint="eastAsia" w:ascii="Times New Roman" w:hAnsi="Times New Roman"/>
        </w:rPr>
        <w:t>第</w:t>
      </w:r>
      <w:r>
        <w:rPr>
          <w:rFonts w:ascii="Times New Roman" w:hAnsi="Times New Roman"/>
        </w:rPr>
        <w:t>1.0.4</w:t>
      </w:r>
      <w:r>
        <w:rPr>
          <w:rFonts w:hint="eastAsia" w:ascii="Times New Roman" w:hAnsi="Times New Roman"/>
        </w:rPr>
        <w:t>条、《工程结构通用规范》</w:t>
      </w:r>
      <w:r>
        <w:rPr>
          <w:rFonts w:ascii="Times New Roman" w:hAnsi="Times New Roman"/>
        </w:rPr>
        <w:t>GB 55001-2021</w:t>
      </w:r>
      <w:r>
        <w:rPr>
          <w:rFonts w:hint="eastAsia" w:ascii="Times New Roman" w:hAnsi="Times New Roman"/>
        </w:rPr>
        <w:t>第</w:t>
      </w:r>
      <w:r>
        <w:rPr>
          <w:rFonts w:ascii="Times New Roman" w:hAnsi="Times New Roman"/>
        </w:rPr>
        <w:t>3.2.1</w:t>
      </w:r>
      <w:r>
        <w:rPr>
          <w:rFonts w:hint="eastAsia" w:ascii="Times New Roman" w:hAnsi="Times New Roman"/>
        </w:rPr>
        <w:t>、</w:t>
      </w:r>
      <w:r>
        <w:rPr>
          <w:rFonts w:ascii="Times New Roman" w:hAnsi="Times New Roman"/>
        </w:rPr>
        <w:t>3.2.2</w:t>
      </w:r>
      <w:r>
        <w:rPr>
          <w:rFonts w:hint="eastAsia" w:ascii="Times New Roman" w:hAnsi="Times New Roman"/>
        </w:rPr>
        <w:t>条的规定。</w:t>
      </w:r>
    </w:p>
    <w:p>
      <w:pPr>
        <w:pStyle w:val="200"/>
      </w:pPr>
      <w:r>
        <w:rPr>
          <w:rFonts w:hint="eastAsia"/>
          <w:b/>
        </w:rPr>
        <w:t xml:space="preserve">4.1.4 </w:t>
      </w:r>
      <w:r>
        <w:rPr>
          <w:rFonts w:hint="eastAsia"/>
        </w:rPr>
        <w:t>幕墙结构设计应考虑永久作用、风荷载、地震作用，必要时还应考虑温度作用和施工、清洗、维护荷载。与水平面夹角小于75°的建筑幕墙、金属屋面、采光顶和雨篷结构尚应考虑雪荷载、活荷载或积灰荷载。</w:t>
      </w:r>
    </w:p>
    <w:p>
      <w:pPr>
        <w:pStyle w:val="120"/>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 xml:space="preserve">4.1.4 </w:t>
      </w:r>
      <w:r>
        <w:rPr>
          <w:rFonts w:hint="eastAsia" w:ascii="Times New Roman" w:hAnsi="Times New Roman"/>
          <w:color w:val="000000" w:themeColor="text1"/>
          <w14:textFill>
            <w14:solidFill>
              <w14:schemeClr w14:val="tx1"/>
            </w14:solidFill>
          </w14:textFill>
        </w:rPr>
        <w:t>大</w:t>
      </w:r>
      <w:r>
        <w:rPr>
          <w:rFonts w:hint="eastAsia" w:ascii="Times New Roman" w:hAnsi="Times New Roman"/>
        </w:rPr>
        <w:t>跨度空间幕墙结构、预应力幕墙结构应考虑温度作用。当幕墙结构上预留清洗、维护所需固定装置</w:t>
      </w:r>
      <w:r>
        <w:rPr>
          <w:rFonts w:hint="eastAsia" w:ascii="Times New Roman" w:hAnsi="Times New Roman"/>
          <w:lang w:eastAsia="zh-CN"/>
        </w:rPr>
        <w:t>（</w:t>
      </w:r>
      <w:r>
        <w:rPr>
          <w:rFonts w:hint="eastAsia" w:ascii="Times New Roman" w:hAnsi="Times New Roman"/>
        </w:rPr>
        <w:t>如防风销支座</w:t>
      </w:r>
      <w:r>
        <w:rPr>
          <w:rFonts w:hint="eastAsia" w:ascii="Times New Roman" w:hAnsi="Times New Roman"/>
          <w:lang w:eastAsia="zh-CN"/>
        </w:rPr>
        <w:t>）</w:t>
      </w:r>
      <w:r>
        <w:rPr>
          <w:rFonts w:hint="eastAsia" w:ascii="Times New Roman" w:hAnsi="Times New Roman"/>
        </w:rPr>
        <w:t>或小于</w:t>
      </w:r>
      <w:r>
        <w:rPr>
          <w:rFonts w:ascii="Times New Roman" w:hAnsi="Times New Roman"/>
        </w:rPr>
        <w:t>75</w:t>
      </w:r>
      <w:r>
        <w:rPr>
          <w:rFonts w:hint="eastAsia" w:ascii="Times New Roman" w:hAnsi="Times New Roman"/>
        </w:rPr>
        <w:t>度的建筑幕墙、金属屋面、采光顶和雨篷结构有上人施工、检修要求时，尚应考虑施工、清洗、维护荷载。</w:t>
      </w:r>
    </w:p>
    <w:p>
      <w:pPr>
        <w:pStyle w:val="200"/>
      </w:pPr>
      <w:r>
        <w:rPr>
          <w:rFonts w:hint="eastAsia"/>
          <w:b/>
        </w:rPr>
        <w:t xml:space="preserve">4.1.5 </w:t>
      </w:r>
      <w:r>
        <w:rPr>
          <w:rFonts w:hint="eastAsia"/>
        </w:rPr>
        <w:t>幕墙结构设计应区分以下设计状况：</w:t>
      </w:r>
    </w:p>
    <w:p>
      <w:pPr>
        <w:pStyle w:val="188"/>
        <w:ind w:firstLine="480"/>
      </w:pPr>
      <w:r>
        <w:rPr>
          <w:rFonts w:hint="eastAsia"/>
        </w:rPr>
        <w:t>1 持久设计状况，适用于幕墙结构正常使用时的情况；</w:t>
      </w:r>
    </w:p>
    <w:p>
      <w:pPr>
        <w:pStyle w:val="188"/>
        <w:ind w:firstLine="480"/>
      </w:pPr>
      <w:r>
        <w:rPr>
          <w:rFonts w:hint="eastAsia"/>
        </w:rPr>
        <w:t>2 短暂设计状况，适用于幕墙结构施工和维修等临时情况；</w:t>
      </w:r>
    </w:p>
    <w:p>
      <w:pPr>
        <w:pStyle w:val="188"/>
        <w:ind w:firstLine="480"/>
      </w:pPr>
      <w:r>
        <w:rPr>
          <w:rFonts w:hint="eastAsia"/>
        </w:rPr>
        <w:t>3 偶然设计状况，适用于幕墙结构遭受火灾、爆炸、非正常撞击等罕见情况；</w:t>
      </w:r>
    </w:p>
    <w:p>
      <w:pPr>
        <w:pStyle w:val="188"/>
        <w:ind w:firstLine="480"/>
      </w:pPr>
      <w:r>
        <w:rPr>
          <w:rFonts w:hint="eastAsia"/>
        </w:rPr>
        <w:t>4 地震设计状况，适用于幕墙结构遭受地震时的情况。</w:t>
      </w:r>
    </w:p>
    <w:p>
      <w:pPr>
        <w:pStyle w:val="200"/>
      </w:pPr>
      <w:r>
        <w:rPr>
          <w:rFonts w:hint="eastAsia"/>
          <w:b/>
        </w:rPr>
        <w:t xml:space="preserve">4.1.6 </w:t>
      </w:r>
      <w:r>
        <w:rPr>
          <w:rFonts w:hint="eastAsia"/>
        </w:rPr>
        <w:t>进行承载能力极限状态设计时，采用的作用组合应符合下列规定：</w:t>
      </w:r>
    </w:p>
    <w:p>
      <w:pPr>
        <w:pStyle w:val="188"/>
        <w:ind w:firstLine="480"/>
      </w:pPr>
      <w:r>
        <w:rPr>
          <w:rFonts w:hint="eastAsia"/>
        </w:rPr>
        <w:t>1 持久设计状况和短暂设计状况应采用作用的基本组合；</w:t>
      </w:r>
    </w:p>
    <w:p>
      <w:pPr>
        <w:pStyle w:val="188"/>
        <w:ind w:firstLine="480"/>
      </w:pPr>
      <w:r>
        <w:rPr>
          <w:rFonts w:hint="eastAsia"/>
        </w:rPr>
        <w:t>2 偶然设计状况应采用作用的偶然组合；</w:t>
      </w:r>
    </w:p>
    <w:p>
      <w:pPr>
        <w:pStyle w:val="188"/>
        <w:ind w:firstLine="480"/>
      </w:pPr>
      <w:r>
        <w:rPr>
          <w:rFonts w:hint="eastAsia"/>
        </w:rPr>
        <w:t>3 地震设计状况应采用作用的地震组合。</w:t>
      </w:r>
    </w:p>
    <w:p>
      <w:pPr>
        <w:pStyle w:val="200"/>
      </w:pPr>
      <w:r>
        <w:rPr>
          <w:rFonts w:hint="eastAsia"/>
          <w:b/>
        </w:rPr>
        <w:t xml:space="preserve">4.1.7 </w:t>
      </w:r>
      <w:r>
        <w:rPr>
          <w:rFonts w:hint="eastAsia"/>
        </w:rPr>
        <w:t>进行正常使用极限状态设计时，应采用作用的标准组合。</w:t>
      </w:r>
    </w:p>
    <w:p>
      <w:pPr>
        <w:pStyle w:val="200"/>
      </w:pPr>
      <w:r>
        <w:rPr>
          <w:rFonts w:hint="eastAsia"/>
          <w:b/>
        </w:rPr>
        <w:t xml:space="preserve">4.1.8 </w:t>
      </w:r>
      <w:r>
        <w:rPr>
          <w:rFonts w:hint="eastAsia"/>
        </w:rPr>
        <w:t>幕墙结构设计时选定的设计状况，应涵盖正常施工和使用过程中的各种不利情况。各种设计状况均应进行承载能力极限状态设计，持久设计状况尚应进行正常使用极限状态设计。</w:t>
      </w:r>
    </w:p>
    <w:p>
      <w:pPr>
        <w:pStyle w:val="188"/>
        <w:ind w:firstLine="480"/>
      </w:pPr>
      <w:r>
        <w:rPr>
          <w:rFonts w:hint="eastAsia"/>
        </w:rPr>
        <w:t>1 承载能力极限状态设计时，应符合下列规定：</w:t>
      </w:r>
    </w:p>
    <w:p>
      <w:pPr>
        <w:pStyle w:val="188"/>
        <w:ind w:firstLine="480"/>
      </w:pPr>
      <w:r>
        <w:rPr>
          <w:rFonts w:hint="eastAsia"/>
        </w:rPr>
        <w:t>持久设计状况、短暂设计状况、偶然设计状况时：</w:t>
      </w:r>
    </w:p>
    <w:tbl>
      <w:tblPr>
        <w:tblStyle w:val="37"/>
        <w:tblW w:w="0" w:type="auto"/>
        <w:jc w:val="right"/>
        <w:tblLayout w:type="fixed"/>
        <w:tblCellMar>
          <w:top w:w="0" w:type="dxa"/>
          <w:left w:w="108" w:type="dxa"/>
          <w:bottom w:w="0" w:type="dxa"/>
          <w:right w:w="108" w:type="dxa"/>
        </w:tblCellMar>
      </w:tblPr>
      <w:tblGrid>
        <w:gridCol w:w="5670"/>
        <w:gridCol w:w="2268"/>
      </w:tblGrid>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rPr>
                <w:rFonts w:ascii="Times New Roman" w:hAnsi="Times New Roman"/>
                <w:snapToGrid w:val="0"/>
              </w:rPr>
            </w:pPr>
            <m:oMathPara>
              <m:oMathParaPr>
                <m:jc m:val="center"/>
              </m:oMathParaPr>
              <m:oMath>
                <m:sSub>
                  <m:sSubPr>
                    <m:ctrlPr>
                      <w:rPr>
                        <w:rFonts w:ascii="Cambria Math" w:hAnsi="Cambria Math"/>
                        <w:iCs/>
                      </w:rPr>
                    </m:ctrlPr>
                  </m:sSubPr>
                  <m:e>
                    <m:r>
                      <m:rPr/>
                      <w:rPr>
                        <w:rFonts w:ascii="Cambria Math" w:hAnsi="Cambria Math"/>
                      </w:rPr>
                      <m:t>γ</m:t>
                    </m:r>
                    <m:ctrlPr>
                      <w:rPr>
                        <w:rFonts w:ascii="Cambria Math" w:hAnsi="Cambria Math"/>
                        <w:iCs/>
                      </w:rPr>
                    </m:ctrlPr>
                  </m:e>
                  <m:sub>
                    <m:r>
                      <m:rPr/>
                      <w:rPr>
                        <w:rFonts w:ascii="Cambria Math" w:hAnsi="Cambria Math"/>
                      </w:rPr>
                      <m:t>0</m:t>
                    </m:r>
                    <m:ctrlPr>
                      <w:rPr>
                        <w:rFonts w:ascii="Cambria Math" w:hAnsi="Cambria Math"/>
                        <w:iCs/>
                      </w:rPr>
                    </m:ctrlPr>
                  </m:sub>
                </m:sSub>
                <m:r>
                  <m:rPr>
                    <m:sty m:val="p"/>
                  </m:rPr>
                  <w:rPr>
                    <w:rFonts w:ascii="Cambria Math" w:hAnsi="Cambria Math"/>
                    <w:snapToGrid w:val="0"/>
                  </w:rPr>
                  <m:t>S</m:t>
                </m:r>
                <m:r>
                  <m:rPr/>
                  <w:rPr>
                    <w:rFonts w:ascii="Cambria Math" w:hAnsi="Cambria Math"/>
                    <w:snapToGrid w:val="0"/>
                  </w:rPr>
                  <m:t>≤R</m:t>
                </m:r>
              </m:oMath>
            </m:oMathPara>
          </w:p>
        </w:tc>
        <w:tc>
          <w:tcPr>
            <w:tcW w:w="2268" w:type="dxa"/>
            <w:shd w:val="clear" w:color="auto" w:fill="auto"/>
            <w:vAlign w:val="center"/>
          </w:tcPr>
          <w:p>
            <w:pPr>
              <w:widowControl w:val="0"/>
              <w:spacing w:line="360" w:lineRule="auto"/>
              <w:jc w:val="right"/>
              <w:rPr>
                <w:rFonts w:ascii="Times New Roman" w:hAnsi="Times New Roman"/>
              </w:rPr>
            </w:pPr>
            <w:r>
              <w:rPr>
                <w:rFonts w:hint="eastAsia" w:ascii="Times New Roman" w:hAnsi="Times New Roman" w:cs="Times New Roman"/>
                <w:kern w:val="2"/>
              </w:rPr>
              <w:t>（</w:t>
            </w:r>
            <w:r>
              <w:rPr>
                <w:rFonts w:ascii="Times New Roman" w:hAnsi="Times New Roman" w:cs="Times New Roman"/>
                <w:kern w:val="2"/>
              </w:rPr>
              <w:t>4.1.8-1</w:t>
            </w:r>
            <w:r>
              <w:rPr>
                <w:rFonts w:hint="eastAsia" w:ascii="Times New Roman" w:hAnsi="Times New Roman" w:cs="Times New Roman"/>
                <w:kern w:val="2"/>
              </w:rPr>
              <w:t>）</w:t>
            </w:r>
          </w:p>
        </w:tc>
      </w:tr>
    </w:tbl>
    <w:p>
      <w:pPr>
        <w:pStyle w:val="188"/>
        <w:ind w:firstLine="480"/>
      </w:pPr>
      <w:r>
        <w:rPr>
          <w:rFonts w:hint="eastAsia"/>
        </w:rPr>
        <w:t>地震设计状况时：</w:t>
      </w:r>
    </w:p>
    <w:tbl>
      <w:tblPr>
        <w:tblStyle w:val="37"/>
        <w:tblW w:w="0" w:type="auto"/>
        <w:jc w:val="right"/>
        <w:tblLayout w:type="fixed"/>
        <w:tblCellMar>
          <w:top w:w="0" w:type="dxa"/>
          <w:left w:w="108" w:type="dxa"/>
          <w:bottom w:w="0" w:type="dxa"/>
          <w:right w:w="108" w:type="dxa"/>
        </w:tblCellMar>
      </w:tblPr>
      <w:tblGrid>
        <w:gridCol w:w="5670"/>
        <w:gridCol w:w="2268"/>
      </w:tblGrid>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rPr>
                <w:rFonts w:ascii="Times New Roman" w:hAnsi="Times New Roman"/>
                <w:snapToGrid w:val="0"/>
              </w:rPr>
            </w:pPr>
            <m:oMathPara>
              <m:oMathParaPr>
                <m:jc m:val="center"/>
              </m:oMathParaPr>
              <m:oMath>
                <m:sSub>
                  <m:sSubPr>
                    <m:ctrlPr>
                      <w:rPr>
                        <w:rFonts w:ascii="Cambria Math" w:hAnsi="Cambria Math"/>
                        <w:iCs/>
                        <w:snapToGrid w:val="0"/>
                      </w:rPr>
                    </m:ctrlPr>
                  </m:sSubPr>
                  <m:e>
                    <m:r>
                      <m:rPr>
                        <m:sty m:val="p"/>
                      </m:rPr>
                      <w:rPr>
                        <w:rFonts w:ascii="Cambria Math" w:hAnsi="Cambria Math"/>
                        <w:snapToGrid w:val="0"/>
                      </w:rPr>
                      <m:t>S</m:t>
                    </m:r>
                    <m:ctrlPr>
                      <w:rPr>
                        <w:rFonts w:ascii="Cambria Math" w:hAnsi="Cambria Math"/>
                        <w:iCs/>
                        <w:snapToGrid w:val="0"/>
                      </w:rPr>
                    </m:ctrlPr>
                  </m:e>
                  <m:sub>
                    <m:r>
                      <m:rPr/>
                      <w:rPr>
                        <w:rFonts w:ascii="Cambria Math" w:hAnsi="Cambria Math"/>
                        <w:snapToGrid w:val="0"/>
                      </w:rPr>
                      <m:t>E</m:t>
                    </m:r>
                    <m:ctrlPr>
                      <w:rPr>
                        <w:rFonts w:ascii="Cambria Math" w:hAnsi="Cambria Math"/>
                        <w:iCs/>
                        <w:snapToGrid w:val="0"/>
                      </w:rPr>
                    </m:ctrlPr>
                  </m:sub>
                </m:sSub>
                <m:r>
                  <m:rPr/>
                  <w:rPr>
                    <w:rFonts w:ascii="Cambria Math" w:hAnsi="Cambria Math"/>
                    <w:snapToGrid w:val="0"/>
                  </w:rPr>
                  <m:t>≤</m:t>
                </m:r>
                <m:f>
                  <m:fPr>
                    <m:type m:val="lin"/>
                    <m:ctrlPr>
                      <w:rPr>
                        <w:rFonts w:ascii="Cambria Math" w:hAnsi="Cambria Math"/>
                        <w:i/>
                        <w:iCs/>
                        <w:snapToGrid w:val="0"/>
                      </w:rPr>
                    </m:ctrlPr>
                  </m:fPr>
                  <m:num>
                    <m:r>
                      <m:rPr/>
                      <w:rPr>
                        <w:rFonts w:ascii="Cambria Math" w:hAnsi="Cambria Math"/>
                        <w:snapToGrid w:val="0"/>
                      </w:rPr>
                      <m:t>R</m:t>
                    </m:r>
                    <m:ctrlPr>
                      <w:rPr>
                        <w:rFonts w:ascii="Cambria Math" w:hAnsi="Cambria Math"/>
                        <w:i/>
                        <w:iCs/>
                        <w:snapToGrid w:val="0"/>
                      </w:rPr>
                    </m:ctrlPr>
                  </m:num>
                  <m:den>
                    <m:sSub>
                      <m:sSubPr>
                        <m:ctrlPr>
                          <w:rPr>
                            <w:rFonts w:ascii="Cambria Math" w:hAnsi="Cambria Math"/>
                            <w:iCs/>
                          </w:rPr>
                        </m:ctrlPr>
                      </m:sSubPr>
                      <m:e>
                        <m:r>
                          <m:rPr/>
                          <w:rPr>
                            <w:rFonts w:ascii="Cambria Math" w:hAnsi="Cambria Math"/>
                          </w:rPr>
                          <m:t>γ</m:t>
                        </m:r>
                        <m:ctrlPr>
                          <w:rPr>
                            <w:rFonts w:ascii="Cambria Math" w:hAnsi="Cambria Math"/>
                            <w:iCs/>
                          </w:rPr>
                        </m:ctrlPr>
                      </m:e>
                      <m:sub>
                        <m:r>
                          <m:rPr/>
                          <w:rPr>
                            <w:rFonts w:ascii="Cambria Math" w:hAnsi="Cambria Math"/>
                          </w:rPr>
                          <m:t>RE</m:t>
                        </m:r>
                        <m:ctrlPr>
                          <w:rPr>
                            <w:rFonts w:ascii="Cambria Math" w:hAnsi="Cambria Math"/>
                            <w:iCs/>
                          </w:rPr>
                        </m:ctrlPr>
                      </m:sub>
                    </m:sSub>
                    <m:ctrlPr>
                      <w:rPr>
                        <w:rFonts w:ascii="Cambria Math" w:hAnsi="Cambria Math"/>
                        <w:i/>
                        <w:iCs/>
                        <w:snapToGrid w:val="0"/>
                      </w:rPr>
                    </m:ctrlPr>
                  </m:den>
                </m:f>
              </m:oMath>
            </m:oMathPara>
          </w:p>
        </w:tc>
        <w:tc>
          <w:tcPr>
            <w:tcW w:w="2268" w:type="dxa"/>
            <w:shd w:val="clear" w:color="auto" w:fill="auto"/>
            <w:vAlign w:val="center"/>
          </w:tcPr>
          <w:p>
            <w:pPr>
              <w:widowControl w:val="0"/>
              <w:spacing w:line="360" w:lineRule="auto"/>
              <w:jc w:val="right"/>
              <w:rPr>
                <w:rFonts w:ascii="Times New Roman" w:hAnsi="Times New Roman"/>
              </w:rPr>
            </w:pPr>
            <w:r>
              <w:rPr>
                <w:rFonts w:hint="eastAsia" w:ascii="Times New Roman" w:hAnsi="Times New Roman" w:cs="Times New Roman"/>
                <w:kern w:val="2"/>
              </w:rPr>
              <w:t>（</w:t>
            </w:r>
            <w:r>
              <w:rPr>
                <w:rFonts w:ascii="Times New Roman" w:hAnsi="Times New Roman" w:cs="Times New Roman"/>
                <w:kern w:val="2"/>
              </w:rPr>
              <w:t>4.1.8-2</w:t>
            </w:r>
            <w:r>
              <w:rPr>
                <w:rFonts w:hint="eastAsia" w:ascii="Times New Roman" w:hAnsi="Times New Roman" w:cs="Times New Roman"/>
                <w:kern w:val="2"/>
              </w:rPr>
              <w:t>）</w:t>
            </w:r>
          </w:p>
        </w:tc>
      </w:tr>
    </w:tbl>
    <w:p>
      <w:pPr>
        <w:pStyle w:val="189"/>
        <w:rPr>
          <w:snapToGrid w:val="0"/>
        </w:rPr>
      </w:pPr>
      <w:r>
        <w:rPr>
          <w:snapToGrid w:val="0"/>
        </w:rPr>
        <w:t>式中：</w:t>
      </w:r>
    </w:p>
    <w:tbl>
      <w:tblPr>
        <w:tblStyle w:val="37"/>
        <w:tblW w:w="9322" w:type="dxa"/>
        <w:tblInd w:w="0" w:type="dxa"/>
        <w:tblLayout w:type="fixed"/>
        <w:tblCellMar>
          <w:top w:w="0" w:type="dxa"/>
          <w:left w:w="108" w:type="dxa"/>
          <w:bottom w:w="0" w:type="dxa"/>
          <w:right w:w="108" w:type="dxa"/>
        </w:tblCellMar>
      </w:tblPr>
      <w:tblGrid>
        <w:gridCol w:w="1134"/>
        <w:gridCol w:w="851"/>
        <w:gridCol w:w="7337"/>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r>
                  <m:rPr>
                    <m:sty m:val="p"/>
                  </m:rPr>
                  <w:rPr>
                    <w:rFonts w:ascii="Cambria Math" w:hAnsi="Cambria Math"/>
                    <w:sz w:val="21"/>
                    <w:szCs w:val="21"/>
                  </w:rPr>
                  <m:t>S</m:t>
                </m:r>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337" w:type="dxa"/>
            <w:shd w:val="clear" w:color="auto" w:fill="auto"/>
          </w:tcPr>
          <w:p>
            <w:pPr>
              <w:pStyle w:val="189"/>
            </w:pPr>
            <w:r>
              <w:rPr>
                <w:rFonts w:hint="eastAsia"/>
              </w:rPr>
              <w:t>持久设计状况、短暂设计状况、偶然设计状况时荷载效应组合设计值</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sSub>
                  <m:sSubPr>
                    <m:ctrlPr>
                      <w:rPr>
                        <w:rFonts w:ascii="Cambria Math" w:hAnsi="Cambria Math"/>
                        <w:iCs/>
                        <w:sz w:val="21"/>
                        <w:szCs w:val="21"/>
                      </w:rPr>
                    </m:ctrlPr>
                  </m:sSubPr>
                  <m:e>
                    <m:r>
                      <m:rPr>
                        <m:sty m:val="p"/>
                      </m:rPr>
                      <w:rPr>
                        <w:rFonts w:ascii="Cambria Math" w:hAnsi="Cambria Math"/>
                        <w:sz w:val="21"/>
                        <w:szCs w:val="21"/>
                      </w:rPr>
                      <m:t>S</m:t>
                    </m:r>
                    <m:ctrlPr>
                      <w:rPr>
                        <w:rFonts w:ascii="Cambria Math" w:hAnsi="Cambria Math"/>
                        <w:iCs/>
                        <w:sz w:val="21"/>
                        <w:szCs w:val="21"/>
                      </w:rPr>
                    </m:ctrlPr>
                  </m:e>
                  <m:sub>
                    <m:r>
                      <m:rPr/>
                      <w:rPr>
                        <w:rFonts w:ascii="Cambria Math" w:hAnsi="Cambria Math"/>
                        <w:sz w:val="21"/>
                        <w:szCs w:val="21"/>
                      </w:rPr>
                      <m:t>E</m:t>
                    </m:r>
                    <m:ctrlPr>
                      <w:rPr>
                        <w:rFonts w:ascii="Cambria Math" w:hAnsi="Cambria Math"/>
                        <w:iCs/>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337" w:type="dxa"/>
            <w:shd w:val="clear" w:color="auto" w:fill="auto"/>
          </w:tcPr>
          <w:p>
            <w:pPr>
              <w:pStyle w:val="189"/>
            </w:pPr>
            <w:r>
              <w:rPr>
                <w:rFonts w:hint="eastAsia"/>
              </w:rPr>
              <w:t>地震设计状况时荷载效应组合设计值</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sz w:val="21"/>
                <w:szCs w:val="21"/>
              </w:rPr>
            </w:pPr>
            <m:oMathPara>
              <m:oMathParaPr>
                <m:jc m:val="right"/>
              </m:oMathParaPr>
              <m:oMath>
                <m:r>
                  <m:rPr/>
                  <w:rPr>
                    <w:rFonts w:ascii="Cambria Math" w:hAnsi="Cambria Math"/>
                    <w:sz w:val="21"/>
                    <w:szCs w:val="21"/>
                  </w:rPr>
                  <m:t>R</m:t>
                </m:r>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337" w:type="dxa"/>
            <w:shd w:val="clear" w:color="auto" w:fill="auto"/>
          </w:tcPr>
          <w:p>
            <w:pPr>
              <w:pStyle w:val="189"/>
            </w:pPr>
            <w:r>
              <w:rPr>
                <w:rFonts w:hint="eastAsia"/>
              </w:rPr>
              <w:t>结构构件抗力设计值；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sz w:val="21"/>
                <w:szCs w:val="21"/>
              </w:rPr>
            </w:pPr>
            <m:oMathPara>
              <m:oMathParaPr>
                <m:jc m:val="right"/>
              </m:oMathParaPr>
              <m:oMath>
                <m:sSub>
                  <m:sSubPr>
                    <m:ctrlPr>
                      <w:rPr>
                        <w:rFonts w:ascii="Cambria Math" w:hAnsi="Cambria Math"/>
                        <w:iCs/>
                        <w:sz w:val="21"/>
                        <w:szCs w:val="21"/>
                      </w:rPr>
                    </m:ctrlPr>
                  </m:sSubPr>
                  <m:e>
                    <m:r>
                      <m:rPr/>
                      <w:rPr>
                        <w:rFonts w:ascii="Cambria Math" w:hAnsi="Cambria Math"/>
                        <w:sz w:val="21"/>
                        <w:szCs w:val="21"/>
                      </w:rPr>
                      <m:t>γ</m:t>
                    </m:r>
                    <m:ctrlPr>
                      <w:rPr>
                        <w:rFonts w:ascii="Cambria Math" w:hAnsi="Cambria Math"/>
                        <w:iCs/>
                        <w:sz w:val="21"/>
                        <w:szCs w:val="21"/>
                      </w:rPr>
                    </m:ctrlPr>
                  </m:e>
                  <m:sub>
                    <m:r>
                      <m:rPr/>
                      <w:rPr>
                        <w:rFonts w:ascii="Cambria Math" w:hAnsi="Cambria Math"/>
                        <w:sz w:val="21"/>
                        <w:szCs w:val="21"/>
                      </w:rPr>
                      <m:t>0</m:t>
                    </m:r>
                    <m:ctrlPr>
                      <w:rPr>
                        <w:rFonts w:ascii="Cambria Math" w:hAnsi="Cambria Math"/>
                        <w:iCs/>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337" w:type="dxa"/>
            <w:shd w:val="clear" w:color="auto" w:fill="auto"/>
          </w:tcPr>
          <w:p>
            <w:pPr>
              <w:pStyle w:val="189"/>
            </w:pPr>
            <w:r>
              <w:rPr>
                <w:rFonts w:hint="eastAsia"/>
              </w:rPr>
              <w:t>结构构件重要性系数</w:t>
            </w:r>
            <w:r>
              <w:t>，按</w:t>
            </w:r>
            <w:r>
              <w:rPr>
                <w:rFonts w:hint="eastAsia"/>
              </w:rPr>
              <w:t>《工程结构通用规范》</w:t>
            </w:r>
            <w:r>
              <w:t>GB 5</w:t>
            </w:r>
            <w:r>
              <w:rPr>
                <w:rFonts w:hint="eastAsia"/>
              </w:rPr>
              <w:t>5001</w:t>
            </w:r>
            <w:r>
              <w:t>确定，且不小于1</w:t>
            </w:r>
            <w:r>
              <w:rPr>
                <w:rFonts w:hint="eastAsia"/>
              </w:rPr>
              <w:t>.</w:t>
            </w:r>
            <w:r>
              <w:t>0</w:t>
            </w:r>
            <w:r>
              <w:rPr>
                <w:rFonts w:hint="eastAsia"/>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sz w:val="21"/>
                <w:szCs w:val="21"/>
              </w:rPr>
            </w:pPr>
            <m:oMathPara>
              <m:oMathParaPr>
                <m:jc m:val="right"/>
              </m:oMathParaPr>
              <m:oMath>
                <m:sSub>
                  <m:sSubPr>
                    <m:ctrlPr>
                      <w:rPr>
                        <w:rFonts w:ascii="Cambria Math" w:hAnsi="Cambria Math"/>
                        <w:iCs/>
                        <w:sz w:val="21"/>
                        <w:szCs w:val="21"/>
                      </w:rPr>
                    </m:ctrlPr>
                  </m:sSubPr>
                  <m:e>
                    <m:r>
                      <m:rPr/>
                      <w:rPr>
                        <w:rFonts w:ascii="Cambria Math" w:hAnsi="Cambria Math"/>
                        <w:sz w:val="21"/>
                        <w:szCs w:val="21"/>
                      </w:rPr>
                      <m:t>γ</m:t>
                    </m:r>
                    <m:ctrlPr>
                      <w:rPr>
                        <w:rFonts w:ascii="Cambria Math" w:hAnsi="Cambria Math"/>
                        <w:iCs/>
                        <w:sz w:val="21"/>
                        <w:szCs w:val="21"/>
                      </w:rPr>
                    </m:ctrlPr>
                  </m:e>
                  <m:sub>
                    <m:r>
                      <m:rPr/>
                      <w:rPr>
                        <w:rFonts w:ascii="Cambria Math" w:hAnsi="Cambria Math"/>
                        <w:sz w:val="21"/>
                        <w:szCs w:val="21"/>
                      </w:rPr>
                      <m:t>RE</m:t>
                    </m:r>
                    <m:ctrlPr>
                      <w:rPr>
                        <w:rFonts w:ascii="Cambria Math" w:hAnsi="Cambria Math"/>
                        <w:iCs/>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337" w:type="dxa"/>
            <w:shd w:val="clear" w:color="auto" w:fill="auto"/>
          </w:tcPr>
          <w:p>
            <w:pPr>
              <w:pStyle w:val="189"/>
            </w:pPr>
            <w:r>
              <w:rPr>
                <w:rFonts w:hint="eastAsia"/>
              </w:rPr>
              <w:t>结构构件承载力抗震调整系数</w:t>
            </w:r>
            <w:r>
              <w:t>，应取1</w:t>
            </w:r>
            <w:r>
              <w:rPr>
                <w:rFonts w:hint="eastAsia"/>
              </w:rPr>
              <w:t>.</w:t>
            </w:r>
            <w:r>
              <w:t>0</w:t>
            </w:r>
            <w:r>
              <w:rPr>
                <w:rFonts w:hint="eastAsia"/>
              </w:rPr>
              <w:t>。</w:t>
            </w:r>
          </w:p>
        </w:tc>
      </w:tr>
    </w:tbl>
    <w:p>
      <w:pPr>
        <w:pStyle w:val="188"/>
        <w:ind w:firstLine="480"/>
      </w:pPr>
      <w:r>
        <w:rPr>
          <w:rFonts w:hint="eastAsia"/>
        </w:rPr>
        <w:t>2 正常使用极限状态设计时，结构构件应符合下式规定：</w:t>
      </w:r>
    </w:p>
    <w:tbl>
      <w:tblPr>
        <w:tblStyle w:val="37"/>
        <w:tblW w:w="0" w:type="auto"/>
        <w:jc w:val="right"/>
        <w:tblLayout w:type="fixed"/>
        <w:tblCellMar>
          <w:top w:w="0" w:type="dxa"/>
          <w:left w:w="108" w:type="dxa"/>
          <w:bottom w:w="0" w:type="dxa"/>
          <w:right w:w="108" w:type="dxa"/>
        </w:tblCellMar>
      </w:tblPr>
      <w:tblGrid>
        <w:gridCol w:w="5670"/>
        <w:gridCol w:w="2268"/>
      </w:tblGrid>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rPr>
                <w:rFonts w:ascii="Times New Roman" w:hAnsi="Times New Roman"/>
                <w:snapToGrid w:val="0"/>
              </w:rPr>
            </w:pPr>
            <m:oMathPara>
              <m:oMathParaPr>
                <m:jc m:val="center"/>
              </m:oMathParaPr>
              <m:oMath>
                <m:sSub>
                  <m:sSubPr>
                    <m:ctrlPr>
                      <w:rPr>
                        <w:rFonts w:ascii="Cambria Math" w:hAnsi="Cambria Math"/>
                        <w:iCs/>
                      </w:rPr>
                    </m:ctrlPr>
                  </m:sSubPr>
                  <m:e>
                    <m:r>
                      <m:rPr/>
                      <w:rPr>
                        <w:rFonts w:ascii="Cambria Math" w:hAnsi="Cambria Math"/>
                      </w:rPr>
                      <m:t>d</m:t>
                    </m:r>
                    <m:ctrlPr>
                      <w:rPr>
                        <w:rFonts w:ascii="Cambria Math" w:hAnsi="Cambria Math"/>
                        <w:iCs/>
                      </w:rPr>
                    </m:ctrlPr>
                  </m:e>
                  <m:sub>
                    <m:r>
                      <m:rPr/>
                      <w:rPr>
                        <w:rFonts w:ascii="Cambria Math" w:hAnsi="Cambria Math"/>
                      </w:rPr>
                      <m:t>f</m:t>
                    </m:r>
                    <m:ctrlPr>
                      <w:rPr>
                        <w:rFonts w:ascii="Cambria Math" w:hAnsi="Cambria Math"/>
                        <w:iCs/>
                      </w:rPr>
                    </m:ctrlPr>
                  </m:sub>
                </m:sSub>
                <m:r>
                  <m:rPr/>
                  <w:rPr>
                    <w:rFonts w:ascii="Cambria Math" w:hAnsi="Cambria Math"/>
                    <w:snapToGrid w:val="0"/>
                  </w:rPr>
                  <m:t>≤</m:t>
                </m:r>
                <m:sSub>
                  <m:sSubPr>
                    <m:ctrlPr>
                      <w:rPr>
                        <w:rFonts w:ascii="Cambria Math" w:hAnsi="Cambria Math"/>
                        <w:iCs/>
                      </w:rPr>
                    </m:ctrlPr>
                  </m:sSubPr>
                  <m:e>
                    <m:r>
                      <m:rPr/>
                      <w:rPr>
                        <w:rFonts w:ascii="Cambria Math" w:hAnsi="Cambria Math"/>
                      </w:rPr>
                      <m:t>d</m:t>
                    </m:r>
                    <m:ctrlPr>
                      <w:rPr>
                        <w:rFonts w:ascii="Cambria Math" w:hAnsi="Cambria Math"/>
                        <w:iCs/>
                      </w:rPr>
                    </m:ctrlPr>
                  </m:e>
                  <m:sub>
                    <m:r>
                      <m:rPr/>
                      <w:rPr>
                        <w:rFonts w:ascii="Cambria Math" w:hAnsi="Cambria Math"/>
                      </w:rPr>
                      <m:t>f，lim</m:t>
                    </m:r>
                    <m:ctrlPr>
                      <w:rPr>
                        <w:rFonts w:ascii="Cambria Math" w:hAnsi="Cambria Math"/>
                        <w:iCs/>
                      </w:rPr>
                    </m:ctrlPr>
                  </m:sub>
                </m:sSub>
              </m:oMath>
            </m:oMathPara>
          </w:p>
        </w:tc>
        <w:tc>
          <w:tcPr>
            <w:tcW w:w="2268" w:type="dxa"/>
            <w:shd w:val="clear" w:color="auto" w:fill="auto"/>
            <w:vAlign w:val="center"/>
          </w:tcPr>
          <w:p>
            <w:pPr>
              <w:widowControl w:val="0"/>
              <w:spacing w:line="360" w:lineRule="auto"/>
              <w:jc w:val="right"/>
              <w:rPr>
                <w:rFonts w:ascii="Times New Roman" w:hAnsi="Times New Roman"/>
                <w:sz w:val="21"/>
                <w:szCs w:val="21"/>
              </w:rPr>
            </w:pPr>
            <w:r>
              <w:rPr>
                <w:rFonts w:hint="eastAsia" w:ascii="Times New Roman" w:hAnsi="Times New Roman" w:cs="Times New Roman"/>
                <w:kern w:val="2"/>
              </w:rPr>
              <w:t>（</w:t>
            </w:r>
            <w:r>
              <w:rPr>
                <w:rFonts w:ascii="Times New Roman" w:hAnsi="Times New Roman" w:cs="Times New Roman"/>
                <w:kern w:val="2"/>
              </w:rPr>
              <w:t>4.1.8-3</w:t>
            </w:r>
            <w:r>
              <w:rPr>
                <w:rFonts w:hint="eastAsia" w:ascii="Times New Roman" w:hAnsi="Times New Roman" w:cs="Times New Roman"/>
                <w:kern w:val="2"/>
              </w:rPr>
              <w:t>）</w:t>
            </w:r>
          </w:p>
        </w:tc>
      </w:tr>
    </w:tbl>
    <w:p>
      <w:pPr>
        <w:pStyle w:val="189"/>
        <w:rPr>
          <w:snapToGrid w:val="0"/>
        </w:rPr>
      </w:pPr>
      <w:r>
        <w:rPr>
          <w:snapToGrid w:val="0"/>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sSub>
                  <m:sSubPr>
                    <m:ctrlPr>
                      <w:rPr>
                        <w:rFonts w:ascii="Cambria Math" w:hAnsi="Cambria Math"/>
                        <w:iCs/>
                        <w:sz w:val="21"/>
                        <w:szCs w:val="21"/>
                      </w:rPr>
                    </m:ctrlPr>
                  </m:sSubPr>
                  <m:e>
                    <m:r>
                      <m:rPr/>
                      <w:rPr>
                        <w:rFonts w:ascii="Cambria Math" w:hAnsi="Cambria Math"/>
                        <w:sz w:val="21"/>
                        <w:szCs w:val="21"/>
                      </w:rPr>
                      <m:t>d</m:t>
                    </m:r>
                    <m:ctrlPr>
                      <w:rPr>
                        <w:rFonts w:ascii="Cambria Math" w:hAnsi="Cambria Math"/>
                        <w:iCs/>
                        <w:sz w:val="21"/>
                        <w:szCs w:val="21"/>
                      </w:rPr>
                    </m:ctrlPr>
                  </m:e>
                  <m:sub>
                    <m:r>
                      <m:rPr/>
                      <w:rPr>
                        <w:rFonts w:ascii="Cambria Math" w:hAnsi="Cambria Math"/>
                        <w:sz w:val="21"/>
                        <w:szCs w:val="21"/>
                      </w:rPr>
                      <m:t>f</m:t>
                    </m:r>
                    <m:ctrlPr>
                      <w:rPr>
                        <w:rFonts w:ascii="Cambria Math" w:hAnsi="Cambria Math"/>
                        <w:iCs/>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pStyle w:val="189"/>
            </w:pPr>
            <w:r>
              <w:rPr>
                <w:rFonts w:hint="eastAsia"/>
              </w:rPr>
              <w:t>结构构件的挠度值</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sSub>
                  <m:sSubPr>
                    <m:ctrlPr>
                      <w:rPr>
                        <w:rFonts w:ascii="Cambria Math" w:hAnsi="Cambria Math"/>
                        <w:iCs/>
                        <w:sz w:val="21"/>
                        <w:szCs w:val="21"/>
                      </w:rPr>
                    </m:ctrlPr>
                  </m:sSubPr>
                  <m:e>
                    <m:r>
                      <m:rPr/>
                      <w:rPr>
                        <w:rFonts w:ascii="Cambria Math" w:hAnsi="Cambria Math"/>
                        <w:sz w:val="21"/>
                        <w:szCs w:val="21"/>
                      </w:rPr>
                      <m:t>d</m:t>
                    </m:r>
                    <m:ctrlPr>
                      <w:rPr>
                        <w:rFonts w:ascii="Cambria Math" w:hAnsi="Cambria Math"/>
                        <w:iCs/>
                        <w:sz w:val="21"/>
                        <w:szCs w:val="21"/>
                      </w:rPr>
                    </m:ctrlPr>
                  </m:e>
                  <m:sub>
                    <m:r>
                      <m:rPr/>
                      <w:rPr>
                        <w:rFonts w:ascii="Cambria Math" w:hAnsi="Cambria Math"/>
                        <w:sz w:val="21"/>
                        <w:szCs w:val="21"/>
                      </w:rPr>
                      <m:t>f，lim</m:t>
                    </m:r>
                    <m:ctrlPr>
                      <w:rPr>
                        <w:rFonts w:ascii="Cambria Math" w:hAnsi="Cambria Math"/>
                        <w:iCs/>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pStyle w:val="189"/>
            </w:pPr>
            <w:r>
              <w:rPr>
                <w:rFonts w:hint="eastAsia"/>
              </w:rPr>
              <w:t>结构构件的挠度限值。</w:t>
            </w:r>
          </w:p>
        </w:tc>
      </w:tr>
    </w:tbl>
    <w:p>
      <w:pPr>
        <w:pStyle w:val="188"/>
        <w:ind w:firstLine="480"/>
      </w:pPr>
      <w:r>
        <w:rPr>
          <w:rFonts w:hint="eastAsia"/>
        </w:rPr>
        <w:t>3 双向受弯构件，两个方向的挠度均应符合本条第2款的规定。</w:t>
      </w:r>
    </w:p>
    <w:p>
      <w:pPr>
        <w:pStyle w:val="120"/>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 xml:space="preserve">4.1.8 </w:t>
      </w:r>
      <w:r>
        <w:rPr>
          <w:rFonts w:hint="eastAsia" w:ascii="Times New Roman" w:hAnsi="Times New Roman"/>
          <w:color w:val="000000" w:themeColor="text1"/>
          <w14:textFill>
            <w14:solidFill>
              <w14:schemeClr w14:val="tx1"/>
            </w14:solidFill>
          </w14:textFill>
        </w:rPr>
        <w:t>复</w:t>
      </w:r>
      <w:r>
        <w:rPr>
          <w:rFonts w:hint="eastAsia" w:ascii="Times New Roman" w:hAnsi="Times New Roman"/>
        </w:rPr>
        <w:t>杂的幕墙结构体系，可能在施工阶段的荷载工况比完工后的荷载工况更不利，则需要对施工阶段的安全性做补充验算。</w:t>
      </w:r>
    </w:p>
    <w:p>
      <w:pPr>
        <w:pStyle w:val="189"/>
      </w:pPr>
      <w:r>
        <w:rPr>
          <w:rFonts w:hint="eastAsia"/>
          <w:b/>
        </w:rPr>
        <w:t xml:space="preserve">4.1.9 </w:t>
      </w:r>
      <w:r>
        <w:rPr>
          <w:rFonts w:hint="eastAsia"/>
        </w:rPr>
        <w:t>幕墙结构应根据传力途径对幕墙面板、支承结构、连接件与锚固件等进行计算，确保幕墙的安全适用。</w:t>
      </w:r>
    </w:p>
    <w:p>
      <w:pPr>
        <w:pStyle w:val="189"/>
      </w:pPr>
      <w:r>
        <w:rPr>
          <w:rFonts w:hint="eastAsia"/>
          <w:b/>
        </w:rPr>
        <w:t xml:space="preserve">4.1.10 </w:t>
      </w:r>
      <w:r>
        <w:rPr>
          <w:rFonts w:hint="eastAsia"/>
        </w:rPr>
        <w:t>幕墙结构受力构件的布置，应遵循下列原则：</w:t>
      </w:r>
    </w:p>
    <w:p>
      <w:pPr>
        <w:pStyle w:val="188"/>
        <w:ind w:firstLine="480"/>
      </w:pPr>
      <w:r>
        <w:rPr>
          <w:rFonts w:hint="eastAsia"/>
        </w:rPr>
        <w:t>1构件间的荷载传递路径，应力求简捷、明确，减少不必要的传递环节；</w:t>
      </w:r>
    </w:p>
    <w:p>
      <w:pPr>
        <w:pStyle w:val="188"/>
        <w:ind w:firstLine="480"/>
      </w:pPr>
      <w:r>
        <w:rPr>
          <w:rFonts w:hint="eastAsia"/>
        </w:rPr>
        <w:t>2 幕墙面板与其支承结构、支承结构与主体结构之间，应具有足够的相对位移能力；</w:t>
      </w:r>
    </w:p>
    <w:p>
      <w:pPr>
        <w:pStyle w:val="188"/>
        <w:ind w:firstLine="480"/>
      </w:pPr>
      <w:r>
        <w:t>3 连接部位应具有一定的冗余度，避免因局部失效而对结构造成功能障碍。</w:t>
      </w:r>
    </w:p>
    <w:p>
      <w:pPr>
        <w:pStyle w:val="189"/>
      </w:pPr>
      <w:r>
        <w:rPr>
          <w:rFonts w:hint="eastAsia"/>
          <w:b/>
        </w:rPr>
        <w:t xml:space="preserve">4.1.11 </w:t>
      </w:r>
      <w:r>
        <w:rPr>
          <w:rFonts w:hint="eastAsia"/>
        </w:rPr>
        <w:t>幕墙结构计算，应符合下列规定：</w:t>
      </w:r>
    </w:p>
    <w:p>
      <w:pPr>
        <w:pStyle w:val="188"/>
        <w:ind w:firstLine="480"/>
      </w:pPr>
      <w:r>
        <w:rPr>
          <w:rFonts w:hint="eastAsia"/>
        </w:rPr>
        <w:t>1计算模型应与构件连接的实际情况相符合，计算假定应与结构的实际工作性能相符合；</w:t>
      </w:r>
    </w:p>
    <w:p>
      <w:pPr>
        <w:pStyle w:val="188"/>
        <w:ind w:firstLine="480"/>
      </w:pPr>
      <w:r>
        <w:rPr>
          <w:rFonts w:hint="eastAsia"/>
        </w:rPr>
        <w:t>2结构内力和变形可按弹性方法计算。当变形对结构内力和变形的影响不可忽略时，尚应考虑几何非线性的影响；</w:t>
      </w:r>
    </w:p>
    <w:p>
      <w:pPr>
        <w:pStyle w:val="188"/>
        <w:ind w:firstLine="480"/>
      </w:pPr>
      <w:r>
        <w:rPr>
          <w:rFonts w:hint="eastAsia"/>
        </w:rPr>
        <w:t>3规则构件可按解析或近似公式计算，具有复杂边界或作用的构件可采用有限元方法计算；</w:t>
      </w:r>
    </w:p>
    <w:p>
      <w:pPr>
        <w:pStyle w:val="188"/>
        <w:ind w:firstLine="480"/>
      </w:pPr>
      <w:r>
        <w:rPr>
          <w:rFonts w:hint="eastAsia"/>
        </w:rPr>
        <w:t>4对于桁架支承结构及其他大跨度钢结构，尚应考虑结构和构件的稳定性。</w:t>
      </w:r>
    </w:p>
    <w:p>
      <w:pPr>
        <w:pStyle w:val="120"/>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 xml:space="preserve">4.1.12 </w:t>
      </w:r>
      <w:r>
        <w:rPr>
          <w:rFonts w:hint="eastAsia" w:ascii="Times New Roman" w:hAnsi="Times New Roman"/>
          <w:color w:val="000000" w:themeColor="text1"/>
          <w14:textFill>
            <w14:solidFill>
              <w14:schemeClr w14:val="tx1"/>
            </w14:solidFill>
          </w14:textFill>
        </w:rPr>
        <w:t>对</w:t>
      </w:r>
      <w:r>
        <w:rPr>
          <w:rFonts w:hint="eastAsia" w:ascii="Times New Roman" w:hAnsi="Times New Roman"/>
        </w:rPr>
        <w:t>于玻璃面板、金属面板以及索支承结构、膜结构等，由于结构体系刚度相对较小、变形较大，结构内力和变形计算时应考虑几何非线性的影响。</w:t>
      </w:r>
    </w:p>
    <w:p>
      <w:pPr>
        <w:pStyle w:val="189"/>
      </w:pPr>
      <w:r>
        <w:rPr>
          <w:rFonts w:hint="eastAsia"/>
          <w:b/>
        </w:rPr>
        <w:t xml:space="preserve">4.1.12 </w:t>
      </w:r>
      <w:r>
        <w:rPr>
          <w:rFonts w:hint="eastAsia"/>
        </w:rPr>
        <w:t>幕墙结构设计应涵盖最不利构件和节点在最不利工况时极限状态的验算。对建筑物转角部位、平面或立面突变部位的构件和连接应作专项验算。转角部位的幕墙结构应考虑不同方向的风荷载组合，并分解至构件主轴上按构件强轴、弱轴分别验算。</w:t>
      </w:r>
    </w:p>
    <w:p>
      <w:pPr>
        <w:pStyle w:val="120"/>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 xml:space="preserve">4.1.13 </w:t>
      </w:r>
      <w:r>
        <w:rPr>
          <w:rFonts w:hint="eastAsia" w:ascii="Times New Roman" w:hAnsi="Times New Roman"/>
          <w:color w:val="000000" w:themeColor="text1"/>
          <w14:textFill>
            <w14:solidFill>
              <w14:schemeClr w14:val="tx1"/>
            </w14:solidFill>
          </w14:textFill>
        </w:rPr>
        <w:t>转角</w:t>
      </w:r>
      <w:r>
        <w:rPr>
          <w:rFonts w:hint="eastAsia" w:ascii="Times New Roman" w:hAnsi="Times New Roman"/>
        </w:rPr>
        <w:t>处幕墙构件通常</w:t>
      </w:r>
      <w:r>
        <w:rPr>
          <w:rFonts w:ascii="Times New Roman" w:hAnsi="Times New Roman"/>
        </w:rPr>
        <w:t>45度布置，应将角部两个方向的荷载分解至构件主截面上（即</w:t>
      </w:r>
      <w:r>
        <w:rPr>
          <w:rFonts w:hint="eastAsia" w:ascii="Times New Roman" w:hAnsi="Times New Roman"/>
        </w:rPr>
        <w:t>主轴上），然后按强轴和弱轴分别进行强度和挠度验算。</w:t>
      </w:r>
    </w:p>
    <w:p>
      <w:pPr>
        <w:pStyle w:val="189"/>
        <w:rPr>
          <w:bCs w:val="0"/>
        </w:rPr>
      </w:pPr>
      <w:r>
        <w:rPr>
          <w:rFonts w:hint="eastAsia"/>
          <w:b/>
        </w:rPr>
        <w:t>4.1.13</w:t>
      </w:r>
      <w:r>
        <w:rPr>
          <w:rFonts w:hint="eastAsia"/>
          <w:bCs w:val="0"/>
        </w:rPr>
        <w:t xml:space="preserve"> 幕墙施工过程分析计算应符合下列规定：</w:t>
      </w:r>
    </w:p>
    <w:p>
      <w:pPr>
        <w:pStyle w:val="200"/>
        <w:widowControl w:val="0"/>
        <w:numPr>
          <w:ilvl w:val="4"/>
          <w:numId w:val="10"/>
        </w:numPr>
        <w:tabs>
          <w:tab w:val="left" w:pos="420"/>
        </w:tabs>
        <w:autoSpaceDE w:val="0"/>
        <w:autoSpaceDN w:val="0"/>
      </w:pPr>
      <w:r>
        <w:t xml:space="preserve"> </w:t>
      </w:r>
      <w:r>
        <w:rPr>
          <w:rStyle w:val="130"/>
        </w:rPr>
        <w:t>各阶段施工分析应计入施工过程的影响，否则应进行施工过程多工况的连续求解。</w:t>
      </w:r>
    </w:p>
    <w:p>
      <w:pPr>
        <w:pStyle w:val="200"/>
        <w:widowControl w:val="0"/>
        <w:numPr>
          <w:ilvl w:val="4"/>
          <w:numId w:val="11"/>
        </w:numPr>
        <w:tabs>
          <w:tab w:val="left" w:pos="420"/>
        </w:tabs>
        <w:autoSpaceDE w:val="0"/>
        <w:autoSpaceDN w:val="0"/>
      </w:pPr>
      <w:r>
        <w:t xml:space="preserve"> </w:t>
      </w:r>
      <w:r>
        <w:rPr>
          <w:rStyle w:val="130"/>
        </w:rPr>
        <w:t>施工阶段的承载能力极限状态验算应根据现行国家标准《工程结构通用规范》GB 55001的有关规定按短暂设计状况进行并应根据需要进行正常使用极限状态验算。</w:t>
      </w:r>
    </w:p>
    <w:p>
      <w:pPr>
        <w:pStyle w:val="200"/>
        <w:widowControl w:val="0"/>
        <w:numPr>
          <w:ilvl w:val="4"/>
          <w:numId w:val="11"/>
        </w:numPr>
        <w:tabs>
          <w:tab w:val="left" w:pos="420"/>
        </w:tabs>
        <w:autoSpaceDE w:val="0"/>
        <w:autoSpaceDN w:val="0"/>
      </w:pPr>
      <w:r>
        <w:t xml:space="preserve"> </w:t>
      </w:r>
      <w:r>
        <w:rPr>
          <w:rStyle w:val="130"/>
        </w:rPr>
        <w:t>施工阶段验算应符合下列规定</w:t>
      </w:r>
      <w:r>
        <w:rPr>
          <w:rStyle w:val="130"/>
          <w:rFonts w:hint="eastAsia"/>
        </w:rPr>
        <w:t>：</w:t>
      </w:r>
    </w:p>
    <w:p>
      <w:pPr>
        <w:pStyle w:val="212"/>
        <w:numPr>
          <w:ilvl w:val="5"/>
          <w:numId w:val="12"/>
        </w:numPr>
        <w:tabs>
          <w:tab w:val="left" w:pos="420"/>
        </w:tabs>
        <w:rPr>
          <w:rFonts w:hint="default" w:ascii="Times New Roman" w:hAnsi="Times New Roman" w:eastAsia="宋体"/>
          <w:lang w:eastAsia="zh-CN"/>
        </w:rPr>
      </w:pPr>
      <w:r>
        <w:rPr>
          <w:rFonts w:hint="default" w:ascii="Times New Roman" w:hAnsi="Times New Roman" w:eastAsia="宋体"/>
          <w:lang w:eastAsia="zh-CN"/>
        </w:rPr>
        <w:t xml:space="preserve"> </w:t>
      </w:r>
      <w:r>
        <w:rPr>
          <w:rStyle w:val="130"/>
          <w:rFonts w:hint="default" w:ascii="Times New Roman" w:hAnsi="Times New Roman" w:eastAsia="宋体"/>
          <w:lang w:eastAsia="zh-CN"/>
        </w:rPr>
        <w:t>当安全等级为一级，结构重要性系数不应小于 1.1；</w:t>
      </w:r>
    </w:p>
    <w:p>
      <w:pPr>
        <w:pStyle w:val="212"/>
        <w:numPr>
          <w:ilvl w:val="5"/>
          <w:numId w:val="12"/>
        </w:numPr>
        <w:tabs>
          <w:tab w:val="left" w:pos="420"/>
        </w:tabs>
        <w:rPr>
          <w:rFonts w:hint="default" w:ascii="Times New Roman" w:hAnsi="Times New Roman" w:eastAsia="宋体"/>
          <w:lang w:eastAsia="zh-CN"/>
        </w:rPr>
      </w:pPr>
      <w:r>
        <w:rPr>
          <w:rFonts w:hint="default" w:ascii="Times New Roman" w:hAnsi="Times New Roman" w:eastAsia="宋体"/>
          <w:lang w:eastAsia="zh-CN"/>
        </w:rPr>
        <w:t xml:space="preserve"> </w:t>
      </w:r>
      <w:r>
        <w:rPr>
          <w:rStyle w:val="130"/>
          <w:rFonts w:hint="default" w:ascii="Times New Roman" w:hAnsi="Times New Roman" w:eastAsia="宋体"/>
          <w:lang w:eastAsia="zh-CN"/>
        </w:rPr>
        <w:t>当安全等级为二级，结构重要性系数不应小于 1.0；</w:t>
      </w:r>
    </w:p>
    <w:p>
      <w:pPr>
        <w:pStyle w:val="212"/>
        <w:numPr>
          <w:ilvl w:val="5"/>
          <w:numId w:val="11"/>
        </w:numPr>
        <w:rPr>
          <w:rFonts w:hint="default" w:ascii="Times New Roman" w:hAnsi="Times New Roman" w:eastAsia="宋体"/>
          <w:lang w:eastAsia="zh-CN"/>
        </w:rPr>
      </w:pPr>
      <w:r>
        <w:rPr>
          <w:rFonts w:hint="default" w:ascii="Times New Roman" w:hAnsi="Times New Roman" w:eastAsia="宋体"/>
          <w:lang w:eastAsia="zh-CN"/>
        </w:rPr>
        <w:t xml:space="preserve"> </w:t>
      </w:r>
      <w:r>
        <w:rPr>
          <w:rStyle w:val="130"/>
          <w:rFonts w:hint="default" w:ascii="Times New Roman" w:hAnsi="Times New Roman" w:eastAsia="宋体"/>
          <w:lang w:eastAsia="zh-CN"/>
        </w:rPr>
        <w:t>当安全等级为三级，结构重要性系数不应小于 0.9；</w:t>
      </w:r>
    </w:p>
    <w:p>
      <w:pPr>
        <w:pStyle w:val="212"/>
        <w:numPr>
          <w:ilvl w:val="5"/>
          <w:numId w:val="11"/>
        </w:numPr>
        <w:rPr>
          <w:rFonts w:hint="default" w:ascii="Times New Roman" w:hAnsi="Times New Roman" w:eastAsia="宋体"/>
          <w:lang w:eastAsia="zh-CN"/>
        </w:rPr>
      </w:pPr>
      <w:r>
        <w:rPr>
          <w:rFonts w:hint="default" w:ascii="Times New Roman" w:hAnsi="Times New Roman" w:eastAsia="宋体"/>
          <w:lang w:eastAsia="zh-CN"/>
        </w:rPr>
        <w:t xml:space="preserve"> </w:t>
      </w:r>
      <w:r>
        <w:rPr>
          <w:rStyle w:val="130"/>
          <w:rFonts w:hint="default" w:ascii="Times New Roman" w:hAnsi="Times New Roman" w:eastAsia="宋体"/>
          <w:lang w:eastAsia="zh-CN"/>
        </w:rPr>
        <w:t>临时支撑结构的重要性系数不宜小于 1.0。</w:t>
      </w:r>
    </w:p>
    <w:p>
      <w:pPr>
        <w:pStyle w:val="200"/>
        <w:widowControl w:val="0"/>
        <w:numPr>
          <w:ilvl w:val="4"/>
          <w:numId w:val="11"/>
        </w:numPr>
        <w:tabs>
          <w:tab w:val="left" w:pos="420"/>
        </w:tabs>
        <w:autoSpaceDE w:val="0"/>
        <w:autoSpaceDN w:val="0"/>
      </w:pPr>
      <w:r>
        <w:rPr>
          <w:rFonts w:hint="eastAsia"/>
        </w:rPr>
        <w:t xml:space="preserve"> </w:t>
      </w:r>
      <w:r>
        <w:rPr>
          <w:rStyle w:val="130"/>
          <w:rFonts w:hint="eastAsia"/>
        </w:rPr>
        <w:t>施工阶段验算应按现行国家标准《工程结构通用规范》GB 55001、《钢结构工程施工规范》GB 50755 和《建筑结构荷载规范》GB 50009 的有关规定进行荷载取值和组合，同时应根据结构各施工阶段的实际荷载情况及工程所处的地理位置及环境，综合分析温度、风、雪等荷载的影响，可忽略地震和偶然荷载的作用。</w:t>
      </w:r>
    </w:p>
    <w:p>
      <w:pPr>
        <w:pStyle w:val="200"/>
        <w:widowControl w:val="0"/>
        <w:numPr>
          <w:ilvl w:val="4"/>
          <w:numId w:val="11"/>
        </w:numPr>
        <w:tabs>
          <w:tab w:val="left" w:pos="420"/>
        </w:tabs>
        <w:autoSpaceDE w:val="0"/>
        <w:autoSpaceDN w:val="0"/>
      </w:pPr>
      <w:r>
        <w:rPr>
          <w:rFonts w:hint="eastAsia"/>
        </w:rPr>
        <w:t xml:space="preserve"> </w:t>
      </w:r>
      <w:r>
        <w:rPr>
          <w:rStyle w:val="130"/>
          <w:rFonts w:hint="eastAsia"/>
        </w:rPr>
        <w:t>施工阶段计算模型中的结构构件、工装构件、边界条件、荷载条件和预应力作用等应与实际情况一致，同时验算其强度、稳定性和刚度，验算结果应满足设计要求及国家现行相关标准的规定。宜建立包含整体结构和施工措施的完整模型。牵引提升过程分析时，尚应包含施工设备、工装等附加荷载的影响。</w:t>
      </w:r>
    </w:p>
    <w:p>
      <w:pPr>
        <w:pStyle w:val="200"/>
        <w:widowControl w:val="0"/>
        <w:numPr>
          <w:ilvl w:val="4"/>
          <w:numId w:val="11"/>
        </w:numPr>
        <w:tabs>
          <w:tab w:val="left" w:pos="420"/>
        </w:tabs>
        <w:autoSpaceDE w:val="0"/>
        <w:autoSpaceDN w:val="0"/>
        <w:rPr>
          <w:rStyle w:val="130"/>
          <w:kern w:val="0"/>
          <w:sz w:val="24"/>
        </w:rPr>
      </w:pPr>
      <w:r>
        <w:rPr>
          <w:rFonts w:hint="eastAsia"/>
        </w:rPr>
        <w:t xml:space="preserve"> </w:t>
      </w:r>
      <w:r>
        <w:rPr>
          <w:rStyle w:val="130"/>
          <w:rFonts w:hint="eastAsia"/>
        </w:rPr>
        <w:t>施工全过程分析结果应满足结构安全性要求，且主要构件应处于弹性应力状态。根据施工过程分析得到的施工成形状态与设计成形状态的偏差应得到设计单位的认可。</w:t>
      </w:r>
    </w:p>
    <w:p>
      <w:pPr>
        <w:pStyle w:val="189"/>
      </w:pPr>
      <w:r>
        <w:rPr>
          <w:rFonts w:hint="eastAsia"/>
          <w:b/>
        </w:rPr>
        <w:t>4.1.14</w:t>
      </w:r>
      <w:r>
        <w:rPr>
          <w:rFonts w:hint="eastAsia"/>
          <w:bCs w:val="0"/>
        </w:rPr>
        <w:t xml:space="preserve"> 对于节点的分析应符合下列要求：</w:t>
      </w:r>
    </w:p>
    <w:p>
      <w:pPr>
        <w:pStyle w:val="200"/>
        <w:widowControl w:val="0"/>
        <w:numPr>
          <w:ilvl w:val="4"/>
          <w:numId w:val="13"/>
        </w:numPr>
        <w:tabs>
          <w:tab w:val="left" w:pos="0"/>
          <w:tab w:val="left" w:pos="420"/>
        </w:tabs>
        <w:autoSpaceDE w:val="0"/>
        <w:autoSpaceDN w:val="0"/>
      </w:pPr>
      <w:r>
        <w:t xml:space="preserve"> </w:t>
      </w:r>
      <w:r>
        <w:rPr>
          <w:rStyle w:val="130"/>
        </w:rPr>
        <w:t>对于由基本类型组合而成的节点，除了应分别验算节点各基本部分承载力外，尚应进行整体节点的承载力验算，并应考虑节点变形的影响。</w:t>
      </w:r>
    </w:p>
    <w:p>
      <w:pPr>
        <w:pStyle w:val="200"/>
        <w:widowControl w:val="0"/>
        <w:numPr>
          <w:ilvl w:val="4"/>
          <w:numId w:val="11"/>
        </w:numPr>
        <w:tabs>
          <w:tab w:val="left" w:pos="420"/>
        </w:tabs>
        <w:autoSpaceDE w:val="0"/>
        <w:autoSpaceDN w:val="0"/>
      </w:pPr>
      <w:r>
        <w:t xml:space="preserve"> </w:t>
      </w:r>
      <w:r>
        <w:rPr>
          <w:rStyle w:val="130"/>
        </w:rPr>
        <w:t>对于构造和受力复杂的节点宜进行有限元数值模拟分析，其承载力和变形验算应符合下列规定</w:t>
      </w:r>
      <w:r>
        <w:rPr>
          <w:rStyle w:val="130"/>
          <w:rFonts w:hint="eastAsia"/>
          <w:lang w:eastAsia="zh-CN"/>
        </w:rPr>
        <w:t>：</w:t>
      </w:r>
    </w:p>
    <w:p>
      <w:pPr>
        <w:pStyle w:val="212"/>
        <w:numPr>
          <w:ilvl w:val="5"/>
          <w:numId w:val="14"/>
        </w:numPr>
        <w:tabs>
          <w:tab w:val="left" w:pos="420"/>
        </w:tabs>
        <w:rPr>
          <w:rFonts w:hint="default" w:ascii="Times New Roman" w:hAnsi="Times New Roman" w:eastAsia="宋体"/>
          <w:lang w:eastAsia="zh-CN"/>
        </w:rPr>
      </w:pPr>
      <w:r>
        <w:rPr>
          <w:rFonts w:hint="default" w:ascii="Times New Roman" w:hAnsi="Times New Roman" w:eastAsia="宋体"/>
          <w:lang w:eastAsia="zh-CN"/>
        </w:rPr>
        <w:t xml:space="preserve"> </w:t>
      </w:r>
      <w:r>
        <w:rPr>
          <w:rStyle w:val="130"/>
          <w:rFonts w:hint="default" w:ascii="Times New Roman" w:hAnsi="Times New Roman" w:eastAsia="宋体"/>
          <w:lang w:eastAsia="zh-CN"/>
        </w:rPr>
        <w:t>数值分析模型应具有与实际节点相符的构造、形式、荷载及约束条件</w:t>
      </w:r>
      <w:r>
        <w:rPr>
          <w:rStyle w:val="130"/>
          <w:rFonts w:hint="eastAsia" w:ascii="Times New Roman" w:hAnsi="Times New Roman" w:eastAsia="宋体"/>
          <w:lang w:eastAsia="zh-CN"/>
        </w:rPr>
        <w:t>；</w:t>
      </w:r>
      <w:r>
        <w:rPr>
          <w:rStyle w:val="130"/>
          <w:rFonts w:hint="default" w:ascii="Times New Roman" w:hAnsi="Times New Roman" w:eastAsia="宋体"/>
          <w:lang w:eastAsia="zh-CN"/>
        </w:rPr>
        <w:t>节点承受多种荷载工况时，应对各种起控制作用的荷载组合进行计算；</w:t>
      </w:r>
    </w:p>
    <w:p>
      <w:pPr>
        <w:pStyle w:val="212"/>
        <w:numPr>
          <w:ilvl w:val="5"/>
          <w:numId w:val="11"/>
        </w:numPr>
        <w:rPr>
          <w:rFonts w:hint="default" w:ascii="Times New Roman" w:hAnsi="Times New Roman" w:eastAsia="宋体"/>
          <w:lang w:eastAsia="zh-CN"/>
        </w:rPr>
      </w:pPr>
      <w:r>
        <w:rPr>
          <w:rFonts w:hint="default" w:ascii="Times New Roman" w:hAnsi="Times New Roman" w:eastAsia="宋体"/>
          <w:lang w:eastAsia="zh-CN"/>
        </w:rPr>
        <w:t xml:space="preserve"> </w:t>
      </w:r>
      <w:r>
        <w:rPr>
          <w:rStyle w:val="130"/>
          <w:rFonts w:hint="default" w:ascii="Times New Roman" w:hAnsi="Times New Roman" w:eastAsia="宋体"/>
          <w:lang w:eastAsia="zh-CN"/>
        </w:rPr>
        <w:t>弹塑性有限元分析中，节点材料的应力</w:t>
      </w:r>
      <w:r>
        <w:rPr>
          <w:rStyle w:val="130"/>
          <w:rFonts w:hint="eastAsia" w:ascii="Times New Roman" w:hAnsi="Times New Roman" w:eastAsia="宋体"/>
          <w:lang w:eastAsia="zh-CN"/>
        </w:rPr>
        <w:t>－</w:t>
      </w:r>
      <w:r>
        <w:rPr>
          <w:rStyle w:val="130"/>
          <w:rFonts w:hint="default" w:ascii="Times New Roman" w:hAnsi="Times New Roman" w:eastAsia="宋体"/>
          <w:lang w:eastAsia="zh-CN"/>
        </w:rPr>
        <w:t>应变曲线可采用具有强化刚度的双折线模型；</w:t>
      </w:r>
    </w:p>
    <w:p>
      <w:pPr>
        <w:pStyle w:val="212"/>
        <w:numPr>
          <w:ilvl w:val="5"/>
          <w:numId w:val="11"/>
        </w:numPr>
        <w:rPr>
          <w:rStyle w:val="130"/>
          <w:rFonts w:hint="default" w:ascii="Times New Roman" w:hAnsi="Times New Roman" w:eastAsia="宋体"/>
          <w:lang w:eastAsia="zh-CN"/>
        </w:rPr>
      </w:pPr>
      <w:r>
        <w:rPr>
          <w:rFonts w:hint="default" w:ascii="Times New Roman" w:hAnsi="Times New Roman" w:eastAsia="宋体"/>
          <w:lang w:eastAsia="zh-CN"/>
        </w:rPr>
        <w:t xml:space="preserve"> </w:t>
      </w:r>
      <w:r>
        <w:rPr>
          <w:rStyle w:val="130"/>
          <w:rFonts w:hint="default" w:ascii="Times New Roman" w:hAnsi="Times New Roman" w:eastAsia="宋体"/>
          <w:lang w:eastAsia="zh-CN"/>
        </w:rPr>
        <w:t>节点极限承载力可根据弹塑性有限元分析得出的荷载-位移全过程曲线确定，节点承载力设计值不应大于弹塑性有限元分析所得极限承载力的 1/2。</w:t>
      </w:r>
    </w:p>
    <w:p>
      <w:pPr>
        <w:pStyle w:val="200"/>
        <w:widowControl w:val="0"/>
        <w:numPr>
          <w:ilvl w:val="4"/>
          <w:numId w:val="11"/>
        </w:numPr>
        <w:tabs>
          <w:tab w:val="left" w:pos="420"/>
        </w:tabs>
        <w:autoSpaceDE w:val="0"/>
        <w:autoSpaceDN w:val="0"/>
      </w:pPr>
      <w:r>
        <w:t xml:space="preserve"> </w:t>
      </w:r>
      <w:r>
        <w:rPr>
          <w:rStyle w:val="130"/>
        </w:rPr>
        <w:t>节点中以受拉为主的焊缝质量等级宜为一级，其他焊缝的质量等级不宜低于二级。</w:t>
      </w:r>
    </w:p>
    <w:p>
      <w:pPr>
        <w:pStyle w:val="200"/>
      </w:pPr>
    </w:p>
    <w:p>
      <w:pPr>
        <w:pStyle w:val="198"/>
        <w:rPr>
          <w:rFonts w:ascii="Times New Roman" w:hAnsi="Times New Roman"/>
        </w:rPr>
      </w:pPr>
      <w:bookmarkStart w:id="33" w:name="_Toc162996210"/>
      <w:r>
        <w:rPr>
          <w:rFonts w:ascii="Times New Roman" w:hAnsi="Times New Roman"/>
        </w:rPr>
        <w:t>4.2 结构作用</w:t>
      </w:r>
      <w:bookmarkEnd w:id="33"/>
    </w:p>
    <w:p>
      <w:pPr>
        <w:pStyle w:val="200"/>
      </w:pPr>
      <w:r>
        <w:rPr>
          <w:rFonts w:hint="eastAsia"/>
          <w:b/>
        </w:rPr>
        <w:t xml:space="preserve">4.2.1 </w:t>
      </w:r>
      <w:r>
        <w:rPr>
          <w:rFonts w:hint="eastAsia"/>
        </w:rPr>
        <w:t>幕墙承受的风荷载标准值应按公式</w:t>
      </w:r>
      <w:r>
        <w:t>（</w:t>
      </w:r>
      <w:r>
        <w:rPr>
          <w:rFonts w:hint="eastAsia"/>
        </w:rPr>
        <w:t>4</w:t>
      </w:r>
      <w:r>
        <w:t>.</w:t>
      </w:r>
      <w:r>
        <w:rPr>
          <w:rFonts w:hint="eastAsia"/>
        </w:rPr>
        <w:t>2</w:t>
      </w:r>
      <w:r>
        <w:t>.</w:t>
      </w:r>
      <w:r>
        <w:rPr>
          <w:rFonts w:hint="eastAsia"/>
        </w:rPr>
        <w:t>1</w:t>
      </w:r>
      <w:r>
        <w:t>-</w:t>
      </w:r>
      <w:r>
        <w:rPr>
          <w:rFonts w:hint="eastAsia"/>
        </w:rPr>
        <w:t>1</w:t>
      </w:r>
      <w:r>
        <w:t>）、（</w:t>
      </w:r>
      <w:r>
        <w:rPr>
          <w:rFonts w:hint="eastAsia"/>
        </w:rPr>
        <w:t>4</w:t>
      </w:r>
      <w:r>
        <w:t>.</w:t>
      </w:r>
      <w:r>
        <w:rPr>
          <w:rFonts w:hint="eastAsia"/>
        </w:rPr>
        <w:t>2</w:t>
      </w:r>
      <w:r>
        <w:t>.</w:t>
      </w:r>
      <w:r>
        <w:rPr>
          <w:rFonts w:hint="eastAsia"/>
        </w:rPr>
        <w:t>1</w:t>
      </w:r>
      <w:r>
        <w:t>-</w:t>
      </w:r>
      <w:r>
        <w:rPr>
          <w:rFonts w:hint="eastAsia"/>
        </w:rPr>
        <w:t>2</w:t>
      </w:r>
      <w:r>
        <w:t>）</w:t>
      </w:r>
      <w:r>
        <w:rPr>
          <w:rFonts w:hint="eastAsia"/>
        </w:rPr>
        <w:t>计算：</w:t>
      </w:r>
    </w:p>
    <w:tbl>
      <w:tblPr>
        <w:tblStyle w:val="37"/>
        <w:tblW w:w="0" w:type="auto"/>
        <w:jc w:val="right"/>
        <w:tblLayout w:type="fixed"/>
        <w:tblCellMar>
          <w:top w:w="0" w:type="dxa"/>
          <w:left w:w="108" w:type="dxa"/>
          <w:bottom w:w="0" w:type="dxa"/>
          <w:right w:w="108" w:type="dxa"/>
        </w:tblCellMar>
      </w:tblPr>
      <w:tblGrid>
        <w:gridCol w:w="5670"/>
        <w:gridCol w:w="2268"/>
      </w:tblGrid>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rPr>
                <w:rFonts w:ascii="Times New Roman" w:hAnsi="Times New Roman"/>
                <w:snapToGrid w:val="0"/>
              </w:rPr>
            </w:pPr>
            <m:oMathPara>
              <m:oMathParaPr>
                <m:jc m:val="center"/>
              </m:oMathParaPr>
              <m:oMath>
                <m:sSub>
                  <m:sSubPr>
                    <m:ctrlPr>
                      <w:rPr>
                        <w:rFonts w:ascii="Cambria Math" w:hAnsi="Cambria Math"/>
                      </w:rPr>
                    </m:ctrlPr>
                  </m:sSubPr>
                  <m:e>
                    <m:r>
                      <m:rPr/>
                      <w:rPr>
                        <w:rFonts w:ascii="Cambria Math" w:hAnsi="Cambria Math"/>
                      </w:rPr>
                      <m:t>w</m:t>
                    </m:r>
                    <m:ctrlPr>
                      <w:rPr>
                        <w:rFonts w:ascii="Cambria Math" w:hAnsi="Cambria Math"/>
                      </w:rPr>
                    </m:ctrlPr>
                  </m:e>
                  <m:sub>
                    <m:r>
                      <m:rPr/>
                      <w:rPr>
                        <w:rFonts w:ascii="Cambria Math" w:hAnsi="Cambria Math"/>
                      </w:rPr>
                      <m:t>k</m:t>
                    </m:r>
                    <m:ctrlPr>
                      <w:rPr>
                        <w:rFonts w:ascii="Cambria Math" w:hAnsi="Cambria Math"/>
                      </w:rPr>
                    </m:ctrlP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w:rPr>
                            <w:rFonts w:ascii="Cambria Math" w:hAnsi="Cambria Math"/>
                            <w:snapToGrid w:val="0"/>
                          </w:rPr>
                          <m:t>η</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snapToGrid w:val="0"/>
                      </w:rPr>
                      <m:t>η</m:t>
                    </m:r>
                    <m:ctrlPr>
                      <w:rPr>
                        <w:rFonts w:ascii="Cambria Math" w:hAnsi="Cambria Math"/>
                      </w:rPr>
                    </m:ctrlPr>
                  </m:e>
                  <m:sub>
                    <m:r>
                      <m:rPr/>
                      <w:rPr>
                        <w:rFonts w:ascii="Cambria Math" w:hAnsi="Cambria Math"/>
                      </w:rPr>
                      <m:t>B</m:t>
                    </m:r>
                    <m:ctrlPr>
                      <w:rPr>
                        <w:rFonts w:ascii="Cambria Math" w:hAnsi="Cambria Math"/>
                      </w:rPr>
                    </m:ctrlPr>
                  </m:sub>
                </m:sSub>
                <m:sSub>
                  <m:sSubPr>
                    <m:ctrlPr>
                      <w:rPr>
                        <w:rFonts w:ascii="Cambria Math" w:hAnsi="Cambria Math"/>
                        <w:snapToGrid w:val="0"/>
                      </w:rPr>
                    </m:ctrlPr>
                  </m:sSubPr>
                  <m:e>
                    <m:r>
                      <m:rPr/>
                      <w:rPr>
                        <w:rFonts w:ascii="Cambria Math" w:hAnsi="Cambria Math"/>
                        <w:snapToGrid w:val="0"/>
                      </w:rPr>
                      <m:t>β</m:t>
                    </m:r>
                    <m:ctrlPr>
                      <w:rPr>
                        <w:rFonts w:ascii="Cambria Math" w:hAnsi="Cambria Math"/>
                        <w:snapToGrid w:val="0"/>
                      </w:rPr>
                    </m:ctrlPr>
                  </m:e>
                  <m:sub>
                    <m:r>
                      <m:rPr/>
                      <w:rPr>
                        <w:rFonts w:ascii="Cambria Math" w:hAnsi="Cambria Math"/>
                        <w:snapToGrid w:val="0"/>
                      </w:rPr>
                      <m:t>gz</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μ</m:t>
                    </m:r>
                    <m:ctrlPr>
                      <w:rPr>
                        <w:rFonts w:ascii="Cambria Math" w:hAnsi="Cambria Math"/>
                        <w:snapToGrid w:val="0"/>
                      </w:rPr>
                    </m:ctrlPr>
                  </m:e>
                  <m:sub>
                    <m:r>
                      <m:rPr/>
                      <w:rPr>
                        <w:rFonts w:ascii="Cambria Math" w:hAnsi="Cambria Math"/>
                        <w:snapToGrid w:val="0"/>
                      </w:rPr>
                      <m:t>sl</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μ</m:t>
                    </m:r>
                    <m:ctrlPr>
                      <w:rPr>
                        <w:rFonts w:ascii="Cambria Math" w:hAnsi="Cambria Math"/>
                        <w:snapToGrid w:val="0"/>
                      </w:rPr>
                    </m:ctrlPr>
                  </m:e>
                  <m:sub>
                    <m:r>
                      <m:rPr/>
                      <w:rPr>
                        <w:rFonts w:ascii="Cambria Math" w:hAnsi="Cambria Math"/>
                        <w:snapToGrid w:val="0"/>
                      </w:rPr>
                      <m:t>z</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w</m:t>
                    </m:r>
                    <m:ctrlPr>
                      <w:rPr>
                        <w:rFonts w:ascii="Cambria Math" w:hAnsi="Cambria Math"/>
                        <w:snapToGrid w:val="0"/>
                      </w:rPr>
                    </m:ctrlPr>
                  </m:e>
                  <m:sub>
                    <m:r>
                      <m:rPr>
                        <m:sty m:val="p"/>
                      </m:rPr>
                      <w:rPr>
                        <w:rFonts w:ascii="Cambria Math" w:hAnsi="Cambria Math"/>
                        <w:snapToGrid w:val="0"/>
                      </w:rPr>
                      <m:t>0</m:t>
                    </m:r>
                    <m:ctrlPr>
                      <w:rPr>
                        <w:rFonts w:ascii="Cambria Math" w:hAnsi="Cambria Math"/>
                        <w:snapToGrid w:val="0"/>
                      </w:rPr>
                    </m:ctrlPr>
                  </m:sub>
                </m:sSub>
              </m:oMath>
            </m:oMathPara>
          </w:p>
        </w:tc>
        <w:tc>
          <w:tcPr>
            <w:tcW w:w="2268" w:type="dxa"/>
            <w:shd w:val="clear" w:color="auto" w:fill="auto"/>
            <w:vAlign w:val="center"/>
          </w:tcPr>
          <w:p>
            <w:pPr>
              <w:widowControl w:val="0"/>
              <w:spacing w:line="360" w:lineRule="auto"/>
              <w:jc w:val="right"/>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4.2.1-1</w:t>
            </w:r>
            <w:r>
              <w:rPr>
                <w:rFonts w:hint="eastAsia" w:ascii="Times New Roman" w:hAnsi="Times New Roman" w:cs="Times New Roman"/>
                <w:kern w:val="2"/>
              </w:rPr>
              <w:t>）</w:t>
            </w:r>
          </w:p>
        </w:tc>
      </w:tr>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rPr>
                <w:rFonts w:ascii="Times New Roman" w:hAnsi="Times New Roman"/>
              </w:rPr>
            </w:pPr>
            <m:oMathPara>
              <m:oMath>
                <m:sSub>
                  <m:sSubPr>
                    <m:ctrlPr>
                      <w:rPr>
                        <w:rFonts w:ascii="Cambria Math" w:hAnsi="Cambria Math"/>
                        <w:snapToGrid w:val="0"/>
                      </w:rPr>
                    </m:ctrlPr>
                  </m:sSubPr>
                  <m:e>
                    <m:r>
                      <m:rPr/>
                      <w:rPr>
                        <w:rFonts w:ascii="Cambria Math" w:hAnsi="Cambria Math"/>
                        <w:snapToGrid w:val="0"/>
                      </w:rPr>
                      <m:t>β</m:t>
                    </m:r>
                    <m:ctrlPr>
                      <w:rPr>
                        <w:rFonts w:ascii="Cambria Math" w:hAnsi="Cambria Math"/>
                        <w:snapToGrid w:val="0"/>
                      </w:rPr>
                    </m:ctrlPr>
                  </m:e>
                  <m:sub>
                    <m:r>
                      <m:rPr/>
                      <w:rPr>
                        <w:rFonts w:ascii="Cambria Math" w:hAnsi="Cambria Math"/>
                        <w:snapToGrid w:val="0"/>
                      </w:rPr>
                      <m:t>gz</m:t>
                    </m:r>
                    <m:ctrlPr>
                      <w:rPr>
                        <w:rFonts w:ascii="Cambria Math" w:hAnsi="Cambria Math"/>
                        <w:snapToGrid w:val="0"/>
                      </w:rPr>
                    </m:ctrlPr>
                  </m:sub>
                </m:sSub>
                <m:r>
                  <m:rPr>
                    <m:sty m:val="p"/>
                  </m:rPr>
                  <w:rPr>
                    <w:rFonts w:ascii="Cambria Math" w:hAnsi="Cambria Math"/>
                    <w:snapToGrid w:val="0"/>
                  </w:rPr>
                  <m:t>=1+2g</m:t>
                </m:r>
                <m:sSub>
                  <m:sSubPr>
                    <m:ctrlPr>
                      <w:rPr>
                        <w:rFonts w:ascii="Cambria Math" w:hAnsi="Cambria Math"/>
                        <w:snapToGrid w:val="0"/>
                      </w:rPr>
                    </m:ctrlPr>
                  </m:sSubPr>
                  <m:e>
                    <m:r>
                      <m:rPr/>
                      <w:rPr>
                        <w:rFonts w:ascii="Cambria Math" w:hAnsi="Cambria Math"/>
                        <w:snapToGrid w:val="0"/>
                      </w:rPr>
                      <m:t>I</m:t>
                    </m:r>
                    <m:ctrlPr>
                      <w:rPr>
                        <w:rFonts w:ascii="Cambria Math" w:hAnsi="Cambria Math"/>
                        <w:snapToGrid w:val="0"/>
                      </w:rPr>
                    </m:ctrlPr>
                  </m:e>
                  <m:sub>
                    <m:r>
                      <m:rPr>
                        <m:sty m:val="p"/>
                      </m:rPr>
                      <w:rPr>
                        <w:rFonts w:ascii="Cambria Math" w:hAnsi="Cambria Math"/>
                        <w:snapToGrid w:val="0"/>
                      </w:rPr>
                      <m:t>10</m:t>
                    </m:r>
                    <m:ctrlPr>
                      <w:rPr>
                        <w:rFonts w:ascii="Cambria Math" w:hAnsi="Cambria Math"/>
                        <w:snapToGrid w:val="0"/>
                      </w:rPr>
                    </m:ctrlPr>
                  </m:sub>
                </m:sSub>
                <m:sSup>
                  <m:sSupPr>
                    <m:ctrlPr>
                      <w:rPr>
                        <w:rFonts w:ascii="Cambria Math" w:hAnsi="Cambria Math"/>
                        <w:snapToGrid w:val="0"/>
                      </w:rPr>
                    </m:ctrlPr>
                  </m:sSupPr>
                  <m:e>
                    <m:d>
                      <m:dPr>
                        <m:ctrlPr>
                          <w:rPr>
                            <w:rFonts w:ascii="Cambria Math" w:hAnsi="Cambria Math"/>
                            <w:snapToGrid w:val="0"/>
                          </w:rPr>
                        </m:ctrlPr>
                      </m:dPr>
                      <m:e>
                        <m:f>
                          <m:fPr>
                            <m:ctrlPr>
                              <w:rPr>
                                <w:rFonts w:ascii="Cambria Math" w:hAnsi="Cambria Math"/>
                                <w:snapToGrid w:val="0"/>
                              </w:rPr>
                            </m:ctrlPr>
                          </m:fPr>
                          <m:num>
                            <m:r>
                              <m:rPr/>
                              <w:rPr>
                                <w:rFonts w:ascii="Cambria Math" w:hAnsi="Cambria Math"/>
                                <w:snapToGrid w:val="0"/>
                              </w:rPr>
                              <m:t>z</m:t>
                            </m:r>
                            <m:ctrlPr>
                              <w:rPr>
                                <w:rFonts w:ascii="Cambria Math" w:hAnsi="Cambria Math"/>
                                <w:snapToGrid w:val="0"/>
                              </w:rPr>
                            </m:ctrlPr>
                          </m:num>
                          <m:den>
                            <m:r>
                              <m:rPr>
                                <m:sty m:val="p"/>
                              </m:rPr>
                              <w:rPr>
                                <w:rFonts w:ascii="Cambria Math" w:hAnsi="Cambria Math"/>
                                <w:snapToGrid w:val="0"/>
                              </w:rPr>
                              <m:t>10</m:t>
                            </m:r>
                            <m:ctrlPr>
                              <w:rPr>
                                <w:rFonts w:ascii="Cambria Math" w:hAnsi="Cambria Math"/>
                                <w:snapToGrid w:val="0"/>
                              </w:rPr>
                            </m:ctrlPr>
                          </m:den>
                        </m:f>
                        <m:ctrlPr>
                          <w:rPr>
                            <w:rFonts w:ascii="Cambria Math" w:hAnsi="Cambria Math"/>
                            <w:snapToGrid w:val="0"/>
                          </w:rPr>
                        </m:ctrlPr>
                      </m:e>
                    </m:d>
                    <m:ctrlPr>
                      <w:rPr>
                        <w:rFonts w:ascii="Cambria Math" w:hAnsi="Cambria Math"/>
                        <w:snapToGrid w:val="0"/>
                      </w:rPr>
                    </m:ctrlPr>
                  </m:e>
                  <m:sup>
                    <m:r>
                      <m:rPr>
                        <m:sty m:val="p"/>
                      </m:rPr>
                      <w:rPr>
                        <w:rFonts w:ascii="Cambria Math" w:hAnsi="Cambria Math"/>
                        <w:snapToGrid w:val="0"/>
                      </w:rPr>
                      <m:t>−</m:t>
                    </m:r>
                    <m:r>
                      <m:rPr/>
                      <w:rPr>
                        <w:rFonts w:ascii="Cambria Math" w:hAnsi="Cambria Math"/>
                        <w:snapToGrid w:val="0"/>
                      </w:rPr>
                      <m:t>α</m:t>
                    </m:r>
                    <m:ctrlPr>
                      <w:rPr>
                        <w:rFonts w:ascii="Cambria Math" w:hAnsi="Cambria Math"/>
                        <w:snapToGrid w:val="0"/>
                      </w:rPr>
                    </m:ctrlPr>
                  </m:sup>
                </m:sSup>
              </m:oMath>
            </m:oMathPara>
          </w:p>
        </w:tc>
        <w:tc>
          <w:tcPr>
            <w:tcW w:w="2268" w:type="dxa"/>
            <w:shd w:val="clear" w:color="auto" w:fill="auto"/>
            <w:vAlign w:val="center"/>
          </w:tcPr>
          <w:p>
            <w:pPr>
              <w:widowControl w:val="0"/>
              <w:spacing w:line="360" w:lineRule="auto"/>
              <w:jc w:val="right"/>
              <w:rPr>
                <w:rFonts w:ascii="Times New Roman" w:hAnsi="Times New Roman" w:cs="Times New Roman"/>
                <w:kern w:val="2"/>
              </w:rPr>
            </w:pPr>
            <w:r>
              <w:rPr>
                <w:rFonts w:hint="eastAsia" w:ascii="Times New Roman" w:hAnsi="Times New Roman" w:cs="Times New Roman"/>
                <w:kern w:val="2"/>
              </w:rPr>
              <w:t>（</w:t>
            </w:r>
            <w:r>
              <w:rPr>
                <w:rFonts w:ascii="Times New Roman" w:hAnsi="Times New Roman" w:cs="Times New Roman"/>
                <w:kern w:val="2"/>
              </w:rPr>
              <w:t>4.2.1-2</w:t>
            </w:r>
            <w:r>
              <w:rPr>
                <w:rFonts w:hint="eastAsia" w:ascii="Times New Roman" w:hAnsi="Times New Roman" w:cs="Times New Roman"/>
                <w:kern w:val="2"/>
              </w:rPr>
              <w:t>）</w:t>
            </w:r>
          </w:p>
        </w:tc>
      </w:tr>
    </w:tbl>
    <w:p>
      <w:pPr>
        <w:pStyle w:val="189"/>
      </w:pPr>
      <w:r>
        <w:rPr>
          <w:rFonts w:hint="eastAsia"/>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w:rPr>
                        <w:rFonts w:ascii="Cambria Math" w:hAnsi="Cambria Math" w:cs="Times New Roman"/>
                      </w:rPr>
                      <m:t>w</m:t>
                    </m:r>
                    <m:ctrlPr>
                      <w:rPr>
                        <w:rFonts w:ascii="Cambria Math" w:hAnsi="Cambria Math" w:cs="Times New Roman"/>
                      </w:rPr>
                    </m:ctrlPr>
                  </m:e>
                  <m:sub>
                    <m:r>
                      <m:rPr/>
                      <w:rPr>
                        <w:rFonts w:ascii="Cambria Math" w:hAnsi="Cambria Math" w:cs="Times New Roman"/>
                      </w:rPr>
                      <m:t>k</m:t>
                    </m:r>
                    <m:ctrlPr>
                      <w:rPr>
                        <w:rFonts w:ascii="Cambria Math" w:hAnsi="Cambria Math" w:cs="Times New Roman"/>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作用在幕墙结构上的风荷载标准值（kN/m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snapToGrid w:val="0"/>
                      </w:rPr>
                      <m:t>η</m:t>
                    </m:r>
                    <m:ctrlPr>
                      <w:rPr>
                        <w:rFonts w:ascii="Cambria Math" w:hAnsi="Cambria Math" w:cs="Times New Roman"/>
                      </w:rPr>
                    </m:ctrlPr>
                  </m:e>
                  <m:sub>
                    <m:r>
                      <m:rPr/>
                      <w:rPr>
                        <w:rFonts w:ascii="Cambria Math" w:hAnsi="Cambria Math" w:cs="Times New Roman"/>
                      </w:rPr>
                      <m:t>w</m:t>
                    </m:r>
                    <m:ctrlPr>
                      <w:rPr>
                        <w:rFonts w:ascii="Cambria Math" w:hAnsi="Cambria Math" w:cs="Times New Roman"/>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napToGrid w:val="0"/>
              </w:rPr>
              <w:t>风向</w:t>
            </w:r>
            <w:r>
              <w:rPr>
                <w:rFonts w:hint="eastAsia"/>
                <w:snapToGrid w:val="0"/>
              </w:rPr>
              <w:t>影响</w:t>
            </w:r>
            <w:r>
              <w:rPr>
                <w:snapToGrid w:val="0"/>
              </w:rPr>
              <w:t>系数，</w:t>
            </w:r>
            <w:r>
              <w:rPr>
                <w:rFonts w:hint="eastAsia"/>
                <w:snapToGrid w:val="0"/>
              </w:rPr>
              <w:t>可</w:t>
            </w:r>
            <w:r>
              <w:rPr>
                <w:snapToGrid w:val="0"/>
              </w:rPr>
              <w:t>取1.0；</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w:rPr>
                        <w:rFonts w:ascii="Cambria Math" w:hAnsi="Cambria Math" w:cs="Times New Roman"/>
                        <w:snapToGrid w:val="0"/>
                      </w:rPr>
                      <m:t>η</m:t>
                    </m:r>
                    <m:ctrlPr>
                      <w:rPr>
                        <w:rFonts w:ascii="Cambria Math" w:hAnsi="Cambria Math" w:cs="Times New Roman"/>
                      </w:rPr>
                    </m:ctrlPr>
                  </m:e>
                  <m:sub>
                    <m:r>
                      <m:rPr/>
                      <w:rPr>
                        <w:rFonts w:ascii="Cambria Math" w:hAnsi="Cambria Math" w:cs="Times New Roman"/>
                      </w:rPr>
                      <m:t>B</m:t>
                    </m:r>
                    <m:ctrlPr>
                      <w:rPr>
                        <w:rFonts w:ascii="Cambria Math" w:hAnsi="Cambria Math" w:cs="Times New Roman"/>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napToGrid w:val="0"/>
              </w:rPr>
              <w:t>地形修正系数，按《建筑结构荷载规范》GB50009的规定采用</w:t>
            </w:r>
            <w:r>
              <w:rPr>
                <w:rFonts w:hint="eastAsia"/>
                <w:snapToGrid w:val="0"/>
              </w:rPr>
              <w:t>且取值不得低于G</w:t>
            </w:r>
            <w:r>
              <w:rPr>
                <w:snapToGrid w:val="0"/>
              </w:rPr>
              <w:t>B55001</w:t>
            </w:r>
            <w:r>
              <w:rPr>
                <w:rFonts w:hint="eastAsia"/>
                <w:snapToGrid w:val="0"/>
              </w:rPr>
              <w:t>的要求</w:t>
            </w:r>
            <w:r>
              <w:rPr>
                <w:snapToGrid w:val="0"/>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β</m:t>
                    </m:r>
                    <m:ctrlPr>
                      <w:rPr>
                        <w:rFonts w:ascii="Cambria Math" w:hAnsi="Cambria Math" w:cs="Times New Roman"/>
                      </w:rPr>
                    </m:ctrlPr>
                  </m:e>
                  <m:sub>
                    <m:r>
                      <m:rPr/>
                      <w:rPr>
                        <w:rFonts w:ascii="Cambria Math" w:hAnsi="Cambria Math" w:cs="Times New Roman"/>
                      </w:rPr>
                      <m:t>gz</m:t>
                    </m:r>
                    <m:ctrlPr>
                      <w:rPr>
                        <w:rFonts w:ascii="Cambria Math" w:hAnsi="Cambria Math" w:cs="Times New Roman"/>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napToGrid w:val="0"/>
              </w:rPr>
              <w:t>考虑风荷载脉动作用的放大系数，不应小于</w:t>
            </w:r>
            <m:oMath>
              <m:r>
                <m:rPr>
                  <m:sty m:val="p"/>
                </m:rPr>
                <w:rPr>
                  <w:rFonts w:ascii="Cambria Math" w:hAnsi="Cambria Math"/>
                  <w:snapToGrid w:val="0"/>
                </w:rPr>
                <m:t>1+</m:t>
              </m:r>
              <m:f>
                <m:fPr>
                  <m:ctrlPr>
                    <w:rPr>
                      <w:rFonts w:ascii="Cambria Math" w:hAnsi="Cambria Math"/>
                      <w:snapToGrid w:val="0"/>
                    </w:rPr>
                  </m:ctrlPr>
                </m:fPr>
                <m:num>
                  <m:r>
                    <m:rPr/>
                    <w:rPr>
                      <w:rFonts w:ascii="Cambria Math" w:hAnsi="Cambria Math"/>
                      <w:snapToGrid w:val="0"/>
                    </w:rPr>
                    <m:t>0.7</m:t>
                  </m:r>
                  <m:ctrlPr>
                    <w:rPr>
                      <w:rFonts w:ascii="Cambria Math" w:hAnsi="Cambria Math"/>
                      <w:snapToGrid w:val="0"/>
                    </w:rPr>
                  </m:ctrlPr>
                </m:num>
                <m:den>
                  <m:rad>
                    <m:radPr>
                      <m:degHide m:val="1"/>
                      <m:ctrlPr>
                        <w:rPr>
                          <w:rFonts w:ascii="Cambria Math" w:hAnsi="Cambria Math"/>
                          <w:i/>
                          <w:snapToGrid w:val="0"/>
                        </w:rPr>
                      </m:ctrlPr>
                    </m:radPr>
                    <m:deg>
                      <m:ctrlPr>
                        <w:rPr>
                          <w:rFonts w:ascii="Cambria Math" w:hAnsi="Cambria Math"/>
                          <w:i/>
                          <w:snapToGrid w:val="0"/>
                        </w:rPr>
                      </m:ctrlPr>
                    </m:deg>
                    <m:e>
                      <m:sSub>
                        <m:sSubPr>
                          <m:ctrlPr>
                            <w:rPr>
                              <w:rFonts w:ascii="Cambria Math" w:hAnsi="Cambria Math"/>
                            </w:rPr>
                          </m:ctrlPr>
                        </m:sSubPr>
                        <m:e>
                          <m:r>
                            <m:rPr/>
                            <w:rPr>
                              <w:rFonts w:ascii="Cambria Math" w:hAnsi="Cambria Math"/>
                            </w:rPr>
                            <m:t>μ</m:t>
                          </m:r>
                          <m:ctrlPr>
                            <w:rPr>
                              <w:rFonts w:ascii="Cambria Math" w:hAnsi="Cambria Math"/>
                            </w:rPr>
                          </m:ctrlPr>
                        </m:e>
                        <m:sub>
                          <m:r>
                            <m:rPr/>
                            <w:rPr>
                              <w:rFonts w:ascii="Cambria Math" w:hAnsi="Cambria Math"/>
                            </w:rPr>
                            <m:t>z</m:t>
                          </m:r>
                          <m:ctrlPr>
                            <w:rPr>
                              <w:rFonts w:ascii="Cambria Math" w:hAnsi="Cambria Math"/>
                            </w:rPr>
                          </m:ctrlPr>
                        </m:sub>
                      </m:sSub>
                      <m:ctrlPr>
                        <w:rPr>
                          <w:rFonts w:ascii="Cambria Math" w:hAnsi="Cambria Math"/>
                          <w:i/>
                          <w:snapToGrid w:val="0"/>
                        </w:rPr>
                      </m:ctrlPr>
                    </m:e>
                  </m:rad>
                  <m:ctrlPr>
                    <w:rPr>
                      <w:rFonts w:ascii="Cambria Math" w:hAnsi="Cambria Math"/>
                      <w:snapToGrid w:val="0"/>
                    </w:rPr>
                  </m:ctrlPr>
                </m:den>
              </m:f>
            </m:oMath>
            <w:r>
              <w:rPr>
                <w:snapToGrid w:val="0"/>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i/>
              </w:rPr>
            </w:pPr>
            <m:oMathPara>
              <m:oMathParaPr>
                <m:jc m:val="right"/>
              </m:oMathParaPr>
              <m:oMath>
                <m:r>
                  <m:rPr/>
                  <w:rPr>
                    <w:rFonts w:ascii="Cambria Math" w:hAnsi="Cambria Math" w:cs="Times New Roman"/>
                  </w:rPr>
                  <m:t>g</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napToGrid w:val="0"/>
              </w:rPr>
              <w:t>峰值因子，可取2.5；</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rPr>
            </w:pPr>
            <m:oMathPara>
              <m:oMathParaPr>
                <m:jc m:val="right"/>
              </m:oMathParaPr>
              <m:oMath>
                <m:sSub>
                  <m:sSubPr>
                    <m:ctrlPr>
                      <w:rPr>
                        <w:rFonts w:ascii="Cambria Math" w:hAnsi="Cambria Math" w:cs="Times New Roman"/>
                        <w:snapToGrid w:val="0"/>
                      </w:rPr>
                    </m:ctrlPr>
                  </m:sSubPr>
                  <m:e>
                    <m:r>
                      <m:rPr/>
                      <w:rPr>
                        <w:rFonts w:ascii="Cambria Math" w:hAnsi="Cambria Math" w:cs="Times New Roman"/>
                        <w:snapToGrid w:val="0"/>
                      </w:rPr>
                      <m:t>I</m:t>
                    </m:r>
                    <m:ctrlPr>
                      <w:rPr>
                        <w:rFonts w:ascii="Cambria Math" w:hAnsi="Cambria Math" w:cs="Times New Roman"/>
                        <w:snapToGrid w:val="0"/>
                      </w:rPr>
                    </m:ctrlPr>
                  </m:e>
                  <m:sub>
                    <m:r>
                      <m:rPr>
                        <m:sty m:val="p"/>
                      </m:rPr>
                      <w:rPr>
                        <w:rFonts w:ascii="Cambria Math" w:hAnsi="Cambria Math" w:cs="Times New Roman"/>
                        <w:snapToGrid w:val="0"/>
                      </w:rPr>
                      <m:t>10</m:t>
                    </m:r>
                    <m:ctrlPr>
                      <w:rPr>
                        <w:rFonts w:ascii="Cambria Math" w:hAnsi="Cambria Math" w:cs="Times New Roman"/>
                        <w:snapToGrid w:val="0"/>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napToGrid w:val="0"/>
              </w:rPr>
              <w:t>10m高名义湍流度，对应A、B、C和D类地面粗糙度，可分别取0.12、0.14、0.23和0.39；</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rPr>
            </w:pPr>
            <m:oMathPara>
              <m:oMathParaPr>
                <m:jc m:val="right"/>
              </m:oMathParaPr>
              <m:oMath>
                <m:r>
                  <m:rPr/>
                  <w:rPr>
                    <w:rFonts w:ascii="Cambria Math" w:hAnsi="Cambria Math" w:cs="Times New Roman"/>
                    <w:snapToGrid w:val="0"/>
                  </w:rPr>
                  <m:t>α</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napToGrid w:val="0"/>
              </w:rPr>
              <w:t>地面粗糙度指数，对应A、B、C和D类地貌，可分别取0.12、0.15、0.22和0.30；</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μ</m:t>
                    </m:r>
                    <m:ctrlPr>
                      <w:rPr>
                        <w:rFonts w:ascii="Cambria Math" w:hAnsi="Cambria Math" w:cs="Times New Roman"/>
                      </w:rPr>
                    </m:ctrlPr>
                  </m:e>
                  <m:sub>
                    <m:r>
                      <m:rPr/>
                      <w:rPr>
                        <w:rFonts w:ascii="Cambria Math" w:hAnsi="Cambria Math" w:cs="Times New Roman"/>
                      </w:rPr>
                      <m:t>sl</m:t>
                    </m:r>
                    <m:ctrlPr>
                      <w:rPr>
                        <w:rFonts w:ascii="Cambria Math" w:hAnsi="Cambria Math" w:cs="Times New Roman"/>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局部体型系数，按《建筑结构荷载规范》 GB50009中对围护结构的规定采用。对于体型或风荷载环境复杂的幕墙结构，宜采用风洞试验或数值风洞方法予以确定；</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μ</m:t>
                    </m:r>
                    <m:ctrlPr>
                      <w:rPr>
                        <w:rFonts w:ascii="Cambria Math" w:hAnsi="Cambria Math" w:cs="Times New Roman"/>
                      </w:rPr>
                    </m:ctrlPr>
                  </m:e>
                  <m:sub>
                    <m:r>
                      <m:rPr/>
                      <w:rPr>
                        <w:rFonts w:ascii="Cambria Math" w:hAnsi="Cambria Math" w:cs="Times New Roman"/>
                      </w:rPr>
                      <m:t>z</m:t>
                    </m:r>
                    <m:ctrlPr>
                      <w:rPr>
                        <w:rFonts w:ascii="Cambria Math" w:hAnsi="Cambria Math" w:cs="Times New Roman"/>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风压高度变化系数，按《建筑结构荷载规范》 GB50009的规定采用；</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rPr>
            </w:pPr>
            <m:oMathPara>
              <m:oMathParaPr>
                <m:jc m:val="right"/>
              </m:oMathParaPr>
              <m:oMath>
                <m:sSub>
                  <m:sSubPr>
                    <m:ctrlPr>
                      <w:rPr>
                        <w:rFonts w:ascii="Cambria Math" w:hAnsi="Cambria Math" w:cs="Times New Roman"/>
                        <w:snapToGrid w:val="0"/>
                      </w:rPr>
                    </m:ctrlPr>
                  </m:sSubPr>
                  <m:e>
                    <m:r>
                      <m:rPr/>
                      <w:rPr>
                        <w:rFonts w:ascii="Cambria Math" w:hAnsi="Cambria Math" w:cs="Times New Roman"/>
                        <w:snapToGrid w:val="0"/>
                      </w:rPr>
                      <m:t>w</m:t>
                    </m:r>
                    <m:ctrlPr>
                      <w:rPr>
                        <w:rFonts w:ascii="Cambria Math" w:hAnsi="Cambria Math" w:cs="Times New Roman"/>
                        <w:snapToGrid w:val="0"/>
                      </w:rPr>
                    </m:ctrlPr>
                  </m:e>
                  <m:sub>
                    <m:r>
                      <m:rPr>
                        <m:sty m:val="p"/>
                      </m:rPr>
                      <w:rPr>
                        <w:rFonts w:ascii="Cambria Math" w:hAnsi="Cambria Math" w:cs="Times New Roman"/>
                        <w:snapToGrid w:val="0"/>
                      </w:rPr>
                      <m:t>0</m:t>
                    </m:r>
                    <m:ctrlPr>
                      <w:rPr>
                        <w:rFonts w:ascii="Cambria Math" w:hAnsi="Cambria Math" w:cs="Times New Roman"/>
                        <w:snapToGrid w:val="0"/>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基本风压（kN/m</w:t>
            </w:r>
            <w:r>
              <w:rPr>
                <w:vertAlign w:val="superscript"/>
              </w:rPr>
              <w:t>2</w:t>
            </w:r>
            <w:r>
              <w:t>），按《建筑结构荷载规范》 GB50009的规定采用，且其取值不得低于</w:t>
            </w:r>
            <w:r>
              <w:rPr>
                <w:rFonts w:hint="eastAsia"/>
              </w:rPr>
              <w:t>0.30</w:t>
            </w:r>
            <w:r>
              <w:t xml:space="preserve"> kN/m</w:t>
            </w:r>
            <w:r>
              <w:rPr>
                <w:vertAlign w:val="superscript"/>
              </w:rPr>
              <w:t>2</w:t>
            </w:r>
            <w:r>
              <w:t>。</w:t>
            </w:r>
          </w:p>
        </w:tc>
      </w:tr>
    </w:tbl>
    <w:p>
      <w:pPr>
        <w:pStyle w:val="120"/>
        <w:rPr>
          <w:rFonts w:ascii="Times New Roman" w:hAnsi="Times New Roman" w:cs="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 xml:space="preserve">4.2.1 </w:t>
      </w:r>
      <w:r>
        <w:rPr>
          <w:rFonts w:hint="eastAsia" w:ascii="Times New Roman" w:hAnsi="Times New Roman"/>
          <w:color w:val="000000" w:themeColor="text1"/>
          <w14:textFill>
            <w14:solidFill>
              <w14:schemeClr w14:val="tx1"/>
            </w14:solidFill>
          </w14:textFill>
        </w:rPr>
        <w:t>本</w:t>
      </w:r>
      <w:r>
        <w:rPr>
          <w:rFonts w:hint="eastAsia" w:ascii="Times New Roman" w:hAnsi="Times New Roman"/>
        </w:rPr>
        <w:t>条参照《工程结构通用规范》</w:t>
      </w:r>
      <w:r>
        <w:rPr>
          <w:rFonts w:ascii="Times New Roman" w:hAnsi="Times New Roman"/>
        </w:rPr>
        <w:t>GB 55001-2021</w:t>
      </w:r>
      <w:r>
        <w:rPr>
          <w:rFonts w:hint="eastAsia" w:ascii="Times New Roman" w:hAnsi="Times New Roman"/>
        </w:rPr>
        <w:t>第</w:t>
      </w:r>
      <w:r>
        <w:rPr>
          <w:rFonts w:ascii="Times New Roman" w:hAnsi="Times New Roman"/>
        </w:rPr>
        <w:t>4.6</w:t>
      </w:r>
      <w:r>
        <w:rPr>
          <w:rFonts w:hint="eastAsia" w:ascii="Times New Roman" w:hAnsi="Times New Roman"/>
        </w:rPr>
        <w:t>节和</w:t>
      </w:r>
      <w:r>
        <w:rPr>
          <w:rFonts w:ascii="Times New Roman" w:hAnsi="Times New Roman" w:cs="Times New Roman"/>
        </w:rPr>
        <w:t>《建筑结构荷载规范》 GB50009</w:t>
      </w:r>
      <w:r>
        <w:rPr>
          <w:rFonts w:hint="eastAsia" w:ascii="Times New Roman" w:hAnsi="Times New Roman" w:cs="Times New Roman"/>
        </w:rPr>
        <w:t>-2012第8章</w:t>
      </w:r>
      <w:r>
        <w:rPr>
          <w:rFonts w:hint="eastAsia" w:ascii="Times New Roman" w:hAnsi="Times New Roman"/>
        </w:rPr>
        <w:t>的相关规定制定。与</w:t>
      </w:r>
      <w:r>
        <w:rPr>
          <w:rFonts w:ascii="Times New Roman" w:hAnsi="Times New Roman" w:cs="Times New Roman"/>
        </w:rPr>
        <w:t>GB50009</w:t>
      </w:r>
      <w:r>
        <w:rPr>
          <w:rFonts w:hint="eastAsia" w:ascii="Times New Roman" w:hAnsi="Times New Roman" w:cs="Times New Roman"/>
        </w:rPr>
        <w:t>中8</w:t>
      </w:r>
      <w:r>
        <w:rPr>
          <w:rFonts w:ascii="Times New Roman" w:hAnsi="Times New Roman" w:cs="Times New Roman"/>
        </w:rPr>
        <w:t xml:space="preserve">.1.1 2 </w:t>
      </w:r>
      <w:r>
        <w:rPr>
          <w:rFonts w:hint="eastAsia" w:ascii="Times New Roman" w:hAnsi="Times New Roman" w:cs="Times New Roman"/>
        </w:rPr>
        <w:t>公式有变化，增加了地形修正系数和风向影响系数。</w:t>
      </w:r>
    </w:p>
    <w:p>
      <w:pPr>
        <w:pStyle w:val="120"/>
        <w:rPr>
          <w:rFonts w:ascii="Times New Roman" w:hAnsi="Times New Roman"/>
          <w:snapToGrid w:val="0"/>
        </w:rPr>
      </w:pPr>
      <w:r>
        <w:rPr>
          <w:rFonts w:ascii="Times New Roman" w:hAnsi="Times New Roman"/>
          <w:snapToGrid w:val="0"/>
        </w:rPr>
        <w:t>地形修正系数</w:t>
      </w:r>
      <w:r>
        <w:rPr>
          <w:rFonts w:hint="eastAsia" w:ascii="Times New Roman" w:hAnsi="Times New Roman"/>
          <w:snapToGrid w:val="0"/>
        </w:rPr>
        <w:t>结合</w:t>
      </w:r>
      <w:r>
        <w:rPr>
          <w:rFonts w:ascii="Times New Roman" w:hAnsi="Times New Roman"/>
        </w:rPr>
        <w:t>GB 55001</w:t>
      </w:r>
      <w:r>
        <w:rPr>
          <w:rFonts w:hint="eastAsia" w:ascii="Times New Roman" w:hAnsi="Times New Roman"/>
        </w:rPr>
        <w:t>中</w:t>
      </w:r>
      <w:r>
        <w:rPr>
          <w:rFonts w:ascii="Times New Roman" w:hAnsi="Times New Roman"/>
          <w:snapToGrid w:val="0"/>
        </w:rPr>
        <w:t xml:space="preserve">4.6.6 </w:t>
      </w:r>
      <w:r>
        <w:rPr>
          <w:rFonts w:hint="eastAsia" w:ascii="Times New Roman" w:hAnsi="Times New Roman"/>
          <w:snapToGrid w:val="0"/>
        </w:rPr>
        <w:t>和</w:t>
      </w:r>
      <w:r>
        <w:rPr>
          <w:rFonts w:ascii="Times New Roman" w:hAnsi="Times New Roman" w:cs="Times New Roman"/>
        </w:rPr>
        <w:t>GB50009</w:t>
      </w:r>
      <w:r>
        <w:rPr>
          <w:rFonts w:hint="eastAsia" w:ascii="Times New Roman" w:hAnsi="Times New Roman" w:cs="Times New Roman"/>
        </w:rPr>
        <w:t>中</w:t>
      </w:r>
      <w:r>
        <w:rPr>
          <w:rFonts w:ascii="Times New Roman" w:hAnsi="Times New Roman"/>
          <w:snapToGrid w:val="0"/>
        </w:rPr>
        <w:t>8.2</w:t>
      </w:r>
      <w:r>
        <w:rPr>
          <w:rFonts w:hint="eastAsia" w:ascii="Times New Roman" w:hAnsi="Times New Roman"/>
          <w:snapToGrid w:val="0"/>
        </w:rPr>
        <w:t>；</w:t>
      </w:r>
    </w:p>
    <w:p>
      <w:pPr>
        <w:pStyle w:val="120"/>
        <w:rPr>
          <w:rFonts w:ascii="Times New Roman" w:hAnsi="Times New Roman"/>
          <w:snapToGrid w:val="0"/>
        </w:rPr>
      </w:pPr>
      <w:r>
        <w:rPr>
          <w:rFonts w:ascii="Times New Roman" w:hAnsi="Times New Roman"/>
        </w:rPr>
        <w:t>GB 55001</w:t>
      </w:r>
      <w:r>
        <w:rPr>
          <w:rFonts w:hint="eastAsia" w:ascii="Times New Roman" w:hAnsi="Times New Roman"/>
        </w:rPr>
        <w:t>中</w:t>
      </w:r>
      <w:r>
        <w:rPr>
          <w:rFonts w:ascii="Times New Roman" w:hAnsi="Times New Roman"/>
        </w:rPr>
        <w:t>4.6.6</w:t>
      </w:r>
      <w:r>
        <w:rPr>
          <w:rFonts w:hint="eastAsia" w:ascii="Times New Roman" w:hAnsi="Times New Roman"/>
        </w:rPr>
        <w:t>（如下），</w:t>
      </w:r>
    </w:p>
    <w:p>
      <w:pPr>
        <w:pStyle w:val="120"/>
        <w:rPr>
          <w:rFonts w:ascii="Times New Roman" w:hAnsi="Times New Roman"/>
        </w:rPr>
      </w:pPr>
      <w:r>
        <w:rPr>
          <w:rFonts w:ascii="Times New Roman" w:hAnsi="Times New Roman"/>
        </w:rPr>
        <w:drawing>
          <wp:inline distT="0" distB="0" distL="0" distR="0">
            <wp:extent cx="3405505" cy="1544320"/>
            <wp:effectExtent l="0" t="0" r="444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405600" cy="1544400"/>
                    </a:xfrm>
                    <a:prstGeom prst="rect">
                      <a:avLst/>
                    </a:prstGeom>
                    <a:noFill/>
                    <a:ln>
                      <a:noFill/>
                    </a:ln>
                  </pic:spPr>
                </pic:pic>
              </a:graphicData>
            </a:graphic>
          </wp:inline>
        </w:drawing>
      </w:r>
    </w:p>
    <w:p>
      <w:pPr>
        <w:pStyle w:val="120"/>
        <w:rPr>
          <w:rFonts w:ascii="Times New Roman" w:hAnsi="Times New Roman"/>
        </w:rPr>
      </w:pPr>
      <w:r>
        <w:rPr>
          <w:rFonts w:ascii="Times New Roman" w:hAnsi="Times New Roman" w:cs="Times New Roman"/>
        </w:rPr>
        <w:t>GB50009</w:t>
      </w:r>
      <w:r>
        <w:rPr>
          <w:rFonts w:hint="eastAsia" w:ascii="Times New Roman" w:hAnsi="Times New Roman" w:cs="Times New Roman"/>
        </w:rPr>
        <w:t>中</w:t>
      </w:r>
      <w:r>
        <w:rPr>
          <w:rFonts w:ascii="Times New Roman" w:hAnsi="Times New Roman"/>
          <w:snapToGrid w:val="0"/>
        </w:rPr>
        <w:t>8.2.2~8.2.3</w:t>
      </w:r>
      <w:r>
        <w:rPr>
          <w:rFonts w:hint="eastAsia" w:ascii="Times New Roman" w:hAnsi="Times New Roman"/>
          <w:snapToGrid w:val="0"/>
        </w:rPr>
        <w:t>（如下），</w:t>
      </w:r>
    </w:p>
    <w:p>
      <w:pPr>
        <w:pStyle w:val="120"/>
        <w:rPr>
          <w:rFonts w:ascii="Times New Roman" w:hAnsi="Times New Roman"/>
        </w:rPr>
      </w:pPr>
      <w:r>
        <w:rPr>
          <w:rFonts w:ascii="Times New Roman" w:hAnsi="Times New Roman"/>
        </w:rPr>
        <w:drawing>
          <wp:inline distT="0" distB="0" distL="0" distR="0">
            <wp:extent cx="3491865" cy="2548255"/>
            <wp:effectExtent l="0" t="0" r="0" b="444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492000" cy="2548800"/>
                    </a:xfrm>
                    <a:prstGeom prst="rect">
                      <a:avLst/>
                    </a:prstGeom>
                    <a:noFill/>
                    <a:ln>
                      <a:noFill/>
                    </a:ln>
                  </pic:spPr>
                </pic:pic>
              </a:graphicData>
            </a:graphic>
          </wp:inline>
        </w:drawing>
      </w:r>
    </w:p>
    <w:p>
      <w:pPr>
        <w:pStyle w:val="120"/>
        <w:rPr>
          <w:rFonts w:ascii="Times New Roman" w:hAnsi="Times New Roman"/>
        </w:rPr>
      </w:pPr>
      <w:r>
        <w:rPr>
          <w:rFonts w:ascii="Times New Roman" w:hAnsi="Times New Roman"/>
        </w:rPr>
        <w:drawing>
          <wp:inline distT="0" distB="0" distL="0" distR="0">
            <wp:extent cx="3405505" cy="3333115"/>
            <wp:effectExtent l="0" t="0" r="444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405600" cy="3333600"/>
                    </a:xfrm>
                    <a:prstGeom prst="rect">
                      <a:avLst/>
                    </a:prstGeom>
                    <a:noFill/>
                    <a:ln>
                      <a:noFill/>
                    </a:ln>
                  </pic:spPr>
                </pic:pic>
              </a:graphicData>
            </a:graphic>
          </wp:inline>
        </w:drawing>
      </w:r>
    </w:p>
    <w:p>
      <w:pPr>
        <w:pStyle w:val="120"/>
        <w:rPr>
          <w:rFonts w:ascii="Times New Roman" w:hAnsi="Times New Roman"/>
        </w:rPr>
      </w:pPr>
      <w:r>
        <w:rPr>
          <w:rFonts w:ascii="Times New Roman" w:hAnsi="Times New Roman"/>
          <w:snapToGrid w:val="0"/>
        </w:rPr>
        <w:t>风向</w:t>
      </w:r>
      <w:r>
        <w:rPr>
          <w:rFonts w:hint="eastAsia" w:ascii="Times New Roman" w:hAnsi="Times New Roman"/>
          <w:snapToGrid w:val="0"/>
        </w:rPr>
        <w:t>影响</w:t>
      </w:r>
      <w:r>
        <w:rPr>
          <w:rFonts w:ascii="Times New Roman" w:hAnsi="Times New Roman"/>
          <w:snapToGrid w:val="0"/>
        </w:rPr>
        <w:t>系数</w:t>
      </w:r>
      <w:r>
        <w:rPr>
          <w:rFonts w:hint="eastAsia" w:ascii="Times New Roman" w:hAnsi="Times New Roman"/>
          <w:snapToGrid w:val="0"/>
        </w:rPr>
        <w:t>，取自</w:t>
      </w:r>
      <w:r>
        <w:rPr>
          <w:rFonts w:ascii="Times New Roman" w:hAnsi="Times New Roman"/>
        </w:rPr>
        <w:t>GB 55001</w:t>
      </w:r>
      <w:r>
        <w:rPr>
          <w:rFonts w:hint="eastAsia" w:ascii="Times New Roman" w:hAnsi="Times New Roman"/>
        </w:rPr>
        <w:t>中</w:t>
      </w:r>
      <w:r>
        <w:rPr>
          <w:rFonts w:ascii="Times New Roman" w:hAnsi="Times New Roman"/>
        </w:rPr>
        <w:t>4.6.7</w:t>
      </w:r>
      <w:r>
        <w:rPr>
          <w:rFonts w:hint="eastAsia" w:ascii="Times New Roman" w:hAnsi="Times New Roman"/>
        </w:rPr>
        <w:t>第</w:t>
      </w:r>
      <w:r>
        <w:rPr>
          <w:rFonts w:ascii="Times New Roman" w:hAnsi="Times New Roman"/>
        </w:rPr>
        <w:t>2</w:t>
      </w:r>
      <w:r>
        <w:rPr>
          <w:rFonts w:hint="eastAsia" w:ascii="Times New Roman" w:hAnsi="Times New Roman"/>
        </w:rPr>
        <w:t>款；（如下），</w:t>
      </w:r>
    </w:p>
    <w:p>
      <w:pPr>
        <w:pStyle w:val="120"/>
        <w:rPr>
          <w:rFonts w:ascii="Times New Roman" w:hAnsi="Times New Roman"/>
        </w:rPr>
      </w:pPr>
      <w:r>
        <w:rPr>
          <w:rFonts w:ascii="Times New Roman" w:hAnsi="Times New Roman"/>
        </w:rPr>
        <w:drawing>
          <wp:inline distT="0" distB="0" distL="0" distR="0">
            <wp:extent cx="3329940" cy="895985"/>
            <wp:effectExtent l="0" t="0" r="381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330000" cy="896400"/>
                    </a:xfrm>
                    <a:prstGeom prst="rect">
                      <a:avLst/>
                    </a:prstGeom>
                    <a:noFill/>
                    <a:ln>
                      <a:noFill/>
                    </a:ln>
                  </pic:spPr>
                </pic:pic>
              </a:graphicData>
            </a:graphic>
          </wp:inline>
        </w:drawing>
      </w:r>
    </w:p>
    <w:p>
      <w:pPr>
        <w:pStyle w:val="189"/>
        <w:rPr>
          <w:b/>
          <w:color w:val="000000" w:themeColor="text1"/>
          <w14:textFill>
            <w14:solidFill>
              <w14:schemeClr w14:val="tx1"/>
            </w14:solidFill>
          </w14:textFill>
        </w:rPr>
      </w:pPr>
      <w:r>
        <w:rPr>
          <w:b/>
          <w:color w:val="000000" w:themeColor="text1"/>
          <w14:textFill>
            <w14:solidFill>
              <w14:schemeClr w14:val="tx1"/>
            </w14:solidFill>
          </w14:textFill>
        </w:rPr>
        <w:t>4.2.2</w:t>
      </w:r>
      <w:r>
        <w:rPr>
          <w:rFonts w:hint="eastAsia"/>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用于室外围护结构时，建筑幕墙风荷载标准值不应小于</w:t>
      </w:r>
      <w:r>
        <w:rPr>
          <w:color w:val="000000" w:themeColor="text1"/>
          <w14:textFill>
            <w14:solidFill>
              <w14:schemeClr w14:val="tx1"/>
            </w14:solidFill>
          </w14:textFill>
        </w:rPr>
        <w:t>1.0 kN/m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。采光顶与金属屋面，风荷载负压标准值不应小于</w:t>
      </w:r>
      <w:r>
        <w:rPr>
          <w:color w:val="000000" w:themeColor="text1"/>
          <w14:textFill>
            <w14:solidFill>
              <w14:schemeClr w14:val="tx1"/>
            </w14:solidFill>
          </w14:textFill>
        </w:rPr>
        <w:t>1.0 kN/m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、正压标准值不应小于</w:t>
      </w:r>
      <w:r>
        <w:rPr>
          <w:color w:val="000000" w:themeColor="text1"/>
          <w14:textFill>
            <w14:solidFill>
              <w14:schemeClr w14:val="tx1"/>
            </w14:solidFill>
          </w14:textFill>
        </w:rPr>
        <w:t>0.5 kN/m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pPr>
        <w:pStyle w:val="189"/>
      </w:pPr>
      <w:r>
        <w:rPr>
          <w:rFonts w:hint="eastAsia"/>
          <w:b/>
        </w:rPr>
        <w:t xml:space="preserve">4.2.3 </w:t>
      </w:r>
      <w:r>
        <w:rPr>
          <w:rFonts w:hint="eastAsia"/>
        </w:rPr>
        <w:t>建筑高度较高、体型不规则或风环境复杂的幕墙结构，按本规范4.2.1条难以确定风荷载标准值时，用风洞试验或数值风洞方法确定。幕墙高度大于200m时应进行风洞试验。</w:t>
      </w:r>
    </w:p>
    <w:p>
      <w:pPr>
        <w:pStyle w:val="120"/>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 xml:space="preserve">4.2.3 </w:t>
      </w:r>
      <w:r>
        <w:rPr>
          <w:rFonts w:hint="eastAsia" w:ascii="Times New Roman" w:hAnsi="Times New Roman"/>
        </w:rPr>
        <w:t>幕墙高度大于</w:t>
      </w:r>
      <w:r>
        <w:rPr>
          <w:rFonts w:ascii="Times New Roman" w:hAnsi="Times New Roman"/>
        </w:rPr>
        <w:t>300m</w:t>
      </w:r>
      <w:r>
        <w:rPr>
          <w:rFonts w:hint="eastAsia" w:ascii="Times New Roman" w:hAnsi="Times New Roman"/>
        </w:rPr>
        <w:t>时应由两个非关联单位各自提供独立的风洞试验结果相互验证</w:t>
      </w:r>
      <w:r>
        <w:rPr>
          <w:rFonts w:ascii="Times New Roman" w:hAnsi="Times New Roman"/>
        </w:rPr>
        <w:t>-</w:t>
      </w:r>
      <w:r>
        <w:rPr>
          <w:rFonts w:hint="eastAsia" w:ascii="Times New Roman" w:hAnsi="Times New Roman"/>
        </w:rPr>
        <w:t>。风洞试验结果与数值风洞一致性分析。</w:t>
      </w:r>
    </w:p>
    <w:p>
      <w:pPr>
        <w:pStyle w:val="189"/>
      </w:pPr>
      <w:r>
        <w:rPr>
          <w:rFonts w:hint="eastAsia"/>
          <w:b/>
        </w:rPr>
        <w:t>4</w:t>
      </w:r>
      <w:r>
        <w:rPr>
          <w:b/>
        </w:rPr>
        <w:t>.2.4</w:t>
      </w:r>
      <w:r>
        <w:rPr>
          <w:rFonts w:hint="eastAsia"/>
          <w:b/>
        </w:rPr>
        <w:t xml:space="preserve"> </w:t>
      </w:r>
      <w:r>
        <w:t>风荷载局部体型系数应按以下规定确定：</w:t>
      </w:r>
    </w:p>
    <w:p>
      <w:pPr>
        <w:pStyle w:val="188"/>
        <w:ind w:firstLine="480"/>
      </w:pPr>
      <w:r>
        <w:t>1应按《建筑结构荷载规范》GB50009中对围护结构的规定采用；</w:t>
      </w:r>
    </w:p>
    <w:p>
      <w:pPr>
        <w:pStyle w:val="188"/>
        <w:ind w:firstLine="480"/>
      </w:pPr>
      <w:r>
        <w:t>2建筑体型不规则，有较大凸出或凹口时，应按不规则程度将立面划分为多个大面区和角部区。凹口宽度不大于3m，凹口深度不大于2m时，迎风面视为连续，凹口正、侧面均视为大面区；</w:t>
      </w:r>
    </w:p>
    <w:p>
      <w:pPr>
        <w:pStyle w:val="188"/>
        <w:ind w:firstLine="480"/>
      </w:pPr>
      <w:r>
        <w:t>3 檐口、遮阳板、装饰条等突出幕墙面的构件，负风荷载局部体型系数取-2.0，正风荷载局部体型系数取+1.0；</w:t>
      </w:r>
    </w:p>
    <w:p>
      <w:pPr>
        <w:pStyle w:val="188"/>
        <w:ind w:firstLine="480"/>
      </w:pPr>
      <w:r>
        <w:rPr>
          <w:rFonts w:hint="eastAsia"/>
        </w:rPr>
        <w:t>4</w:t>
      </w:r>
      <w:r>
        <w:t xml:space="preserve"> 悬挑雨篷负风荷载局部体型系数取-2.0。正风荷载局部体型系数按悬挑长度确定，当悬挑长度小于1.0m时取+1.0，悬挑长度大于4.0m时取+1.4，悬挑长度在1.0m～4.0m之间时可线性插值。</w:t>
      </w:r>
    </w:p>
    <w:p>
      <w:pPr>
        <w:pStyle w:val="120"/>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 xml:space="preserve">4.2.4 </w:t>
      </w:r>
      <w:r>
        <w:rPr>
          <w:rFonts w:hint="eastAsia" w:ascii="Times New Roman" w:hAnsi="Times New Roman"/>
          <w:color w:val="000000" w:themeColor="text1"/>
          <w14:textFill>
            <w14:solidFill>
              <w14:schemeClr w14:val="tx1"/>
            </w14:solidFill>
          </w14:textFill>
        </w:rPr>
        <w:t>悬</w:t>
      </w:r>
      <w:r>
        <w:rPr>
          <w:rFonts w:hint="eastAsia" w:ascii="Times New Roman" w:hAnsi="Times New Roman"/>
        </w:rPr>
        <w:t>挑雨蓬正风</w:t>
      </w:r>
      <w:r>
        <w:rPr>
          <w:rFonts w:ascii="Times New Roman" w:hAnsi="Times New Roman"/>
        </w:rPr>
        <w:t>荷载局部体型系数参照上海地标《建筑幕墙工程技术标准</w:t>
      </w:r>
      <w:r>
        <w:rPr>
          <w:rFonts w:hint="eastAsia" w:ascii="Times New Roman" w:hAnsi="Times New Roman"/>
        </w:rPr>
        <w:t>》</w:t>
      </w:r>
      <w:r>
        <w:rPr>
          <w:rFonts w:ascii="Times New Roman" w:hAnsi="Times New Roman"/>
        </w:rPr>
        <w:t>DG/TJ08-56-2019取值</w:t>
      </w:r>
      <w:r>
        <w:rPr>
          <w:rFonts w:hint="eastAsia" w:ascii="Times New Roman" w:hAnsi="Times New Roman"/>
        </w:rPr>
        <w:t>。</w:t>
      </w:r>
    </w:p>
    <w:p>
      <w:pPr>
        <w:pStyle w:val="189"/>
      </w:pPr>
      <w:r>
        <w:rPr>
          <w:rFonts w:hint="eastAsia"/>
          <w:b/>
        </w:rPr>
        <w:t>4</w:t>
      </w:r>
      <w:r>
        <w:rPr>
          <w:b/>
        </w:rPr>
        <w:t>.2.</w:t>
      </w:r>
      <w:r>
        <w:rPr>
          <w:rFonts w:hint="eastAsia"/>
          <w:b/>
        </w:rPr>
        <w:t xml:space="preserve">5 </w:t>
      </w:r>
      <w:r>
        <w:t>幕墙构件同时承受两个正交方向的风荷载作用时，强度计算应按1.0X+0.6Y和1.0Y+0.6X二种组合方式确定。其中X为构件横截面主轴方向最大风荷载设计值，Y是与X</w:t>
      </w:r>
      <w:r>
        <w:rPr>
          <w:rFonts w:hint="eastAsia"/>
        </w:rPr>
        <w:t>正交方向的最大风荷载设计值。</w:t>
      </w:r>
    </w:p>
    <w:p>
      <w:pPr>
        <w:pStyle w:val="200"/>
      </w:pPr>
      <w:r>
        <w:rPr>
          <w:rFonts w:hint="eastAsia"/>
          <w:b/>
        </w:rPr>
        <w:t>4</w:t>
      </w:r>
      <w:r>
        <w:rPr>
          <w:b/>
        </w:rPr>
        <w:t>.</w:t>
      </w:r>
      <w:r>
        <w:rPr>
          <w:rFonts w:hint="eastAsia"/>
          <w:b/>
        </w:rPr>
        <w:t>2</w:t>
      </w:r>
      <w:r>
        <w:rPr>
          <w:b/>
        </w:rPr>
        <w:t>.6</w:t>
      </w:r>
      <w:r>
        <w:t xml:space="preserve"> </w:t>
      </w:r>
      <w:r>
        <w:rPr>
          <w:rFonts w:hint="eastAsia"/>
        </w:rPr>
        <w:t>对于</w:t>
      </w:r>
      <w:r>
        <w:t>满足下列条件</w:t>
      </w:r>
      <w:r>
        <w:rPr>
          <w:rFonts w:hint="eastAsia"/>
        </w:rPr>
        <w:t>之一</w:t>
      </w:r>
      <w:r>
        <w:t>的幕墙结构，应</w:t>
      </w:r>
      <w:r>
        <w:rPr>
          <w:rFonts w:hint="eastAsia"/>
        </w:rPr>
        <w:t>通过风</w:t>
      </w:r>
      <w:r>
        <w:t>振</w:t>
      </w:r>
      <w:r>
        <w:rPr>
          <w:rFonts w:hint="eastAsia"/>
        </w:rPr>
        <w:t>响应</w:t>
      </w:r>
      <w:r>
        <w:t>分析确定风动力效应</w:t>
      </w:r>
      <w:r>
        <w:rPr>
          <w:rFonts w:hint="eastAsia"/>
        </w:rPr>
        <w:t>：</w:t>
      </w:r>
    </w:p>
    <w:p>
      <w:pPr>
        <w:pStyle w:val="188"/>
        <w:ind w:firstLine="480"/>
      </w:pPr>
      <w:r>
        <w:rPr>
          <w:rFonts w:hint="eastAsia"/>
        </w:rPr>
        <w:t>1 跨度大于25</w:t>
      </w:r>
      <w:r>
        <w:t>m的平面索网结构；</w:t>
      </w:r>
    </w:p>
    <w:p>
      <w:pPr>
        <w:pStyle w:val="188"/>
        <w:ind w:firstLine="480"/>
      </w:pPr>
      <w:r>
        <w:rPr>
          <w:rFonts w:hint="eastAsia"/>
        </w:rPr>
        <w:t>2 结构自</w:t>
      </w:r>
      <w:r>
        <w:t>振周期大于</w:t>
      </w:r>
      <w:r>
        <w:rPr>
          <w:rFonts w:hint="eastAsia"/>
        </w:rPr>
        <w:t>1.0</w:t>
      </w:r>
      <w:r>
        <w:t xml:space="preserve"> s；</w:t>
      </w:r>
    </w:p>
    <w:p>
      <w:pPr>
        <w:pStyle w:val="188"/>
        <w:ind w:firstLine="480"/>
      </w:pPr>
      <w:r>
        <w:t>3</w:t>
      </w:r>
      <w:r>
        <w:rPr>
          <w:rFonts w:hint="eastAsia"/>
        </w:rPr>
        <w:t xml:space="preserve"> 体型</w:t>
      </w:r>
      <w:r>
        <w:t>复杂且较为重要的幕墙结构</w:t>
      </w:r>
      <w:r>
        <w:rPr>
          <w:rFonts w:hint="eastAsia"/>
        </w:rPr>
        <w:t>。</w:t>
      </w:r>
    </w:p>
    <w:p>
      <w:pPr>
        <w:pStyle w:val="120"/>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 xml:space="preserve">4.2.6 </w:t>
      </w:r>
      <w:r>
        <w:rPr>
          <w:rFonts w:hint="eastAsia" w:ascii="Times New Roman" w:hAnsi="Times New Roman"/>
          <w:color w:val="000000" w:themeColor="text1"/>
          <w14:textFill>
            <w14:solidFill>
              <w14:schemeClr w14:val="tx1"/>
            </w14:solidFill>
          </w14:textFill>
        </w:rPr>
        <w:t>在</w:t>
      </w:r>
      <w:r>
        <w:rPr>
          <w:rFonts w:hint="eastAsia" w:ascii="Times New Roman" w:hAnsi="Times New Roman"/>
        </w:rPr>
        <w:t>机场</w:t>
      </w:r>
      <w:r>
        <w:rPr>
          <w:rFonts w:ascii="Times New Roman" w:hAnsi="Times New Roman"/>
        </w:rPr>
        <w:t>、会展、体育场馆等大跨空间中，幕墙结构跨度越来越大，</w:t>
      </w:r>
      <w:r>
        <w:rPr>
          <w:rFonts w:hint="eastAsia" w:ascii="Times New Roman" w:hAnsi="Times New Roman"/>
        </w:rPr>
        <w:t>加之</w:t>
      </w:r>
      <w:r>
        <w:rPr>
          <w:rFonts w:ascii="Times New Roman" w:hAnsi="Times New Roman"/>
        </w:rPr>
        <w:t>建筑师对幕墙结构的轻巧</w:t>
      </w:r>
      <w:r>
        <w:rPr>
          <w:rFonts w:hint="eastAsia" w:ascii="Times New Roman" w:hAnsi="Times New Roman"/>
        </w:rPr>
        <w:t>性</w:t>
      </w:r>
      <w:r>
        <w:rPr>
          <w:rFonts w:ascii="Times New Roman" w:hAnsi="Times New Roman"/>
        </w:rPr>
        <w:t>有较高的要求，</w:t>
      </w:r>
      <w:r>
        <w:rPr>
          <w:rFonts w:hint="eastAsia" w:ascii="Times New Roman" w:hAnsi="Times New Roman"/>
        </w:rPr>
        <w:t>在该类</w:t>
      </w:r>
      <w:r>
        <w:rPr>
          <w:rFonts w:ascii="Times New Roman" w:hAnsi="Times New Roman"/>
        </w:rPr>
        <w:t>项目中</w:t>
      </w:r>
      <w:r>
        <w:rPr>
          <w:rFonts w:hint="eastAsia" w:ascii="Times New Roman" w:hAnsi="Times New Roman"/>
        </w:rPr>
        <w:t>多</w:t>
      </w:r>
      <w:r>
        <w:rPr>
          <w:rFonts w:ascii="Times New Roman" w:hAnsi="Times New Roman"/>
        </w:rPr>
        <w:t>采用大跨度索网结构、大跨度钢结构</w:t>
      </w:r>
      <w:r>
        <w:rPr>
          <w:rFonts w:hint="eastAsia" w:ascii="Times New Roman" w:hAnsi="Times New Roman"/>
        </w:rPr>
        <w:t>等</w:t>
      </w:r>
      <w:r>
        <w:rPr>
          <w:rFonts w:ascii="Times New Roman" w:hAnsi="Times New Roman"/>
        </w:rPr>
        <w:t>结构</w:t>
      </w:r>
      <w:r>
        <w:rPr>
          <w:rFonts w:hint="eastAsia" w:ascii="Times New Roman" w:hAnsi="Times New Roman"/>
        </w:rPr>
        <w:t>刚度</w:t>
      </w:r>
      <w:r>
        <w:rPr>
          <w:rFonts w:ascii="Times New Roman" w:hAnsi="Times New Roman"/>
        </w:rPr>
        <w:t>相对</w:t>
      </w:r>
      <w:r>
        <w:rPr>
          <w:rFonts w:hint="eastAsia" w:ascii="Times New Roman" w:hAnsi="Times New Roman"/>
        </w:rPr>
        <w:t>较低的</w:t>
      </w:r>
      <w:r>
        <w:rPr>
          <w:rFonts w:ascii="Times New Roman" w:hAnsi="Times New Roman"/>
        </w:rPr>
        <w:t>结构形式，</w:t>
      </w:r>
      <w:r>
        <w:rPr>
          <w:rFonts w:hint="eastAsia" w:ascii="Times New Roman" w:hAnsi="Times New Roman"/>
        </w:rPr>
        <w:t>本条</w:t>
      </w:r>
      <w:r>
        <w:rPr>
          <w:rFonts w:ascii="Times New Roman" w:hAnsi="Times New Roman"/>
        </w:rPr>
        <w:t>规定在此种情况下应对风</w:t>
      </w:r>
      <w:r>
        <w:rPr>
          <w:rFonts w:hint="eastAsia" w:ascii="Times New Roman" w:hAnsi="Times New Roman"/>
        </w:rPr>
        <w:t>动力</w:t>
      </w:r>
      <w:r>
        <w:rPr>
          <w:rFonts w:ascii="Times New Roman" w:hAnsi="Times New Roman"/>
        </w:rPr>
        <w:t>效应</w:t>
      </w:r>
      <w:r>
        <w:rPr>
          <w:rFonts w:hint="eastAsia" w:ascii="Times New Roman" w:hAnsi="Times New Roman"/>
        </w:rPr>
        <w:t>进行</w:t>
      </w:r>
      <w:r>
        <w:rPr>
          <w:rFonts w:ascii="Times New Roman" w:hAnsi="Times New Roman"/>
        </w:rPr>
        <w:t>较为细致</w:t>
      </w:r>
      <w:r>
        <w:rPr>
          <w:rFonts w:hint="eastAsia" w:ascii="Times New Roman" w:hAnsi="Times New Roman"/>
        </w:rPr>
        <w:t>地</w:t>
      </w:r>
      <w:r>
        <w:rPr>
          <w:rFonts w:ascii="Times New Roman" w:hAnsi="Times New Roman"/>
        </w:rPr>
        <w:t>分析。当采用</w:t>
      </w:r>
      <w:r>
        <w:rPr>
          <w:rFonts w:hint="eastAsia" w:ascii="Times New Roman" w:hAnsi="Times New Roman"/>
        </w:rPr>
        <w:t>风</w:t>
      </w:r>
      <w:r>
        <w:rPr>
          <w:rFonts w:ascii="Times New Roman" w:hAnsi="Times New Roman"/>
        </w:rPr>
        <w:t>振时</w:t>
      </w:r>
      <w:r>
        <w:rPr>
          <w:rFonts w:hint="eastAsia" w:ascii="Times New Roman" w:hAnsi="Times New Roman"/>
        </w:rPr>
        <w:t>程</w:t>
      </w:r>
      <w:r>
        <w:rPr>
          <w:rFonts w:ascii="Times New Roman" w:hAnsi="Times New Roman"/>
        </w:rPr>
        <w:t>分析方法或随机</w:t>
      </w:r>
      <w:r>
        <w:rPr>
          <w:rFonts w:hint="eastAsia" w:ascii="Times New Roman" w:hAnsi="Times New Roman"/>
        </w:rPr>
        <w:t>振动理论</w:t>
      </w:r>
      <w:r>
        <w:rPr>
          <w:rFonts w:ascii="Times New Roman" w:hAnsi="Times New Roman"/>
        </w:rPr>
        <w:t>分析</w:t>
      </w:r>
      <w:r>
        <w:rPr>
          <w:rFonts w:hint="eastAsia" w:ascii="Times New Roman" w:hAnsi="Times New Roman"/>
        </w:rPr>
        <w:t>时</w:t>
      </w:r>
      <w:r>
        <w:rPr>
          <w:rFonts w:ascii="Times New Roman" w:hAnsi="Times New Roman"/>
        </w:rPr>
        <w:t>，输入的风荷载时程或</w:t>
      </w:r>
      <w:r>
        <w:rPr>
          <w:rFonts w:hint="eastAsia" w:ascii="Times New Roman" w:hAnsi="Times New Roman"/>
        </w:rPr>
        <w:t>功率</w:t>
      </w:r>
      <w:r>
        <w:rPr>
          <w:rFonts w:ascii="Times New Roman" w:hAnsi="Times New Roman"/>
        </w:rPr>
        <w:t>谱宜根据风洞实验确定。</w:t>
      </w:r>
      <w:r>
        <w:rPr>
          <w:rFonts w:hint="eastAsia" w:ascii="Times New Roman" w:hAnsi="Times New Roman"/>
        </w:rPr>
        <w:t>本条</w:t>
      </w:r>
      <w:r>
        <w:rPr>
          <w:rFonts w:ascii="Times New Roman" w:hAnsi="Times New Roman"/>
        </w:rPr>
        <w:t>规定的结构</w:t>
      </w:r>
      <w:r>
        <w:rPr>
          <w:rFonts w:hint="eastAsia" w:ascii="Times New Roman" w:hAnsi="Times New Roman"/>
        </w:rPr>
        <w:t>自</w:t>
      </w:r>
      <w:r>
        <w:rPr>
          <w:rFonts w:ascii="Times New Roman" w:hAnsi="Times New Roman"/>
        </w:rPr>
        <w:t>振周期大于1s是参考了美国、澳大利亚等国</w:t>
      </w:r>
      <w:r>
        <w:rPr>
          <w:rFonts w:hint="eastAsia" w:ascii="Times New Roman" w:hAnsi="Times New Roman"/>
        </w:rPr>
        <w:t>的</w:t>
      </w:r>
      <w:r>
        <w:rPr>
          <w:rFonts w:ascii="Times New Roman" w:hAnsi="Times New Roman"/>
        </w:rPr>
        <w:t>荷载规范规定。</w:t>
      </w:r>
    </w:p>
    <w:p>
      <w:pPr>
        <w:pStyle w:val="189"/>
      </w:pPr>
    </w:p>
    <w:p>
      <w:pPr>
        <w:pStyle w:val="189"/>
      </w:pPr>
      <w:r>
        <w:rPr>
          <w:rFonts w:hint="eastAsia"/>
          <w:b/>
        </w:rPr>
        <w:t xml:space="preserve">4.2.7 </w:t>
      </w:r>
      <w:r>
        <w:rPr>
          <w:rFonts w:hint="eastAsia"/>
        </w:rPr>
        <w:t>幕墙结构的地震作用标准值可按以下方法计算：</w:t>
      </w:r>
    </w:p>
    <w:p>
      <w:pPr>
        <w:pStyle w:val="188"/>
        <w:ind w:firstLine="480"/>
      </w:pPr>
      <w:r>
        <w:rPr>
          <w:rFonts w:hint="eastAsia"/>
        </w:rPr>
        <w:t>1 垂直于幕墙平面的分布水平地震作用标准值可按下式计算：</w:t>
      </w:r>
    </w:p>
    <w:tbl>
      <w:tblPr>
        <w:tblStyle w:val="37"/>
        <w:tblW w:w="0" w:type="auto"/>
        <w:jc w:val="right"/>
        <w:tblLayout w:type="fixed"/>
        <w:tblCellMar>
          <w:top w:w="0" w:type="dxa"/>
          <w:left w:w="108" w:type="dxa"/>
          <w:bottom w:w="0" w:type="dxa"/>
          <w:right w:w="108" w:type="dxa"/>
        </w:tblCellMar>
      </w:tblPr>
      <w:tblGrid>
        <w:gridCol w:w="745"/>
        <w:gridCol w:w="4925"/>
        <w:gridCol w:w="2268"/>
      </w:tblGrid>
      <w:tr>
        <w:tblPrEx>
          <w:tblCellMar>
            <w:top w:w="0" w:type="dxa"/>
            <w:left w:w="108" w:type="dxa"/>
            <w:bottom w:w="0" w:type="dxa"/>
            <w:right w:w="108" w:type="dxa"/>
          </w:tblCellMar>
        </w:tblPrEx>
        <w:trPr>
          <w:jc w:val="right"/>
        </w:trPr>
        <w:tc>
          <w:tcPr>
            <w:tcW w:w="745" w:type="dxa"/>
            <w:shd w:val="clear" w:color="auto" w:fill="auto"/>
            <w:vAlign w:val="center"/>
          </w:tcPr>
          <w:p>
            <w:pPr>
              <w:rPr>
                <w:rFonts w:ascii="Times New Roman" w:hAnsi="Times New Roman"/>
              </w:rPr>
            </w:pPr>
          </w:p>
        </w:tc>
        <w:tc>
          <w:tcPr>
            <w:tcW w:w="4925" w:type="dxa"/>
            <w:shd w:val="clear" w:color="auto" w:fill="auto"/>
            <w:vAlign w:val="center"/>
          </w:tcPr>
          <w:p>
            <w:pPr>
              <w:spacing w:line="360" w:lineRule="auto"/>
              <w:rPr>
                <w:rFonts w:ascii="Times New Roman" w:hAnsi="Times New Roman"/>
                <w:snapToGrid w:val="0"/>
              </w:rPr>
            </w:pPr>
            <m:oMathPara>
              <m:oMathParaPr>
                <m:jc m:val="center"/>
              </m:oMathParaPr>
              <m:oMath>
                <m:sSub>
                  <m:sSubPr>
                    <m:ctrlPr>
                      <w:rPr>
                        <w:rFonts w:ascii="Cambria Math" w:hAnsi="Cambria Math"/>
                      </w:rPr>
                    </m:ctrlPr>
                  </m:sSubPr>
                  <m:e>
                    <m:r>
                      <m:rPr/>
                      <w:rPr>
                        <w:rFonts w:ascii="Cambria Math" w:hAnsi="Cambria Math"/>
                      </w:rPr>
                      <m:t>q</m:t>
                    </m:r>
                    <m:ctrlPr>
                      <w:rPr>
                        <w:rFonts w:ascii="Cambria Math" w:hAnsi="Cambria Math"/>
                      </w:rPr>
                    </m:ctrlPr>
                  </m:e>
                  <m:sub>
                    <m:r>
                      <m:rPr/>
                      <w:rPr>
                        <w:rFonts w:ascii="Cambria Math" w:hAnsi="Cambria Math"/>
                      </w:rPr>
                      <m:t>Ek</m:t>
                    </m:r>
                    <m:ctrlPr>
                      <w:rPr>
                        <w:rFonts w:ascii="Cambria Math" w:hAnsi="Cambria Math"/>
                      </w:rPr>
                    </m:ctrlPr>
                  </m:sub>
                </m:sSub>
                <m:r>
                  <m:rPr>
                    <m:sty m:val="p"/>
                  </m:rPr>
                  <w:rPr>
                    <w:rFonts w:ascii="Cambria Math" w:hAnsi="Cambria Math"/>
                  </w:rPr>
                  <m:t>=</m:t>
                </m:r>
                <m:sSub>
                  <m:sSubPr>
                    <m:ctrlPr>
                      <w:rPr>
                        <w:rFonts w:ascii="Cambria Math" w:hAnsi="Cambria Math"/>
                        <w:snapToGrid w:val="0"/>
                      </w:rPr>
                    </m:ctrlPr>
                  </m:sSubPr>
                  <m:e>
                    <m:r>
                      <m:rPr/>
                      <w:rPr>
                        <w:rFonts w:ascii="Cambria Math" w:hAnsi="Cambria Math"/>
                        <w:snapToGrid w:val="0"/>
                      </w:rPr>
                      <m:t>β</m:t>
                    </m:r>
                    <m:ctrlPr>
                      <w:rPr>
                        <w:rFonts w:ascii="Cambria Math" w:hAnsi="Cambria Math"/>
                        <w:snapToGrid w:val="0"/>
                      </w:rPr>
                    </m:ctrlPr>
                  </m:e>
                  <m:sub>
                    <m:r>
                      <m:rPr/>
                      <w:rPr>
                        <w:rFonts w:ascii="Cambria Math" w:hAnsi="Cambria Math"/>
                        <w:snapToGrid w:val="0"/>
                      </w:rPr>
                      <m:t>E</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α</m:t>
                    </m:r>
                    <m:ctrlPr>
                      <w:rPr>
                        <w:rFonts w:ascii="Cambria Math" w:hAnsi="Cambria Math"/>
                        <w:snapToGrid w:val="0"/>
                      </w:rPr>
                    </m:ctrlPr>
                  </m:e>
                  <m:sub>
                    <m:r>
                      <m:rPr/>
                      <w:rPr>
                        <w:rFonts w:ascii="Cambria Math" w:hAnsi="Cambria Math"/>
                        <w:snapToGrid w:val="0"/>
                      </w:rPr>
                      <m:t>max</m:t>
                    </m:r>
                    <m:ctrlPr>
                      <w:rPr>
                        <w:rFonts w:ascii="Cambria Math" w:hAnsi="Cambria Math"/>
                        <w:snapToGrid w:val="0"/>
                      </w:rPr>
                    </m:ctrlPr>
                  </m:sub>
                </m:sSub>
                <m:f>
                  <m:fPr>
                    <m:type m:val="lin"/>
                    <m:ctrlPr>
                      <w:rPr>
                        <w:rFonts w:ascii="Cambria Math" w:hAnsi="Cambria Math"/>
                        <w:i/>
                        <w:snapToGrid w:val="0"/>
                      </w:rPr>
                    </m:ctrlPr>
                  </m:fPr>
                  <m:num>
                    <m:sSub>
                      <m:sSubPr>
                        <m:ctrlPr>
                          <w:rPr>
                            <w:rFonts w:ascii="Cambria Math" w:hAnsi="Cambria Math"/>
                            <w:snapToGrid w:val="0"/>
                          </w:rPr>
                        </m:ctrlPr>
                      </m:sSubPr>
                      <m:e>
                        <m:r>
                          <m:rPr/>
                          <w:rPr>
                            <w:rFonts w:ascii="Cambria Math" w:hAnsi="Cambria Math"/>
                            <w:snapToGrid w:val="0"/>
                          </w:rPr>
                          <m:t>G</m:t>
                        </m:r>
                        <m:ctrlPr>
                          <w:rPr>
                            <w:rFonts w:ascii="Cambria Math" w:hAnsi="Cambria Math"/>
                            <w:snapToGrid w:val="0"/>
                          </w:rPr>
                        </m:ctrlPr>
                      </m:e>
                      <m:sub>
                        <m:r>
                          <m:rPr/>
                          <w:rPr>
                            <w:rFonts w:ascii="Cambria Math" w:hAnsi="Cambria Math"/>
                            <w:snapToGrid w:val="0"/>
                          </w:rPr>
                          <m:t>k</m:t>
                        </m:r>
                        <m:ctrlPr>
                          <w:rPr>
                            <w:rFonts w:ascii="Cambria Math" w:hAnsi="Cambria Math"/>
                            <w:snapToGrid w:val="0"/>
                          </w:rPr>
                        </m:ctrlPr>
                      </m:sub>
                    </m:sSub>
                    <m:ctrlPr>
                      <w:rPr>
                        <w:rFonts w:ascii="Cambria Math" w:hAnsi="Cambria Math"/>
                        <w:i/>
                        <w:snapToGrid w:val="0"/>
                      </w:rPr>
                    </m:ctrlPr>
                  </m:num>
                  <m:den>
                    <m:r>
                      <m:rPr/>
                      <w:rPr>
                        <w:rFonts w:ascii="Cambria Math" w:hAnsi="Cambria Math"/>
                        <w:snapToGrid w:val="0"/>
                      </w:rPr>
                      <m:t>A</m:t>
                    </m:r>
                    <m:ctrlPr>
                      <w:rPr>
                        <w:rFonts w:ascii="Cambria Math" w:hAnsi="Cambria Math"/>
                        <w:i/>
                        <w:snapToGrid w:val="0"/>
                      </w:rPr>
                    </m:ctrlPr>
                  </m:den>
                </m:f>
              </m:oMath>
            </m:oMathPara>
          </w:p>
        </w:tc>
        <w:tc>
          <w:tcPr>
            <w:tcW w:w="2268" w:type="dxa"/>
            <w:shd w:val="clear" w:color="auto" w:fill="auto"/>
            <w:vAlign w:val="center"/>
          </w:tcPr>
          <w:p>
            <w:pPr>
              <w:widowControl w:val="0"/>
              <w:spacing w:line="360" w:lineRule="auto"/>
              <w:jc w:val="right"/>
              <w:rPr>
                <w:rFonts w:ascii="Times New Roman" w:hAnsi="Times New Roman"/>
                <w:sz w:val="21"/>
                <w:szCs w:val="21"/>
              </w:rPr>
            </w:pPr>
            <w:r>
              <w:rPr>
                <w:rFonts w:hint="eastAsia" w:ascii="Times New Roman" w:hAnsi="Times New Roman" w:cs="Times New Roman"/>
                <w:kern w:val="2"/>
              </w:rPr>
              <w:t>（</w:t>
            </w:r>
            <w:r>
              <w:rPr>
                <w:rFonts w:ascii="Times New Roman" w:hAnsi="Times New Roman" w:cs="Times New Roman"/>
                <w:kern w:val="2"/>
              </w:rPr>
              <w:t>4.2.7-1</w:t>
            </w:r>
            <w:r>
              <w:rPr>
                <w:rFonts w:hint="eastAsia" w:ascii="Times New Roman" w:hAnsi="Times New Roman" w:cs="Times New Roman"/>
                <w:kern w:val="2"/>
              </w:rPr>
              <w:t>）</w:t>
            </w:r>
          </w:p>
        </w:tc>
      </w:tr>
    </w:tbl>
    <w:p>
      <w:pPr>
        <w:pStyle w:val="189"/>
      </w:pPr>
      <w:r>
        <w:rPr>
          <w:rFonts w:hint="eastAsia"/>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w:rPr>
                        <w:rFonts w:ascii="Cambria Math" w:hAnsi="Cambria Math" w:cs="Times New Roman"/>
                      </w:rPr>
                      <m:t>q</m:t>
                    </m:r>
                    <m:ctrlPr>
                      <w:rPr>
                        <w:rFonts w:ascii="Cambria Math" w:hAnsi="Cambria Math" w:cs="Times New Roman"/>
                      </w:rPr>
                    </m:ctrlPr>
                  </m:e>
                  <m:sub>
                    <m:r>
                      <m:rPr/>
                      <w:rPr>
                        <w:rFonts w:ascii="Cambria Math" w:hAnsi="Cambria Math" w:cs="Times New Roman"/>
                      </w:rPr>
                      <m:t>Ek</m:t>
                    </m:r>
                    <m:ctrlPr>
                      <w:rPr>
                        <w:rFonts w:ascii="Cambria Math" w:hAnsi="Cambria Math" w:cs="Times New Roman"/>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垂直于幕墙平面的分布水平地震作用标准值（kN/m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snapToGrid w:val="0"/>
                      </w:rPr>
                    </m:ctrlPr>
                  </m:sSubPr>
                  <m:e>
                    <m:r>
                      <m:rPr/>
                      <w:rPr>
                        <w:rFonts w:ascii="Cambria Math" w:hAnsi="Cambria Math" w:cs="Times New Roman"/>
                        <w:snapToGrid w:val="0"/>
                      </w:rPr>
                      <m:t>β</m:t>
                    </m:r>
                    <m:ctrlPr>
                      <w:rPr>
                        <w:rFonts w:ascii="Cambria Math" w:hAnsi="Cambria Math" w:cs="Times New Roman"/>
                        <w:snapToGrid w:val="0"/>
                      </w:rPr>
                    </m:ctrlPr>
                  </m:e>
                  <m:sub>
                    <m:r>
                      <m:rPr/>
                      <w:rPr>
                        <w:rFonts w:ascii="Cambria Math" w:hAnsi="Cambria Math" w:cs="Times New Roman"/>
                        <w:snapToGrid w:val="0"/>
                      </w:rPr>
                      <m:t>E</m:t>
                    </m:r>
                    <m:ctrlPr>
                      <w:rPr>
                        <w:rFonts w:ascii="Cambria Math" w:hAnsi="Cambria Math" w:cs="Times New Roman"/>
                        <w:snapToGrid w:val="0"/>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动力放大系数，可取5.0</w:t>
            </w:r>
            <w:r>
              <w:rPr>
                <w:snapToGrid w:val="0"/>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rPr>
            </w:pPr>
            <m:oMathPara>
              <m:oMathParaPr>
                <m:jc m:val="right"/>
              </m:oMathParaPr>
              <m:oMath>
                <m:sSub>
                  <m:sSubPr>
                    <m:ctrlPr>
                      <w:rPr>
                        <w:rFonts w:ascii="Cambria Math" w:hAnsi="Cambria Math" w:cs="Times New Roman"/>
                        <w:snapToGrid w:val="0"/>
                      </w:rPr>
                    </m:ctrlPr>
                  </m:sSubPr>
                  <m:e>
                    <m:r>
                      <m:rPr/>
                      <w:rPr>
                        <w:rFonts w:ascii="Cambria Math" w:hAnsi="Cambria Math" w:cs="Times New Roman"/>
                        <w:snapToGrid w:val="0"/>
                      </w:rPr>
                      <m:t>α</m:t>
                    </m:r>
                    <m:ctrlPr>
                      <w:rPr>
                        <w:rFonts w:ascii="Cambria Math" w:hAnsi="Cambria Math" w:cs="Times New Roman"/>
                        <w:snapToGrid w:val="0"/>
                      </w:rPr>
                    </m:ctrlPr>
                  </m:e>
                  <m:sub>
                    <m:r>
                      <m:rPr/>
                      <w:rPr>
                        <w:rFonts w:ascii="Cambria Math" w:hAnsi="Cambria Math" w:cs="Times New Roman"/>
                        <w:snapToGrid w:val="0"/>
                      </w:rPr>
                      <m:t>max</m:t>
                    </m:r>
                    <m:ctrlPr>
                      <w:rPr>
                        <w:rFonts w:ascii="Cambria Math" w:hAnsi="Cambria Math" w:cs="Times New Roman"/>
                        <w:snapToGrid w:val="0"/>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水平地震影响系数最大值</w:t>
            </w:r>
            <w:r>
              <w:rPr>
                <w:snapToGrid w:val="0"/>
              </w:rPr>
              <w:t>，多遇地震时可按表</w:t>
            </w:r>
            <w:r>
              <w:rPr>
                <w:rFonts w:hint="eastAsia"/>
                <w:snapToGrid w:val="0"/>
              </w:rPr>
              <w:t>4</w:t>
            </w:r>
            <w:r>
              <w:rPr>
                <w:snapToGrid w:val="0"/>
              </w:rPr>
              <w:t>.2.</w:t>
            </w:r>
            <w:r>
              <w:rPr>
                <w:rFonts w:hint="eastAsia"/>
                <w:snapToGrid w:val="0"/>
              </w:rPr>
              <w:t>7</w:t>
            </w:r>
            <w:r>
              <w:rPr>
                <w:snapToGrid w:val="0"/>
              </w:rPr>
              <w:t>采用；</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rPr>
            </w:pPr>
            <m:oMathPara>
              <m:oMathParaPr>
                <m:jc m:val="right"/>
              </m:oMathParaPr>
              <m:oMath>
                <m:sSub>
                  <m:sSubPr>
                    <m:ctrlPr>
                      <w:rPr>
                        <w:rFonts w:ascii="Cambria Math" w:hAnsi="Cambria Math" w:cs="Times New Roman"/>
                        <w:snapToGrid w:val="0"/>
                      </w:rPr>
                    </m:ctrlPr>
                  </m:sSubPr>
                  <m:e>
                    <m:r>
                      <m:rPr/>
                      <w:rPr>
                        <w:rFonts w:ascii="Cambria Math" w:hAnsi="Cambria Math" w:cs="Times New Roman"/>
                        <w:snapToGrid w:val="0"/>
                      </w:rPr>
                      <m:t>G</m:t>
                    </m:r>
                    <m:ctrlPr>
                      <w:rPr>
                        <w:rFonts w:ascii="Cambria Math" w:hAnsi="Cambria Math" w:cs="Times New Roman"/>
                        <w:snapToGrid w:val="0"/>
                      </w:rPr>
                    </m:ctrlPr>
                  </m:e>
                  <m:sub>
                    <m:r>
                      <m:rPr/>
                      <w:rPr>
                        <w:rFonts w:ascii="Cambria Math" w:hAnsi="Cambria Math" w:cs="Times New Roman"/>
                        <w:snapToGrid w:val="0"/>
                      </w:rPr>
                      <m:t>k</m:t>
                    </m:r>
                    <m:ctrlPr>
                      <w:rPr>
                        <w:rFonts w:ascii="Cambria Math" w:hAnsi="Cambria Math" w:cs="Times New Roman"/>
                        <w:snapToGrid w:val="0"/>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幕墙面板和框架的重力荷载标准值</w:t>
            </w:r>
            <w:r>
              <w:rPr>
                <w:rFonts w:hint="eastAsia"/>
                <w:lang w:eastAsia="zh-CN"/>
              </w:rPr>
              <w:t>（</w:t>
            </w:r>
            <w:r>
              <w:t>kN)；</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rPr>
            </w:pPr>
            <m:oMathPara>
              <m:oMathParaPr>
                <m:jc m:val="right"/>
              </m:oMathParaPr>
              <m:oMath>
                <m:r>
                  <m:rPr/>
                  <w:rPr>
                    <w:rFonts w:ascii="Cambria Math" w:hAnsi="Cambria Math" w:cs="Times New Roman"/>
                    <w:snapToGrid w:val="0"/>
                  </w:rPr>
                  <m:t>A</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幕墙平面面积（m</w:t>
            </w:r>
            <w:r>
              <w:rPr>
                <w:vertAlign w:val="superscript"/>
              </w:rPr>
              <w:t>2</w:t>
            </w:r>
            <w:r>
              <w:t>）</w:t>
            </w:r>
            <w:r>
              <w:rPr>
                <w:snapToGrid w:val="0"/>
              </w:rPr>
              <w:t>。</w:t>
            </w:r>
          </w:p>
        </w:tc>
      </w:tr>
    </w:tbl>
    <w:p>
      <w:pPr>
        <w:pStyle w:val="202"/>
      </w:pPr>
      <w:r>
        <w:rPr>
          <w:rFonts w:hint="eastAsia"/>
        </w:rPr>
        <w:t>表4.2.7 水平地震影响系数最大值</w:t>
      </w:r>
    </w:p>
    <w:tbl>
      <w:tblPr>
        <w:tblStyle w:val="3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44"/>
        <w:gridCol w:w="1841"/>
        <w:gridCol w:w="1880"/>
        <w:gridCol w:w="1880"/>
        <w:gridCol w:w="1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pct"/>
            <w:vAlign w:val="center"/>
          </w:tcPr>
          <w:p>
            <w:pPr>
              <w:pStyle w:val="203"/>
              <w:rPr>
                <w:rFonts w:ascii="Times New Roman"/>
              </w:rPr>
            </w:pPr>
            <w:r>
              <w:rPr>
                <w:rFonts w:hint="eastAsia" w:ascii="Times New Roman"/>
              </w:rPr>
              <w:t>抗震设防烈度</w:t>
            </w:r>
          </w:p>
        </w:tc>
        <w:tc>
          <w:tcPr>
            <w:tcW w:w="991" w:type="pct"/>
            <w:vAlign w:val="center"/>
          </w:tcPr>
          <w:p>
            <w:pPr>
              <w:pStyle w:val="203"/>
              <w:rPr>
                <w:rFonts w:ascii="Times New Roman"/>
              </w:rPr>
            </w:pPr>
            <w:r>
              <w:rPr>
                <w:rFonts w:ascii="Times New Roman"/>
              </w:rPr>
              <w:t>6</w:t>
            </w:r>
            <w:r>
              <w:rPr>
                <w:rFonts w:hint="eastAsia" w:ascii="Times New Roman"/>
              </w:rPr>
              <w:t>度</w:t>
            </w:r>
          </w:p>
        </w:tc>
        <w:tc>
          <w:tcPr>
            <w:tcW w:w="1012" w:type="pct"/>
            <w:vAlign w:val="center"/>
          </w:tcPr>
          <w:p>
            <w:pPr>
              <w:pStyle w:val="203"/>
              <w:rPr>
                <w:rFonts w:ascii="Times New Roman"/>
              </w:rPr>
            </w:pPr>
            <w:r>
              <w:rPr>
                <w:rFonts w:ascii="Times New Roman"/>
              </w:rPr>
              <w:t>7</w:t>
            </w:r>
            <w:r>
              <w:rPr>
                <w:rFonts w:hint="eastAsia" w:ascii="Times New Roman"/>
              </w:rPr>
              <w:t>度</w:t>
            </w:r>
          </w:p>
        </w:tc>
        <w:tc>
          <w:tcPr>
            <w:tcW w:w="1012" w:type="pct"/>
            <w:vAlign w:val="center"/>
          </w:tcPr>
          <w:p>
            <w:pPr>
              <w:pStyle w:val="203"/>
              <w:rPr>
                <w:rFonts w:ascii="Times New Roman"/>
              </w:rPr>
            </w:pPr>
            <w:r>
              <w:rPr>
                <w:rFonts w:ascii="Times New Roman"/>
              </w:rPr>
              <w:t>8</w:t>
            </w:r>
            <w:r>
              <w:rPr>
                <w:rFonts w:hint="eastAsia" w:ascii="Times New Roman"/>
              </w:rPr>
              <w:t>度</w:t>
            </w:r>
          </w:p>
        </w:tc>
        <w:tc>
          <w:tcPr>
            <w:tcW w:w="991" w:type="pct"/>
            <w:vAlign w:val="center"/>
          </w:tcPr>
          <w:p>
            <w:pPr>
              <w:pStyle w:val="203"/>
              <w:rPr>
                <w:rFonts w:ascii="Times New Roman"/>
              </w:rPr>
            </w:pPr>
            <w:r>
              <w:rPr>
                <w:rFonts w:ascii="Times New Roman"/>
              </w:rPr>
              <w:t>9</w:t>
            </w:r>
            <w:r>
              <w:rPr>
                <w:rFonts w:hint="eastAsia" w:ascii="Times New Roman"/>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pct"/>
            <w:vAlign w:val="center"/>
          </w:tcPr>
          <w:p>
            <w:pPr>
              <w:pStyle w:val="203"/>
              <w:rPr>
                <w:rFonts w:ascii="Times New Roman"/>
              </w:rPr>
            </w:pPr>
            <m:oMathPara>
              <m:oMath>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max</m:t>
                    </m:r>
                    <m:ctrlPr>
                      <w:rPr>
                        <w:rFonts w:ascii="Cambria Math" w:hAnsi="Cambria Math"/>
                      </w:rPr>
                    </m:ctrlPr>
                  </m:sub>
                </m:sSub>
              </m:oMath>
            </m:oMathPara>
          </w:p>
        </w:tc>
        <w:tc>
          <w:tcPr>
            <w:tcW w:w="991" w:type="pct"/>
            <w:vAlign w:val="center"/>
          </w:tcPr>
          <w:p>
            <w:pPr>
              <w:pStyle w:val="203"/>
              <w:rPr>
                <w:rFonts w:ascii="Times New Roman"/>
              </w:rPr>
            </w:pPr>
            <w:r>
              <w:rPr>
                <w:rFonts w:ascii="Times New Roman"/>
              </w:rPr>
              <w:t>0.04</w:t>
            </w:r>
          </w:p>
        </w:tc>
        <w:tc>
          <w:tcPr>
            <w:tcW w:w="1012" w:type="pct"/>
            <w:vAlign w:val="center"/>
          </w:tcPr>
          <w:p>
            <w:pPr>
              <w:pStyle w:val="203"/>
              <w:rPr>
                <w:rFonts w:ascii="Times New Roman"/>
              </w:rPr>
            </w:pPr>
            <w:r>
              <w:rPr>
                <w:rFonts w:ascii="Times New Roman"/>
              </w:rPr>
              <w:t>0.08</w:t>
            </w:r>
            <w:r>
              <w:rPr>
                <w:rFonts w:hint="eastAsia" w:ascii="Times New Roman"/>
              </w:rPr>
              <w:t>（</w:t>
            </w:r>
            <w:r>
              <w:rPr>
                <w:rFonts w:ascii="Times New Roman"/>
              </w:rPr>
              <w:t>0.12</w:t>
            </w:r>
            <w:r>
              <w:rPr>
                <w:rFonts w:hint="eastAsia" w:ascii="Times New Roman"/>
              </w:rPr>
              <w:t>）</w:t>
            </w:r>
          </w:p>
        </w:tc>
        <w:tc>
          <w:tcPr>
            <w:tcW w:w="1012" w:type="pct"/>
            <w:vAlign w:val="center"/>
          </w:tcPr>
          <w:p>
            <w:pPr>
              <w:pStyle w:val="203"/>
              <w:rPr>
                <w:rFonts w:ascii="Times New Roman"/>
              </w:rPr>
            </w:pPr>
            <w:r>
              <w:rPr>
                <w:rFonts w:ascii="Times New Roman"/>
              </w:rPr>
              <w:t>0.16</w:t>
            </w:r>
            <w:r>
              <w:rPr>
                <w:rFonts w:hint="eastAsia" w:ascii="Times New Roman"/>
              </w:rPr>
              <w:t>（</w:t>
            </w:r>
            <w:r>
              <w:rPr>
                <w:rFonts w:ascii="Times New Roman"/>
              </w:rPr>
              <w:t>0.24</w:t>
            </w:r>
            <w:r>
              <w:rPr>
                <w:rFonts w:hint="eastAsia" w:ascii="Times New Roman"/>
              </w:rPr>
              <w:t>）</w:t>
            </w:r>
          </w:p>
        </w:tc>
        <w:tc>
          <w:tcPr>
            <w:tcW w:w="991" w:type="pct"/>
            <w:vAlign w:val="center"/>
          </w:tcPr>
          <w:p>
            <w:pPr>
              <w:pStyle w:val="203"/>
              <w:rPr>
                <w:rFonts w:ascii="Times New Roman"/>
              </w:rPr>
            </w:pPr>
            <w:r>
              <w:rPr>
                <w:rFonts w:ascii="Times New Roman"/>
              </w:rPr>
              <w:t>0.32</w:t>
            </w:r>
          </w:p>
        </w:tc>
      </w:tr>
    </w:tbl>
    <w:p>
      <w:pPr>
        <w:pStyle w:val="205"/>
      </w:pPr>
      <w:r>
        <w:rPr>
          <w:rFonts w:hint="eastAsia"/>
        </w:rPr>
        <w:t>注：7、8度时括号内数值分别用于设计基本地震加速度为0.15g和0.30g的地区。</w:t>
      </w:r>
    </w:p>
    <w:p>
      <w:pPr>
        <w:pStyle w:val="188"/>
        <w:ind w:firstLine="480"/>
      </w:pPr>
      <w:r>
        <w:rPr>
          <w:rFonts w:hint="eastAsia"/>
        </w:rPr>
        <w:t>2 平行于幕墙平面的集中水平地震作用标准值可按下式计算：</w:t>
      </w:r>
    </w:p>
    <w:tbl>
      <w:tblPr>
        <w:tblStyle w:val="37"/>
        <w:tblW w:w="0" w:type="auto"/>
        <w:jc w:val="right"/>
        <w:tblLayout w:type="fixed"/>
        <w:tblCellMar>
          <w:top w:w="0" w:type="dxa"/>
          <w:left w:w="108" w:type="dxa"/>
          <w:bottom w:w="0" w:type="dxa"/>
          <w:right w:w="108" w:type="dxa"/>
        </w:tblCellMar>
      </w:tblPr>
      <w:tblGrid>
        <w:gridCol w:w="745"/>
        <w:gridCol w:w="4925"/>
        <w:gridCol w:w="2268"/>
      </w:tblGrid>
      <w:tr>
        <w:tblPrEx>
          <w:tblCellMar>
            <w:top w:w="0" w:type="dxa"/>
            <w:left w:w="108" w:type="dxa"/>
            <w:bottom w:w="0" w:type="dxa"/>
            <w:right w:w="108" w:type="dxa"/>
          </w:tblCellMar>
        </w:tblPrEx>
        <w:trPr>
          <w:jc w:val="right"/>
        </w:trPr>
        <w:tc>
          <w:tcPr>
            <w:tcW w:w="745" w:type="dxa"/>
            <w:shd w:val="clear" w:color="auto" w:fill="auto"/>
            <w:vAlign w:val="center"/>
          </w:tcPr>
          <w:p>
            <w:pPr>
              <w:rPr>
                <w:rFonts w:ascii="Times New Roman" w:hAnsi="Times New Roman"/>
              </w:rPr>
            </w:pPr>
          </w:p>
        </w:tc>
        <w:tc>
          <w:tcPr>
            <w:tcW w:w="4925" w:type="dxa"/>
            <w:shd w:val="clear" w:color="auto" w:fill="auto"/>
            <w:vAlign w:val="center"/>
          </w:tcPr>
          <w:p>
            <w:pPr>
              <w:spacing w:line="360" w:lineRule="auto"/>
              <w:rPr>
                <w:rFonts w:ascii="Times New Roman" w:hAnsi="Times New Roman"/>
                <w:snapToGrid w:val="0"/>
              </w:rPr>
            </w:pPr>
            <m:oMathPara>
              <m:oMathParaPr>
                <m:jc m:val="center"/>
              </m:oMathParaP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Ek</m:t>
                    </m:r>
                    <m:ctrlPr>
                      <w:rPr>
                        <w:rFonts w:ascii="Cambria Math" w:hAnsi="Cambria Math"/>
                      </w:rPr>
                    </m:ctrlPr>
                  </m:sub>
                </m:sSub>
                <m:r>
                  <m:rPr>
                    <m:sty m:val="p"/>
                  </m:rPr>
                  <w:rPr>
                    <w:rFonts w:ascii="Cambria Math" w:hAnsi="Cambria Math"/>
                  </w:rPr>
                  <m:t>=</m:t>
                </m:r>
                <m:sSub>
                  <m:sSubPr>
                    <m:ctrlPr>
                      <w:rPr>
                        <w:rFonts w:ascii="Cambria Math" w:hAnsi="Cambria Math"/>
                        <w:snapToGrid w:val="0"/>
                      </w:rPr>
                    </m:ctrlPr>
                  </m:sSubPr>
                  <m:e>
                    <m:r>
                      <m:rPr/>
                      <w:rPr>
                        <w:rFonts w:ascii="Cambria Math" w:hAnsi="Cambria Math"/>
                        <w:snapToGrid w:val="0"/>
                      </w:rPr>
                      <m:t>β</m:t>
                    </m:r>
                    <m:ctrlPr>
                      <w:rPr>
                        <w:rFonts w:ascii="Cambria Math" w:hAnsi="Cambria Math"/>
                        <w:snapToGrid w:val="0"/>
                      </w:rPr>
                    </m:ctrlPr>
                  </m:e>
                  <m:sub>
                    <m:r>
                      <m:rPr/>
                      <w:rPr>
                        <w:rFonts w:ascii="Cambria Math" w:hAnsi="Cambria Math"/>
                        <w:snapToGrid w:val="0"/>
                      </w:rPr>
                      <m:t>E</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α</m:t>
                    </m:r>
                    <m:ctrlPr>
                      <w:rPr>
                        <w:rFonts w:ascii="Cambria Math" w:hAnsi="Cambria Math"/>
                        <w:snapToGrid w:val="0"/>
                      </w:rPr>
                    </m:ctrlPr>
                  </m:e>
                  <m:sub>
                    <m:r>
                      <m:rPr/>
                      <w:rPr>
                        <w:rFonts w:ascii="Cambria Math" w:hAnsi="Cambria Math"/>
                        <w:snapToGrid w:val="0"/>
                      </w:rPr>
                      <m:t>max</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G</m:t>
                    </m:r>
                    <m:ctrlPr>
                      <w:rPr>
                        <w:rFonts w:ascii="Cambria Math" w:hAnsi="Cambria Math"/>
                        <w:snapToGrid w:val="0"/>
                      </w:rPr>
                    </m:ctrlPr>
                  </m:e>
                  <m:sub>
                    <m:r>
                      <m:rPr/>
                      <w:rPr>
                        <w:rFonts w:ascii="Cambria Math" w:hAnsi="Cambria Math"/>
                        <w:snapToGrid w:val="0"/>
                      </w:rPr>
                      <m:t>k</m:t>
                    </m:r>
                    <m:ctrlPr>
                      <w:rPr>
                        <w:rFonts w:ascii="Cambria Math" w:hAnsi="Cambria Math"/>
                        <w:snapToGrid w:val="0"/>
                      </w:rPr>
                    </m:ctrlPr>
                  </m:sub>
                </m:sSub>
              </m:oMath>
            </m:oMathPara>
          </w:p>
        </w:tc>
        <w:tc>
          <w:tcPr>
            <w:tcW w:w="2268" w:type="dxa"/>
            <w:shd w:val="clear" w:color="auto" w:fill="auto"/>
            <w:vAlign w:val="center"/>
          </w:tcPr>
          <w:p>
            <w:pPr>
              <w:widowControl w:val="0"/>
              <w:spacing w:line="360" w:lineRule="auto"/>
              <w:jc w:val="right"/>
              <w:rPr>
                <w:rFonts w:ascii="Times New Roman" w:hAnsi="Times New Roman"/>
                <w:sz w:val="21"/>
                <w:szCs w:val="21"/>
              </w:rPr>
            </w:pPr>
            <w:r>
              <w:rPr>
                <w:rFonts w:hint="eastAsia" w:ascii="Times New Roman" w:hAnsi="Times New Roman" w:cs="Times New Roman"/>
                <w:kern w:val="2"/>
              </w:rPr>
              <w:t>（</w:t>
            </w:r>
            <w:r>
              <w:rPr>
                <w:rFonts w:ascii="Times New Roman" w:hAnsi="Times New Roman" w:cs="Times New Roman"/>
                <w:kern w:val="2"/>
              </w:rPr>
              <w:t>4.2.7-2</w:t>
            </w:r>
            <w:r>
              <w:rPr>
                <w:rFonts w:hint="eastAsia" w:ascii="Times New Roman" w:hAnsi="Times New Roman" w:cs="Times New Roman"/>
                <w:kern w:val="2"/>
              </w:rPr>
              <w:t>）</w:t>
            </w:r>
          </w:p>
        </w:tc>
      </w:tr>
    </w:tbl>
    <w:p>
      <w:pPr>
        <w:pStyle w:val="189"/>
      </w:pPr>
      <w:r>
        <w:rPr>
          <w:rFonts w:hint="eastAsia"/>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rPr>
            </w:pPr>
            <m:oMathPara>
              <m:oMathParaPr>
                <m:jc m:val="right"/>
              </m:oMathParaP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Ek</m:t>
                    </m:r>
                    <m:ctrlPr>
                      <w:rPr>
                        <w:rFonts w:ascii="Cambria Math" w:hAnsi="Cambria Math"/>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平行于幕墙平面的集中水平地震作用标准值（kN）。</w:t>
            </w:r>
          </w:p>
        </w:tc>
      </w:tr>
    </w:tbl>
    <w:p>
      <w:pPr>
        <w:pStyle w:val="188"/>
        <w:ind w:firstLine="480"/>
      </w:pPr>
      <w:r>
        <w:rPr>
          <w:rFonts w:hint="eastAsia"/>
        </w:rPr>
        <w:t>3 金属屋面及采光顶作用于水平方向的水平地震作用标准值可按式</w:t>
      </w:r>
      <w:r>
        <w:t>（</w:t>
      </w:r>
      <w:r>
        <w:rPr>
          <w:rFonts w:hint="eastAsia"/>
        </w:rPr>
        <w:t>4</w:t>
      </w:r>
      <w:r>
        <w:t>.</w:t>
      </w:r>
      <w:r>
        <w:rPr>
          <w:rFonts w:hint="eastAsia"/>
        </w:rPr>
        <w:t>2</w:t>
      </w:r>
      <w:r>
        <w:t>.7-</w:t>
      </w:r>
      <w:r>
        <w:rPr>
          <w:rFonts w:hint="eastAsia"/>
        </w:rPr>
        <w:t>2</w:t>
      </w:r>
      <w:r>
        <w:t>）</w:t>
      </w:r>
      <w:r>
        <w:rPr>
          <w:rFonts w:hint="eastAsia"/>
        </w:rPr>
        <w:t>计算；当计算竖向地震作用时，竖向地震影响系数最大值可取水平地震影响系数最大值的65%。</w:t>
      </w:r>
    </w:p>
    <w:p>
      <w:pPr>
        <w:pStyle w:val="188"/>
        <w:ind w:firstLine="0" w:firstLineChars="0"/>
      </w:pPr>
      <w:r>
        <w:rPr>
          <w:rFonts w:hint="eastAsia"/>
          <w:b/>
        </w:rPr>
        <w:t>4</w:t>
      </w:r>
      <w:r>
        <w:rPr>
          <w:b/>
        </w:rPr>
        <w:t>.</w:t>
      </w:r>
      <w:r>
        <w:rPr>
          <w:rFonts w:hint="eastAsia"/>
          <w:b/>
        </w:rPr>
        <w:t>2</w:t>
      </w:r>
      <w:r>
        <w:rPr>
          <w:b/>
        </w:rPr>
        <w:t>.</w:t>
      </w:r>
      <w:r>
        <w:rPr>
          <w:rFonts w:hint="eastAsia"/>
          <w:b/>
        </w:rPr>
        <w:t>8</w:t>
      </w:r>
      <w:r>
        <w:rPr>
          <w:b/>
        </w:rPr>
        <w:t xml:space="preserve"> </w:t>
      </w:r>
      <w:r>
        <w:rPr>
          <w:rFonts w:hint="eastAsia"/>
        </w:rPr>
        <w:t>预制外挂墙板</w:t>
      </w:r>
      <w:r>
        <w:t>结构的作用及作用组合应根据国家现行标准《建筑结构荷载规范》GB</w:t>
      </w:r>
      <w:r>
        <w:rPr>
          <w:rFonts w:hint="eastAsia"/>
        </w:rPr>
        <w:t xml:space="preserve"> </w:t>
      </w:r>
      <w:r>
        <w:t>50009、《建筑抗震设计规范》GB</w:t>
      </w:r>
      <w:r>
        <w:rPr>
          <w:rFonts w:hint="eastAsia"/>
        </w:rPr>
        <w:t xml:space="preserve"> </w:t>
      </w:r>
      <w:r>
        <w:t>50011、《高层建筑混凝土结构技术规程》JGJ</w:t>
      </w:r>
      <w:r>
        <w:rPr>
          <w:rFonts w:hint="eastAsia"/>
        </w:rPr>
        <w:t xml:space="preserve"> </w:t>
      </w:r>
      <w:r>
        <w:t>3和《混凝土结构工程施工规范》GB</w:t>
      </w:r>
      <w:r>
        <w:rPr>
          <w:rFonts w:hint="eastAsia"/>
        </w:rPr>
        <w:t xml:space="preserve"> </w:t>
      </w:r>
      <w:r>
        <w:t>50666等确定。</w:t>
      </w:r>
    </w:p>
    <w:p>
      <w:pPr>
        <w:pStyle w:val="188"/>
        <w:ind w:firstLine="480"/>
      </w:pPr>
    </w:p>
    <w:p>
      <w:pPr>
        <w:pStyle w:val="198"/>
        <w:rPr>
          <w:rFonts w:ascii="Times New Roman" w:hAnsi="Times New Roman"/>
          <w:color w:val="000000" w:themeColor="text1"/>
          <w14:textFill>
            <w14:solidFill>
              <w14:schemeClr w14:val="tx1"/>
            </w14:solidFill>
          </w14:textFill>
        </w:rPr>
      </w:pPr>
      <w:bookmarkStart w:id="34" w:name="_Toc162996211"/>
      <w:r>
        <w:rPr>
          <w:rFonts w:ascii="Times New Roman" w:hAnsi="Times New Roman"/>
          <w:color w:val="000000" w:themeColor="text1"/>
          <w14:textFill>
            <w14:solidFill>
              <w14:schemeClr w14:val="tx1"/>
            </w14:solidFill>
          </w14:textFill>
        </w:rPr>
        <w:t>4.3 储存、运输、施工阶段作用</w:t>
      </w:r>
      <w:bookmarkEnd w:id="34"/>
    </w:p>
    <w:p>
      <w:pPr>
        <w:pStyle w:val="189"/>
      </w:pPr>
      <w:r>
        <w:rPr>
          <w:rFonts w:hint="eastAsia"/>
          <w:b/>
        </w:rPr>
        <w:t>4.</w:t>
      </w:r>
      <w:r>
        <w:rPr>
          <w:b/>
        </w:rPr>
        <w:t>3</w:t>
      </w:r>
      <w:r>
        <w:rPr>
          <w:rFonts w:hint="eastAsia"/>
          <w:b/>
        </w:rPr>
        <w:t>.</w:t>
      </w:r>
      <w:r>
        <w:rPr>
          <w:b/>
        </w:rPr>
        <w:t>1</w:t>
      </w:r>
      <w:r>
        <w:rPr>
          <w:rFonts w:hint="eastAsia"/>
          <w:b/>
        </w:rPr>
        <w:t xml:space="preserve"> </w:t>
      </w:r>
      <w:r>
        <w:rPr>
          <w:rFonts w:hint="eastAsia"/>
        </w:rPr>
        <w:t>幕墙板块或装配构件装卸、吊装过程中的动力系数可取</w:t>
      </w:r>
      <w:r>
        <w:rPr>
          <w:rFonts w:hint="eastAsia"/>
          <w:bCs w:val="0"/>
        </w:rPr>
        <w:t>1.1。</w:t>
      </w:r>
    </w:p>
    <w:p>
      <w:pPr>
        <w:pStyle w:val="120"/>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 xml:space="preserve">4.3.1 </w:t>
      </w:r>
      <w:r>
        <w:rPr>
          <w:rFonts w:hint="eastAsia" w:ascii="Times New Roman" w:hAnsi="Times New Roman"/>
          <w:color w:val="000000" w:themeColor="text1"/>
          <w14:textFill>
            <w14:solidFill>
              <w14:schemeClr w14:val="tx1"/>
            </w14:solidFill>
          </w14:textFill>
        </w:rPr>
        <w:t>根据</w:t>
      </w:r>
      <w:r>
        <w:rPr>
          <w:rFonts w:ascii="Times New Roman" w:hAnsi="Times New Roman"/>
        </w:rPr>
        <w:t>《建筑结构荷载规范》 GB50009-2012</w:t>
      </w:r>
      <w:r>
        <w:rPr>
          <w:rFonts w:hint="eastAsia" w:ascii="Times New Roman" w:hAnsi="Times New Roman"/>
        </w:rPr>
        <w:t>第</w:t>
      </w:r>
      <w:r>
        <w:rPr>
          <w:rFonts w:ascii="Times New Roman" w:hAnsi="Times New Roman"/>
        </w:rPr>
        <w:t>5.6.2</w:t>
      </w:r>
      <w:r>
        <w:rPr>
          <w:rFonts w:hint="eastAsia" w:ascii="Times New Roman" w:hAnsi="Times New Roman"/>
        </w:rPr>
        <w:t>条，搬运和装卸重物的动力系数，可采用</w:t>
      </w:r>
      <w:r>
        <w:rPr>
          <w:rFonts w:ascii="Times New Roman" w:hAnsi="Times New Roman"/>
        </w:rPr>
        <w:t>1.1~1.3</w:t>
      </w:r>
      <w:r>
        <w:rPr>
          <w:rFonts w:hint="eastAsia" w:ascii="Times New Roman" w:hAnsi="Times New Roman"/>
        </w:rPr>
        <w:t>。待查吊篮规范取值不同？</w:t>
      </w:r>
    </w:p>
    <w:p>
      <w:pPr>
        <w:tabs>
          <w:tab w:val="left" w:pos="567"/>
        </w:tabs>
        <w:spacing w:line="360" w:lineRule="auto"/>
        <w:rPr>
          <w:rFonts w:ascii="Times New Roman" w:hAnsi="Times New Roman"/>
          <w:b/>
          <w:bCs/>
          <w:szCs w:val="28"/>
        </w:rPr>
      </w:pPr>
      <w:r>
        <w:rPr>
          <w:rFonts w:ascii="Times New Roman" w:hAnsi="Times New Roman"/>
          <w:b/>
          <w:bCs/>
          <w:szCs w:val="28"/>
        </w:rPr>
        <w:t xml:space="preserve">4.3.2 </w:t>
      </w:r>
      <w:r>
        <w:rPr>
          <w:rFonts w:hint="eastAsia" w:ascii="Times New Roman" w:hAnsi="Times New Roman"/>
          <w:bCs/>
          <w:szCs w:val="28"/>
        </w:rPr>
        <w:t>幕墙单元板块吊装前应进行下列结构受力验算：</w:t>
      </w:r>
    </w:p>
    <w:p>
      <w:pPr>
        <w:tabs>
          <w:tab w:val="left" w:pos="567"/>
        </w:tabs>
        <w:spacing w:line="360" w:lineRule="auto"/>
        <w:ind w:firstLine="470" w:firstLineChars="196"/>
        <w:rPr>
          <w:rFonts w:ascii="Times New Roman" w:hAnsi="Times New Roman"/>
          <w:bCs/>
          <w:szCs w:val="28"/>
        </w:rPr>
      </w:pPr>
      <w:r>
        <w:rPr>
          <w:rFonts w:ascii="Times New Roman" w:hAnsi="Times New Roman"/>
          <w:bCs/>
          <w:szCs w:val="28"/>
        </w:rPr>
        <w:t>1板块的吊装机具应进行专门设计</w:t>
      </w:r>
      <w:r>
        <w:rPr>
          <w:rFonts w:hint="eastAsia" w:ascii="Times New Roman" w:hAnsi="Times New Roman"/>
          <w:bCs/>
          <w:szCs w:val="28"/>
        </w:rPr>
        <w:t>，</w:t>
      </w:r>
      <w:r>
        <w:rPr>
          <w:rFonts w:ascii="Times New Roman" w:hAnsi="Times New Roman"/>
          <w:bCs/>
          <w:szCs w:val="28"/>
        </w:rPr>
        <w:t>吊装机具的承载能力应大于板块吊装施工中各种荷载和作用组合的设计值，</w:t>
      </w:r>
      <w:r>
        <w:rPr>
          <w:rFonts w:hint="eastAsia" w:ascii="Times New Roman" w:hAnsi="Times New Roman"/>
          <w:bCs/>
          <w:szCs w:val="28"/>
        </w:rPr>
        <w:t>吊装板块的竖向重力荷载应乘以动力系数，可取</w:t>
      </w:r>
      <w:r>
        <w:rPr>
          <w:rFonts w:ascii="Times New Roman" w:hAnsi="Times New Roman"/>
          <w:bCs/>
          <w:szCs w:val="28"/>
        </w:rPr>
        <w:t>1.05</w:t>
      </w:r>
      <w:r>
        <w:rPr>
          <w:rFonts w:hint="eastAsia" w:ascii="Times New Roman" w:hAnsi="Times New Roman"/>
          <w:bCs/>
          <w:szCs w:val="28"/>
        </w:rPr>
        <w:t>；</w:t>
      </w:r>
    </w:p>
    <w:p>
      <w:pPr>
        <w:tabs>
          <w:tab w:val="left" w:pos="567"/>
        </w:tabs>
        <w:spacing w:line="360" w:lineRule="auto"/>
        <w:ind w:firstLine="470" w:firstLineChars="196"/>
        <w:rPr>
          <w:rFonts w:ascii="Times New Roman" w:hAnsi="Times New Roman"/>
          <w:bCs/>
          <w:szCs w:val="28"/>
        </w:rPr>
      </w:pPr>
      <w:r>
        <w:rPr>
          <w:rFonts w:ascii="Times New Roman" w:hAnsi="Times New Roman"/>
          <w:bCs/>
          <w:szCs w:val="28"/>
        </w:rPr>
        <w:t>2应对吊装机具安装位置的主体结构承载能力进行校核</w:t>
      </w:r>
      <w:r>
        <w:rPr>
          <w:rFonts w:hint="eastAsia" w:ascii="Times New Roman" w:hAnsi="Times New Roman"/>
          <w:bCs/>
          <w:szCs w:val="28"/>
        </w:rPr>
        <w:t>；</w:t>
      </w:r>
      <w:r>
        <w:rPr>
          <w:rFonts w:ascii="Times New Roman" w:hAnsi="Times New Roman"/>
          <w:bCs/>
          <w:szCs w:val="28"/>
        </w:rPr>
        <w:t>吊装机具应与主体结构可靠连接，并</w:t>
      </w:r>
      <w:r>
        <w:rPr>
          <w:rFonts w:hint="eastAsia" w:ascii="Times New Roman" w:hAnsi="Times New Roman"/>
          <w:bCs/>
          <w:szCs w:val="28"/>
        </w:rPr>
        <w:t>应采取</w:t>
      </w:r>
      <w:r>
        <w:rPr>
          <w:rFonts w:ascii="Times New Roman" w:hAnsi="Times New Roman"/>
          <w:bCs/>
          <w:szCs w:val="28"/>
        </w:rPr>
        <w:t>限位、防止脱轨</w:t>
      </w:r>
      <w:r>
        <w:rPr>
          <w:rFonts w:hint="eastAsia" w:ascii="Times New Roman" w:hAnsi="Times New Roman"/>
          <w:bCs/>
          <w:szCs w:val="28"/>
        </w:rPr>
        <w:t>、</w:t>
      </w:r>
      <w:r>
        <w:rPr>
          <w:rFonts w:ascii="Times New Roman" w:hAnsi="Times New Roman"/>
          <w:bCs/>
          <w:szCs w:val="28"/>
        </w:rPr>
        <w:t>防倾覆</w:t>
      </w:r>
      <w:r>
        <w:rPr>
          <w:rFonts w:hint="eastAsia" w:ascii="Times New Roman" w:hAnsi="Times New Roman"/>
          <w:bCs/>
          <w:szCs w:val="28"/>
        </w:rPr>
        <w:t>措施；</w:t>
      </w:r>
    </w:p>
    <w:p>
      <w:pPr>
        <w:tabs>
          <w:tab w:val="left" w:pos="567"/>
        </w:tabs>
        <w:spacing w:line="360" w:lineRule="auto"/>
        <w:ind w:firstLine="470" w:firstLineChars="196"/>
        <w:rPr>
          <w:rFonts w:ascii="Times New Roman" w:hAnsi="Times New Roman"/>
          <w:bCs/>
          <w:szCs w:val="28"/>
        </w:rPr>
      </w:pPr>
      <w:r>
        <w:rPr>
          <w:rFonts w:ascii="Times New Roman" w:hAnsi="Times New Roman"/>
          <w:bCs/>
          <w:szCs w:val="28"/>
        </w:rPr>
        <w:t xml:space="preserve">3 </w:t>
      </w:r>
      <w:r>
        <w:rPr>
          <w:rFonts w:hint="eastAsia" w:ascii="Times New Roman" w:hAnsi="Times New Roman"/>
          <w:bCs/>
          <w:szCs w:val="28"/>
        </w:rPr>
        <w:t>应对起重吊装钢丝绳进行校核，根据不同用途选用安全系数；</w:t>
      </w:r>
    </w:p>
    <w:p>
      <w:pPr>
        <w:tabs>
          <w:tab w:val="left" w:pos="567"/>
        </w:tabs>
        <w:spacing w:line="360" w:lineRule="auto"/>
        <w:ind w:firstLine="470" w:firstLineChars="196"/>
        <w:rPr>
          <w:rFonts w:ascii="Times New Roman" w:hAnsi="Times New Roman"/>
          <w:bCs/>
          <w:szCs w:val="28"/>
        </w:rPr>
      </w:pPr>
      <w:r>
        <w:rPr>
          <w:rFonts w:ascii="Times New Roman" w:hAnsi="Times New Roman"/>
          <w:bCs/>
          <w:szCs w:val="28"/>
        </w:rPr>
        <w:t xml:space="preserve">4 </w:t>
      </w:r>
      <w:r>
        <w:rPr>
          <w:rFonts w:hint="eastAsia" w:ascii="Times New Roman" w:hAnsi="Times New Roman"/>
          <w:bCs/>
          <w:szCs w:val="28"/>
        </w:rPr>
        <w:t>应复核吊具与单元板块间的连接承载力，吊点设置在顶横梁上，还应校核横梁与立柱的连接承载力；</w:t>
      </w:r>
    </w:p>
    <w:p>
      <w:pPr>
        <w:pStyle w:val="120"/>
        <w:rPr>
          <w:rFonts w:ascii="Times New Roman" w:hAnsi="Times New Roman"/>
        </w:rPr>
      </w:pPr>
      <w:r>
        <w:rPr>
          <w:rFonts w:hint="eastAsia" w:ascii="Times New Roman" w:hAnsi="Times New Roman"/>
        </w:rPr>
        <w:t>条文说明：装卸及运输过程中，应采用有足够承载力和刚度的周转架、衬垫，使单元板块之间相互隔开并相对固定；</w:t>
      </w:r>
    </w:p>
    <w:p>
      <w:pPr>
        <w:pStyle w:val="189"/>
      </w:pPr>
      <w:r>
        <w:rPr>
          <w:rFonts w:hint="eastAsia"/>
          <w:b/>
        </w:rPr>
        <w:t>4</w:t>
      </w:r>
      <w:r>
        <w:rPr>
          <w:b/>
        </w:rPr>
        <w:t>.</w:t>
      </w:r>
      <w:r>
        <w:rPr>
          <w:rFonts w:hint="eastAsia"/>
          <w:b/>
        </w:rPr>
        <w:t>3</w:t>
      </w:r>
      <w:r>
        <w:rPr>
          <w:b/>
        </w:rPr>
        <w:t>.</w:t>
      </w:r>
      <w:r>
        <w:rPr>
          <w:rFonts w:hint="eastAsia"/>
          <w:b/>
        </w:rPr>
        <w:t>3</w:t>
      </w:r>
      <w:r>
        <w:t xml:space="preserve"> 单元式幕墙板块或装配式构件装卸、吊装前，应进行</w:t>
      </w:r>
      <w:r>
        <w:rPr>
          <w:rFonts w:hint="eastAsia"/>
        </w:rPr>
        <w:t>承载能力极限状态</w:t>
      </w:r>
      <w:r>
        <w:t>验算，并符合下列规定：</w:t>
      </w:r>
    </w:p>
    <w:p>
      <w:pPr>
        <w:pStyle w:val="188"/>
        <w:ind w:firstLine="480"/>
      </w:pPr>
      <w:r>
        <w:t>1按短暂设计状况验算，采用作用的基本组合；</w:t>
      </w:r>
    </w:p>
    <w:p>
      <w:pPr>
        <w:pStyle w:val="188"/>
        <w:ind w:firstLine="480"/>
      </w:pPr>
      <w:r>
        <w:rPr>
          <w:rFonts w:hint="eastAsia"/>
        </w:rPr>
        <w:t>2装卸、吊装过程的动力影响通过将自重乘以动力系数的方法考虑，并按静力学计算方法设计；</w:t>
      </w:r>
    </w:p>
    <w:p>
      <w:pPr>
        <w:pStyle w:val="188"/>
        <w:ind w:firstLine="480"/>
      </w:pPr>
      <w:r>
        <w:rPr>
          <w:rFonts w:hint="eastAsia"/>
        </w:rPr>
        <w:t>3</w:t>
      </w:r>
      <w:r>
        <w:t>吊点数量不应少于2个，起吊板块时，应使各吊点均匀受力，起吊过程应保持板块平稳；</w:t>
      </w:r>
    </w:p>
    <w:p>
      <w:pPr>
        <w:pStyle w:val="188"/>
        <w:ind w:firstLine="480"/>
      </w:pPr>
      <w:r>
        <w:rPr>
          <w:rFonts w:hint="eastAsia"/>
        </w:rPr>
        <w:t>4</w:t>
      </w:r>
      <w:r>
        <w:t>起吊板块的重量不应超过吊具起重量和接料平台的承载能力，并应进行试吊；</w:t>
      </w:r>
    </w:p>
    <w:p>
      <w:pPr>
        <w:pStyle w:val="188"/>
        <w:ind w:firstLine="480"/>
      </w:pPr>
      <w:r>
        <w:rPr>
          <w:rFonts w:hint="eastAsia"/>
        </w:rPr>
        <w:t>5</w:t>
      </w:r>
      <w:r>
        <w:t>吊装用钢丝绳、吊钩及辅助工装等应具有足够的承载能力，其安全系数不宜小于</w:t>
      </w:r>
      <w:r>
        <w:rPr>
          <w:rFonts w:hint="eastAsia"/>
        </w:rPr>
        <w:t>1.5</w:t>
      </w:r>
      <w:r>
        <w:t>；</w:t>
      </w:r>
    </w:p>
    <w:p>
      <w:pPr>
        <w:pStyle w:val="188"/>
        <w:ind w:firstLine="480"/>
      </w:pPr>
      <w:r>
        <w:rPr>
          <w:rFonts w:hint="eastAsia"/>
        </w:rPr>
        <w:t>6</w:t>
      </w:r>
      <w:r>
        <w:t>当吊点设置在单元幕墙顶横梁上时，还应校核单元板块自重作用下顶横梁及其与立柱连接的承载力；</w:t>
      </w:r>
    </w:p>
    <w:p>
      <w:pPr>
        <w:pStyle w:val="188"/>
        <w:ind w:firstLine="480"/>
      </w:pPr>
      <w:r>
        <w:rPr>
          <w:rFonts w:hint="eastAsia"/>
        </w:rPr>
        <w:t>7</w:t>
      </w:r>
      <w:r>
        <w:t>板块就位时，应先挂到主体结构的挂点上再进行其他工序，板块未固定前不得拆除吊具；</w:t>
      </w:r>
    </w:p>
    <w:p>
      <w:pPr>
        <w:pStyle w:val="188"/>
        <w:ind w:firstLine="480"/>
      </w:pPr>
      <w:r>
        <w:rPr>
          <w:rFonts w:hint="eastAsia"/>
        </w:rPr>
        <w:t>8</w:t>
      </w:r>
      <w:r>
        <w:t>应对吊装机具进行抗倾覆验算，并将吊装机具对主体结构产生的反力提交设计单位，由设计单位进行主体结构承载能力复核。</w:t>
      </w:r>
    </w:p>
    <w:p>
      <w:pPr>
        <w:pStyle w:val="120"/>
        <w:ind w:firstLine="0" w:firstLineChars="0"/>
        <w:rPr>
          <w:rFonts w:ascii="Times New Roman" w:hAnsi="Times New Roman"/>
        </w:rPr>
      </w:pPr>
    </w:p>
    <w:p>
      <w:pPr>
        <w:pStyle w:val="189"/>
        <w:rPr>
          <w:b/>
        </w:rPr>
      </w:pPr>
      <w:r>
        <w:rPr>
          <w:rFonts w:hint="eastAsia"/>
          <w:b/>
        </w:rPr>
        <w:t>4</w:t>
      </w:r>
      <w:r>
        <w:rPr>
          <w:b/>
        </w:rPr>
        <w:t>.3.</w:t>
      </w:r>
      <w:r>
        <w:rPr>
          <w:rFonts w:hint="eastAsia"/>
          <w:b/>
        </w:rPr>
        <w:t>4</w:t>
      </w:r>
      <w:r>
        <w:rPr>
          <w:b/>
        </w:rPr>
        <w:t xml:space="preserve"> </w:t>
      </w:r>
      <w:r>
        <w:rPr>
          <w:rFonts w:hint="eastAsia"/>
        </w:rPr>
        <w:t>预制外挂墙板</w:t>
      </w:r>
      <w:r>
        <w:rPr>
          <w:rFonts w:hint="eastAsia"/>
          <w:bCs w:val="0"/>
          <w:szCs w:val="28"/>
        </w:rPr>
        <w:t>吊装前应进行下列验算：</w:t>
      </w:r>
    </w:p>
    <w:p>
      <w:pPr>
        <w:kinsoku w:val="0"/>
        <w:autoSpaceDE w:val="0"/>
        <w:autoSpaceDN w:val="0"/>
        <w:adjustRightInd w:val="0"/>
        <w:snapToGrid w:val="0"/>
        <w:spacing w:before="1" w:line="360" w:lineRule="auto"/>
        <w:ind w:left="2" w:right="84" w:firstLine="480" w:firstLineChars="200"/>
        <w:textAlignment w:val="baseline"/>
        <w:rPr>
          <w:rFonts w:ascii="Times New Roman" w:hAnsi="Times New Roman"/>
        </w:rPr>
      </w:pPr>
      <w:r>
        <w:rPr>
          <w:rFonts w:hint="eastAsia" w:ascii="Times New Roman" w:hAnsi="Times New Roman" w:cs="Times New Roman"/>
          <w:bCs/>
          <w:szCs w:val="21"/>
        </w:rPr>
        <w:t>1 预制外挂墙板</w:t>
      </w:r>
      <w:r>
        <w:rPr>
          <w:rFonts w:ascii="Times New Roman" w:hAnsi="Times New Roman" w:cs="Times New Roman"/>
          <w:bCs/>
          <w:szCs w:val="21"/>
        </w:rPr>
        <w:t>在翻转、运输、吊运、安装等短暂设计状况下的施工验算，应将构件自重标准值乘以动力系数后作为等效静力荷载标准值。构件运输、吊运时，动力系数宜取1.5；构件翻转及安装过程中就位、临时固定时，动力系数可取1.2。</w:t>
      </w:r>
    </w:p>
    <w:p>
      <w:pPr>
        <w:kinsoku w:val="0"/>
        <w:autoSpaceDE w:val="0"/>
        <w:autoSpaceDN w:val="0"/>
        <w:adjustRightInd w:val="0"/>
        <w:snapToGrid w:val="0"/>
        <w:spacing w:before="182" w:line="360" w:lineRule="auto"/>
        <w:ind w:left="1" w:right="84" w:firstLine="482" w:firstLineChars="200"/>
        <w:textAlignment w:val="baseline"/>
        <w:rPr>
          <w:rFonts w:ascii="Times New Roman" w:hAnsi="Times New Roman" w:cs="Times New Roman"/>
          <w:bCs/>
          <w:szCs w:val="21"/>
        </w:rPr>
      </w:pPr>
      <w:r>
        <w:rPr>
          <w:rFonts w:hint="eastAsia" w:ascii="Times New Roman" w:hAnsi="Times New Roman" w:cs="Times New Roman"/>
          <w:b/>
          <w:bCs/>
          <w:szCs w:val="21"/>
        </w:rPr>
        <w:t xml:space="preserve">2 </w:t>
      </w:r>
      <w:r>
        <w:rPr>
          <w:rFonts w:hint="eastAsia" w:ascii="Times New Roman" w:hAnsi="Times New Roman" w:cs="Times New Roman"/>
          <w:bCs/>
          <w:szCs w:val="21"/>
        </w:rPr>
        <w:t>预制外挂墙板</w:t>
      </w:r>
      <w:r>
        <w:rPr>
          <w:rFonts w:ascii="Times New Roman" w:hAnsi="Times New Roman" w:cs="Times New Roman"/>
          <w:bCs/>
          <w:szCs w:val="21"/>
        </w:rPr>
        <w:t>件进行脱模验算时，等效静力荷载标准值应取构件自重标准值来以动力系数后与脱模吸附力之和，且不宜小于构件自重标准值的1.5倍。动力系数与脱模吸附力应符合下列规定：</w:t>
      </w:r>
    </w:p>
    <w:p>
      <w:pPr>
        <w:kinsoku w:val="0"/>
        <w:autoSpaceDE w:val="0"/>
        <w:autoSpaceDN w:val="0"/>
        <w:adjustRightInd w:val="0"/>
        <w:snapToGrid w:val="0"/>
        <w:spacing w:before="182" w:line="360" w:lineRule="auto"/>
        <w:ind w:left="481" w:leftChars="200" w:right="84" w:rightChars="35" w:hanging="1"/>
        <w:textAlignment w:val="baseline"/>
        <w:rPr>
          <w:rFonts w:ascii="Times New Roman" w:hAnsi="Times New Roman" w:cs="Times New Roman"/>
          <w:bCs/>
          <w:szCs w:val="21"/>
        </w:rPr>
      </w:pPr>
      <w:r>
        <w:rPr>
          <w:rFonts w:ascii="Times New Roman" w:hAnsi="Times New Roman" w:cs="Times New Roman"/>
          <w:bCs/>
          <w:szCs w:val="21"/>
        </w:rPr>
        <w:t>1</w:t>
      </w:r>
      <w:r>
        <w:rPr>
          <w:rFonts w:hint="eastAsia" w:ascii="Times New Roman" w:hAnsi="Times New Roman" w:cs="Times New Roman"/>
          <w:bCs/>
          <w:szCs w:val="21"/>
        </w:rPr>
        <w:t>）</w:t>
      </w:r>
      <w:r>
        <w:rPr>
          <w:rFonts w:ascii="Times New Roman" w:hAnsi="Times New Roman" w:cs="Times New Roman"/>
          <w:bCs/>
          <w:szCs w:val="21"/>
        </w:rPr>
        <w:t xml:space="preserve"> 动力系数不宜小于1.2；</w:t>
      </w:r>
    </w:p>
    <w:p>
      <w:pPr>
        <w:kinsoku w:val="0"/>
        <w:autoSpaceDE w:val="0"/>
        <w:autoSpaceDN w:val="0"/>
        <w:adjustRightInd w:val="0"/>
        <w:snapToGrid w:val="0"/>
        <w:spacing w:before="182" w:line="360" w:lineRule="auto"/>
        <w:ind w:left="481" w:leftChars="200" w:right="84" w:rightChars="35" w:hanging="1"/>
        <w:textAlignment w:val="baseline"/>
        <w:rPr>
          <w:rFonts w:ascii="Times New Roman" w:hAnsi="Times New Roman" w:cs="Times New Roman"/>
          <w:bCs/>
          <w:szCs w:val="21"/>
        </w:rPr>
      </w:pPr>
      <w:r>
        <w:rPr>
          <w:rFonts w:ascii="Times New Roman" w:hAnsi="Times New Roman" w:cs="Times New Roman"/>
          <w:bCs/>
          <w:szCs w:val="21"/>
        </w:rPr>
        <w:t>2</w:t>
      </w:r>
      <w:r>
        <w:rPr>
          <w:rFonts w:hint="eastAsia" w:ascii="Times New Roman" w:hAnsi="Times New Roman" w:cs="Times New Roman"/>
          <w:bCs/>
          <w:szCs w:val="21"/>
        </w:rPr>
        <w:t>）</w:t>
      </w:r>
      <w:r>
        <w:rPr>
          <w:rFonts w:ascii="Times New Roman" w:hAnsi="Times New Roman" w:cs="Times New Roman"/>
          <w:bCs/>
          <w:szCs w:val="21"/>
        </w:rPr>
        <w:t xml:space="preserve"> 脱模吸附力应根据构件和模具的实际状况取用，且不宜</w:t>
      </w:r>
      <w:r>
        <w:rPr>
          <w:rFonts w:hint="eastAsia" w:ascii="Times New Roman" w:hAnsi="Times New Roman" w:cs="Times New Roman"/>
          <w:bCs/>
          <w:szCs w:val="21"/>
        </w:rPr>
        <w:t>小于1.5KN/m2。</w:t>
      </w:r>
    </w:p>
    <w:p>
      <w:pPr>
        <w:kinsoku w:val="0"/>
        <w:autoSpaceDE w:val="0"/>
        <w:autoSpaceDN w:val="0"/>
        <w:adjustRightInd w:val="0"/>
        <w:snapToGrid w:val="0"/>
        <w:spacing w:before="182" w:line="360" w:lineRule="auto"/>
        <w:ind w:left="1" w:right="84" w:firstLine="480" w:firstLineChars="200"/>
        <w:textAlignment w:val="baseline"/>
        <w:rPr>
          <w:rFonts w:ascii="Times New Roman" w:hAnsi="Times New Roman" w:cs="Times New Roman"/>
          <w:bCs/>
          <w:szCs w:val="21"/>
        </w:rPr>
      </w:pPr>
      <w:r>
        <w:rPr>
          <w:rFonts w:hint="eastAsia" w:ascii="Times New Roman" w:hAnsi="Times New Roman" w:cs="Times New Roman"/>
          <w:bCs/>
          <w:szCs w:val="21"/>
        </w:rPr>
        <w:t xml:space="preserve">3 </w:t>
      </w:r>
      <w:r>
        <w:rPr>
          <w:rFonts w:hint="eastAsia" w:ascii="Times New Roman" w:hAnsi="Times New Roman" w:cs="Times New Roman"/>
          <w:bCs/>
          <w:szCs w:val="21"/>
          <w:lang w:eastAsia="zh-CN"/>
        </w:rPr>
        <w:t>预制</w:t>
      </w:r>
      <w:r>
        <w:rPr>
          <w:rFonts w:hint="eastAsia" w:ascii="Times New Roman" w:hAnsi="Times New Roman" w:cs="Times New Roman"/>
          <w:bCs/>
          <w:szCs w:val="21"/>
        </w:rPr>
        <w:t>外挂墙板</w:t>
      </w:r>
      <w:r>
        <w:rPr>
          <w:rFonts w:ascii="Times New Roman" w:hAnsi="Times New Roman" w:cs="Times New Roman"/>
          <w:bCs/>
          <w:szCs w:val="21"/>
        </w:rPr>
        <w:t>脱模起吊时的混凝土强度应计算确定</w:t>
      </w:r>
      <w:r>
        <w:rPr>
          <w:rFonts w:hint="eastAsia" w:ascii="Times New Roman" w:hAnsi="Times New Roman" w:cs="Times New Roman"/>
          <w:bCs/>
          <w:szCs w:val="21"/>
        </w:rPr>
        <w:t>，</w:t>
      </w:r>
      <w:r>
        <w:rPr>
          <w:rFonts w:ascii="Times New Roman" w:hAnsi="Times New Roman" w:cs="Times New Roman"/>
          <w:bCs/>
          <w:szCs w:val="21"/>
        </w:rPr>
        <w:t>且不宜小于15MPa。</w:t>
      </w:r>
    </w:p>
    <w:p>
      <w:pPr>
        <w:pStyle w:val="189"/>
      </w:pPr>
    </w:p>
    <w:p>
      <w:pPr>
        <w:pStyle w:val="198"/>
        <w:rPr>
          <w:rFonts w:ascii="Times New Roman" w:hAnsi="Times New Roman"/>
        </w:rPr>
      </w:pPr>
      <w:bookmarkStart w:id="35" w:name="_Toc162996212"/>
      <w:r>
        <w:rPr>
          <w:rFonts w:ascii="Times New Roman" w:hAnsi="Times New Roman"/>
        </w:rPr>
        <w:t xml:space="preserve">4.4 </w:t>
      </w:r>
      <w:r>
        <w:rPr>
          <w:rFonts w:hint="eastAsia" w:ascii="Times New Roman" w:hAnsi="Times New Roman"/>
        </w:rPr>
        <w:t>作用效应组合</w:t>
      </w:r>
      <w:bookmarkEnd w:id="35"/>
    </w:p>
    <w:p>
      <w:pPr>
        <w:pStyle w:val="200"/>
      </w:pPr>
      <w:r>
        <w:rPr>
          <w:rFonts w:hint="eastAsia"/>
          <w:b/>
        </w:rPr>
        <w:t>4.</w:t>
      </w:r>
      <w:r>
        <w:rPr>
          <w:b/>
        </w:rPr>
        <w:t>4</w:t>
      </w:r>
      <w:r>
        <w:rPr>
          <w:rFonts w:hint="eastAsia"/>
          <w:b/>
        </w:rPr>
        <w:t xml:space="preserve">.1 </w:t>
      </w:r>
      <w:r>
        <w:rPr>
          <w:rFonts w:hint="eastAsia"/>
        </w:rPr>
        <w:t>当作用效应计算考虑几何非线性影响时，应首先进行作用的组合，再计算结构在作用组合下的效应。当作用效应</w:t>
      </w:r>
      <w:r>
        <w:t>采用线弹性方法计算时，可先计算各作用的效应，再进行作用效应的组合。</w:t>
      </w:r>
    </w:p>
    <w:p>
      <w:pPr>
        <w:pStyle w:val="200"/>
      </w:pPr>
      <w:r>
        <w:rPr>
          <w:rFonts w:hint="eastAsia"/>
          <w:b/>
        </w:rPr>
        <w:t>4.</w:t>
      </w:r>
      <w:r>
        <w:rPr>
          <w:b/>
        </w:rPr>
        <w:t>4</w:t>
      </w:r>
      <w:r>
        <w:rPr>
          <w:rFonts w:hint="eastAsia"/>
          <w:b/>
        </w:rPr>
        <w:t>.2</w:t>
      </w:r>
      <w:r>
        <w:rPr>
          <w:rFonts w:hint="eastAsia"/>
        </w:rPr>
        <w:t xml:space="preserve"> 当作用效应采用线弹性方法计算时，幕墙构件承载能力极限状态设计的作用效应组合应符合下列规定：</w:t>
      </w:r>
    </w:p>
    <w:p>
      <w:pPr>
        <w:pStyle w:val="188"/>
        <w:ind w:firstLine="482"/>
      </w:pPr>
      <w:r>
        <w:rPr>
          <w:rFonts w:hint="eastAsia"/>
          <w:b/>
        </w:rPr>
        <w:t>1</w:t>
      </w:r>
      <w:r>
        <w:rPr>
          <w:rFonts w:hint="eastAsia"/>
        </w:rPr>
        <w:t>持久设计状况、短暂设计状况时：</w:t>
      </w:r>
    </w:p>
    <w:tbl>
      <w:tblPr>
        <w:tblStyle w:val="37"/>
        <w:tblW w:w="0" w:type="auto"/>
        <w:jc w:val="right"/>
        <w:tblLayout w:type="fixed"/>
        <w:tblCellMar>
          <w:top w:w="0" w:type="dxa"/>
          <w:left w:w="108" w:type="dxa"/>
          <w:bottom w:w="0" w:type="dxa"/>
          <w:right w:w="108" w:type="dxa"/>
        </w:tblCellMar>
      </w:tblPr>
      <w:tblGrid>
        <w:gridCol w:w="5670"/>
        <w:gridCol w:w="2268"/>
      </w:tblGrid>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rPr>
                <w:rFonts w:ascii="Times New Roman" w:hAnsi="Times New Roman"/>
                <w:snapToGrid w:val="0"/>
              </w:rPr>
            </w:pPr>
            <m:oMathPara>
              <m:oMathParaPr>
                <m:jc m:val="center"/>
              </m:oMathParaPr>
              <m:oMath>
                <m:r>
                  <m:rPr/>
                  <w:rPr>
                    <w:rFonts w:ascii="Cambria Math" w:hAnsi="Cambria Math"/>
                  </w:rPr>
                  <m:t>S</m:t>
                </m:r>
                <m:r>
                  <m:rPr>
                    <m:sty m:val="p"/>
                  </m:rPr>
                  <w:rPr>
                    <w:rFonts w:ascii="Cambria Math" w:hAnsi="Cambria Math"/>
                  </w:rPr>
                  <m:t>=</m:t>
                </m:r>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G</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Gk</m:t>
                    </m:r>
                    <m:ctrlPr>
                      <w:rPr>
                        <w:rFonts w:ascii="Cambria Math" w:hAnsi="Cambria Math"/>
                        <w:snapToGrid w:val="0"/>
                      </w:rPr>
                    </m:ctrlPr>
                  </m:sub>
                </m:sSub>
                <m:r>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P</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P</m:t>
                    </m:r>
                    <m:ctrlPr>
                      <w:rPr>
                        <w:rFonts w:ascii="Cambria Math" w:hAnsi="Cambria Math"/>
                        <w:snapToGrid w:val="0"/>
                      </w:rPr>
                    </m:ctrlPr>
                  </m:sub>
                </m:sSub>
                <m:r>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Q1</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L1</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Q1k</m:t>
                    </m:r>
                    <m:ctrlPr>
                      <w:rPr>
                        <w:rFonts w:ascii="Cambria Math" w:hAnsi="Cambria Math"/>
                        <w:snapToGrid w:val="0"/>
                      </w:rPr>
                    </m:ctrlPr>
                  </m:sub>
                </m:sSub>
                <m:r>
                  <m:rPr/>
                  <w:rPr>
                    <w:rFonts w:ascii="Cambria Math" w:hAnsi="Cambria Math"/>
                    <w:snapToGrid w:val="0"/>
                  </w:rPr>
                  <m:t>+</m:t>
                </m:r>
                <m:nary>
                  <m:naryPr>
                    <m:chr m:val="∑"/>
                    <m:limLoc m:val="undOvr"/>
                    <m:supHide m:val="1"/>
                    <m:ctrlPr>
                      <w:rPr>
                        <w:rFonts w:ascii="Cambria Math" w:hAnsi="Cambria Math"/>
                      </w:rPr>
                    </m:ctrlPr>
                  </m:naryPr>
                  <m:sub>
                    <m:r>
                      <m:rPr/>
                      <w:rPr>
                        <w:rFonts w:ascii="Cambria Math" w:hAnsi="Cambria Math"/>
                      </w:rPr>
                      <m:t>i≥1</m:t>
                    </m:r>
                    <m:ctrlPr>
                      <w:rPr>
                        <w:rFonts w:ascii="Cambria Math" w:hAnsi="Cambria Math"/>
                      </w:rPr>
                    </m:ctrlPr>
                  </m:sub>
                  <m:sup>
                    <m:ctrlPr>
                      <w:rPr>
                        <w:rFonts w:ascii="Cambria Math" w:hAnsi="Cambria Math"/>
                      </w:rPr>
                    </m:ctrlPr>
                  </m:sup>
                  <m:e>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w:rPr>
                            <w:rFonts w:ascii="Cambria Math" w:hAnsi="Cambria Math"/>
                            <w:snapToGrid w:val="0"/>
                          </w:rPr>
                          <m:t>ci</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Qi</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Li</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Qik</m:t>
                        </m:r>
                        <m:ctrlPr>
                          <w:rPr>
                            <w:rFonts w:ascii="Cambria Math" w:hAnsi="Cambria Math"/>
                            <w:snapToGrid w:val="0"/>
                          </w:rPr>
                        </m:ctrlPr>
                      </m:sub>
                    </m:sSub>
                    <m:ctrlPr>
                      <w:rPr>
                        <w:rFonts w:ascii="Cambria Math" w:hAnsi="Cambria Math"/>
                      </w:rPr>
                    </m:ctrlPr>
                  </m:e>
                </m:nary>
              </m:oMath>
            </m:oMathPara>
          </w:p>
        </w:tc>
        <w:tc>
          <w:tcPr>
            <w:tcW w:w="2268" w:type="dxa"/>
            <w:shd w:val="clear" w:color="auto" w:fill="auto"/>
            <w:vAlign w:val="center"/>
          </w:tcPr>
          <w:p>
            <w:pPr>
              <w:widowControl w:val="0"/>
              <w:spacing w:line="360" w:lineRule="auto"/>
              <w:jc w:val="right"/>
              <w:rPr>
                <w:rFonts w:ascii="Times New Roman" w:hAnsi="Times New Roman"/>
                <w:sz w:val="21"/>
                <w:szCs w:val="21"/>
              </w:rPr>
            </w:pPr>
            <w:r>
              <w:rPr>
                <w:rFonts w:hint="eastAsia" w:ascii="Times New Roman" w:hAnsi="Times New Roman" w:cs="Times New Roman"/>
                <w:kern w:val="2"/>
              </w:rPr>
              <w:t>（</w:t>
            </w:r>
            <w:r>
              <w:rPr>
                <w:rFonts w:ascii="Times New Roman" w:hAnsi="Times New Roman" w:cs="Times New Roman"/>
                <w:kern w:val="2"/>
              </w:rPr>
              <w:t>4.4.2-1</w:t>
            </w:r>
            <w:r>
              <w:rPr>
                <w:rFonts w:hint="eastAsia" w:ascii="Times New Roman" w:hAnsi="Times New Roman" w:cs="Times New Roman"/>
                <w:kern w:val="2"/>
              </w:rPr>
              <w:t>）</w:t>
            </w:r>
          </w:p>
        </w:tc>
      </w:tr>
    </w:tbl>
    <w:p>
      <w:pPr>
        <w:pStyle w:val="188"/>
        <w:ind w:firstLine="482"/>
      </w:pPr>
      <w:r>
        <w:rPr>
          <w:rFonts w:hint="eastAsia"/>
          <w:b/>
        </w:rPr>
        <w:t>2</w:t>
      </w:r>
      <w:r>
        <w:rPr>
          <w:rFonts w:hint="eastAsia"/>
        </w:rPr>
        <w:t>偶然设计状况时：</w:t>
      </w:r>
    </w:p>
    <w:tbl>
      <w:tblPr>
        <w:tblStyle w:val="37"/>
        <w:tblW w:w="0" w:type="auto"/>
        <w:jc w:val="right"/>
        <w:tblLayout w:type="fixed"/>
        <w:tblCellMar>
          <w:top w:w="0" w:type="dxa"/>
          <w:left w:w="108" w:type="dxa"/>
          <w:bottom w:w="0" w:type="dxa"/>
          <w:right w:w="108" w:type="dxa"/>
        </w:tblCellMar>
      </w:tblPr>
      <w:tblGrid>
        <w:gridCol w:w="5670"/>
        <w:gridCol w:w="2268"/>
      </w:tblGrid>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rPr>
                <w:rFonts w:ascii="Times New Roman" w:hAnsi="Times New Roman"/>
                <w:snapToGrid w:val="0"/>
              </w:rPr>
            </w:pPr>
            <m:oMathPara>
              <m:oMathParaPr>
                <m:jc m:val="center"/>
              </m:oMathParaPr>
              <m:oMath>
                <m:r>
                  <m:rPr/>
                  <w:rPr>
                    <w:rFonts w:ascii="Cambria Math" w:hAnsi="Cambria Math"/>
                  </w:rPr>
                  <m:t>S</m:t>
                </m:r>
                <m:r>
                  <m:rPr>
                    <m:sty m:val="p"/>
                  </m:rPr>
                  <w:rPr>
                    <w:rFonts w:ascii="Cambria Math" w:hAnsi="Cambria Math"/>
                  </w:rPr>
                  <m:t>=</m:t>
                </m:r>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Gk</m:t>
                    </m:r>
                    <m:ctrlPr>
                      <w:rPr>
                        <w:rFonts w:ascii="Cambria Math" w:hAnsi="Cambria Math"/>
                        <w:snapToGrid w:val="0"/>
                      </w:rPr>
                    </m:ctrlPr>
                  </m:sub>
                </m:sSub>
                <m:r>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P</m:t>
                    </m:r>
                    <m:ctrlPr>
                      <w:rPr>
                        <w:rFonts w:ascii="Cambria Math" w:hAnsi="Cambria Math"/>
                        <w:snapToGrid w:val="0"/>
                      </w:rPr>
                    </m:ctrlPr>
                  </m:sub>
                </m:sSub>
                <m:r>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Ad</m:t>
                    </m:r>
                    <m:ctrlPr>
                      <w:rPr>
                        <w:rFonts w:ascii="Cambria Math" w:hAnsi="Cambria Math"/>
                        <w:snapToGrid w:val="0"/>
                      </w:rPr>
                    </m:ctrlPr>
                  </m:sub>
                </m:sSub>
                <m:r>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w:rPr>
                        <w:rFonts w:ascii="Cambria Math" w:hAnsi="Cambria Math"/>
                        <w:snapToGrid w:val="0"/>
                      </w:rPr>
                      <m:t>f1</m:t>
                    </m:r>
                    <m:ctrlPr>
                      <w:rPr>
                        <w:rFonts w:ascii="Cambria Math" w:hAnsi="Cambria Math"/>
                        <w:snapToGrid w:val="0"/>
                      </w:rPr>
                    </m:ctrlPr>
                  </m:sub>
                </m:sSub>
                <m:r>
                  <m:rPr>
                    <m:sty m:val="p"/>
                  </m:rPr>
                  <w:rPr>
                    <w:rFonts w:ascii="Cambria Math" w:hAnsi="Cambria Math"/>
                    <w:snapToGrid w:val="0"/>
                  </w:rPr>
                  <m:t>或</m:t>
                </m:r>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w:rPr>
                        <w:rFonts w:ascii="Cambria Math" w:hAnsi="Cambria Math"/>
                        <w:snapToGrid w:val="0"/>
                      </w:rPr>
                      <m:t>q1</m:t>
                    </m:r>
                    <m:ctrlPr>
                      <w:rPr>
                        <w:rFonts w:ascii="Cambria Math" w:hAnsi="Cambria Math"/>
                        <w:snapToGrid w:val="0"/>
                      </w:rPr>
                    </m:ctrlPr>
                  </m:sub>
                </m:sSub>
                <m:r>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Q1k</m:t>
                    </m:r>
                    <m:ctrlPr>
                      <w:rPr>
                        <w:rFonts w:ascii="Cambria Math" w:hAnsi="Cambria Math"/>
                        <w:snapToGrid w:val="0"/>
                      </w:rPr>
                    </m:ctrlPr>
                  </m:sub>
                </m:sSub>
                <m:r>
                  <m:rPr/>
                  <w:rPr>
                    <w:rFonts w:ascii="Cambria Math" w:hAnsi="Cambria Math"/>
                    <w:snapToGrid w:val="0"/>
                  </w:rPr>
                  <m:t>+</m:t>
                </m:r>
                <m:nary>
                  <m:naryPr>
                    <m:chr m:val="∑"/>
                    <m:limLoc m:val="undOvr"/>
                    <m:supHide m:val="1"/>
                    <m:ctrlPr>
                      <w:rPr>
                        <w:rFonts w:ascii="Cambria Math" w:hAnsi="Cambria Math"/>
                      </w:rPr>
                    </m:ctrlPr>
                  </m:naryPr>
                  <m:sub>
                    <m:r>
                      <m:rPr/>
                      <w:rPr>
                        <w:rFonts w:ascii="Cambria Math" w:hAnsi="Cambria Math"/>
                      </w:rPr>
                      <m:t>i≥1</m:t>
                    </m:r>
                    <m:ctrlPr>
                      <w:rPr>
                        <w:rFonts w:ascii="Cambria Math" w:hAnsi="Cambria Math"/>
                      </w:rPr>
                    </m:ctrlPr>
                  </m:sub>
                  <m:sup>
                    <m:ctrlPr>
                      <w:rPr>
                        <w:rFonts w:ascii="Cambria Math" w:hAnsi="Cambria Math"/>
                      </w:rPr>
                    </m:ctrlPr>
                  </m:sup>
                  <m:e>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w:rPr>
                            <w:rFonts w:ascii="Cambria Math" w:hAnsi="Cambria Math"/>
                            <w:snapToGrid w:val="0"/>
                          </w:rPr>
                          <m:t>qi</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Qik</m:t>
                        </m:r>
                        <m:ctrlPr>
                          <w:rPr>
                            <w:rFonts w:ascii="Cambria Math" w:hAnsi="Cambria Math"/>
                            <w:snapToGrid w:val="0"/>
                          </w:rPr>
                        </m:ctrlPr>
                      </m:sub>
                    </m:sSub>
                    <m:ctrlPr>
                      <w:rPr>
                        <w:rFonts w:ascii="Cambria Math" w:hAnsi="Cambria Math"/>
                      </w:rPr>
                    </m:ctrlPr>
                  </m:e>
                </m:nary>
              </m:oMath>
            </m:oMathPara>
          </w:p>
        </w:tc>
        <w:tc>
          <w:tcPr>
            <w:tcW w:w="2268" w:type="dxa"/>
            <w:shd w:val="clear" w:color="auto" w:fill="auto"/>
            <w:vAlign w:val="center"/>
          </w:tcPr>
          <w:p>
            <w:pPr>
              <w:spacing w:line="360" w:lineRule="auto"/>
              <w:jc w:val="right"/>
              <w:rPr>
                <w:rFonts w:ascii="Times New Roman" w:hAnsi="Times New Roman"/>
                <w:sz w:val="21"/>
                <w:szCs w:val="21"/>
              </w:rPr>
            </w:pPr>
          </w:p>
          <w:p>
            <w:pPr>
              <w:widowControl w:val="0"/>
              <w:spacing w:line="360" w:lineRule="auto"/>
              <w:jc w:val="right"/>
              <w:rPr>
                <w:rFonts w:ascii="Times New Roman" w:hAnsi="Times New Roman"/>
                <w:sz w:val="21"/>
                <w:szCs w:val="21"/>
              </w:rPr>
            </w:pPr>
            <w:r>
              <w:rPr>
                <w:rFonts w:hint="eastAsia" w:ascii="Times New Roman" w:hAnsi="Times New Roman" w:cs="Times New Roman"/>
                <w:kern w:val="2"/>
              </w:rPr>
              <w:t>（</w:t>
            </w:r>
            <w:r>
              <w:rPr>
                <w:rFonts w:ascii="Times New Roman" w:hAnsi="Times New Roman" w:cs="Times New Roman"/>
                <w:kern w:val="2"/>
              </w:rPr>
              <w:t>4.4.2-2</w:t>
            </w:r>
            <w:r>
              <w:rPr>
                <w:rFonts w:hint="eastAsia" w:ascii="Times New Roman" w:hAnsi="Times New Roman" w:cs="Times New Roman"/>
                <w:kern w:val="2"/>
              </w:rPr>
              <w:t>）</w:t>
            </w:r>
          </w:p>
        </w:tc>
      </w:tr>
    </w:tbl>
    <w:p>
      <w:pPr>
        <w:pStyle w:val="188"/>
        <w:ind w:firstLine="482"/>
      </w:pPr>
      <w:r>
        <w:rPr>
          <w:rFonts w:hint="eastAsia"/>
          <w:b/>
        </w:rPr>
        <w:t>3</w:t>
      </w:r>
      <w:r>
        <w:rPr>
          <w:rFonts w:hint="eastAsia"/>
        </w:rPr>
        <w:t>地震设计状况时：</w:t>
      </w:r>
    </w:p>
    <w:tbl>
      <w:tblPr>
        <w:tblStyle w:val="37"/>
        <w:tblW w:w="0" w:type="auto"/>
        <w:jc w:val="right"/>
        <w:tblLayout w:type="fixed"/>
        <w:tblCellMar>
          <w:top w:w="0" w:type="dxa"/>
          <w:left w:w="108" w:type="dxa"/>
          <w:bottom w:w="0" w:type="dxa"/>
          <w:right w:w="108" w:type="dxa"/>
        </w:tblCellMar>
      </w:tblPr>
      <w:tblGrid>
        <w:gridCol w:w="5670"/>
        <w:gridCol w:w="2268"/>
      </w:tblGrid>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rPr>
                <w:rFonts w:ascii="Times New Roman" w:hAnsi="Times New Roman"/>
                <w:snapToGrid w:val="0"/>
              </w:rPr>
            </w:pPr>
            <m:oMathPara>
              <m:oMathParaPr>
                <m:jc m:val="center"/>
              </m:oMathParaPr>
              <m:oMath>
                <m:r>
                  <m:rPr/>
                  <w:rPr>
                    <w:rFonts w:ascii="Cambria Math" w:hAnsi="Cambria Math"/>
                  </w:rPr>
                  <m:t>S</m:t>
                </m:r>
                <m:r>
                  <m:rPr>
                    <m:sty m:val="p"/>
                  </m:rPr>
                  <w:rPr>
                    <w:rFonts w:ascii="Cambria Math" w:hAnsi="Cambria Math"/>
                  </w:rPr>
                  <m:t>=</m:t>
                </m:r>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G</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GE</m:t>
                    </m:r>
                    <m:ctrlPr>
                      <w:rPr>
                        <w:rFonts w:ascii="Cambria Math" w:hAnsi="Cambria Math"/>
                        <w:snapToGrid w:val="0"/>
                      </w:rPr>
                    </m:ctrlPr>
                  </m:sub>
                </m:sSub>
                <m:r>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Eℎ</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Eℎk</m:t>
                    </m:r>
                    <m:ctrlPr>
                      <w:rPr>
                        <w:rFonts w:ascii="Cambria Math" w:hAnsi="Cambria Math"/>
                        <w:snapToGrid w:val="0"/>
                      </w:rPr>
                    </m:ctrlPr>
                  </m:sub>
                </m:sSub>
                <m:r>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Ev</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Evk</m:t>
                    </m:r>
                    <m:ctrlPr>
                      <w:rPr>
                        <w:rFonts w:ascii="Cambria Math" w:hAnsi="Cambria Math"/>
                        <w:snapToGrid w:val="0"/>
                      </w:rPr>
                    </m:ctrlPr>
                  </m:sub>
                </m:sSub>
                <m:r>
                  <m:rPr/>
                  <w:rPr>
                    <w:rFonts w:ascii="Cambria Math" w:hAnsi="Cambria Math"/>
                    <w:snapToGrid w:val="0"/>
                  </w:rPr>
                  <m:t>+</m:t>
                </m:r>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w:rPr>
                        <w:rFonts w:ascii="Cambria Math" w:hAnsi="Cambria Math"/>
                        <w:snapToGrid w:val="0"/>
                      </w:rPr>
                      <m:t>w</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w</m:t>
                    </m:r>
                    <m:ctrlPr>
                      <w:rPr>
                        <w:rFonts w:ascii="Cambria Math" w:hAnsi="Cambria Math"/>
                        <w:snapToGrid w:val="0"/>
                      </w:rPr>
                    </m:ctrlPr>
                  </m:sub>
                </m:sSub>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wk</m:t>
                    </m:r>
                    <m:ctrlPr>
                      <w:rPr>
                        <w:rFonts w:ascii="Cambria Math" w:hAnsi="Cambria Math"/>
                        <w:snapToGrid w:val="0"/>
                      </w:rPr>
                    </m:ctrlPr>
                  </m:sub>
                </m:sSub>
              </m:oMath>
            </m:oMathPara>
          </w:p>
        </w:tc>
        <w:tc>
          <w:tcPr>
            <w:tcW w:w="2268" w:type="dxa"/>
            <w:shd w:val="clear" w:color="auto" w:fill="auto"/>
            <w:vAlign w:val="center"/>
          </w:tcPr>
          <w:p>
            <w:pPr>
              <w:widowControl w:val="0"/>
              <w:spacing w:line="360" w:lineRule="auto"/>
              <w:jc w:val="right"/>
              <w:rPr>
                <w:rFonts w:ascii="Times New Roman" w:hAnsi="Times New Roman"/>
                <w:sz w:val="21"/>
                <w:szCs w:val="21"/>
              </w:rPr>
            </w:pPr>
            <w:r>
              <w:rPr>
                <w:rFonts w:hint="eastAsia" w:ascii="Times New Roman" w:hAnsi="Times New Roman" w:cs="Times New Roman"/>
                <w:kern w:val="2"/>
              </w:rPr>
              <w:t>（</w:t>
            </w:r>
            <w:r>
              <w:rPr>
                <w:rFonts w:ascii="Times New Roman" w:hAnsi="Times New Roman" w:cs="Times New Roman"/>
                <w:kern w:val="2"/>
              </w:rPr>
              <w:t>4.4.2-3</w:t>
            </w:r>
            <w:r>
              <w:rPr>
                <w:rFonts w:hint="eastAsia" w:ascii="Times New Roman" w:hAnsi="Times New Roman" w:cs="Times New Roman"/>
                <w:kern w:val="2"/>
              </w:rPr>
              <w:t>）</w:t>
            </w:r>
          </w:p>
        </w:tc>
      </w:tr>
    </w:tbl>
    <w:p>
      <w:pPr>
        <w:pStyle w:val="189"/>
      </w:pPr>
      <w:r>
        <w:rPr>
          <w:rFonts w:hint="eastAsia"/>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rPr>
            </w:pPr>
            <m:oMathPara>
              <m:oMathParaPr>
                <m:jc m:val="right"/>
              </m:oMathParaPr>
              <m:oMath>
                <m:r>
                  <m:rPr/>
                  <w:rPr>
                    <w:rFonts w:ascii="Cambria Math" w:hAnsi="Cambria Math"/>
                  </w:rPr>
                  <m:t>S</m:t>
                </m:r>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作用组合的效应设计值；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rPr>
            </w:pPr>
            <m:oMathPara>
              <m:oMathParaPr>
                <m:jc m:val="right"/>
              </m:oMathParaPr>
              <m:oMath>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Gk</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永久作用的效应标准值</w:t>
            </w:r>
            <w:r>
              <w:rPr>
                <w:rFonts w:hint="eastAsia"/>
                <w:snapToGrid w:val="0"/>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wk</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风荷载的效应标准值</w:t>
            </w:r>
            <w:r>
              <w:rPr>
                <w:rFonts w:hint="eastAsia"/>
                <w:snapToGrid w:val="0"/>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Eℎk</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水平地震作用的效应标准值；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Evk</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竖向地震作用的效应标准值；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napToGrid w:val="0"/>
              </w:rPr>
            </w:pPr>
            <m:oMathPara>
              <m:oMathParaPr>
                <m:jc m:val="right"/>
              </m:oMathParaPr>
              <m:oMath>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P</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t>预应力作用</w:t>
            </w:r>
            <w:r>
              <w:rPr>
                <w:rFonts w:hint="eastAsia"/>
              </w:rPr>
              <w:t>的</w:t>
            </w:r>
            <w:r>
              <w:t>效应标准值；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napToGrid w:val="0"/>
              </w:rPr>
            </w:pPr>
            <m:oMathPara>
              <m:oMathParaPr>
                <m:jc m:val="right"/>
              </m:oMathParaPr>
              <m:oMath>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Ad</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偶然作用的效应标准值；</w:t>
            </w:r>
          </w:p>
        </w:tc>
      </w:tr>
      <w:tr>
        <w:tblPrEx>
          <w:tblCellMar>
            <w:top w:w="0" w:type="dxa"/>
            <w:left w:w="108" w:type="dxa"/>
            <w:bottom w:w="0" w:type="dxa"/>
            <w:right w:w="108" w:type="dxa"/>
          </w:tblCellMar>
        </w:tblPrEx>
        <w:tc>
          <w:tcPr>
            <w:tcW w:w="1134" w:type="dxa"/>
            <w:shd w:val="clear" w:color="auto" w:fill="auto"/>
          </w:tcPr>
          <w:p>
            <w:pPr>
              <w:rPr>
                <w:rFonts w:ascii="Times New Roman" w:hAnsi="Times New Roman"/>
                <w:snapToGrid w:val="0"/>
              </w:rPr>
            </w:pPr>
            <m:oMathPara>
              <m:oMathParaPr>
                <m:jc m:val="right"/>
              </m:oMathParaPr>
              <m:oMath>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Q1k</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第1个可变作用</w:t>
            </w:r>
            <w:r>
              <w:rPr>
                <w:rFonts w:hint="eastAsia"/>
                <w:lang w:eastAsia="zh-CN"/>
              </w:rPr>
              <w:t>（</w:t>
            </w:r>
            <w:r>
              <w:rPr>
                <w:rFonts w:hint="eastAsia"/>
              </w:rPr>
              <w:t>主导可变作用</w:t>
            </w:r>
            <w:r>
              <w:rPr>
                <w:rFonts w:hint="eastAsia"/>
                <w:lang w:eastAsia="zh-CN"/>
              </w:rPr>
              <w:t>）</w:t>
            </w:r>
            <w:r>
              <w:rPr>
                <w:rFonts w:hint="eastAsia"/>
              </w:rPr>
              <w:t>的效应标准值；</w:t>
            </w:r>
          </w:p>
        </w:tc>
      </w:tr>
      <w:tr>
        <w:tblPrEx>
          <w:tblCellMar>
            <w:top w:w="0" w:type="dxa"/>
            <w:left w:w="108" w:type="dxa"/>
            <w:bottom w:w="0" w:type="dxa"/>
            <w:right w:w="108" w:type="dxa"/>
          </w:tblCellMar>
        </w:tblPrEx>
        <w:tc>
          <w:tcPr>
            <w:tcW w:w="1134" w:type="dxa"/>
            <w:shd w:val="clear" w:color="auto" w:fill="auto"/>
          </w:tcPr>
          <w:p>
            <w:pPr>
              <w:rPr>
                <w:rFonts w:ascii="Times New Roman" w:hAnsi="Times New Roman"/>
                <w:snapToGrid w:val="0"/>
              </w:rPr>
            </w:pPr>
            <m:oMathPara>
              <m:oMathParaPr>
                <m:jc m:val="right"/>
              </m:oMathParaPr>
              <m:oMath>
                <m:sSub>
                  <m:sSubPr>
                    <m:ctrlPr>
                      <w:rPr>
                        <w:rFonts w:ascii="Cambria Math" w:hAnsi="Cambria Math"/>
                        <w:snapToGrid w:val="0"/>
                      </w:rPr>
                    </m:ctrlPr>
                  </m:sSubPr>
                  <m:e>
                    <m:r>
                      <m:rPr/>
                      <w:rPr>
                        <w:rFonts w:ascii="Cambria Math" w:hAnsi="Cambria Math"/>
                        <w:snapToGrid w:val="0"/>
                      </w:rPr>
                      <m:t>S</m:t>
                    </m:r>
                    <m:ctrlPr>
                      <w:rPr>
                        <w:rFonts w:ascii="Cambria Math" w:hAnsi="Cambria Math"/>
                        <w:snapToGrid w:val="0"/>
                      </w:rPr>
                    </m:ctrlPr>
                  </m:e>
                  <m:sub>
                    <m:r>
                      <m:rPr/>
                      <w:rPr>
                        <w:rFonts w:ascii="Cambria Math" w:hAnsi="Cambria Math"/>
                        <w:snapToGrid w:val="0"/>
                      </w:rPr>
                      <m:t>Qik</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第</w:t>
            </w:r>
            <w:r>
              <w:rPr>
                <w:i/>
              </w:rPr>
              <w:t>i</w:t>
            </w:r>
            <w:r>
              <w:rPr>
                <w:rFonts w:hint="eastAsia"/>
              </w:rPr>
              <w:t>个可变作用</w:t>
            </w:r>
            <w:r>
              <w:rPr>
                <w:rFonts w:hint="eastAsia"/>
                <w:lang w:eastAsia="zh-CN"/>
              </w:rPr>
              <w:t>（</w:t>
            </w:r>
            <w:r>
              <w:rPr>
                <w:rFonts w:hint="eastAsia"/>
              </w:rPr>
              <w:t>主导可变作用</w:t>
            </w:r>
            <w:r>
              <w:rPr>
                <w:rFonts w:hint="eastAsia"/>
                <w:lang w:eastAsia="zh-CN"/>
              </w:rPr>
              <w:t>）</w:t>
            </w:r>
            <w:r>
              <w:rPr>
                <w:rFonts w:hint="eastAsia"/>
              </w:rPr>
              <w:t>的效应标准值；</w:t>
            </w:r>
          </w:p>
        </w:tc>
      </w:tr>
      <w:tr>
        <w:tblPrEx>
          <w:tblCellMar>
            <w:top w:w="0" w:type="dxa"/>
            <w:left w:w="108" w:type="dxa"/>
            <w:bottom w:w="0" w:type="dxa"/>
            <w:right w:w="108" w:type="dxa"/>
          </w:tblCellMar>
        </w:tblPrEx>
        <w:tc>
          <w:tcPr>
            <w:tcW w:w="1134" w:type="dxa"/>
            <w:shd w:val="clear" w:color="auto" w:fill="auto"/>
          </w:tcPr>
          <w:p>
            <w:pPr>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G</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永久荷载分项系数</w:t>
            </w:r>
            <w:r>
              <w:rPr>
                <w:rFonts w:hint="eastAsia"/>
                <w:snapToGrid w:val="0"/>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w</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风荷载分项系数</w:t>
            </w:r>
            <w:r>
              <w:rPr>
                <w:rFonts w:hint="eastAsia"/>
                <w:snapToGrid w:val="0"/>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Eℎ</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t>水平</w:t>
            </w:r>
            <w:r>
              <w:rPr>
                <w:rFonts w:hint="eastAsia"/>
              </w:rPr>
              <w:t>地震作用分项系数</w:t>
            </w:r>
            <w:r>
              <w:rPr>
                <w:rFonts w:hint="eastAsia"/>
                <w:snapToGrid w:val="0"/>
              </w:rPr>
              <w:t>；</w:t>
            </w:r>
          </w:p>
        </w:tc>
      </w:tr>
      <w:tr>
        <w:tblPrEx>
          <w:tblCellMar>
            <w:top w:w="0" w:type="dxa"/>
            <w:left w:w="108" w:type="dxa"/>
            <w:bottom w:w="0" w:type="dxa"/>
            <w:right w:w="108" w:type="dxa"/>
          </w:tblCellMar>
        </w:tblPrEx>
        <w:tc>
          <w:tcPr>
            <w:tcW w:w="1134" w:type="dxa"/>
            <w:shd w:val="clear" w:color="auto" w:fill="auto"/>
          </w:tcPr>
          <w:p>
            <w:pPr>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Q1</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第1个可变作用</w:t>
            </w:r>
            <w:r>
              <w:rPr>
                <w:rFonts w:hint="eastAsia"/>
                <w:lang w:eastAsia="zh-CN"/>
              </w:rPr>
              <w:t>（</w:t>
            </w:r>
            <w:r>
              <w:rPr>
                <w:rFonts w:hint="eastAsia"/>
              </w:rPr>
              <w:t>主导可变作用</w:t>
            </w:r>
            <w:r>
              <w:rPr>
                <w:rFonts w:hint="eastAsia"/>
                <w:lang w:eastAsia="zh-CN"/>
              </w:rPr>
              <w:t>）</w:t>
            </w:r>
            <w:r>
              <w:rPr>
                <w:rFonts w:hint="eastAsia"/>
              </w:rPr>
              <w:t>的分项系数；</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w:rPr>
                        <w:rFonts w:ascii="Cambria Math" w:hAnsi="Cambria Math"/>
                        <w:snapToGrid w:val="0"/>
                      </w:rPr>
                      <m:t>Qi</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第</w:t>
            </w:r>
            <w:r>
              <w:rPr>
                <w:i/>
              </w:rPr>
              <w:t>i</w:t>
            </w:r>
            <w:r>
              <w:rPr>
                <w:rFonts w:hint="eastAsia"/>
              </w:rPr>
              <w:t>个可变作用</w:t>
            </w:r>
            <w:r>
              <w:rPr>
                <w:rFonts w:hint="eastAsia"/>
                <w:lang w:eastAsia="zh-CN"/>
              </w:rPr>
              <w:t>（</w:t>
            </w:r>
            <w:r>
              <w:rPr>
                <w:rFonts w:hint="eastAsia"/>
              </w:rPr>
              <w:t>主导可变作用</w:t>
            </w:r>
            <w:r>
              <w:rPr>
                <w:rFonts w:hint="eastAsia"/>
                <w:lang w:eastAsia="zh-CN"/>
              </w:rPr>
              <w:t>）</w:t>
            </w:r>
            <w:r>
              <w:rPr>
                <w:rFonts w:hint="eastAsia"/>
              </w:rPr>
              <w:t>的分项系数；</w:t>
            </w:r>
          </w:p>
        </w:tc>
      </w:tr>
      <w:tr>
        <w:tblPrEx>
          <w:tblCellMar>
            <w:top w:w="0" w:type="dxa"/>
            <w:left w:w="108" w:type="dxa"/>
            <w:bottom w:w="0" w:type="dxa"/>
            <w:right w:w="108" w:type="dxa"/>
          </w:tblCellMar>
        </w:tblPrEx>
        <w:tc>
          <w:tcPr>
            <w:tcW w:w="1134" w:type="dxa"/>
            <w:shd w:val="clear" w:color="auto" w:fill="auto"/>
          </w:tcPr>
          <w:p>
            <w:pPr>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γ</m:t>
                    </m:r>
                    <m:ctrlPr>
                      <w:rPr>
                        <w:rFonts w:ascii="Cambria Math" w:hAnsi="Cambria Math"/>
                        <w:snapToGrid w:val="0"/>
                      </w:rPr>
                    </m:ctrlPr>
                  </m:e>
                  <m:sub>
                    <m:r>
                      <m:rPr>
                        <m:sty m:val="p"/>
                      </m:rPr>
                      <w:rPr>
                        <w:rFonts w:ascii="Cambria Math" w:hAnsi="Cambria Math"/>
                        <w:snapToGrid w:val="0"/>
                      </w:rPr>
                      <m:t>P</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预应力作用的分项系数</w:t>
            </w:r>
            <w:r>
              <w:rPr>
                <w:rFonts w:hint="eastAsia"/>
                <w:snapToGrid w:val="0"/>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w:rPr>
                        <w:rFonts w:ascii="Cambria Math" w:hAnsi="Cambria Math"/>
                        <w:snapToGrid w:val="0"/>
                      </w:rPr>
                      <m:t>w</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风荷载的组合值系数</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m:sty m:val="p"/>
                      </m:rPr>
                      <w:rPr>
                        <w:rFonts w:ascii="Cambria Math" w:hAnsi="Cambria Math"/>
                        <w:snapToGrid w:val="0"/>
                      </w:rPr>
                      <m:t>c</m:t>
                    </m:r>
                    <m:r>
                      <m:rPr/>
                      <w:rPr>
                        <w:rFonts w:ascii="Cambria Math" w:hAnsi="Cambria Math"/>
                        <w:snapToGrid w:val="0"/>
                      </w:rPr>
                      <m:t>i</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第</w:t>
            </w:r>
            <w:r>
              <w:rPr>
                <w:i/>
              </w:rPr>
              <w:t>i</w:t>
            </w:r>
            <w:r>
              <w:rPr>
                <w:rFonts w:hint="eastAsia"/>
              </w:rPr>
              <w:t>个可变作用的组合值系数</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m:sty m:val="p"/>
                      </m:rPr>
                      <w:rPr>
                        <w:rFonts w:ascii="Cambria Math" w:hAnsi="Cambria Math"/>
                        <w:snapToGrid w:val="0"/>
                      </w:rPr>
                      <m:t>f</m:t>
                    </m:r>
                    <m:r>
                      <m:rPr/>
                      <w:rPr>
                        <w:rFonts w:ascii="Cambria Math" w:hAnsi="Cambria Math"/>
                        <w:snapToGrid w:val="0"/>
                      </w:rPr>
                      <m:t>1</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第1个可变作用的频遇值系数</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m:sty m:val="p"/>
                      </m:rPr>
                      <w:rPr>
                        <w:rFonts w:ascii="Cambria Math" w:hAnsi="Cambria Math"/>
                        <w:snapToGrid w:val="0"/>
                      </w:rPr>
                      <m:t>q1</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第1个可变作用的准永久值系数</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rPr>
            </w:pPr>
            <m:oMathPara>
              <m:oMathParaPr>
                <m:jc m:val="right"/>
              </m:oMathParaPr>
              <m:oMath>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m:sty m:val="p"/>
                      </m:rPr>
                      <w:rPr>
                        <w:rFonts w:ascii="Cambria Math" w:hAnsi="Cambria Math"/>
                        <w:snapToGrid w:val="0"/>
                      </w:rPr>
                      <m:t>q</m:t>
                    </m:r>
                    <m:r>
                      <m:rPr/>
                      <w:rPr>
                        <w:rFonts w:ascii="Cambria Math" w:hAnsi="Cambria Math"/>
                        <w:snapToGrid w:val="0"/>
                      </w:rPr>
                      <m:t>i</m:t>
                    </m:r>
                    <m:ctrlPr>
                      <w:rPr>
                        <w:rFonts w:ascii="Cambria Math" w:hAnsi="Cambria Math"/>
                        <w:snapToGrid w:val="0"/>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第</w:t>
            </w:r>
            <w:r>
              <w:rPr>
                <w:rFonts w:hint="eastAsia"/>
                <w:i/>
              </w:rPr>
              <w:t>i</w:t>
            </w:r>
            <w:r>
              <w:rPr>
                <w:rFonts w:hint="eastAsia"/>
              </w:rPr>
              <w:t>个可变作用的准永久值系数</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sz w:val="21"/>
                <w:szCs w:val="21"/>
              </w:rPr>
            </w:pPr>
            <m:oMathPara>
              <m:oMath>
                <m:sSub>
                  <m:sSubPr>
                    <m:ctrlPr>
                      <w:rPr>
                        <w:rFonts w:ascii="Cambria Math" w:hAnsi="Cambria Math"/>
                        <w:snapToGrid w:val="0"/>
                        <w:sz w:val="21"/>
                        <w:szCs w:val="21"/>
                      </w:rPr>
                    </m:ctrlPr>
                  </m:sSubPr>
                  <m:e>
                    <m:r>
                      <m:rPr/>
                      <w:rPr>
                        <w:rFonts w:ascii="Cambria Math" w:hAnsi="Cambria Math"/>
                        <w:snapToGrid w:val="0"/>
                        <w:sz w:val="21"/>
                        <w:szCs w:val="21"/>
                      </w:rPr>
                      <m:t>γ</m:t>
                    </m:r>
                    <m:ctrlPr>
                      <w:rPr>
                        <w:rFonts w:ascii="Cambria Math" w:hAnsi="Cambria Math"/>
                        <w:snapToGrid w:val="0"/>
                        <w:sz w:val="21"/>
                        <w:szCs w:val="21"/>
                      </w:rPr>
                    </m:ctrlPr>
                  </m:e>
                  <m:sub>
                    <m:r>
                      <m:rPr>
                        <m:sty m:val="p"/>
                      </m:rPr>
                      <w:rPr>
                        <w:rFonts w:ascii="Cambria Math" w:hAnsi="Cambria Math"/>
                        <w:snapToGrid w:val="0"/>
                        <w:sz w:val="21"/>
                        <w:szCs w:val="21"/>
                      </w:rPr>
                      <m:t>L</m:t>
                    </m:r>
                    <m:r>
                      <m:rPr/>
                      <w:rPr>
                        <w:rFonts w:ascii="Cambria Math" w:hAnsi="Cambria Math"/>
                        <w:snapToGrid w:val="0"/>
                        <w:sz w:val="21"/>
                        <w:szCs w:val="21"/>
                      </w:rPr>
                      <m:t>1、</m:t>
                    </m:r>
                    <m:sSub>
                      <m:sSubPr>
                        <m:ctrlPr>
                          <w:rPr>
                            <w:rFonts w:ascii="Cambria Math" w:hAnsi="Cambria Math"/>
                            <w:snapToGrid w:val="0"/>
                            <w:sz w:val="21"/>
                            <w:szCs w:val="21"/>
                          </w:rPr>
                        </m:ctrlPr>
                      </m:sSubPr>
                      <m:e>
                        <m:r>
                          <m:rPr/>
                          <w:rPr>
                            <w:rFonts w:ascii="Cambria Math" w:hAnsi="Cambria Math"/>
                            <w:snapToGrid w:val="0"/>
                            <w:sz w:val="21"/>
                            <w:szCs w:val="21"/>
                          </w:rPr>
                          <m:t>γ</m:t>
                        </m:r>
                        <m:ctrlPr>
                          <w:rPr>
                            <w:rFonts w:ascii="Cambria Math" w:hAnsi="Cambria Math"/>
                            <w:snapToGrid w:val="0"/>
                            <w:sz w:val="21"/>
                            <w:szCs w:val="21"/>
                          </w:rPr>
                        </m:ctrlPr>
                      </m:e>
                      <m:sub>
                        <m:r>
                          <m:rPr>
                            <m:sty m:val="p"/>
                          </m:rPr>
                          <w:rPr>
                            <w:rFonts w:ascii="Cambria Math" w:hAnsi="Cambria Math"/>
                            <w:snapToGrid w:val="0"/>
                            <w:sz w:val="21"/>
                            <w:szCs w:val="21"/>
                          </w:rPr>
                          <m:t>L</m:t>
                        </m:r>
                        <m:r>
                          <m:rPr/>
                          <w:rPr>
                            <w:rFonts w:ascii="Cambria Math" w:hAnsi="Cambria Math"/>
                            <w:snapToGrid w:val="0"/>
                            <w:sz w:val="21"/>
                            <w:szCs w:val="21"/>
                          </w:rPr>
                          <m:t>i</m:t>
                        </m:r>
                        <m:ctrlPr>
                          <w:rPr>
                            <w:rFonts w:ascii="Cambria Math" w:hAnsi="Cambria Math"/>
                            <w:snapToGrid w:val="0"/>
                            <w:sz w:val="21"/>
                            <w:szCs w:val="21"/>
                          </w:rPr>
                        </m:ctrlPr>
                      </m:sub>
                    </m:sSub>
                    <m:ctrlPr>
                      <w:rPr>
                        <w:rFonts w:ascii="Cambria Math" w:hAnsi="Cambria Math"/>
                        <w:snapToGrid w:val="0"/>
                        <w:sz w:val="21"/>
                        <w:szCs w:val="21"/>
                      </w:rPr>
                    </m:ctrlPr>
                  </m:sub>
                </m:sSub>
              </m:oMath>
            </m:oMathPara>
          </w:p>
        </w:tc>
        <w:tc>
          <w:tcPr>
            <w:tcW w:w="851" w:type="dxa"/>
            <w:shd w:val="clear" w:color="auto" w:fill="auto"/>
          </w:tcPr>
          <w:p>
            <w:pPr>
              <w:jc w:val="center"/>
              <w:rPr>
                <w:rFonts w:ascii="Times New Roman" w:hAnsi="Times New Roman"/>
              </w:rPr>
            </w:pPr>
            <w:r>
              <w:rPr>
                <w:rFonts w:ascii="Times New Roman" w:hAnsi="Times New Roman"/>
              </w:rPr>
              <w:t>——</w:t>
            </w:r>
          </w:p>
        </w:tc>
        <w:tc>
          <w:tcPr>
            <w:tcW w:w="7195" w:type="dxa"/>
            <w:shd w:val="clear" w:color="auto" w:fill="auto"/>
          </w:tcPr>
          <w:p>
            <w:pPr>
              <w:pStyle w:val="189"/>
            </w:pPr>
            <w:r>
              <w:rPr>
                <w:rFonts w:hint="eastAsia"/>
              </w:rPr>
              <w:t>第1个和第</w:t>
            </w:r>
            <w:r>
              <w:rPr>
                <w:rFonts w:hint="eastAsia"/>
                <w:i/>
              </w:rPr>
              <w:t>i</w:t>
            </w:r>
            <w:r>
              <w:rPr>
                <w:rFonts w:hint="eastAsia"/>
              </w:rPr>
              <w:t>个考虑结构设计工作年限的荷载调整系数。</w:t>
            </w:r>
          </w:p>
        </w:tc>
      </w:tr>
    </w:tbl>
    <w:p>
      <w:pPr>
        <w:pStyle w:val="188"/>
        <w:ind w:firstLine="482"/>
      </w:pPr>
      <w:r>
        <w:rPr>
          <w:rFonts w:hint="eastAsia"/>
          <w:b/>
        </w:rPr>
        <w:t>3</w:t>
      </w:r>
      <w:r>
        <w:rPr>
          <w:rFonts w:hint="eastAsia"/>
        </w:rPr>
        <w:t xml:space="preserve"> 温度作为可变作用，按幕墙类型和施工工况确定其组合；</w:t>
      </w:r>
    </w:p>
    <w:p>
      <w:pPr>
        <w:pStyle w:val="188"/>
        <w:ind w:firstLine="482"/>
      </w:pPr>
      <w:r>
        <w:rPr>
          <w:rFonts w:hint="eastAsia"/>
          <w:b/>
        </w:rPr>
        <w:t>4</w:t>
      </w:r>
      <w:r>
        <w:rPr>
          <w:rFonts w:hint="eastAsia"/>
        </w:rPr>
        <w:t xml:space="preserve"> 雪荷载、不上人屋面活荷载可取两者荷载标准值的较大值按幕墙类型确定其组合；</w:t>
      </w:r>
    </w:p>
    <w:p>
      <w:pPr>
        <w:pStyle w:val="188"/>
        <w:ind w:firstLine="482"/>
      </w:pPr>
      <w:r>
        <w:rPr>
          <w:rFonts w:hint="eastAsia"/>
          <w:b/>
        </w:rPr>
        <w:t>5</w:t>
      </w:r>
      <w:r>
        <w:rPr>
          <w:rFonts w:hint="eastAsia"/>
        </w:rPr>
        <w:t xml:space="preserve"> 施工荷载或检修荷载作为可变荷载，按幕墙类型和施工工况确定其组合。</w:t>
      </w:r>
    </w:p>
    <w:p>
      <w:pPr>
        <w:pStyle w:val="200"/>
      </w:pPr>
      <w:r>
        <w:rPr>
          <w:rFonts w:hint="eastAsia"/>
          <w:b/>
        </w:rPr>
        <w:t xml:space="preserve">4.4.3 </w:t>
      </w:r>
      <w:r>
        <w:rPr>
          <w:rFonts w:hint="eastAsia"/>
        </w:rPr>
        <w:t>进行幕墙构件的承载力设计时，作用</w:t>
      </w:r>
      <w:r>
        <w:rPr>
          <w:rFonts w:hint="eastAsia"/>
          <w:lang w:eastAsia="zh-CN"/>
        </w:rPr>
        <w:t>（</w:t>
      </w:r>
      <w:r>
        <w:rPr>
          <w:rFonts w:hint="eastAsia"/>
        </w:rPr>
        <w:t>效应</w:t>
      </w:r>
      <w:r>
        <w:rPr>
          <w:rFonts w:hint="eastAsia"/>
          <w:lang w:eastAsia="zh-CN"/>
        </w:rPr>
        <w:t>）</w:t>
      </w:r>
      <w:r>
        <w:rPr>
          <w:rFonts w:hint="eastAsia"/>
        </w:rPr>
        <w:t>分项系数按下列规定取值：</w:t>
      </w:r>
    </w:p>
    <w:p>
      <w:pPr>
        <w:pStyle w:val="188"/>
        <w:ind w:firstLine="482"/>
      </w:pPr>
      <w:r>
        <w:rPr>
          <w:rFonts w:hint="eastAsia"/>
          <w:b/>
        </w:rPr>
        <w:t>1</w:t>
      </w:r>
      <w:r>
        <w:rPr>
          <w:rFonts w:hint="eastAsia"/>
        </w:rPr>
        <w:t xml:space="preserve"> 一般情况下，永久荷载、风荷载和地震作用的分项系数</w:t>
      </w:r>
      <m:oMath>
        <m:sSub>
          <m:sSubPr>
            <m:ctrlPr>
              <w:rPr>
                <w:rFonts w:ascii="Cambria Math" w:hAnsi="Cambria Math"/>
                <w:snapToGrid w:val="0"/>
              </w:rPr>
            </m:ctrlPr>
          </m:sSubPr>
          <m:e>
            <m:r>
              <m:rPr/>
              <w:rPr>
                <w:rFonts w:ascii="Cambria Math" w:hAnsi="Cambria Math" w:cs="Cambria Math"/>
                <w:snapToGrid w:val="0"/>
              </w:rPr>
              <m:t>γ</m:t>
            </m:r>
            <m:ctrlPr>
              <w:rPr>
                <w:rFonts w:ascii="Cambria Math" w:hAnsi="Cambria Math"/>
                <w:snapToGrid w:val="0"/>
              </w:rPr>
            </m:ctrlPr>
          </m:e>
          <m:sub>
            <m:r>
              <m:rPr/>
              <w:rPr>
                <w:rFonts w:ascii="Cambria Math" w:hAnsi="Cambria Math" w:cs="Cambria Math"/>
                <w:snapToGrid w:val="0"/>
              </w:rPr>
              <m:t>G</m:t>
            </m:r>
            <m:ctrlPr>
              <w:rPr>
                <w:rFonts w:ascii="Cambria Math" w:hAnsi="Cambria Math"/>
                <w:snapToGrid w:val="0"/>
              </w:rPr>
            </m:ctrlPr>
          </m:sub>
        </m:sSub>
      </m:oMath>
      <w:r>
        <w:rPr>
          <w:snapToGrid w:val="0"/>
        </w:rPr>
        <w:t>、</w:t>
      </w:r>
      <m:oMath>
        <m:sSub>
          <m:sSubPr>
            <m:ctrlPr>
              <w:rPr>
                <w:rFonts w:ascii="Cambria Math" w:hAnsi="Cambria Math"/>
                <w:snapToGrid w:val="0"/>
              </w:rPr>
            </m:ctrlPr>
          </m:sSubPr>
          <m:e>
            <m:r>
              <m:rPr/>
              <w:rPr>
                <w:rFonts w:ascii="Cambria Math" w:hAnsi="Cambria Math" w:cs="Cambria Math"/>
                <w:snapToGrid w:val="0"/>
              </w:rPr>
              <m:t>γ</m:t>
            </m:r>
            <m:ctrlPr>
              <w:rPr>
                <w:rFonts w:ascii="Cambria Math" w:hAnsi="Cambria Math"/>
                <w:snapToGrid w:val="0"/>
              </w:rPr>
            </m:ctrlPr>
          </m:e>
          <m:sub>
            <m:r>
              <m:rPr/>
              <w:rPr>
                <w:rFonts w:ascii="Cambria Math" w:hAnsi="Cambria Math" w:cs="Cambria Math"/>
                <w:snapToGrid w:val="0"/>
              </w:rPr>
              <m:t>w</m:t>
            </m:r>
            <m:ctrlPr>
              <w:rPr>
                <w:rFonts w:ascii="Cambria Math" w:hAnsi="Cambria Math"/>
                <w:snapToGrid w:val="0"/>
              </w:rPr>
            </m:ctrlPr>
          </m:sub>
        </m:sSub>
      </m:oMath>
      <w:r>
        <w:rPr>
          <w:snapToGrid w:val="0"/>
        </w:rPr>
        <w:t>、</w:t>
      </w:r>
      <m:oMath>
        <m:sSub>
          <m:sSubPr>
            <m:ctrlPr>
              <w:rPr>
                <w:rFonts w:ascii="Cambria Math" w:hAnsi="Cambria Math"/>
                <w:snapToGrid w:val="0"/>
              </w:rPr>
            </m:ctrlPr>
          </m:sSubPr>
          <m:e>
            <m:r>
              <m:rPr/>
              <w:rPr>
                <w:rFonts w:ascii="Cambria Math" w:hAnsi="Cambria Math" w:cs="Cambria Math"/>
                <w:snapToGrid w:val="0"/>
              </w:rPr>
              <m:t>γ</m:t>
            </m:r>
            <m:ctrlPr>
              <w:rPr>
                <w:rFonts w:ascii="Cambria Math" w:hAnsi="Cambria Math"/>
                <w:snapToGrid w:val="0"/>
              </w:rPr>
            </m:ctrlPr>
          </m:e>
          <m:sub>
            <m:r>
              <m:rPr/>
              <w:rPr>
                <w:rFonts w:ascii="Cambria Math" w:hAnsi="Cambria Math" w:cs="Cambria Math"/>
                <w:snapToGrid w:val="0"/>
              </w:rPr>
              <m:t>E</m:t>
            </m:r>
            <m:ctrlPr>
              <w:rPr>
                <w:rFonts w:ascii="Cambria Math" w:hAnsi="Cambria Math"/>
                <w:snapToGrid w:val="0"/>
              </w:rPr>
            </m:ctrlPr>
          </m:sub>
        </m:sSub>
      </m:oMath>
      <w:r>
        <w:rPr>
          <w:rFonts w:hint="eastAsia"/>
        </w:rPr>
        <w:t>应分别取1.3、1.5、1.4；</w:t>
      </w:r>
    </w:p>
    <w:p>
      <w:pPr>
        <w:pStyle w:val="188"/>
        <w:ind w:firstLine="482"/>
      </w:pPr>
      <w:r>
        <w:rPr>
          <w:rFonts w:hint="eastAsia"/>
          <w:b/>
        </w:rPr>
        <w:t>2</w:t>
      </w:r>
      <w:r>
        <w:rPr>
          <w:rFonts w:hint="eastAsia"/>
        </w:rPr>
        <w:t xml:space="preserve"> 永久荷载</w:t>
      </w:r>
      <w:r>
        <w:rPr>
          <w:rFonts w:hint="eastAsia"/>
          <w:lang w:eastAsia="zh-CN"/>
        </w:rPr>
        <w:t>（</w:t>
      </w:r>
      <w:r>
        <w:rPr>
          <w:rFonts w:hint="eastAsia"/>
        </w:rPr>
        <w:t>效应</w:t>
      </w:r>
      <w:r>
        <w:rPr>
          <w:rFonts w:hint="eastAsia"/>
          <w:lang w:eastAsia="zh-CN"/>
        </w:rPr>
        <w:t>）</w:t>
      </w:r>
      <w:r>
        <w:rPr>
          <w:rFonts w:hint="eastAsia"/>
        </w:rPr>
        <w:t>对构件有利时，分项系数</w:t>
      </w:r>
      <m:oMath>
        <m:sSub>
          <m:sSubPr>
            <m:ctrlPr>
              <w:rPr>
                <w:rFonts w:ascii="Cambria Math" w:hAnsi="Cambria Math"/>
                <w:snapToGrid w:val="0"/>
              </w:rPr>
            </m:ctrlPr>
          </m:sSubPr>
          <m:e>
            <m:r>
              <m:rPr/>
              <w:rPr>
                <w:rFonts w:ascii="Cambria Math" w:hAnsi="Cambria Math" w:cs="Cambria Math"/>
                <w:snapToGrid w:val="0"/>
              </w:rPr>
              <m:t>γ</m:t>
            </m:r>
            <m:ctrlPr>
              <w:rPr>
                <w:rFonts w:ascii="Cambria Math" w:hAnsi="Cambria Math"/>
                <w:snapToGrid w:val="0"/>
              </w:rPr>
            </m:ctrlPr>
          </m:e>
          <m:sub>
            <m:r>
              <m:rPr/>
              <w:rPr>
                <w:rFonts w:ascii="Cambria Math" w:hAnsi="Cambria Math" w:cs="Cambria Math"/>
                <w:snapToGrid w:val="0"/>
              </w:rPr>
              <m:t>G</m:t>
            </m:r>
            <m:ctrlPr>
              <w:rPr>
                <w:rFonts w:ascii="Cambria Math" w:hAnsi="Cambria Math"/>
                <w:snapToGrid w:val="0"/>
              </w:rPr>
            </m:ctrlPr>
          </m:sub>
        </m:sSub>
      </m:oMath>
      <w:r>
        <w:rPr>
          <w:rFonts w:hint="eastAsia"/>
        </w:rPr>
        <w:t>的取值应不大于1.0；</w:t>
      </w:r>
    </w:p>
    <w:p>
      <w:pPr>
        <w:pStyle w:val="188"/>
        <w:ind w:firstLine="482"/>
      </w:pPr>
      <w:r>
        <w:rPr>
          <w:rFonts w:hint="eastAsia"/>
          <w:b/>
        </w:rPr>
        <w:t xml:space="preserve">3 </w:t>
      </w:r>
      <w:r>
        <w:rPr>
          <w:rFonts w:hint="eastAsia"/>
        </w:rPr>
        <w:t>温度作用、雪荷载、活荷载、施工或检修荷载的分项系数</w:t>
      </w:r>
      <m:oMath>
        <m:sSub>
          <m:sSubPr>
            <m:ctrlPr>
              <w:rPr>
                <w:rFonts w:ascii="Cambria Math" w:hAnsi="Cambria Math"/>
                <w:snapToGrid w:val="0"/>
              </w:rPr>
            </m:ctrlPr>
          </m:sSubPr>
          <m:e>
            <m:r>
              <m:rPr/>
              <w:rPr>
                <w:rFonts w:ascii="Cambria Math" w:hAnsi="Cambria Math" w:cs="Cambria Math"/>
                <w:snapToGrid w:val="0"/>
              </w:rPr>
              <m:t>γ</m:t>
            </m:r>
            <m:ctrlPr>
              <w:rPr>
                <w:rFonts w:ascii="Cambria Math" w:hAnsi="Cambria Math"/>
                <w:snapToGrid w:val="0"/>
              </w:rPr>
            </m:ctrlPr>
          </m:e>
          <m:sub>
            <m:r>
              <m:rPr/>
              <w:rPr>
                <w:rFonts w:ascii="Cambria Math" w:hAnsi="Cambria Math" w:cs="Cambria Math"/>
                <w:snapToGrid w:val="0"/>
              </w:rPr>
              <m:t>T</m:t>
            </m:r>
            <m:ctrlPr>
              <w:rPr>
                <w:rFonts w:ascii="Cambria Math" w:hAnsi="Cambria Math"/>
                <w:snapToGrid w:val="0"/>
              </w:rPr>
            </m:ctrlPr>
          </m:sub>
        </m:sSub>
      </m:oMath>
      <w:r>
        <w:rPr>
          <w:snapToGrid w:val="0"/>
        </w:rPr>
        <w:t>、</w:t>
      </w:r>
      <m:oMath>
        <m:sSub>
          <m:sSubPr>
            <m:ctrlPr>
              <w:rPr>
                <w:rFonts w:ascii="Cambria Math" w:hAnsi="Cambria Math"/>
                <w:snapToGrid w:val="0"/>
              </w:rPr>
            </m:ctrlPr>
          </m:sSubPr>
          <m:e>
            <m:r>
              <m:rPr/>
              <w:rPr>
                <w:rFonts w:ascii="Cambria Math" w:hAnsi="Cambria Math" w:cs="Cambria Math"/>
                <w:snapToGrid w:val="0"/>
              </w:rPr>
              <m:t>γ</m:t>
            </m:r>
            <m:ctrlPr>
              <w:rPr>
                <w:rFonts w:ascii="Cambria Math" w:hAnsi="Cambria Math"/>
                <w:snapToGrid w:val="0"/>
              </w:rPr>
            </m:ctrlPr>
          </m:e>
          <m:sub>
            <m:r>
              <m:rPr/>
              <w:rPr>
                <w:rFonts w:ascii="Cambria Math" w:hAnsi="Cambria Math" w:cs="Cambria Math"/>
                <w:snapToGrid w:val="0"/>
              </w:rPr>
              <m:t>S</m:t>
            </m:r>
            <m:ctrlPr>
              <w:rPr>
                <w:rFonts w:ascii="Cambria Math" w:hAnsi="Cambria Math"/>
                <w:snapToGrid w:val="0"/>
              </w:rPr>
            </m:ctrlPr>
          </m:sub>
        </m:sSub>
      </m:oMath>
      <w:r>
        <w:rPr>
          <w:snapToGrid w:val="0"/>
        </w:rPr>
        <w:t>、</w:t>
      </w:r>
      <m:oMath>
        <m:sSub>
          <m:sSubPr>
            <m:ctrlPr>
              <w:rPr>
                <w:rFonts w:ascii="Cambria Math" w:hAnsi="Cambria Math"/>
                <w:snapToGrid w:val="0"/>
              </w:rPr>
            </m:ctrlPr>
          </m:sSubPr>
          <m:e>
            <m:r>
              <m:rPr/>
              <w:rPr>
                <w:rFonts w:ascii="Cambria Math" w:hAnsi="Cambria Math" w:cs="Cambria Math"/>
                <w:snapToGrid w:val="0"/>
              </w:rPr>
              <m:t>γ</m:t>
            </m:r>
            <m:ctrlPr>
              <w:rPr>
                <w:rFonts w:ascii="Cambria Math" w:hAnsi="Cambria Math"/>
                <w:snapToGrid w:val="0"/>
              </w:rPr>
            </m:ctrlPr>
          </m:e>
          <m:sub>
            <m:r>
              <m:rPr/>
              <w:rPr>
                <w:rFonts w:ascii="Cambria Math" w:hAnsi="Cambria Math" w:cs="Cambria Math"/>
                <w:snapToGrid w:val="0"/>
              </w:rPr>
              <m:t>H</m:t>
            </m:r>
            <m:ctrlPr>
              <w:rPr>
                <w:rFonts w:ascii="Cambria Math" w:hAnsi="Cambria Math"/>
                <w:snapToGrid w:val="0"/>
              </w:rPr>
            </m:ctrlPr>
          </m:sub>
        </m:sSub>
      </m:oMath>
      <w:r>
        <w:rPr>
          <w:snapToGrid w:val="0"/>
        </w:rPr>
        <w:t>、</w:t>
      </w:r>
      <m:oMath>
        <m:sSub>
          <m:sSubPr>
            <m:ctrlPr>
              <w:rPr>
                <w:rFonts w:ascii="Cambria Math" w:hAnsi="Cambria Math"/>
                <w:snapToGrid w:val="0"/>
              </w:rPr>
            </m:ctrlPr>
          </m:sSubPr>
          <m:e>
            <m:r>
              <m:rPr/>
              <w:rPr>
                <w:rFonts w:ascii="Cambria Math" w:hAnsi="Cambria Math" w:cs="Cambria Math"/>
                <w:snapToGrid w:val="0"/>
              </w:rPr>
              <m:t>γ</m:t>
            </m:r>
            <m:ctrlPr>
              <w:rPr>
                <w:rFonts w:ascii="Cambria Math" w:hAnsi="Cambria Math"/>
                <w:snapToGrid w:val="0"/>
              </w:rPr>
            </m:ctrlPr>
          </m:e>
          <m:sub>
            <m:r>
              <m:rPr/>
              <w:rPr>
                <w:rFonts w:ascii="Cambria Math" w:hAnsi="Cambria Math" w:cs="Cambria Math"/>
                <w:snapToGrid w:val="0"/>
              </w:rPr>
              <m:t>J</m:t>
            </m:r>
            <m:ctrlPr>
              <w:rPr>
                <w:rFonts w:ascii="Cambria Math" w:hAnsi="Cambria Math"/>
                <w:snapToGrid w:val="0"/>
              </w:rPr>
            </m:ctrlPr>
          </m:sub>
        </m:sSub>
      </m:oMath>
      <w:r>
        <w:rPr>
          <w:rFonts w:hint="eastAsia"/>
        </w:rPr>
        <w:t>应取1.5。</w:t>
      </w:r>
    </w:p>
    <w:p>
      <w:pPr>
        <w:pStyle w:val="120"/>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 xml:space="preserve">4.4.3 </w:t>
      </w:r>
      <w:r>
        <w:rPr>
          <w:rFonts w:hint="eastAsia" w:ascii="Times New Roman" w:hAnsi="Times New Roman"/>
        </w:rPr>
        <w:t>地震作用的分项系数根据《建筑与市政工程抗震通用规范》</w:t>
      </w:r>
      <w:r>
        <w:rPr>
          <w:rFonts w:ascii="Times New Roman" w:hAnsi="Times New Roman"/>
        </w:rPr>
        <w:t>GB55002-2021</w:t>
      </w:r>
      <w:r>
        <w:rPr>
          <w:rFonts w:hint="eastAsia" w:ascii="Times New Roman" w:hAnsi="Times New Roman"/>
        </w:rPr>
        <w:t>表</w:t>
      </w:r>
      <w:r>
        <w:rPr>
          <w:rFonts w:ascii="Times New Roman" w:hAnsi="Times New Roman"/>
        </w:rPr>
        <w:t>4.3.2-2</w:t>
      </w:r>
      <w:r>
        <w:rPr>
          <w:rFonts w:hint="eastAsia" w:ascii="Times New Roman" w:hAnsi="Times New Roman"/>
        </w:rPr>
        <w:t>确定。其他作用的分项系数根据《工程结构通用规范》</w:t>
      </w:r>
      <w:r>
        <w:rPr>
          <w:rFonts w:ascii="Times New Roman" w:hAnsi="Times New Roman"/>
        </w:rPr>
        <w:t>GB 55001-2021</w:t>
      </w:r>
      <w:r>
        <w:rPr>
          <w:rFonts w:hint="eastAsia" w:ascii="Times New Roman" w:hAnsi="Times New Roman"/>
        </w:rPr>
        <w:t>第</w:t>
      </w:r>
      <w:r>
        <w:rPr>
          <w:rFonts w:ascii="Times New Roman" w:hAnsi="Times New Roman"/>
        </w:rPr>
        <w:t>3.1.13</w:t>
      </w:r>
      <w:r>
        <w:rPr>
          <w:rFonts w:hint="eastAsia" w:ascii="Times New Roman" w:hAnsi="Times New Roman"/>
        </w:rPr>
        <w:t>条确定。</w:t>
      </w:r>
    </w:p>
    <w:p>
      <w:pPr>
        <w:pStyle w:val="200"/>
      </w:pPr>
      <w:r>
        <w:rPr>
          <w:rFonts w:hint="eastAsia"/>
          <w:b/>
        </w:rPr>
        <w:t xml:space="preserve">4.4.4 </w:t>
      </w:r>
      <w:r>
        <w:rPr>
          <w:rFonts w:hint="eastAsia"/>
        </w:rPr>
        <w:t>可变作用的组合值系数按下列规定采用：</w:t>
      </w:r>
    </w:p>
    <w:p>
      <w:pPr>
        <w:pStyle w:val="188"/>
        <w:ind w:firstLine="480"/>
      </w:pPr>
      <w:r>
        <w:rPr>
          <w:rFonts w:hint="eastAsia"/>
        </w:rPr>
        <w:t>1 风荷载的组合值系数</w:t>
      </w:r>
      <m:oMath>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w:rPr>
                <w:rFonts w:ascii="Cambria Math" w:hAnsi="Cambria Math"/>
                <w:snapToGrid w:val="0"/>
              </w:rPr>
              <m:t>w</m:t>
            </m:r>
            <m:ctrlPr>
              <w:rPr>
                <w:rFonts w:ascii="Cambria Math" w:hAnsi="Cambria Math"/>
                <w:snapToGrid w:val="0"/>
              </w:rPr>
            </m:ctrlPr>
          </m:sub>
        </m:sSub>
      </m:oMath>
      <w:r>
        <w:rPr>
          <w:rFonts w:hint="eastAsia"/>
        </w:rPr>
        <w:t>应取0.6或1.0（作为第1可变荷载时），地震设计工况时取0.2；</w:t>
      </w:r>
    </w:p>
    <w:p>
      <w:pPr>
        <w:pStyle w:val="188"/>
        <w:ind w:firstLine="480"/>
      </w:pPr>
      <w:r>
        <w:rPr>
          <w:rFonts w:hint="eastAsia"/>
        </w:rPr>
        <w:t>2 温度作用的组合系数</w:t>
      </w:r>
      <m:oMath>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w:rPr>
                <w:rFonts w:ascii="Cambria Math" w:hAnsi="Cambria Math"/>
                <w:snapToGrid w:val="0"/>
              </w:rPr>
              <m:t>T</m:t>
            </m:r>
            <m:ctrlPr>
              <w:rPr>
                <w:rFonts w:ascii="Cambria Math" w:hAnsi="Cambria Math"/>
                <w:snapToGrid w:val="0"/>
              </w:rPr>
            </m:ctrlPr>
          </m:sub>
        </m:sSub>
      </m:oMath>
      <w:r>
        <w:rPr>
          <w:rFonts w:hint="eastAsia"/>
        </w:rPr>
        <w:t>应取0.6或1.0（作为第1可变荷载时）；</w:t>
      </w:r>
    </w:p>
    <w:p>
      <w:pPr>
        <w:pStyle w:val="188"/>
        <w:ind w:firstLine="480"/>
      </w:pPr>
      <w:r>
        <w:rPr>
          <w:rFonts w:hint="eastAsia"/>
        </w:rPr>
        <w:t>3 雪荷载的组合系数</w:t>
      </w:r>
      <m:oMath>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w:rPr>
                <w:rFonts w:ascii="Cambria Math" w:hAnsi="Cambria Math"/>
                <w:snapToGrid w:val="0"/>
              </w:rPr>
              <m:t>S</m:t>
            </m:r>
            <m:ctrlPr>
              <w:rPr>
                <w:rFonts w:ascii="Cambria Math" w:hAnsi="Cambria Math"/>
                <w:snapToGrid w:val="0"/>
              </w:rPr>
            </m:ctrlPr>
          </m:sub>
        </m:sSub>
      </m:oMath>
      <w:r>
        <w:rPr>
          <w:rFonts w:hint="eastAsia"/>
        </w:rPr>
        <w:t>应取0.7或1.0（作为第1可变荷载时）；</w:t>
      </w:r>
    </w:p>
    <w:p>
      <w:pPr>
        <w:pStyle w:val="188"/>
        <w:ind w:firstLine="480"/>
      </w:pPr>
      <w:r>
        <w:rPr>
          <w:rFonts w:hint="eastAsia"/>
        </w:rPr>
        <w:t>4 不上人屋面活荷载的组合系数</w:t>
      </w:r>
      <m:oMath>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w:rPr>
                <w:rFonts w:ascii="Cambria Math" w:hAnsi="Cambria Math"/>
                <w:snapToGrid w:val="0"/>
              </w:rPr>
              <m:t>H</m:t>
            </m:r>
            <m:ctrlPr>
              <w:rPr>
                <w:rFonts w:ascii="Cambria Math" w:hAnsi="Cambria Math"/>
                <w:snapToGrid w:val="0"/>
              </w:rPr>
            </m:ctrlPr>
          </m:sub>
        </m:sSub>
      </m:oMath>
      <w:r>
        <w:rPr>
          <w:rFonts w:hint="eastAsia"/>
        </w:rPr>
        <w:t>应取0.7或1.0（作为第1可变荷载时）；</w:t>
      </w:r>
    </w:p>
    <w:p>
      <w:pPr>
        <w:pStyle w:val="188"/>
        <w:ind w:firstLine="480"/>
        <w:rPr>
          <w:color w:val="FF0000"/>
        </w:rPr>
      </w:pPr>
      <w:r>
        <w:rPr>
          <w:rFonts w:hint="eastAsia"/>
        </w:rPr>
        <w:t>5 施工荷载、检修荷载、栏杆荷载的组合系数</w:t>
      </w:r>
      <m:oMath>
        <m:sSub>
          <m:sSubPr>
            <m:ctrlPr>
              <w:rPr>
                <w:rFonts w:ascii="Cambria Math" w:hAnsi="Cambria Math"/>
                <w:snapToGrid w:val="0"/>
              </w:rPr>
            </m:ctrlPr>
          </m:sSubPr>
          <m:e>
            <m:r>
              <m:rPr/>
              <w:rPr>
                <w:rFonts w:ascii="Cambria Math" w:hAnsi="Cambria Math"/>
                <w:snapToGrid w:val="0"/>
              </w:rPr>
              <m:t>ψ</m:t>
            </m:r>
            <m:ctrlPr>
              <w:rPr>
                <w:rFonts w:ascii="Cambria Math" w:hAnsi="Cambria Math"/>
                <w:snapToGrid w:val="0"/>
              </w:rPr>
            </m:ctrlPr>
          </m:e>
          <m:sub>
            <m:r>
              <m:rPr/>
              <w:rPr>
                <w:rFonts w:ascii="Cambria Math" w:hAnsi="Cambria Math"/>
                <w:snapToGrid w:val="0"/>
              </w:rPr>
              <m:t>J</m:t>
            </m:r>
            <m:ctrlPr>
              <w:rPr>
                <w:rFonts w:ascii="Cambria Math" w:hAnsi="Cambria Math"/>
                <w:snapToGrid w:val="0"/>
              </w:rPr>
            </m:ctrlPr>
          </m:sub>
        </m:sSub>
      </m:oMath>
      <w:r>
        <w:rPr>
          <w:rFonts w:hint="eastAsia"/>
        </w:rPr>
        <w:t>应取0.7或1.0（作为第1可变荷载时）。</w:t>
      </w:r>
    </w:p>
    <w:p>
      <w:pPr>
        <w:pStyle w:val="200"/>
        <w:ind w:right="240"/>
      </w:pPr>
      <w:r>
        <w:rPr>
          <w:rFonts w:hint="eastAsia"/>
          <w:b/>
        </w:rPr>
        <w:t>4.4.5</w:t>
      </w:r>
      <w:r>
        <w:rPr>
          <w:rFonts w:hint="eastAsia"/>
        </w:rPr>
        <w:t>幕墙结构重力产生的地震作用可采用等效侧力法计算，其水平地震作用标准值可按下式计算：</w:t>
      </w:r>
    </w:p>
    <w:tbl>
      <w:tblPr>
        <w:tblStyle w:val="37"/>
        <w:tblW w:w="0" w:type="auto"/>
        <w:jc w:val="right"/>
        <w:tblLayout w:type="fixed"/>
        <w:tblCellMar>
          <w:top w:w="0" w:type="dxa"/>
          <w:left w:w="108" w:type="dxa"/>
          <w:bottom w:w="0" w:type="dxa"/>
          <w:right w:w="108" w:type="dxa"/>
        </w:tblCellMar>
      </w:tblPr>
      <w:tblGrid>
        <w:gridCol w:w="5670"/>
        <w:gridCol w:w="2268"/>
      </w:tblGrid>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ind w:left="180" w:leftChars="75"/>
              <w:jc w:val="center"/>
              <w:rPr>
                <w:rFonts w:ascii="Times New Roman" w:hAnsi="Times New Roman"/>
                <w:snapToGrid w:val="0"/>
              </w:rPr>
            </w:pPr>
            <m:oMathPara>
              <m:oMathParaPr>
                <m:jc m:val="center"/>
              </m:oMathParaPr>
              <m:oMath>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Ek</m:t>
                    </m:r>
                    <m:ctrlPr>
                      <w:rPr>
                        <w:rFonts w:ascii="Cambria Math" w:hAnsi="Cambria Math"/>
                      </w:rPr>
                    </m:ctrlPr>
                  </m:sub>
                </m:sSub>
                <m:r>
                  <m:rPr>
                    <m:sty m:val="p"/>
                  </m:rPr>
                  <w:rPr>
                    <w:rFonts w:ascii="Cambria Math" w:hAnsi="Cambria Math"/>
                  </w:rPr>
                  <m:t>=</m:t>
                </m:r>
                <m:r>
                  <m:rPr/>
                  <w:rPr>
                    <w:rFonts w:ascii="Cambria Math" w:hAnsi="Cambria Math"/>
                  </w:rPr>
                  <m:t>γη</m:t>
                </m:r>
                <m:sSub>
                  <m:sSubPr>
                    <m:ctrlPr>
                      <w:rPr>
                        <w:rFonts w:ascii="Cambria Math" w:hAnsi="Cambria Math"/>
                      </w:rPr>
                    </m:ctrlPr>
                  </m:sSubPr>
                  <m:e>
                    <m:r>
                      <m:rPr/>
                      <w:rPr>
                        <w:rFonts w:ascii="Cambria Math" w:hAnsi="Cambria Math"/>
                      </w:rPr>
                      <m:t>ξ</m:t>
                    </m:r>
                    <m:ctrlPr>
                      <w:rPr>
                        <w:rFonts w:ascii="Cambria Math" w:hAnsi="Cambria Math"/>
                      </w:rPr>
                    </m:ctrlPr>
                  </m:e>
                  <m:sub>
                    <m:r>
                      <m:rPr/>
                      <w:rPr>
                        <w:rFonts w:ascii="Cambria Math" w:hAnsi="Cambria Math"/>
                      </w:rPr>
                      <m:t>1</m:t>
                    </m:r>
                    <m:ctrlPr>
                      <w:rPr>
                        <w:rFonts w:ascii="Cambria Math" w:hAnsi="Cambria Math"/>
                      </w:rPr>
                    </m:ctrlPr>
                  </m:sub>
                </m:sSub>
                <m:sSub>
                  <m:sSubPr>
                    <m:ctrlPr>
                      <w:rPr>
                        <w:rFonts w:ascii="Cambria Math" w:hAnsi="Cambria Math"/>
                      </w:rPr>
                    </m:ctrlPr>
                  </m:sSubPr>
                  <m:e>
                    <m:r>
                      <m:rPr/>
                      <w:rPr>
                        <w:rFonts w:ascii="Cambria Math" w:hAnsi="Cambria Math"/>
                      </w:rPr>
                      <m:t>ξ</m:t>
                    </m:r>
                    <m:ctrlPr>
                      <w:rPr>
                        <w:rFonts w:ascii="Cambria Math" w:hAnsi="Cambria Math"/>
                      </w:rPr>
                    </m:ctrlPr>
                  </m:e>
                  <m:sub>
                    <m:r>
                      <m:rPr/>
                      <w:rPr>
                        <w:rFonts w:ascii="Cambria Math" w:hAnsi="Cambria Math"/>
                      </w:rPr>
                      <m:t>2</m:t>
                    </m:r>
                    <m:ctrlPr>
                      <w:rPr>
                        <w:rFonts w:ascii="Cambria Math" w:hAnsi="Cambria Math"/>
                      </w:rPr>
                    </m:ctrlPr>
                  </m:sub>
                </m:sSub>
                <m:sSub>
                  <m:sSubPr>
                    <m:ctrlPr>
                      <w:rPr>
                        <w:rFonts w:ascii="Cambria Math" w:hAnsi="Cambria Math"/>
                      </w:rPr>
                    </m:ctrlPr>
                  </m:sSubPr>
                  <m:e>
                    <m:r>
                      <m:rPr/>
                      <w:rPr>
                        <w:rFonts w:ascii="Cambria Math" w:hAnsi="Cambria Math"/>
                      </w:rPr>
                      <m:t>α</m:t>
                    </m:r>
                    <m:ctrlPr>
                      <w:rPr>
                        <w:rFonts w:ascii="Cambria Math" w:hAnsi="Cambria Math"/>
                      </w:rPr>
                    </m:ctrlPr>
                  </m:e>
                  <m:sub>
                    <m:r>
                      <m:rPr>
                        <m:sty m:val="p"/>
                      </m:rPr>
                      <w:rPr>
                        <w:rFonts w:ascii="Cambria Math" w:hAnsi="Cambria Math"/>
                      </w:rPr>
                      <m:t>max</m:t>
                    </m:r>
                    <m:ctrlPr>
                      <w:rPr>
                        <w:rFonts w:ascii="Cambria Math" w:hAnsi="Cambria Math"/>
                      </w:rPr>
                    </m:ctrlPr>
                  </m:sub>
                </m:sSub>
                <m:sSub>
                  <m:sSubPr>
                    <m:ctrlPr>
                      <w:rPr>
                        <w:rFonts w:ascii="Cambria Math" w:hAnsi="Cambria Math"/>
                        <w:i/>
                      </w:rPr>
                    </m:ctrlPr>
                  </m:sSubPr>
                  <m:e>
                    <m:r>
                      <m:rPr/>
                      <w:rPr>
                        <w:rFonts w:ascii="Cambria Math" w:hAnsi="Cambria Math"/>
                      </w:rPr>
                      <m:t>G</m:t>
                    </m:r>
                    <m:ctrlPr>
                      <w:rPr>
                        <w:rFonts w:ascii="Cambria Math" w:hAnsi="Cambria Math"/>
                        <w:i/>
                      </w:rPr>
                    </m:ctrlPr>
                  </m:e>
                  <m:sub>
                    <m:r>
                      <m:rPr/>
                      <w:rPr>
                        <w:rFonts w:ascii="Cambria Math" w:hAnsi="Cambria Math"/>
                      </w:rPr>
                      <m:t>k</m:t>
                    </m:r>
                    <m:ctrlPr>
                      <w:rPr>
                        <w:rFonts w:ascii="Cambria Math" w:hAnsi="Cambria Math"/>
                        <w:i/>
                      </w:rPr>
                    </m:ctrlPr>
                  </m:sub>
                </m:sSub>
              </m:oMath>
            </m:oMathPara>
          </w:p>
        </w:tc>
        <w:tc>
          <w:tcPr>
            <w:tcW w:w="2268" w:type="dxa"/>
            <w:shd w:val="clear" w:color="auto" w:fill="auto"/>
            <w:vAlign w:val="center"/>
          </w:tcPr>
          <w:p>
            <w:pPr>
              <w:widowControl w:val="0"/>
              <w:spacing w:line="360" w:lineRule="auto"/>
              <w:ind w:left="240" w:right="240"/>
              <w:jc w:val="right"/>
              <w:rPr>
                <w:rFonts w:ascii="Times New Roman" w:hAnsi="Times New Roman"/>
                <w:sz w:val="21"/>
                <w:szCs w:val="21"/>
              </w:rPr>
            </w:pPr>
            <w:r>
              <w:rPr>
                <w:rFonts w:hint="eastAsia" w:ascii="Times New Roman" w:hAnsi="Times New Roman" w:cs="Times New Roman"/>
                <w:kern w:val="2"/>
              </w:rPr>
              <w:t>（</w:t>
            </w:r>
            <w:r>
              <w:rPr>
                <w:rFonts w:ascii="Times New Roman" w:hAnsi="Times New Roman" w:cs="Times New Roman"/>
                <w:kern w:val="2"/>
              </w:rPr>
              <w:t>4.5.1</w:t>
            </w:r>
            <w:r>
              <w:rPr>
                <w:rFonts w:hint="eastAsia" w:ascii="Times New Roman" w:hAnsi="Times New Roman" w:cs="Times New Roman"/>
                <w:kern w:val="2"/>
              </w:rPr>
              <w:t>）</w:t>
            </w:r>
          </w:p>
        </w:tc>
      </w:tr>
    </w:tbl>
    <w:p>
      <w:pPr>
        <w:pStyle w:val="189"/>
        <w:ind w:left="240" w:right="240"/>
      </w:pPr>
      <w:r>
        <w:rPr>
          <w:rFonts w:hint="eastAsia"/>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ind w:left="240" w:right="240"/>
              <w:jc w:val="right"/>
              <w:rPr>
                <w:rFonts w:ascii="Times New Roman" w:hAnsi="Times New Roman"/>
              </w:rPr>
            </w:pPr>
            <m:oMathPara>
              <m:oMathParaPr>
                <m:jc m:val="right"/>
              </m:oMathParaPr>
              <m:oMath>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Ek</m:t>
                    </m:r>
                    <m:ctrlPr>
                      <w:rPr>
                        <w:rFonts w:ascii="Cambria Math" w:hAnsi="Cambria Math"/>
                      </w:rPr>
                    </m:ctrlPr>
                  </m:sub>
                </m:sSub>
              </m:oMath>
            </m:oMathPara>
          </w:p>
        </w:tc>
        <w:tc>
          <w:tcPr>
            <w:tcW w:w="851" w:type="dxa"/>
            <w:shd w:val="clear" w:color="auto" w:fill="auto"/>
          </w:tcPr>
          <w:p>
            <w:pPr>
              <w:ind w:left="240" w:right="240"/>
              <w:jc w:val="center"/>
              <w:rPr>
                <w:rFonts w:ascii="Times New Roman" w:hAnsi="Times New Roman"/>
              </w:rPr>
            </w:pPr>
            <w:r>
              <w:rPr>
                <w:rFonts w:ascii="Times New Roman" w:hAnsi="Times New Roman"/>
              </w:rPr>
              <w:t>——</w:t>
            </w:r>
          </w:p>
        </w:tc>
        <w:tc>
          <w:tcPr>
            <w:tcW w:w="7195" w:type="dxa"/>
            <w:shd w:val="clear" w:color="auto" w:fill="auto"/>
          </w:tcPr>
          <w:p>
            <w:pPr>
              <w:pStyle w:val="189"/>
              <w:ind w:left="240" w:right="240"/>
            </w:pPr>
            <w:r>
              <w:rPr>
                <w:rFonts w:hint="eastAsia"/>
              </w:rPr>
              <w:t>水平地震作用标准值</w:t>
            </w:r>
            <w:r>
              <w:rPr>
                <w:rFonts w:hint="eastAsia"/>
                <w:lang w:eastAsia="zh-CN"/>
              </w:rPr>
              <w:t>（</w:t>
            </w:r>
            <w:r>
              <w:rPr>
                <w:rFonts w:hint="eastAsia"/>
              </w:rPr>
              <w:t>kN)；</w:t>
            </w:r>
          </w:p>
        </w:tc>
      </w:tr>
      <w:tr>
        <w:tblPrEx>
          <w:tblCellMar>
            <w:top w:w="0" w:type="dxa"/>
            <w:left w:w="108" w:type="dxa"/>
            <w:bottom w:w="0" w:type="dxa"/>
            <w:right w:w="108" w:type="dxa"/>
          </w:tblCellMar>
        </w:tblPrEx>
        <w:tc>
          <w:tcPr>
            <w:tcW w:w="1134" w:type="dxa"/>
            <w:shd w:val="clear" w:color="auto" w:fill="auto"/>
          </w:tcPr>
          <w:p>
            <w:pPr>
              <w:ind w:left="240" w:right="240"/>
              <w:jc w:val="right"/>
              <w:rPr>
                <w:rFonts w:ascii="Times New Roman" w:hAnsi="Times New Roman"/>
              </w:rPr>
            </w:pPr>
            <m:oMathPara>
              <m:oMathParaPr>
                <m:jc m:val="right"/>
              </m:oMathParaPr>
              <m:oMath>
                <m:r>
                  <m:rPr/>
                  <w:rPr>
                    <w:rFonts w:ascii="Cambria Math" w:hAnsi="Cambria Math"/>
                  </w:rPr>
                  <m:t>γ</m:t>
                </m:r>
              </m:oMath>
            </m:oMathPara>
          </w:p>
        </w:tc>
        <w:tc>
          <w:tcPr>
            <w:tcW w:w="851" w:type="dxa"/>
            <w:shd w:val="clear" w:color="auto" w:fill="auto"/>
          </w:tcPr>
          <w:p>
            <w:pPr>
              <w:ind w:left="240" w:right="240"/>
              <w:jc w:val="center"/>
              <w:rPr>
                <w:rFonts w:ascii="Times New Roman" w:hAnsi="Times New Roman"/>
              </w:rPr>
            </w:pPr>
            <w:r>
              <w:rPr>
                <w:rFonts w:ascii="Times New Roman" w:hAnsi="Times New Roman"/>
              </w:rPr>
              <w:t>——</w:t>
            </w:r>
          </w:p>
        </w:tc>
        <w:tc>
          <w:tcPr>
            <w:tcW w:w="7195" w:type="dxa"/>
            <w:shd w:val="clear" w:color="auto" w:fill="auto"/>
          </w:tcPr>
          <w:p>
            <w:pPr>
              <w:pStyle w:val="189"/>
              <w:ind w:left="240" w:right="240"/>
            </w:pPr>
            <w:r>
              <w:t>功能系数，可取</w:t>
            </w:r>
            <w:r>
              <w:rPr>
                <w:rFonts w:hint="eastAsia"/>
              </w:rPr>
              <w:t>1.4</w:t>
            </w:r>
            <w:r>
              <w:rPr>
                <w:rFonts w:hint="eastAsia"/>
                <w:snapToGrid w:val="0"/>
              </w:rPr>
              <w:t>；</w:t>
            </w:r>
          </w:p>
        </w:tc>
      </w:tr>
      <w:tr>
        <w:tblPrEx>
          <w:tblCellMar>
            <w:top w:w="0" w:type="dxa"/>
            <w:left w:w="108" w:type="dxa"/>
            <w:bottom w:w="0" w:type="dxa"/>
            <w:right w:w="108" w:type="dxa"/>
          </w:tblCellMar>
        </w:tblPrEx>
        <w:tc>
          <w:tcPr>
            <w:tcW w:w="1134" w:type="dxa"/>
            <w:shd w:val="clear" w:color="auto" w:fill="auto"/>
          </w:tcPr>
          <w:p>
            <w:pPr>
              <w:ind w:left="240" w:right="240"/>
              <w:jc w:val="right"/>
              <w:rPr>
                <w:rFonts w:ascii="Times New Roman" w:hAnsi="Times New Roman"/>
                <w:bCs/>
              </w:rPr>
            </w:pPr>
            <m:oMathPara>
              <m:oMathParaPr>
                <m:jc m:val="right"/>
              </m:oMathParaPr>
              <m:oMath>
                <m:r>
                  <m:rPr/>
                  <w:rPr>
                    <w:rFonts w:ascii="Cambria Math" w:hAnsi="Cambria Math"/>
                  </w:rPr>
                  <m:t>η</m:t>
                </m:r>
              </m:oMath>
            </m:oMathPara>
          </w:p>
        </w:tc>
        <w:tc>
          <w:tcPr>
            <w:tcW w:w="851" w:type="dxa"/>
            <w:shd w:val="clear" w:color="auto" w:fill="auto"/>
          </w:tcPr>
          <w:p>
            <w:pPr>
              <w:ind w:left="240" w:right="240"/>
              <w:jc w:val="center"/>
              <w:rPr>
                <w:rFonts w:ascii="Times New Roman" w:hAnsi="Times New Roman"/>
              </w:rPr>
            </w:pPr>
            <w:r>
              <w:rPr>
                <w:rFonts w:ascii="Times New Roman" w:hAnsi="Times New Roman"/>
              </w:rPr>
              <w:t>——</w:t>
            </w:r>
          </w:p>
        </w:tc>
        <w:tc>
          <w:tcPr>
            <w:tcW w:w="7195" w:type="dxa"/>
            <w:shd w:val="clear" w:color="auto" w:fill="auto"/>
          </w:tcPr>
          <w:p>
            <w:pPr>
              <w:pStyle w:val="189"/>
              <w:ind w:left="240" w:right="240"/>
            </w:pPr>
            <w:r>
              <w:t>类别系数，可取</w:t>
            </w:r>
            <w:r>
              <w:rPr>
                <w:rFonts w:hint="eastAsia"/>
              </w:rPr>
              <w:t>0.9</w:t>
            </w:r>
            <w:r>
              <w:rPr>
                <w:rFonts w:hint="eastAsia"/>
                <w:snapToGrid w:val="0"/>
              </w:rPr>
              <w:t>；</w:t>
            </w:r>
          </w:p>
        </w:tc>
      </w:tr>
      <w:tr>
        <w:tblPrEx>
          <w:tblCellMar>
            <w:top w:w="0" w:type="dxa"/>
            <w:left w:w="108" w:type="dxa"/>
            <w:bottom w:w="0" w:type="dxa"/>
            <w:right w:w="108" w:type="dxa"/>
          </w:tblCellMar>
        </w:tblPrEx>
        <w:tc>
          <w:tcPr>
            <w:tcW w:w="1134" w:type="dxa"/>
            <w:shd w:val="clear" w:color="auto" w:fill="auto"/>
          </w:tcPr>
          <w:p>
            <w:pPr>
              <w:ind w:left="240" w:right="240"/>
              <w:jc w:val="right"/>
              <w:rPr>
                <w:rFonts w:ascii="Times New Roman" w:hAnsi="Times New Roman"/>
              </w:rPr>
            </w:pPr>
            <m:oMathPara>
              <m:oMathParaPr>
                <m:jc m:val="right"/>
              </m:oMathParaPr>
              <m:oMath>
                <m:sSub>
                  <m:sSubPr>
                    <m:ctrlPr>
                      <w:rPr>
                        <w:rFonts w:ascii="Cambria Math" w:hAnsi="Cambria Math"/>
                      </w:rPr>
                    </m:ctrlPr>
                  </m:sSubPr>
                  <m:e>
                    <m:r>
                      <m:rPr/>
                      <w:rPr>
                        <w:rFonts w:ascii="Cambria Math" w:hAnsi="Cambria Math"/>
                      </w:rPr>
                      <m:t>ξ</m:t>
                    </m:r>
                    <m:ctrlPr>
                      <w:rPr>
                        <w:rFonts w:ascii="Cambria Math" w:hAnsi="Cambria Math"/>
                      </w:rPr>
                    </m:ctrlPr>
                  </m:e>
                  <m:sub>
                    <m:r>
                      <m:rPr/>
                      <w:rPr>
                        <w:rFonts w:ascii="Cambria Math" w:hAnsi="Cambria Math"/>
                      </w:rPr>
                      <m:t>1</m:t>
                    </m:r>
                    <m:ctrlPr>
                      <w:rPr>
                        <w:rFonts w:ascii="Cambria Math" w:hAnsi="Cambria Math"/>
                      </w:rPr>
                    </m:ctrlPr>
                  </m:sub>
                </m:sSub>
              </m:oMath>
            </m:oMathPara>
          </w:p>
        </w:tc>
        <w:tc>
          <w:tcPr>
            <w:tcW w:w="851" w:type="dxa"/>
            <w:shd w:val="clear" w:color="auto" w:fill="auto"/>
          </w:tcPr>
          <w:p>
            <w:pPr>
              <w:ind w:left="240" w:right="240"/>
              <w:rPr>
                <w:rFonts w:ascii="Times New Roman" w:hAnsi="Times New Roman"/>
              </w:rPr>
            </w:pPr>
            <w:r>
              <w:rPr>
                <w:rFonts w:ascii="Times New Roman" w:hAnsi="Times New Roman"/>
              </w:rPr>
              <w:t>——</w:t>
            </w:r>
          </w:p>
        </w:tc>
        <w:tc>
          <w:tcPr>
            <w:tcW w:w="7195" w:type="dxa"/>
            <w:shd w:val="clear" w:color="auto" w:fill="auto"/>
          </w:tcPr>
          <w:p>
            <w:pPr>
              <w:pStyle w:val="189"/>
              <w:ind w:left="240" w:right="240"/>
            </w:pPr>
            <w:r>
              <w:t>状态系数，可取</w:t>
            </w:r>
            <w:r>
              <w:rPr>
                <w:rFonts w:hint="eastAsia"/>
              </w:rPr>
              <w:t>2.0；</w:t>
            </w:r>
          </w:p>
        </w:tc>
      </w:tr>
      <w:tr>
        <w:tblPrEx>
          <w:tblCellMar>
            <w:top w:w="0" w:type="dxa"/>
            <w:left w:w="108" w:type="dxa"/>
            <w:bottom w:w="0" w:type="dxa"/>
            <w:right w:w="108" w:type="dxa"/>
          </w:tblCellMar>
        </w:tblPrEx>
        <w:tc>
          <w:tcPr>
            <w:tcW w:w="1134" w:type="dxa"/>
            <w:shd w:val="clear" w:color="auto" w:fill="auto"/>
          </w:tcPr>
          <w:p>
            <w:pPr>
              <w:ind w:left="240" w:right="240"/>
              <w:jc w:val="right"/>
              <w:rPr>
                <w:rFonts w:ascii="Times New Roman" w:hAnsi="Times New Roman"/>
              </w:rPr>
            </w:pPr>
            <m:oMathPara>
              <m:oMathParaPr>
                <m:jc m:val="right"/>
              </m:oMathParaPr>
              <m:oMath>
                <m:sSub>
                  <m:sSubPr>
                    <m:ctrlPr>
                      <w:rPr>
                        <w:rFonts w:ascii="Cambria Math" w:hAnsi="Cambria Math"/>
                      </w:rPr>
                    </m:ctrlPr>
                  </m:sSubPr>
                  <m:e>
                    <m:r>
                      <m:rPr/>
                      <w:rPr>
                        <w:rFonts w:ascii="Cambria Math" w:hAnsi="Cambria Math"/>
                      </w:rPr>
                      <m:t>ξ</m:t>
                    </m:r>
                    <m:ctrlPr>
                      <w:rPr>
                        <w:rFonts w:ascii="Cambria Math" w:hAnsi="Cambria Math"/>
                      </w:rPr>
                    </m:ctrlPr>
                  </m:e>
                  <m:sub>
                    <m:r>
                      <m:rPr/>
                      <w:rPr>
                        <w:rFonts w:ascii="Cambria Math" w:hAnsi="Cambria Math"/>
                      </w:rPr>
                      <m:t>2</m:t>
                    </m:r>
                    <m:ctrlPr>
                      <w:rPr>
                        <w:rFonts w:ascii="Cambria Math" w:hAnsi="Cambria Math"/>
                      </w:rPr>
                    </m:ctrlPr>
                  </m:sub>
                </m:sSub>
              </m:oMath>
            </m:oMathPara>
          </w:p>
        </w:tc>
        <w:tc>
          <w:tcPr>
            <w:tcW w:w="851" w:type="dxa"/>
            <w:shd w:val="clear" w:color="auto" w:fill="auto"/>
          </w:tcPr>
          <w:p>
            <w:pPr>
              <w:ind w:left="240" w:right="240"/>
              <w:rPr>
                <w:rFonts w:ascii="Times New Roman" w:hAnsi="Times New Roman"/>
              </w:rPr>
            </w:pPr>
            <w:r>
              <w:rPr>
                <w:rFonts w:ascii="Times New Roman" w:hAnsi="Times New Roman"/>
              </w:rPr>
              <w:t>——</w:t>
            </w:r>
          </w:p>
        </w:tc>
        <w:tc>
          <w:tcPr>
            <w:tcW w:w="7195" w:type="dxa"/>
            <w:shd w:val="clear" w:color="auto" w:fill="auto"/>
          </w:tcPr>
          <w:p>
            <w:pPr>
              <w:pStyle w:val="189"/>
              <w:ind w:left="240" w:right="240"/>
            </w:pPr>
            <w:r>
              <w:t>位置系数，建筑的顶点宜取</w:t>
            </w:r>
            <w:r>
              <w:rPr>
                <w:rFonts w:hint="eastAsia"/>
              </w:rPr>
              <w:t>2.0，底部宜取1.0，沿高度线性分布；</w:t>
            </w:r>
          </w:p>
        </w:tc>
      </w:tr>
      <w:tr>
        <w:tblPrEx>
          <w:tblCellMar>
            <w:top w:w="0" w:type="dxa"/>
            <w:left w:w="108" w:type="dxa"/>
            <w:bottom w:w="0" w:type="dxa"/>
            <w:right w:w="108" w:type="dxa"/>
          </w:tblCellMar>
        </w:tblPrEx>
        <w:tc>
          <w:tcPr>
            <w:tcW w:w="1134" w:type="dxa"/>
            <w:shd w:val="clear" w:color="auto" w:fill="auto"/>
          </w:tcPr>
          <w:p>
            <w:pPr>
              <w:ind w:left="240" w:right="240"/>
              <w:rPr>
                <w:rFonts w:ascii="Times New Roman" w:hAnsi="Times New Roman"/>
              </w:rPr>
            </w:pPr>
            <m:oMathPara>
              <m:oMathParaPr>
                <m:jc m:val="right"/>
              </m:oMathParaPr>
              <m:oMath>
                <m:sSub>
                  <m:sSubPr>
                    <m:ctrlPr>
                      <w:rPr>
                        <w:rFonts w:ascii="Cambria Math" w:hAnsi="Cambria Math"/>
                      </w:rPr>
                    </m:ctrlPr>
                  </m:sSubPr>
                  <m:e>
                    <m:r>
                      <m:rPr/>
                      <w:rPr>
                        <w:rFonts w:ascii="Cambria Math" w:hAnsi="Cambria Math"/>
                      </w:rPr>
                      <m:t>α</m:t>
                    </m:r>
                    <m:ctrlPr>
                      <w:rPr>
                        <w:rFonts w:ascii="Cambria Math" w:hAnsi="Cambria Math"/>
                      </w:rPr>
                    </m:ctrlPr>
                  </m:e>
                  <m:sub>
                    <m:r>
                      <m:rPr>
                        <m:sty m:val="p"/>
                      </m:rPr>
                      <w:rPr>
                        <w:rFonts w:ascii="Cambria Math" w:hAnsi="Cambria Math"/>
                      </w:rPr>
                      <m:t>max</m:t>
                    </m:r>
                    <m:ctrlPr>
                      <w:rPr>
                        <w:rFonts w:ascii="Cambria Math" w:hAnsi="Cambria Math"/>
                      </w:rPr>
                    </m:ctrlPr>
                  </m:sub>
                </m:sSub>
              </m:oMath>
            </m:oMathPara>
          </w:p>
        </w:tc>
        <w:tc>
          <w:tcPr>
            <w:tcW w:w="851" w:type="dxa"/>
            <w:shd w:val="clear" w:color="auto" w:fill="auto"/>
          </w:tcPr>
          <w:p>
            <w:pPr>
              <w:ind w:left="240" w:right="240"/>
              <w:rPr>
                <w:rFonts w:ascii="Times New Roman" w:hAnsi="Times New Roman"/>
              </w:rPr>
            </w:pPr>
            <w:r>
              <w:rPr>
                <w:rFonts w:ascii="Times New Roman" w:hAnsi="Times New Roman"/>
              </w:rPr>
              <w:t>——</w:t>
            </w:r>
          </w:p>
        </w:tc>
        <w:tc>
          <w:tcPr>
            <w:tcW w:w="7195" w:type="dxa"/>
            <w:shd w:val="clear" w:color="auto" w:fill="auto"/>
          </w:tcPr>
          <w:p>
            <w:pPr>
              <w:pStyle w:val="189"/>
              <w:ind w:left="240" w:right="240"/>
            </w:pPr>
            <w:r>
              <w:rPr>
                <w:rFonts w:hint="eastAsia"/>
              </w:rPr>
              <w:t>水平地震影响系数最大值；</w:t>
            </w:r>
          </w:p>
        </w:tc>
      </w:tr>
      <w:tr>
        <w:tblPrEx>
          <w:tblCellMar>
            <w:top w:w="0" w:type="dxa"/>
            <w:left w:w="108" w:type="dxa"/>
            <w:bottom w:w="0" w:type="dxa"/>
            <w:right w:w="108" w:type="dxa"/>
          </w:tblCellMar>
        </w:tblPrEx>
        <w:tc>
          <w:tcPr>
            <w:tcW w:w="1134" w:type="dxa"/>
            <w:shd w:val="clear" w:color="auto" w:fill="auto"/>
          </w:tcPr>
          <w:p>
            <w:pPr>
              <w:ind w:left="240" w:right="240"/>
              <w:rPr>
                <w:rFonts w:ascii="Times New Roman" w:hAnsi="Times New Roman"/>
              </w:rPr>
            </w:pPr>
            <m:oMathPara>
              <m:oMathParaPr>
                <m:jc m:val="right"/>
              </m:oMathParaPr>
              <m:oMath>
                <m:sSub>
                  <m:sSubPr>
                    <m:ctrlPr>
                      <w:rPr>
                        <w:rFonts w:ascii="Cambria Math" w:hAnsi="Cambria Math"/>
                        <w:i/>
                      </w:rPr>
                    </m:ctrlPr>
                  </m:sSubPr>
                  <m:e>
                    <m:r>
                      <m:rPr/>
                      <w:rPr>
                        <w:rFonts w:ascii="Cambria Math" w:hAnsi="Cambria Math"/>
                      </w:rPr>
                      <m:t>G</m:t>
                    </m:r>
                    <m:ctrlPr>
                      <w:rPr>
                        <w:rFonts w:ascii="Cambria Math" w:hAnsi="Cambria Math"/>
                        <w:i/>
                      </w:rPr>
                    </m:ctrlPr>
                  </m:e>
                  <m:sub>
                    <m:r>
                      <m:rPr/>
                      <w:rPr>
                        <w:rFonts w:ascii="Cambria Math" w:hAnsi="Cambria Math"/>
                      </w:rPr>
                      <m:t>k</m:t>
                    </m:r>
                    <m:ctrlPr>
                      <w:rPr>
                        <w:rFonts w:ascii="Cambria Math" w:hAnsi="Cambria Math"/>
                        <w:i/>
                      </w:rPr>
                    </m:ctrlPr>
                  </m:sub>
                </m:sSub>
              </m:oMath>
            </m:oMathPara>
          </w:p>
        </w:tc>
        <w:tc>
          <w:tcPr>
            <w:tcW w:w="851" w:type="dxa"/>
            <w:shd w:val="clear" w:color="auto" w:fill="auto"/>
          </w:tcPr>
          <w:p>
            <w:pPr>
              <w:ind w:left="240" w:right="240"/>
              <w:rPr>
                <w:rFonts w:ascii="Times New Roman" w:hAnsi="Times New Roman"/>
              </w:rPr>
            </w:pPr>
            <w:r>
              <w:rPr>
                <w:rFonts w:ascii="Times New Roman" w:hAnsi="Times New Roman"/>
              </w:rPr>
              <w:t>——</w:t>
            </w:r>
          </w:p>
        </w:tc>
        <w:tc>
          <w:tcPr>
            <w:tcW w:w="7195" w:type="dxa"/>
            <w:shd w:val="clear" w:color="auto" w:fill="auto"/>
          </w:tcPr>
          <w:p>
            <w:pPr>
              <w:pStyle w:val="189"/>
              <w:ind w:left="240" w:right="240"/>
            </w:pPr>
            <w:r>
              <w:rPr>
                <w:rFonts w:hint="eastAsia"/>
              </w:rPr>
              <w:t>自重荷载标准值</w:t>
            </w:r>
            <w:r>
              <w:rPr>
                <w:rFonts w:hint="eastAsia"/>
                <w:lang w:eastAsia="zh-CN"/>
              </w:rPr>
              <w:t>（</w:t>
            </w:r>
            <w:r>
              <w:rPr>
                <w:rFonts w:hint="eastAsia"/>
              </w:rPr>
              <w:t>kN)。</w:t>
            </w:r>
          </w:p>
        </w:tc>
      </w:tr>
    </w:tbl>
    <w:p>
      <w:pPr>
        <w:pStyle w:val="194"/>
        <w:ind w:left="240" w:right="240"/>
        <w:rPr>
          <w:rFonts w:ascii="Times New Roman" w:hAnsi="Times New Roman"/>
        </w:rPr>
      </w:pPr>
      <w:r>
        <w:rPr>
          <w:rFonts w:hint="eastAsia" w:ascii="Times New Roman" w:hAnsi="Times New Roman"/>
          <w:color w:val="000000" w:themeColor="text1"/>
          <w14:textFill>
            <w14:solidFill>
              <w14:schemeClr w14:val="tx1"/>
            </w14:solidFill>
          </w14:textFill>
        </w:rPr>
        <w:t>条文说明：本条</w:t>
      </w:r>
      <w:r>
        <w:rPr>
          <w:rFonts w:hint="eastAsia" w:ascii="Times New Roman" w:hAnsi="Times New Roman"/>
        </w:rPr>
        <w:t>参照《建筑抗震设计规范》</w:t>
      </w:r>
      <w:r>
        <w:rPr>
          <w:rFonts w:ascii="Times New Roman" w:hAnsi="Times New Roman"/>
        </w:rPr>
        <w:t>GB 50011-2010(2016</w:t>
      </w:r>
      <w:r>
        <w:rPr>
          <w:rFonts w:hint="eastAsia" w:ascii="Times New Roman" w:hAnsi="Times New Roman"/>
        </w:rPr>
        <w:t>年版</w:t>
      </w:r>
      <w:r>
        <w:rPr>
          <w:rFonts w:hint="eastAsia" w:ascii="Times New Roman" w:hAnsi="Times New Roman"/>
          <w:lang w:eastAsia="zh-CN"/>
        </w:rPr>
        <w:t>）</w:t>
      </w:r>
      <w:r>
        <w:rPr>
          <w:rFonts w:hint="eastAsia" w:ascii="Times New Roman" w:hAnsi="Times New Roman"/>
        </w:rPr>
        <w:t>第</w:t>
      </w:r>
      <w:r>
        <w:rPr>
          <w:rFonts w:ascii="Times New Roman" w:hAnsi="Times New Roman"/>
        </w:rPr>
        <w:t>13.2</w:t>
      </w:r>
      <w:r>
        <w:rPr>
          <w:rFonts w:hint="eastAsia" w:ascii="Times New Roman" w:hAnsi="Times New Roman"/>
        </w:rPr>
        <w:t>节内容，考虑幕墙结构在建筑不同高度位置的影响，计算得到的地震作用标准值约为按</w:t>
      </w:r>
      <w:r>
        <w:rPr>
          <w:rFonts w:ascii="Times New Roman" w:hAnsi="Times New Roman"/>
        </w:rPr>
        <w:t>4.2.7</w:t>
      </w:r>
      <w:r>
        <w:rPr>
          <w:rFonts w:hint="eastAsia" w:ascii="Times New Roman" w:hAnsi="Times New Roman"/>
        </w:rPr>
        <w:t>条计算</w:t>
      </w:r>
      <w:r>
        <w:rPr>
          <w:rFonts w:ascii="Times New Roman" w:hAnsi="Times New Roman" w:cs="Times New Roman"/>
        </w:rPr>
        <w:t>值的0.5~1倍</w:t>
      </w:r>
      <w:r>
        <w:rPr>
          <w:rFonts w:hint="eastAsia" w:ascii="Times New Roman" w:hAnsi="Times New Roman"/>
        </w:rPr>
        <w:t>。</w:t>
      </w:r>
    </w:p>
    <w:bookmarkEnd w:id="22"/>
    <w:bookmarkEnd w:id="23"/>
    <w:p>
      <w:pPr>
        <w:pStyle w:val="198"/>
        <w:rPr>
          <w:rFonts w:ascii="Times New Roman" w:hAnsi="Times New Roman"/>
        </w:rPr>
      </w:pPr>
      <w:bookmarkStart w:id="36" w:name="_Toc162996213"/>
      <w:r>
        <w:rPr>
          <w:rFonts w:ascii="Times New Roman" w:hAnsi="Times New Roman"/>
        </w:rPr>
        <w:t xml:space="preserve">4.5 </w:t>
      </w:r>
      <w:r>
        <w:rPr>
          <w:rFonts w:hint="eastAsia" w:ascii="Times New Roman" w:hAnsi="Times New Roman"/>
        </w:rPr>
        <w:t>有限元数值分析</w:t>
      </w:r>
      <w:bookmarkEnd w:id="36"/>
    </w:p>
    <w:p>
      <w:pPr>
        <w:pStyle w:val="200"/>
        <w:rPr>
          <w:b/>
        </w:rPr>
      </w:pPr>
      <w:r>
        <w:rPr>
          <w:rFonts w:hint="eastAsia"/>
          <w:b/>
        </w:rPr>
        <w:t>4</w:t>
      </w:r>
      <w:r>
        <w:rPr>
          <w:b/>
        </w:rPr>
        <w:t>.</w:t>
      </w:r>
      <w:r>
        <w:rPr>
          <w:rFonts w:hint="eastAsia"/>
          <w:b/>
        </w:rPr>
        <w:t>5</w:t>
      </w:r>
      <w:r>
        <w:rPr>
          <w:b/>
        </w:rPr>
        <w:t>.1</w:t>
      </w:r>
      <w:r>
        <w:t xml:space="preserve"> 几何模型建立</w:t>
      </w:r>
      <w:r>
        <w:rPr>
          <w:rFonts w:hint="eastAsia"/>
        </w:rPr>
        <w:t>原则应符合下列规定：</w:t>
      </w:r>
    </w:p>
    <w:p>
      <w:pPr>
        <w:pStyle w:val="188"/>
        <w:ind w:firstLine="480"/>
      </w:pPr>
      <w:r>
        <w:t>1 结构分析采用的基本假定和计算模型应能合理描述所考虑的极限状态下的结构反应；</w:t>
      </w:r>
    </w:p>
    <w:p>
      <w:pPr>
        <w:pStyle w:val="188"/>
        <w:ind w:firstLine="480"/>
      </w:pPr>
      <w:r>
        <w:t>2 根据结构的</w:t>
      </w:r>
      <w:r>
        <w:rPr>
          <w:rFonts w:hint="eastAsia"/>
        </w:rPr>
        <w:t>实际受载</w:t>
      </w:r>
      <w:r>
        <w:t>情况进行结构</w:t>
      </w:r>
      <w:r>
        <w:rPr>
          <w:rFonts w:hint="eastAsia"/>
        </w:rPr>
        <w:t>模型</w:t>
      </w:r>
      <w:r>
        <w:t>简化，去掉非必要部分后，可采用三维计算模型进行结构分析，关键</w:t>
      </w:r>
      <w:r>
        <w:rPr>
          <w:rFonts w:hint="eastAsia"/>
        </w:rPr>
        <w:t>复杂的</w:t>
      </w:r>
      <w:r>
        <w:t>结构连接件</w:t>
      </w:r>
      <w:r>
        <w:rPr>
          <w:rFonts w:hint="eastAsia"/>
        </w:rPr>
        <w:t>、</w:t>
      </w:r>
      <w:r>
        <w:t>转接件应采用有限元分析；</w:t>
      </w:r>
    </w:p>
    <w:p>
      <w:pPr>
        <w:pStyle w:val="188"/>
        <w:ind w:firstLine="480"/>
      </w:pPr>
      <w:r>
        <w:t>3 结构分析</w:t>
      </w:r>
      <w:r>
        <w:rPr>
          <w:rFonts w:hint="eastAsia"/>
        </w:rPr>
        <w:t>对</w:t>
      </w:r>
      <w:r>
        <w:t>幕墙结构、</w:t>
      </w:r>
      <w:r>
        <w:rPr>
          <w:rFonts w:hint="eastAsia"/>
        </w:rPr>
        <w:t>幕墙构件</w:t>
      </w:r>
      <w:r>
        <w:t>、</w:t>
      </w:r>
      <w:r>
        <w:rPr>
          <w:rFonts w:hint="eastAsia"/>
        </w:rPr>
        <w:t>幕墙</w:t>
      </w:r>
      <w:r>
        <w:t>构件之间的连接</w:t>
      </w:r>
      <w:r>
        <w:rPr>
          <w:rFonts w:hint="eastAsia"/>
        </w:rPr>
        <w:t>形式、幕墙</w:t>
      </w:r>
      <w:r>
        <w:t>构件的</w:t>
      </w:r>
      <w:r>
        <w:rPr>
          <w:rFonts w:hint="eastAsia"/>
        </w:rPr>
        <w:t>支座</w:t>
      </w:r>
      <w:r>
        <w:t>形式</w:t>
      </w:r>
      <w:r>
        <w:rPr>
          <w:rFonts w:hint="eastAsia"/>
        </w:rPr>
        <w:t>等</w:t>
      </w:r>
      <w:r>
        <w:t>所采用的各种简化</w:t>
      </w:r>
      <w:r>
        <w:rPr>
          <w:rFonts w:hint="eastAsia"/>
        </w:rPr>
        <w:t>和力学假定</w:t>
      </w:r>
      <w:r>
        <w:t>，应</w:t>
      </w:r>
      <w:r>
        <w:rPr>
          <w:rFonts w:hint="eastAsia"/>
        </w:rPr>
        <w:t>和</w:t>
      </w:r>
      <w:r>
        <w:t>设计图纸一致。</w:t>
      </w:r>
    </w:p>
    <w:p>
      <w:pPr>
        <w:pStyle w:val="188"/>
        <w:ind w:firstLine="480"/>
      </w:pPr>
      <w:r>
        <w:t>4 结构分析所采用的各种简化或</w:t>
      </w:r>
      <w:r>
        <w:rPr>
          <w:rFonts w:hint="eastAsia"/>
        </w:rPr>
        <w:t>力学假定</w:t>
      </w:r>
      <w:r>
        <w:t>，应具有理论或试验依据，或经工程验证可行。</w:t>
      </w:r>
    </w:p>
    <w:p>
      <w:pPr>
        <w:pStyle w:val="188"/>
        <w:ind w:firstLine="480"/>
      </w:pPr>
      <w:r>
        <w:rPr>
          <w:rFonts w:ascii="Times New Roman" w:hAnsi="Times New Roman"/>
        </w:rPr>
        <w:t>5</w:t>
      </w:r>
      <w:r>
        <w:rPr>
          <w:rFonts w:hint="eastAsia" w:ascii="Times New Roman" w:hAnsi="Times New Roman"/>
        </w:rPr>
        <w:t>应根据</w:t>
      </w:r>
      <w:r>
        <w:rPr>
          <w:rFonts w:ascii="Times New Roman" w:hAnsi="Times New Roman"/>
        </w:rPr>
        <w:t>实际情况，定义幕墙结构中各种材料的力学参数，如弹性模量、泊松比、</w:t>
      </w:r>
      <w:r>
        <w:rPr>
          <w:rFonts w:hint="eastAsia" w:ascii="Times New Roman" w:hAnsi="Times New Roman"/>
        </w:rPr>
        <w:t>热膨胀系数</w:t>
      </w:r>
      <w:r>
        <w:rPr>
          <w:rFonts w:ascii="Times New Roman" w:hAnsi="Times New Roman"/>
        </w:rPr>
        <w:t>等。</w:t>
      </w:r>
    </w:p>
    <w:p>
      <w:pPr>
        <w:pStyle w:val="120"/>
        <w:rPr>
          <w:rFonts w:ascii="Times New Roman" w:hAnsi="Times New Roman"/>
        </w:rPr>
      </w:pPr>
      <w:r>
        <w:rPr>
          <w:rFonts w:hint="eastAsia" w:ascii="Times New Roman" w:hAnsi="Times New Roman"/>
        </w:rPr>
        <w:t>条文说明：</w:t>
      </w:r>
      <w:r>
        <w:rPr>
          <w:rFonts w:ascii="Times New Roman" w:hAnsi="Times New Roman"/>
        </w:rPr>
        <w:t xml:space="preserve">4.6.1 </w:t>
      </w:r>
      <w:r>
        <w:rPr>
          <w:rFonts w:hint="eastAsia" w:ascii="Times New Roman" w:hAnsi="Times New Roman"/>
        </w:rPr>
        <w:t>在</w:t>
      </w:r>
      <w:r>
        <w:rPr>
          <w:rFonts w:ascii="Times New Roman" w:hAnsi="Times New Roman"/>
        </w:rPr>
        <w:t>幕墙</w:t>
      </w:r>
      <w:r>
        <w:rPr>
          <w:rFonts w:hint="eastAsia" w:ascii="Times New Roman" w:hAnsi="Times New Roman"/>
        </w:rPr>
        <w:t>项目</w:t>
      </w:r>
      <w:r>
        <w:rPr>
          <w:rFonts w:ascii="Times New Roman" w:hAnsi="Times New Roman"/>
        </w:rPr>
        <w:t>的设计工作</w:t>
      </w:r>
      <w:r>
        <w:rPr>
          <w:rFonts w:hint="eastAsia" w:ascii="Times New Roman" w:hAnsi="Times New Roman"/>
        </w:rPr>
        <w:t>中</w:t>
      </w:r>
      <w:r>
        <w:rPr>
          <w:rFonts w:ascii="Times New Roman" w:hAnsi="Times New Roman"/>
        </w:rPr>
        <w:t>，</w:t>
      </w:r>
      <w:r>
        <w:rPr>
          <w:rFonts w:hint="eastAsia" w:ascii="Times New Roman" w:hAnsi="Times New Roman"/>
        </w:rPr>
        <w:t>容易</w:t>
      </w:r>
      <w:r>
        <w:rPr>
          <w:rFonts w:ascii="Times New Roman" w:hAnsi="Times New Roman"/>
        </w:rPr>
        <w:t>出现</w:t>
      </w:r>
      <w:r>
        <w:rPr>
          <w:rFonts w:hint="eastAsia" w:ascii="Times New Roman" w:hAnsi="Times New Roman"/>
        </w:rPr>
        <w:t>幕墙</w:t>
      </w:r>
      <w:r>
        <w:rPr>
          <w:rFonts w:ascii="Times New Roman" w:hAnsi="Times New Roman"/>
        </w:rPr>
        <w:t>结构设计</w:t>
      </w:r>
      <w:r>
        <w:rPr>
          <w:rFonts w:hint="eastAsia" w:ascii="Times New Roman" w:hAnsi="Times New Roman"/>
        </w:rPr>
        <w:t>工作</w:t>
      </w:r>
      <w:r>
        <w:rPr>
          <w:rFonts w:ascii="Times New Roman" w:hAnsi="Times New Roman"/>
        </w:rPr>
        <w:t>和</w:t>
      </w:r>
      <w:r>
        <w:rPr>
          <w:rFonts w:hint="eastAsia" w:ascii="Times New Roman" w:hAnsi="Times New Roman"/>
        </w:rPr>
        <w:t>幕墙</w:t>
      </w:r>
      <w:r>
        <w:rPr>
          <w:rFonts w:ascii="Times New Roman" w:hAnsi="Times New Roman"/>
        </w:rPr>
        <w:t>图纸设计</w:t>
      </w:r>
      <w:r>
        <w:rPr>
          <w:rFonts w:hint="eastAsia" w:ascii="Times New Roman" w:hAnsi="Times New Roman"/>
        </w:rPr>
        <w:t>工作</w:t>
      </w:r>
      <w:r>
        <w:rPr>
          <w:rFonts w:ascii="Times New Roman" w:hAnsi="Times New Roman"/>
        </w:rPr>
        <w:t>是</w:t>
      </w:r>
      <w:r>
        <w:rPr>
          <w:rFonts w:hint="eastAsia" w:ascii="Times New Roman" w:hAnsi="Times New Roman"/>
        </w:rPr>
        <w:t>由</w:t>
      </w:r>
      <w:r>
        <w:rPr>
          <w:rFonts w:ascii="Times New Roman" w:hAnsi="Times New Roman"/>
        </w:rPr>
        <w:t>不同的人员</w:t>
      </w:r>
      <w:r>
        <w:rPr>
          <w:rFonts w:hint="eastAsia" w:ascii="Times New Roman" w:hAnsi="Times New Roman"/>
        </w:rPr>
        <w:t>来</w:t>
      </w:r>
      <w:r>
        <w:rPr>
          <w:rFonts w:ascii="Times New Roman" w:hAnsi="Times New Roman"/>
        </w:rPr>
        <w:t>完成</w:t>
      </w:r>
      <w:r>
        <w:rPr>
          <w:rFonts w:hint="eastAsia" w:ascii="Times New Roman" w:hAnsi="Times New Roman"/>
        </w:rPr>
        <w:t>，</w:t>
      </w:r>
      <w:r>
        <w:rPr>
          <w:rFonts w:ascii="Times New Roman" w:hAnsi="Times New Roman"/>
        </w:rPr>
        <w:t>为</w:t>
      </w:r>
      <w:r>
        <w:rPr>
          <w:rFonts w:hint="eastAsia" w:ascii="Times New Roman" w:hAnsi="Times New Roman"/>
        </w:rPr>
        <w:t>了保证幕墙</w:t>
      </w:r>
      <w:r>
        <w:rPr>
          <w:rFonts w:ascii="Times New Roman" w:hAnsi="Times New Roman"/>
        </w:rPr>
        <w:t>设计图纸和幕墙结构</w:t>
      </w:r>
      <w:r>
        <w:rPr>
          <w:rFonts w:hint="eastAsia" w:ascii="Times New Roman" w:hAnsi="Times New Roman"/>
        </w:rPr>
        <w:t>分析模型</w:t>
      </w:r>
      <w:r>
        <w:rPr>
          <w:rFonts w:ascii="Times New Roman" w:hAnsi="Times New Roman"/>
        </w:rPr>
        <w:t>的</w:t>
      </w:r>
      <w:r>
        <w:rPr>
          <w:rFonts w:hint="eastAsia" w:ascii="Times New Roman" w:hAnsi="Times New Roman"/>
        </w:rPr>
        <w:t>一致性</w:t>
      </w:r>
      <w:r>
        <w:rPr>
          <w:rFonts w:ascii="Times New Roman" w:hAnsi="Times New Roman"/>
        </w:rPr>
        <w:t>，</w:t>
      </w:r>
      <w:r>
        <w:rPr>
          <w:rFonts w:hint="eastAsia" w:ascii="Times New Roman" w:hAnsi="Times New Roman"/>
        </w:rPr>
        <w:t>充分</w:t>
      </w:r>
      <w:r>
        <w:rPr>
          <w:rFonts w:ascii="Times New Roman" w:hAnsi="Times New Roman"/>
        </w:rPr>
        <w:t>保证幕墙结构安全，正文提出了</w:t>
      </w:r>
      <w:r>
        <w:rPr>
          <w:rFonts w:hint="eastAsia" w:ascii="Times New Roman" w:hAnsi="Times New Roman"/>
        </w:rPr>
        <w:t>结构</w:t>
      </w:r>
      <w:r>
        <w:rPr>
          <w:rFonts w:ascii="Times New Roman" w:hAnsi="Times New Roman"/>
        </w:rPr>
        <w:t>分析的各种简化</w:t>
      </w:r>
      <w:r>
        <w:rPr>
          <w:rFonts w:hint="eastAsia" w:ascii="Times New Roman" w:hAnsi="Times New Roman"/>
        </w:rPr>
        <w:t>和力学假定</w:t>
      </w:r>
      <w:r>
        <w:rPr>
          <w:rFonts w:ascii="Times New Roman" w:hAnsi="Times New Roman"/>
        </w:rPr>
        <w:t>，应</w:t>
      </w:r>
      <w:r>
        <w:rPr>
          <w:rFonts w:hint="eastAsia" w:ascii="Times New Roman" w:hAnsi="Times New Roman"/>
        </w:rPr>
        <w:t>和</w:t>
      </w:r>
      <w:r>
        <w:rPr>
          <w:rFonts w:ascii="Times New Roman" w:hAnsi="Times New Roman"/>
        </w:rPr>
        <w:t>设计图纸一致。</w:t>
      </w:r>
    </w:p>
    <w:p>
      <w:pPr>
        <w:pStyle w:val="200"/>
        <w:rPr>
          <w:b/>
        </w:rPr>
      </w:pPr>
      <w:r>
        <w:rPr>
          <w:rFonts w:hint="eastAsia"/>
          <w:b/>
        </w:rPr>
        <w:t>4</w:t>
      </w:r>
      <w:r>
        <w:rPr>
          <w:b/>
        </w:rPr>
        <w:t>.</w:t>
      </w:r>
      <w:r>
        <w:rPr>
          <w:rFonts w:hint="eastAsia"/>
          <w:b/>
        </w:rPr>
        <w:t>5</w:t>
      </w:r>
      <w:r>
        <w:rPr>
          <w:b/>
        </w:rPr>
        <w:t>.2</w:t>
      </w:r>
      <w:r>
        <w:t xml:space="preserve"> 有限元网格划分</w:t>
      </w:r>
      <w:r>
        <w:rPr>
          <w:rFonts w:hint="eastAsia"/>
        </w:rPr>
        <w:t>原则应符合下列规定：</w:t>
      </w:r>
    </w:p>
    <w:p>
      <w:pPr>
        <w:pStyle w:val="188"/>
        <w:ind w:firstLine="480"/>
      </w:pPr>
      <w:r>
        <w:rPr>
          <w:rFonts w:hint="eastAsia"/>
        </w:rPr>
        <w:t xml:space="preserve">1 </w:t>
      </w:r>
      <w:r>
        <w:t>单元类型选择应根据结构型式合理选择单元类型，</w:t>
      </w:r>
      <w:r>
        <w:rPr>
          <w:rFonts w:hint="eastAsia"/>
        </w:rPr>
        <w:t>杆件宜采用梁单元，预应力拉杆</w:t>
      </w:r>
      <w:r>
        <w:t>结构</w:t>
      </w:r>
      <w:r>
        <w:rPr>
          <w:rFonts w:hint="eastAsia"/>
        </w:rPr>
        <w:t>宜采用杆单元</w:t>
      </w:r>
      <w:r>
        <w:t>，</w:t>
      </w:r>
      <w:r>
        <w:rPr>
          <w:rFonts w:hint="eastAsia"/>
        </w:rPr>
        <w:t>预应力索</w:t>
      </w:r>
      <w:r>
        <w:t>结构</w:t>
      </w:r>
      <w:r>
        <w:rPr>
          <w:rFonts w:hint="eastAsia"/>
        </w:rPr>
        <w:t>宜采用索单元</w:t>
      </w:r>
      <w:r>
        <w:t>，</w:t>
      </w:r>
      <w:r>
        <w:rPr>
          <w:rFonts w:hint="eastAsia"/>
        </w:rPr>
        <w:t>面板宜采用壳单元、实体</w:t>
      </w:r>
      <w:r>
        <w:t>单元，</w:t>
      </w:r>
      <w:r>
        <w:rPr>
          <w:rFonts w:hint="eastAsia"/>
        </w:rPr>
        <w:t>复杂连接</w:t>
      </w:r>
      <w:r>
        <w:t>件、转接件</w:t>
      </w:r>
      <w:r>
        <w:rPr>
          <w:rFonts w:hint="eastAsia"/>
        </w:rPr>
        <w:t>宜采用实体</w:t>
      </w:r>
      <w:r>
        <w:t>单元；</w:t>
      </w:r>
    </w:p>
    <w:p>
      <w:pPr>
        <w:pStyle w:val="188"/>
        <w:ind w:firstLine="480"/>
      </w:pPr>
      <w:r>
        <w:t>2</w:t>
      </w:r>
      <w:r>
        <w:rPr>
          <w:rFonts w:hint="eastAsia"/>
        </w:rPr>
        <w:t xml:space="preserve"> </w:t>
      </w:r>
      <w:r>
        <w:t>单元阶次选择</w:t>
      </w:r>
      <w:r>
        <w:rPr>
          <w:rFonts w:hint="eastAsia"/>
        </w:rPr>
        <w:t>，</w:t>
      </w:r>
      <w:r>
        <w:t>结构形状不规则、变形和应力分布复杂时宜选用高阶单元；计算精度要求高的区域宜选用高阶单元，精度要求低的可选用低阶单元；不同阶次单元的连接位置应使用过渡单元或多点约束等；</w:t>
      </w:r>
    </w:p>
    <w:p>
      <w:pPr>
        <w:pStyle w:val="188"/>
        <w:ind w:firstLine="480"/>
      </w:pPr>
      <w:r>
        <w:t>3幕墙结构的网格剖分应考虑结构的几何形态、受力状态</w:t>
      </w:r>
      <w:r>
        <w:rPr>
          <w:rFonts w:hint="eastAsia"/>
        </w:rPr>
        <w:t>、</w:t>
      </w:r>
      <w:r>
        <w:t>材料特性</w:t>
      </w:r>
      <w:r>
        <w:rPr>
          <w:rFonts w:hint="eastAsia"/>
        </w:rPr>
        <w:t>和</w:t>
      </w:r>
      <w:r>
        <w:t>单元类型等因素，保证计算精度。在结构</w:t>
      </w:r>
      <w:r>
        <w:rPr>
          <w:rFonts w:hint="eastAsia"/>
        </w:rPr>
        <w:t>形态</w:t>
      </w:r>
      <w:r>
        <w:t>变化大、曲面曲率变化大、荷载变化大</w:t>
      </w:r>
      <w:r>
        <w:rPr>
          <w:rFonts w:hint="eastAsia"/>
        </w:rPr>
        <w:t>、</w:t>
      </w:r>
      <w:r>
        <w:t>不同材料连接部位</w:t>
      </w:r>
      <w:r>
        <w:rPr>
          <w:rFonts w:hint="eastAsia"/>
        </w:rPr>
        <w:t>和</w:t>
      </w:r>
      <w:r>
        <w:t>局部复杂部位应适当</w:t>
      </w:r>
      <w:r>
        <w:rPr>
          <w:rFonts w:hint="eastAsia"/>
        </w:rPr>
        <w:t>细化网格</w:t>
      </w:r>
      <w:r>
        <w:t>，以提高计算精度。</w:t>
      </w:r>
    </w:p>
    <w:p>
      <w:pPr>
        <w:pStyle w:val="188"/>
        <w:ind w:firstLine="480"/>
      </w:pPr>
      <w:r>
        <w:t>4单元尺寸过渡</w:t>
      </w:r>
      <w:r>
        <w:rPr>
          <w:rFonts w:hint="eastAsia"/>
        </w:rPr>
        <w:t>宜</w:t>
      </w:r>
      <w:r>
        <w:t>平滑，粗细网格之间应有足够的单元进行过渡，避免相邻单元的质量和刚度差别太大；主要承载力方向的单元尺寸应较小，垂直于该方向的单元在满足</w:t>
      </w:r>
      <w:r>
        <w:rPr>
          <w:rFonts w:hint="eastAsia"/>
        </w:rPr>
        <w:t>网格</w:t>
      </w:r>
      <w:r>
        <w:t>质量要求时可以将尺寸稍作放大；</w:t>
      </w:r>
    </w:p>
    <w:p>
      <w:pPr>
        <w:pStyle w:val="188"/>
        <w:ind w:firstLine="480"/>
      </w:pPr>
      <w:r>
        <w:t>5</w:t>
      </w:r>
      <w:r>
        <w:rPr>
          <w:rFonts w:hint="eastAsia"/>
        </w:rPr>
        <w:t xml:space="preserve"> </w:t>
      </w:r>
      <w:r>
        <w:t>应保留主要的几何轮廓线，网格应与几何轮廓保持基本一致；对于实体单元网格，在结构厚度方向上</w:t>
      </w:r>
      <w:r>
        <w:rPr>
          <w:rFonts w:hint="eastAsia"/>
        </w:rPr>
        <w:t>宜</w:t>
      </w:r>
      <w:r>
        <w:t>三层以上；对称结构宜采用对称网格</w:t>
      </w:r>
      <w:r>
        <w:rPr>
          <w:rFonts w:hint="eastAsia"/>
        </w:rPr>
        <w:t>；</w:t>
      </w:r>
    </w:p>
    <w:p>
      <w:pPr>
        <w:pStyle w:val="188"/>
        <w:ind w:firstLine="480"/>
      </w:pPr>
      <w:r>
        <w:t>6</w:t>
      </w:r>
      <w:r>
        <w:rPr>
          <w:rFonts w:hint="eastAsia"/>
        </w:rPr>
        <w:t xml:space="preserve"> </w:t>
      </w:r>
      <w:r>
        <w:t>二维和三维有限元模型混合建模时，应保证不同单元类型网格交界处，单元节点重合，并确保交界处远离模型分析核心区域。</w:t>
      </w:r>
    </w:p>
    <w:p>
      <w:pPr>
        <w:pStyle w:val="200"/>
      </w:pPr>
      <w:r>
        <w:rPr>
          <w:rFonts w:hint="eastAsia"/>
          <w:b/>
        </w:rPr>
        <w:t>4</w:t>
      </w:r>
      <w:r>
        <w:rPr>
          <w:b/>
        </w:rPr>
        <w:t>.</w:t>
      </w:r>
      <w:r>
        <w:rPr>
          <w:rFonts w:hint="eastAsia"/>
          <w:b/>
        </w:rPr>
        <w:t>5</w:t>
      </w:r>
      <w:r>
        <w:rPr>
          <w:b/>
        </w:rPr>
        <w:t>.3</w:t>
      </w:r>
      <w:r>
        <w:t xml:space="preserve"> 边界条件设定</w:t>
      </w:r>
      <w:r>
        <w:rPr>
          <w:rFonts w:hint="eastAsia"/>
        </w:rPr>
        <w:t>原则应符合下列规定：</w:t>
      </w:r>
    </w:p>
    <w:p>
      <w:pPr>
        <w:pStyle w:val="188"/>
        <w:ind w:firstLine="482"/>
      </w:pPr>
      <w:r>
        <w:rPr>
          <w:rFonts w:hint="eastAsia"/>
          <w:b/>
        </w:rPr>
        <w:t>1</w:t>
      </w:r>
      <w:r>
        <w:rPr>
          <w:rFonts w:hint="eastAsia"/>
        </w:rPr>
        <w:t xml:space="preserve"> </w:t>
      </w:r>
      <w:r>
        <w:t>有限元模型约束施加应符合实际安装条件</w:t>
      </w:r>
      <w:r>
        <w:rPr>
          <w:rFonts w:hint="eastAsia"/>
        </w:rPr>
        <w:t>，</w:t>
      </w:r>
      <w:r>
        <w:t>构件之间</w:t>
      </w:r>
      <w:r>
        <w:rPr>
          <w:rFonts w:hint="eastAsia"/>
        </w:rPr>
        <w:t>连接</w:t>
      </w:r>
      <w:r>
        <w:t>的力学假定、构件支座的自由度假定，</w:t>
      </w:r>
      <w:r>
        <w:rPr>
          <w:rFonts w:hint="eastAsia"/>
        </w:rPr>
        <w:t>应</w:t>
      </w:r>
      <w:r>
        <w:t>与实际安装</w:t>
      </w:r>
      <w:r>
        <w:rPr>
          <w:rFonts w:hint="eastAsia"/>
        </w:rPr>
        <w:t>条件</w:t>
      </w:r>
      <w:r>
        <w:t>和设计图纸</w:t>
      </w:r>
      <w:r>
        <w:rPr>
          <w:rFonts w:hint="eastAsia"/>
        </w:rPr>
        <w:t>相符</w:t>
      </w:r>
      <w:r>
        <w:t>。</w:t>
      </w:r>
    </w:p>
    <w:p>
      <w:pPr>
        <w:pStyle w:val="188"/>
        <w:ind w:firstLine="482"/>
      </w:pPr>
      <w:r>
        <w:rPr>
          <w:b/>
        </w:rPr>
        <w:t>2</w:t>
      </w:r>
      <w:r>
        <w:rPr>
          <w:rFonts w:hint="eastAsia"/>
        </w:rPr>
        <w:t xml:space="preserve"> 应</w:t>
      </w:r>
      <w:r>
        <w:t>根据约束类型选择施加方式</w:t>
      </w:r>
      <w:r>
        <w:rPr>
          <w:rFonts w:hint="eastAsia"/>
        </w:rPr>
        <w:t>，</w:t>
      </w:r>
      <w:r>
        <w:t>固定支座应选择全部自由度约束；铰支座应选择平动自由度约束；</w:t>
      </w:r>
      <w:r>
        <w:rPr>
          <w:rFonts w:hint="eastAsia"/>
        </w:rPr>
        <w:t>对称结构应选择对称或反对称约束；</w:t>
      </w:r>
    </w:p>
    <w:p>
      <w:pPr>
        <w:pStyle w:val="188"/>
        <w:ind w:firstLine="482"/>
      </w:pPr>
      <w:r>
        <w:rPr>
          <w:rFonts w:hint="eastAsia"/>
          <w:b/>
        </w:rPr>
        <w:t>3</w:t>
      </w:r>
      <w:r>
        <w:t>约束区域应能准确反映实际约束情况，应避免单点约束，以防应力集中；</w:t>
      </w:r>
    </w:p>
    <w:p>
      <w:pPr>
        <w:pStyle w:val="188"/>
        <w:ind w:firstLine="480"/>
      </w:pPr>
      <w:r>
        <w:t>4若实际约束区域小于一个单元时，应</w:t>
      </w:r>
      <w:r>
        <w:rPr>
          <w:rFonts w:hint="eastAsia"/>
        </w:rPr>
        <w:t>局部</w:t>
      </w:r>
      <w:r>
        <w:t>细化网格。</w:t>
      </w:r>
    </w:p>
    <w:p>
      <w:pPr>
        <w:pStyle w:val="188"/>
        <w:ind w:firstLine="480"/>
      </w:pPr>
      <w:r>
        <w:t>5</w:t>
      </w:r>
      <w:r>
        <w:rPr>
          <w:rFonts w:hint="eastAsia"/>
        </w:rPr>
        <w:t>对于边界非线性的情况如</w:t>
      </w:r>
      <w:r>
        <w:t>支承条件的变化、接触和摩擦、非均匀约束</w:t>
      </w:r>
      <w:r>
        <w:rPr>
          <w:rFonts w:hint="eastAsia"/>
        </w:rPr>
        <w:t>、</w:t>
      </w:r>
      <w:r>
        <w:t>阻尼弹簧等，</w:t>
      </w:r>
      <w:r>
        <w:rPr>
          <w:rFonts w:hint="eastAsia"/>
        </w:rPr>
        <w:t>应在有限元分析时选择</w:t>
      </w:r>
      <w:r>
        <w:t>正确的单元类型</w:t>
      </w:r>
      <w:r>
        <w:rPr>
          <w:rFonts w:hint="eastAsia"/>
        </w:rPr>
        <w:t>和</w:t>
      </w:r>
      <w:r>
        <w:t>约束方式</w:t>
      </w:r>
      <w:r>
        <w:rPr>
          <w:rFonts w:hint="eastAsia"/>
        </w:rPr>
        <w:t>。</w:t>
      </w:r>
    </w:p>
    <w:p>
      <w:pPr>
        <w:pStyle w:val="200"/>
      </w:pPr>
      <w:r>
        <w:rPr>
          <w:rFonts w:hint="eastAsia"/>
          <w:b/>
        </w:rPr>
        <w:t>4</w:t>
      </w:r>
      <w:r>
        <w:rPr>
          <w:b/>
        </w:rPr>
        <w:t>.</w:t>
      </w:r>
      <w:r>
        <w:rPr>
          <w:rFonts w:hint="eastAsia"/>
          <w:b/>
        </w:rPr>
        <w:t>5</w:t>
      </w:r>
      <w:r>
        <w:rPr>
          <w:b/>
        </w:rPr>
        <w:t>.4</w:t>
      </w:r>
      <w:r>
        <w:t xml:space="preserve"> 荷载施加</w:t>
      </w:r>
      <w:r>
        <w:rPr>
          <w:rFonts w:hint="eastAsia"/>
        </w:rPr>
        <w:t>原则应符合下列规定：</w:t>
      </w:r>
    </w:p>
    <w:p>
      <w:pPr>
        <w:pStyle w:val="188"/>
        <w:ind w:firstLine="480"/>
      </w:pPr>
      <w:r>
        <w:t xml:space="preserve">1 </w:t>
      </w:r>
      <w:r>
        <w:rPr>
          <w:rFonts w:hint="eastAsia"/>
        </w:rPr>
        <w:t>应</w:t>
      </w:r>
      <w:r>
        <w:t>根据实际情况，对幕墙结构进行</w:t>
      </w:r>
      <w:r>
        <w:rPr>
          <w:rFonts w:hint="eastAsia"/>
        </w:rPr>
        <w:t>荷载施加</w:t>
      </w:r>
      <w:r>
        <w:t>，包括</w:t>
      </w:r>
      <w:r>
        <w:rPr>
          <w:rFonts w:hint="eastAsia"/>
        </w:rPr>
        <w:t>永久荷载、</w:t>
      </w:r>
      <w:r>
        <w:t>风载荷、地震作用</w:t>
      </w:r>
      <w:r>
        <w:rPr>
          <w:rFonts w:hint="eastAsia"/>
        </w:rPr>
        <w:t>、</w:t>
      </w:r>
      <w:r>
        <w:t>活荷载</w:t>
      </w:r>
      <w:r>
        <w:rPr>
          <w:rFonts w:hint="eastAsia"/>
        </w:rPr>
        <w:t>和</w:t>
      </w:r>
      <w:r>
        <w:t>温度</w:t>
      </w:r>
      <w:r>
        <w:rPr>
          <w:rFonts w:hint="eastAsia"/>
        </w:rPr>
        <w:t>作用等；</w:t>
      </w:r>
    </w:p>
    <w:p>
      <w:pPr>
        <w:pStyle w:val="188"/>
        <w:ind w:firstLine="480"/>
      </w:pPr>
      <w:r>
        <w:t xml:space="preserve">2 </w:t>
      </w:r>
      <w:r>
        <w:rPr>
          <w:rFonts w:hint="eastAsia"/>
        </w:rPr>
        <w:t>幕墙</w:t>
      </w:r>
      <w:r>
        <w:t>结构的</w:t>
      </w:r>
      <w:r>
        <w:rPr>
          <w:rFonts w:hint="eastAsia"/>
        </w:rPr>
        <w:t>荷载类型包含：集中</w:t>
      </w:r>
      <w:r>
        <w:t>点荷载、</w:t>
      </w:r>
      <w:r>
        <w:rPr>
          <w:rFonts w:hint="eastAsia"/>
        </w:rPr>
        <w:t>均布线</w:t>
      </w:r>
      <w:r>
        <w:t>荷载和</w:t>
      </w:r>
      <w:r>
        <w:rPr>
          <w:rFonts w:hint="eastAsia"/>
        </w:rPr>
        <w:t>均布</w:t>
      </w:r>
      <w:r>
        <w:t>面荷载，荷载的大小、方向、作用区域应符合实际情况；</w:t>
      </w:r>
    </w:p>
    <w:p>
      <w:pPr>
        <w:pStyle w:val="188"/>
        <w:ind w:firstLine="480"/>
      </w:pPr>
      <w:r>
        <w:rPr>
          <w:rFonts w:hint="eastAsia"/>
        </w:rPr>
        <w:t>3</w:t>
      </w:r>
      <w:r>
        <w:t xml:space="preserve"> </w:t>
      </w:r>
      <w:r>
        <w:rPr>
          <w:rFonts w:hint="eastAsia"/>
        </w:rPr>
        <w:t>幕墙</w:t>
      </w:r>
      <w:r>
        <w:t>结构承载力极限分析应采用荷载组合设计值，正常使用极限分析</w:t>
      </w:r>
      <w:r>
        <w:rPr>
          <w:rFonts w:hint="eastAsia"/>
        </w:rPr>
        <w:t>应</w:t>
      </w:r>
      <w:r>
        <w:t>采用荷载组合标准值；</w:t>
      </w:r>
    </w:p>
    <w:p>
      <w:pPr>
        <w:pStyle w:val="188"/>
        <w:ind w:firstLine="480"/>
      </w:pPr>
      <w:r>
        <w:t>4  计算面板时</w:t>
      </w:r>
      <w:r>
        <w:rPr>
          <w:rFonts w:hint="eastAsia"/>
        </w:rPr>
        <w:t>宜</w:t>
      </w:r>
      <w:r>
        <w:t>采用面荷载，计算</w:t>
      </w:r>
      <w:r>
        <w:rPr>
          <w:rFonts w:hint="eastAsia"/>
        </w:rPr>
        <w:t>杆件</w:t>
      </w:r>
      <w:r>
        <w:t>时宜采用</w:t>
      </w:r>
      <w:r>
        <w:rPr>
          <w:rFonts w:hint="eastAsia"/>
        </w:rPr>
        <w:t>均布线</w:t>
      </w:r>
      <w:r>
        <w:t>荷载或集中</w:t>
      </w:r>
      <w:r>
        <w:rPr>
          <w:rFonts w:hint="eastAsia"/>
        </w:rPr>
        <w:t>点</w:t>
      </w:r>
      <w:r>
        <w:t>荷载</w:t>
      </w:r>
      <w:r>
        <w:rPr>
          <w:rFonts w:hint="eastAsia"/>
        </w:rPr>
        <w:t>，有</w:t>
      </w:r>
      <w:r>
        <w:t>力偶时</w:t>
      </w:r>
      <w:r>
        <w:rPr>
          <w:rFonts w:hint="eastAsia"/>
        </w:rPr>
        <w:t>也</w:t>
      </w:r>
      <w:r>
        <w:t>应根据具体情况</w:t>
      </w:r>
      <w:r>
        <w:rPr>
          <w:rFonts w:hint="eastAsia"/>
        </w:rPr>
        <w:t>进行</w:t>
      </w:r>
      <w:r>
        <w:t>施加</w:t>
      </w:r>
      <w:r>
        <w:rPr>
          <w:rFonts w:hint="eastAsia"/>
        </w:rPr>
        <w:t>。</w:t>
      </w:r>
    </w:p>
    <w:p>
      <w:pPr>
        <w:pStyle w:val="120"/>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color w:val="000000" w:themeColor="text1"/>
          <w14:textFill>
            <w14:solidFill>
              <w14:schemeClr w14:val="tx1"/>
            </w14:solidFill>
          </w14:textFill>
        </w:rPr>
        <w:t>4.5.4 4 不应</w:t>
      </w:r>
      <w:r>
        <w:rPr>
          <w:rFonts w:ascii="Times New Roman" w:hAnsi="Times New Roman"/>
        </w:rPr>
        <w:t>以线荷载代替面荷载，也不应以集中荷载代替</w:t>
      </w:r>
      <w:r>
        <w:rPr>
          <w:rFonts w:hint="eastAsia" w:ascii="Times New Roman" w:hAnsi="Times New Roman"/>
        </w:rPr>
        <w:t>线荷载</w:t>
      </w:r>
      <w:r>
        <w:rPr>
          <w:rFonts w:ascii="Times New Roman" w:hAnsi="Times New Roman"/>
        </w:rPr>
        <w:t>，应视</w:t>
      </w:r>
      <w:r>
        <w:rPr>
          <w:rFonts w:hint="eastAsia" w:ascii="Times New Roman" w:hAnsi="Times New Roman"/>
        </w:rPr>
        <w:t>实际</w:t>
      </w:r>
      <w:r>
        <w:rPr>
          <w:rFonts w:ascii="Times New Roman" w:hAnsi="Times New Roman"/>
        </w:rPr>
        <w:t>情况合理选择荷载类型</w:t>
      </w:r>
      <w:r>
        <w:rPr>
          <w:rFonts w:hint="eastAsia" w:ascii="Times New Roman" w:hAnsi="Times New Roman"/>
        </w:rPr>
        <w:t>。</w:t>
      </w:r>
    </w:p>
    <w:p>
      <w:pPr>
        <w:pStyle w:val="200"/>
      </w:pPr>
      <w:r>
        <w:rPr>
          <w:rFonts w:hint="eastAsia"/>
          <w:b/>
        </w:rPr>
        <w:t>4</w:t>
      </w:r>
      <w:r>
        <w:rPr>
          <w:b/>
        </w:rPr>
        <w:t>.</w:t>
      </w:r>
      <w:r>
        <w:rPr>
          <w:rFonts w:hint="eastAsia"/>
          <w:b/>
        </w:rPr>
        <w:t>5</w:t>
      </w:r>
      <w:r>
        <w:rPr>
          <w:b/>
        </w:rPr>
        <w:t>.5</w:t>
      </w:r>
      <w:r>
        <w:t xml:space="preserve"> 静力分析</w:t>
      </w:r>
      <w:r>
        <w:rPr>
          <w:rFonts w:hint="eastAsia"/>
        </w:rPr>
        <w:t>原则应符合下列规定：</w:t>
      </w:r>
    </w:p>
    <w:p>
      <w:pPr>
        <w:pStyle w:val="188"/>
        <w:ind w:firstLine="480"/>
      </w:pPr>
      <w:r>
        <w:rPr>
          <w:rFonts w:hint="eastAsia"/>
        </w:rPr>
        <w:t>1</w:t>
      </w:r>
      <w:r>
        <w:t>静力分析时应根据需要合理选择相关参数</w:t>
      </w:r>
      <w:r>
        <w:rPr>
          <w:rFonts w:hint="eastAsia"/>
        </w:rPr>
        <w:t>求解设置</w:t>
      </w:r>
      <w:r>
        <w:t>；</w:t>
      </w:r>
    </w:p>
    <w:p>
      <w:pPr>
        <w:pStyle w:val="188"/>
        <w:ind w:firstLine="480"/>
      </w:pPr>
      <w:r>
        <w:rPr>
          <w:rFonts w:hint="eastAsia"/>
        </w:rPr>
        <w:t>2</w:t>
      </w:r>
      <w:r>
        <w:t>在满足收敛性、计算精度和计算机资源条件下，设置合理的计算时间步长；</w:t>
      </w:r>
    </w:p>
    <w:p>
      <w:pPr>
        <w:pStyle w:val="188"/>
        <w:ind w:firstLine="480"/>
      </w:pPr>
      <w:r>
        <w:t>3当计算不能收敛时，应检查边界条件及网格划分情况，调整后重新计算</w:t>
      </w:r>
      <w:r>
        <w:rPr>
          <w:rFonts w:hint="eastAsia"/>
        </w:rPr>
        <w:t>；</w:t>
      </w:r>
      <w:r>
        <w:t xml:space="preserve"> </w:t>
      </w:r>
    </w:p>
    <w:p>
      <w:pPr>
        <w:pStyle w:val="188"/>
        <w:ind w:firstLine="480"/>
      </w:pPr>
      <w:r>
        <w:t>4</w:t>
      </w:r>
      <w:r>
        <w:rPr>
          <w:rFonts w:hint="eastAsia"/>
        </w:rPr>
        <w:t>幕墙结构可按弹性静力方法计算。对于预应力拉索、预应力拉杆、薄板等刚度较小的结构体系，应采用几何非线性的计算方法；</w:t>
      </w:r>
    </w:p>
    <w:p>
      <w:pPr>
        <w:pStyle w:val="188"/>
        <w:ind w:firstLine="480"/>
      </w:pPr>
      <w:r>
        <w:rPr>
          <w:rFonts w:hint="eastAsia"/>
        </w:rPr>
        <w:t>5对于空间网壳结构的</w:t>
      </w:r>
      <w:r>
        <w:t>稳定性</w:t>
      </w:r>
      <w:r>
        <w:rPr>
          <w:rFonts w:hint="eastAsia"/>
        </w:rPr>
        <w:t>应采用</w:t>
      </w:r>
      <w:r>
        <w:t>考虑</w:t>
      </w:r>
      <w:r>
        <w:rPr>
          <w:rFonts w:hint="eastAsia"/>
        </w:rPr>
        <w:t>几何非线性的</w:t>
      </w:r>
      <w:r>
        <w:t>有限元法（</w:t>
      </w:r>
      <w:r>
        <w:rPr>
          <w:rFonts w:hint="eastAsia"/>
        </w:rPr>
        <w:t>即</w:t>
      </w:r>
      <w:r>
        <w:t>荷载-位移全</w:t>
      </w:r>
      <w:r>
        <w:rPr>
          <w:rFonts w:hint="eastAsia"/>
        </w:rPr>
        <w:t>过程分析</w:t>
      </w:r>
      <w:r>
        <w:t>）</w:t>
      </w:r>
      <w:r>
        <w:rPr>
          <w:rFonts w:hint="eastAsia"/>
        </w:rPr>
        <w:t>进行</w:t>
      </w:r>
      <w:r>
        <w:t>计算，分析中可假定材料为弹性，也可考虑材料的弹塑性。对于</w:t>
      </w:r>
      <w:r>
        <w:rPr>
          <w:rFonts w:hint="eastAsia"/>
        </w:rPr>
        <w:t>大型</w:t>
      </w:r>
      <w:r>
        <w:t>和</w:t>
      </w:r>
      <w:r>
        <w:rPr>
          <w:rFonts w:hint="eastAsia"/>
        </w:rPr>
        <w:t>形状</w:t>
      </w:r>
      <w:r>
        <w:t>复杂的网壳结构宜考虑</w:t>
      </w:r>
      <w:r>
        <w:rPr>
          <w:rFonts w:hint="eastAsia"/>
        </w:rPr>
        <w:t>材料</w:t>
      </w:r>
      <w:r>
        <w:t>弹塑性的全过程分析方</w:t>
      </w:r>
      <w:r>
        <w:rPr>
          <w:rFonts w:hint="eastAsia"/>
        </w:rPr>
        <w:t>法</w:t>
      </w:r>
      <w:r>
        <w:t>。</w:t>
      </w:r>
    </w:p>
    <w:p>
      <w:pPr>
        <w:pStyle w:val="189"/>
      </w:pPr>
    </w:p>
    <w:p>
      <w:pPr>
        <w:pStyle w:val="200"/>
      </w:pPr>
      <w:r>
        <w:rPr>
          <w:b/>
          <w:bCs w:val="0"/>
          <w:color w:val="000000" w:themeColor="text1"/>
          <w14:textFill>
            <w14:solidFill>
              <w14:schemeClr w14:val="tx1"/>
            </w14:solidFill>
          </w14:textFill>
        </w:rPr>
        <w:t xml:space="preserve">4.5.6 </w:t>
      </w:r>
      <w:r>
        <w:rPr>
          <w:rFonts w:hint="eastAsia"/>
        </w:rPr>
        <w:t>单元式幕墙考虑横梁的拉接作用、玻璃面板通过结构胶与龙骨粘接的有效支撑作用而采用有限元方法整体建模分析时，计算模型宜符合下列规定：</w:t>
      </w:r>
    </w:p>
    <w:p>
      <w:pPr>
        <w:pStyle w:val="188"/>
        <w:ind w:firstLine="480"/>
      </w:pPr>
      <w:r>
        <w:t>1单元式幕墙龙骨采用一维梁单元，等效斜撑采用连接单元；</w:t>
      </w:r>
    </w:p>
    <w:p>
      <w:pPr>
        <w:pStyle w:val="188"/>
        <w:ind w:firstLine="480"/>
      </w:pPr>
      <w:r>
        <w:t>2公母立柱和顶底横梁分开建模、分别定义截面属性，公母立柱和顶底横梁间的插接关系采用连接单元来模拟，实现插接构件间的协同变形；</w:t>
      </w:r>
    </w:p>
    <w:p>
      <w:pPr>
        <w:pStyle w:val="188"/>
        <w:ind w:firstLine="480"/>
      </w:pPr>
      <w:r>
        <w:t>3</w:t>
      </w:r>
      <w:r>
        <w:rPr>
          <w:rFonts w:hint="eastAsia"/>
        </w:rPr>
        <w:t>各连接点的刚接、铰接假设应与实际情况相符。横梁立柱间直接由螺钉连接的节点视为铰接，必要时宜增设辅助连接件加强。</w:t>
      </w:r>
    </w:p>
    <w:p>
      <w:pPr>
        <w:pStyle w:val="188"/>
        <w:ind w:firstLine="480"/>
      </w:pPr>
      <w:r>
        <w:t>4四周与横梁和立柱用结构胶粘接的玻璃板块可视为单元构件的约束构件，可以采用等效斜撑来代替玻璃面板。</w:t>
      </w:r>
    </w:p>
    <w:p>
      <w:pPr>
        <w:pStyle w:val="194"/>
        <w:rPr>
          <w:rFonts w:ascii="Times New Roman" w:hAnsi="Times New Roman"/>
        </w:rPr>
      </w:pPr>
      <w:r>
        <w:rPr>
          <w:rFonts w:hint="eastAsia" w:ascii="Times New Roman" w:hAnsi="Times New Roman"/>
          <w:color w:val="000000" w:themeColor="text1"/>
          <w14:textFill>
            <w14:solidFill>
              <w14:schemeClr w14:val="tx1"/>
            </w14:solidFill>
          </w14:textFill>
        </w:rPr>
        <w:t>条文说明：</w:t>
      </w:r>
      <w:r>
        <w:rPr>
          <w:rFonts w:ascii="Times New Roman" w:hAnsi="Times New Roman"/>
          <w:bCs/>
        </w:rPr>
        <w:t>玻璃</w:t>
      </w:r>
      <w:r>
        <w:rPr>
          <w:rFonts w:ascii="Times New Roman" w:hAnsi="Times New Roman"/>
        </w:rPr>
        <w:t>面板简化为</w:t>
      </w:r>
      <w:r>
        <w:rPr>
          <w:rFonts w:ascii="Times New Roman" w:hAnsi="Times New Roman"/>
          <w:bCs/>
        </w:rPr>
        <w:t>等效斜撑</w:t>
      </w:r>
      <w:r>
        <w:rPr>
          <w:rFonts w:ascii="Times New Roman" w:hAnsi="Times New Roman"/>
        </w:rPr>
        <w:t>时，等效斜撑的</w:t>
      </w:r>
      <w:r>
        <w:rPr>
          <w:rFonts w:ascii="Times New Roman" w:hAnsi="Times New Roman"/>
          <w:bCs/>
        </w:rPr>
        <w:t>刚度可以按下式计算</w:t>
      </w:r>
      <w:r>
        <w:rPr>
          <w:rFonts w:ascii="Times New Roman" w:hAnsi="Times New Roman"/>
        </w:rPr>
        <w:t>：</w:t>
      </w:r>
    </w:p>
    <w:tbl>
      <w:tblPr>
        <w:tblStyle w:val="37"/>
        <w:tblW w:w="4750" w:type="pct"/>
        <w:jc w:val="right"/>
        <w:tblLayout w:type="fixed"/>
        <w:tblCellMar>
          <w:top w:w="0" w:type="dxa"/>
          <w:left w:w="108" w:type="dxa"/>
          <w:bottom w:w="0" w:type="dxa"/>
          <w:right w:w="108" w:type="dxa"/>
        </w:tblCellMar>
      </w:tblPr>
      <w:tblGrid>
        <w:gridCol w:w="7296"/>
        <w:gridCol w:w="1526"/>
      </w:tblGrid>
      <w:tr>
        <w:tblPrEx>
          <w:tblCellMar>
            <w:top w:w="0" w:type="dxa"/>
            <w:left w:w="108" w:type="dxa"/>
            <w:bottom w:w="0" w:type="dxa"/>
            <w:right w:w="108" w:type="dxa"/>
          </w:tblCellMar>
        </w:tblPrEx>
        <w:trPr>
          <w:jc w:val="right"/>
        </w:trPr>
        <w:tc>
          <w:tcPr>
            <w:tcW w:w="7299" w:type="dxa"/>
            <w:shd w:val="clear" w:color="auto" w:fill="auto"/>
            <w:vAlign w:val="center"/>
          </w:tcPr>
          <w:p>
            <w:pPr>
              <w:spacing w:line="360" w:lineRule="auto"/>
              <w:jc w:val="center"/>
              <w:rPr>
                <w:rFonts w:ascii="Times New Roman" w:hAnsi="Times New Roman"/>
              </w:rPr>
            </w:pPr>
            <m:oMathPara>
              <m:oMathParaPr>
                <m:jc m:val="center"/>
              </m:oMathParaPr>
              <m:oMath>
                <m:sSub>
                  <m:sSubPr>
                    <m:ctrlPr>
                      <w:rPr>
                        <w:rFonts w:ascii="Cambria Math" w:hAnsi="Cambria Math" w:cs="Cambria Math"/>
                        <w:i/>
                      </w:rPr>
                    </m:ctrlPr>
                  </m:sSubPr>
                  <m:e>
                    <m:r>
                      <m:rPr/>
                      <w:rPr>
                        <w:rFonts w:hint="eastAsia" w:ascii="Cambria Math" w:hAnsi="Cambria Math" w:cs="Cambria Math"/>
                      </w:rPr>
                      <m:t>k</m:t>
                    </m:r>
                    <m:ctrlPr>
                      <w:rPr>
                        <w:rFonts w:ascii="Cambria Math" w:hAnsi="Cambria Math" w:cs="Cambria Math"/>
                        <w:i/>
                      </w:rPr>
                    </m:ctrlPr>
                  </m:e>
                  <m:sub>
                    <m:r>
                      <m:rPr/>
                      <w:rPr>
                        <w:rFonts w:ascii="Cambria Math" w:hAnsi="Cambria Math" w:cs="Cambria Math"/>
                      </w:rPr>
                      <m:t>b</m:t>
                    </m:r>
                    <m:ctrlPr>
                      <w:rPr>
                        <w:rFonts w:ascii="Cambria Math" w:hAnsi="Cambria Math" w:cs="Cambria Math"/>
                        <w:i/>
                      </w:rPr>
                    </m:ctrlPr>
                  </m:sub>
                </m:sSub>
                <m:r>
                  <m:rPr>
                    <m:sty m:val="p"/>
                  </m:rP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k</m:t>
                    </m:r>
                    <m:ctrlPr>
                      <w:rPr>
                        <w:rFonts w:ascii="Cambria Math" w:hAnsi="Cambria Math" w:cs="Cambria Math"/>
                      </w:rPr>
                    </m:ctrlPr>
                  </m:e>
                  <m:sub>
                    <m:r>
                      <m:rPr>
                        <m:sty m:val="p"/>
                      </m:rPr>
                      <w:rPr>
                        <w:rFonts w:ascii="Cambria Math" w:hAnsi="Cambria Math" w:cs="Cambria Math"/>
                      </w:rPr>
                      <m:t>s</m:t>
                    </m:r>
                    <m:ctrlPr>
                      <w:rPr>
                        <w:rFonts w:ascii="Cambria Math" w:hAnsi="Cambria Math" w:cs="Cambria Math"/>
                      </w:rPr>
                    </m:ctrlPr>
                  </m:sub>
                </m:sSub>
                <m:r>
                  <m:rPr>
                    <m:sty m:val="p"/>
                  </m:rPr>
                  <w:rPr>
                    <w:rFonts w:ascii="Cambria Math" w:hAnsi="Cambria Math" w:cs="Cambria Math"/>
                  </w:rPr>
                  <m:t>(B+</m:t>
                </m:r>
                <m:f>
                  <m:fPr>
                    <m:ctrlPr>
                      <w:rPr>
                        <w:rFonts w:ascii="Cambria Math" w:hAnsi="Cambria Math" w:cs="Cambria Math"/>
                      </w:rPr>
                    </m:ctrlPr>
                  </m:fPr>
                  <m:num>
                    <m:r>
                      <m:rPr>
                        <m:sty m:val="p"/>
                      </m:rPr>
                      <w:rPr>
                        <w:rFonts w:ascii="Cambria Math" w:hAnsi="Cambria Math" w:cs="Cambria Math"/>
                      </w:rPr>
                      <m:t>H</m:t>
                    </m:r>
                    <m:ctrlPr>
                      <w:rPr>
                        <w:rFonts w:ascii="Cambria Math" w:hAnsi="Cambria Math" w:cs="Cambria Math"/>
                      </w:rPr>
                    </m:ctrlPr>
                  </m:num>
                  <m:den>
                    <m:r>
                      <m:rPr>
                        <m:sty m:val="p"/>
                      </m:rPr>
                      <w:rPr>
                        <w:rFonts w:ascii="Cambria Math" w:hAnsi="Cambria Math" w:cs="Cambria Math"/>
                      </w:rPr>
                      <m:t>3</m:t>
                    </m:r>
                    <m:ctrlPr>
                      <w:rPr>
                        <w:rFonts w:ascii="Cambria Math" w:hAnsi="Cambria Math" w:cs="Cambria Math"/>
                      </w:rPr>
                    </m:ctrlPr>
                  </m:den>
                </m:f>
                <m:r>
                  <m:rPr>
                    <m:sty m:val="p"/>
                  </m:rPr>
                  <w:rPr>
                    <w:rFonts w:ascii="Cambria Math" w:hAnsi="Cambria Math" w:cs="Cambria Math"/>
                  </w:rPr>
                  <m:t>)∙</m:t>
                </m:r>
                <m:f>
                  <m:fPr>
                    <m:ctrlPr>
                      <w:rPr>
                        <w:rFonts w:ascii="Cambria Math" w:hAnsi="Cambria Math" w:cs="Cambria Math"/>
                      </w:rPr>
                    </m:ctrlPr>
                  </m:fPr>
                  <m:num>
                    <m:sSup>
                      <m:sSupPr>
                        <m:ctrlPr>
                          <w:rPr>
                            <w:rFonts w:ascii="Cambria Math" w:hAnsi="Cambria Math" w:cs="Cambria Math"/>
                          </w:rPr>
                        </m:ctrlPr>
                      </m:sSupPr>
                      <m:e>
                        <m:r>
                          <m:rPr>
                            <m:sty m:val="p"/>
                          </m:rPr>
                          <w:rPr>
                            <w:rFonts w:ascii="Cambria Math" w:hAnsi="Cambria Math" w:cs="Cambria Math"/>
                          </w:rPr>
                          <m:t>B</m:t>
                        </m:r>
                        <m:ctrlPr>
                          <w:rPr>
                            <w:rFonts w:ascii="Cambria Math" w:hAnsi="Cambria Math" w:cs="Cambria Math"/>
                          </w:rPr>
                        </m:ctrlPr>
                      </m:e>
                      <m:sup>
                        <m:r>
                          <m:rPr>
                            <m:sty m:val="p"/>
                          </m:rPr>
                          <w:rPr>
                            <w:rFonts w:ascii="Cambria Math" w:hAnsi="Cambria Math" w:cs="Cambria Math"/>
                          </w:rPr>
                          <m:t>2</m:t>
                        </m:r>
                        <m:ctrlPr>
                          <w:rPr>
                            <w:rFonts w:ascii="Cambria Math" w:hAnsi="Cambria Math" w:cs="Cambria Math"/>
                          </w:rPr>
                        </m:ctrlPr>
                      </m:sup>
                    </m:sSup>
                    <m:r>
                      <m:rPr>
                        <m:sty m:val="p"/>
                      </m:rPr>
                      <w:rPr>
                        <w:rFonts w:ascii="Cambria Math" w:hAnsi="Cambria Math" w:cs="Cambria Math"/>
                      </w:rPr>
                      <m:t>+</m:t>
                    </m:r>
                    <m:sSup>
                      <m:sSupPr>
                        <m:ctrlPr>
                          <w:rPr>
                            <w:rFonts w:ascii="Cambria Math" w:hAnsi="Cambria Math" w:cs="Cambria Math"/>
                          </w:rPr>
                        </m:ctrlPr>
                      </m:sSupPr>
                      <m:e>
                        <m:r>
                          <m:rPr>
                            <m:sty m:val="p"/>
                          </m:rPr>
                          <w:rPr>
                            <w:rFonts w:ascii="Cambria Math" w:hAnsi="Cambria Math" w:cs="Cambria Math"/>
                          </w:rPr>
                          <m:t>H</m:t>
                        </m:r>
                        <m:ctrlPr>
                          <w:rPr>
                            <w:rFonts w:ascii="Cambria Math" w:hAnsi="Cambria Math" w:cs="Cambria Math"/>
                          </w:rPr>
                        </m:ctrlPr>
                      </m:e>
                      <m:sup>
                        <m:r>
                          <m:rPr>
                            <m:sty m:val="p"/>
                          </m:rPr>
                          <w:rPr>
                            <w:rFonts w:ascii="Cambria Math" w:hAnsi="Cambria Math" w:cs="Cambria Math"/>
                          </w:rPr>
                          <m:t>2</m:t>
                        </m:r>
                        <m:ctrlPr>
                          <w:rPr>
                            <w:rFonts w:ascii="Cambria Math" w:hAnsi="Cambria Math" w:cs="Cambria Math"/>
                          </w:rPr>
                        </m:ctrlPr>
                      </m:sup>
                    </m:sSup>
                    <m:ctrlPr>
                      <w:rPr>
                        <w:rFonts w:ascii="Cambria Math" w:hAnsi="Cambria Math" w:cs="Cambria Math"/>
                      </w:rPr>
                    </m:ctrlPr>
                  </m:num>
                  <m:den>
                    <m:sSup>
                      <m:sSupPr>
                        <m:ctrlPr>
                          <w:rPr>
                            <w:rFonts w:ascii="Cambria Math" w:hAnsi="Cambria Math" w:cs="Cambria Math"/>
                          </w:rPr>
                        </m:ctrlPr>
                      </m:sSupPr>
                      <m:e>
                        <m:r>
                          <m:rPr>
                            <m:sty m:val="p"/>
                          </m:rPr>
                          <w:rPr>
                            <w:rFonts w:ascii="Cambria Math" w:hAnsi="Cambria Math" w:cs="Cambria Math"/>
                          </w:rPr>
                          <m:t>B</m:t>
                        </m:r>
                        <m:ctrlPr>
                          <w:rPr>
                            <w:rFonts w:ascii="Cambria Math" w:hAnsi="Cambria Math" w:cs="Cambria Math"/>
                          </w:rPr>
                        </m:ctrlPr>
                      </m:e>
                      <m:sup>
                        <m:r>
                          <m:rPr>
                            <m:sty m:val="p"/>
                          </m:rPr>
                          <w:rPr>
                            <w:rFonts w:ascii="Cambria Math" w:hAnsi="Cambria Math" w:cs="Cambria Math"/>
                          </w:rPr>
                          <m:t>2</m:t>
                        </m:r>
                        <m:ctrlPr>
                          <w:rPr>
                            <w:rFonts w:ascii="Cambria Math" w:hAnsi="Cambria Math" w:cs="Cambria Math"/>
                          </w:rPr>
                        </m:ctrlPr>
                      </m:sup>
                    </m:sSup>
                    <m:ctrlPr>
                      <w:rPr>
                        <w:rFonts w:ascii="Cambria Math" w:hAnsi="Cambria Math" w:cs="Cambria Math"/>
                      </w:rPr>
                    </m:ctrlPr>
                  </m:den>
                </m:f>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1−θ</m:t>
                    </m:r>
                    <m:ctrlPr>
                      <w:rPr>
                        <w:rFonts w:ascii="Cambria Math" w:hAnsi="Cambria Math" w:cs="Cambria Math"/>
                      </w:rPr>
                    </m:ctrlPr>
                  </m:num>
                  <m:den>
                    <m:r>
                      <m:rPr>
                        <m:sty m:val="p"/>
                      </m:rPr>
                      <w:rPr>
                        <w:rFonts w:ascii="Cambria Math" w:hAnsi="Cambria Math" w:cs="Cambria Math"/>
                      </w:rPr>
                      <m:t>2</m:t>
                    </m:r>
                    <m:ctrlPr>
                      <w:rPr>
                        <w:rFonts w:ascii="Cambria Math" w:hAnsi="Cambria Math" w:cs="Cambria Math"/>
                      </w:rPr>
                    </m:ctrlPr>
                  </m:den>
                </m:f>
              </m:oMath>
            </m:oMathPara>
          </w:p>
        </w:tc>
        <w:tc>
          <w:tcPr>
            <w:tcW w:w="1523" w:type="dxa"/>
            <w:shd w:val="clear" w:color="auto" w:fill="auto"/>
            <w:vAlign w:val="center"/>
          </w:tcPr>
          <w:p>
            <w:pPr>
              <w:pStyle w:val="189"/>
              <w:jc w:val="right"/>
            </w:pPr>
            <w:r>
              <w:rPr>
                <w:rFonts w:hint="eastAsia" w:hAnsi="Times New Roman"/>
                <w:kern w:val="2"/>
              </w:rPr>
              <w:t>（</w:t>
            </w:r>
            <w:r>
              <w:rPr>
                <w:rFonts w:hAnsi="Times New Roman"/>
                <w:kern w:val="2"/>
              </w:rPr>
              <w:t>4.5.6-1</w:t>
            </w:r>
            <w:r>
              <w:rPr>
                <w:rFonts w:hint="eastAsia" w:hAnsi="Times New Roman"/>
                <w:kern w:val="2"/>
              </w:rPr>
              <w:t>）</w:t>
            </w:r>
          </w:p>
        </w:tc>
      </w:tr>
      <w:tr>
        <w:tblPrEx>
          <w:tblCellMar>
            <w:top w:w="0" w:type="dxa"/>
            <w:left w:w="108" w:type="dxa"/>
            <w:bottom w:w="0" w:type="dxa"/>
            <w:right w:w="108" w:type="dxa"/>
          </w:tblCellMar>
        </w:tblPrEx>
        <w:trPr>
          <w:jc w:val="right"/>
        </w:trPr>
        <w:tc>
          <w:tcPr>
            <w:tcW w:w="7299" w:type="dxa"/>
            <w:shd w:val="clear" w:color="auto" w:fill="auto"/>
            <w:vAlign w:val="center"/>
          </w:tcPr>
          <w:p>
            <w:pPr>
              <w:spacing w:line="360" w:lineRule="auto"/>
              <w:jc w:val="center"/>
              <w:rPr>
                <w:rFonts w:ascii="Times New Roman" w:hAnsi="Times New Roman" w:eastAsiaTheme="minorEastAsia"/>
              </w:rPr>
            </w:pPr>
            <m:oMathPara>
              <m:oMath>
                <m:sSub>
                  <m:sSubPr>
                    <m:ctrlPr>
                      <w:rPr>
                        <w:rFonts w:ascii="Cambria Math" w:hAnsi="Cambria Math" w:cs="Cambria Math" w:eastAsiaTheme="minorEastAsia"/>
                        <w:i/>
                      </w:rPr>
                    </m:ctrlPr>
                  </m:sSubPr>
                  <m:e>
                    <m:r>
                      <m:rPr/>
                      <w:rPr>
                        <w:rFonts w:ascii="Cambria Math" w:hAnsi="Cambria Math" w:cs="Cambria Math" w:eastAsiaTheme="minorEastAsia"/>
                      </w:rPr>
                      <m:t>k</m:t>
                    </m:r>
                    <m:ctrlPr>
                      <w:rPr>
                        <w:rFonts w:ascii="Cambria Math" w:hAnsi="Cambria Math" w:cs="Cambria Math" w:eastAsiaTheme="minorEastAsia"/>
                        <w:i/>
                      </w:rPr>
                    </m:ctrlPr>
                  </m:e>
                  <m:sub>
                    <m:r>
                      <m:rPr/>
                      <w:rPr>
                        <w:rFonts w:ascii="Cambria Math" w:hAnsi="Cambria Math" w:cs="Cambria Math" w:eastAsiaTheme="minorEastAsia"/>
                      </w:rPr>
                      <m:t>s</m:t>
                    </m:r>
                    <m:ctrlPr>
                      <w:rPr>
                        <w:rFonts w:ascii="Cambria Math" w:hAnsi="Cambria Math" w:cs="Cambria Math" w:eastAsiaTheme="minorEastAsia"/>
                        <w:i/>
                      </w:rPr>
                    </m:ctrlPr>
                  </m:sub>
                </m:sSub>
                <m:r>
                  <m:rPr>
                    <m:sty m:val="p"/>
                  </m:rPr>
                  <w:rPr>
                    <w:rFonts w:ascii="Cambria Math" w:hAnsi="Cambria Math" w:cs="Cambria Math" w:eastAsiaTheme="minorEastAsia"/>
                  </w:rPr>
                  <m:t>=</m:t>
                </m:r>
                <m:f>
                  <m:fPr>
                    <m:ctrlPr>
                      <w:rPr>
                        <w:rFonts w:ascii="Cambria Math" w:hAnsi="Cambria Math" w:cs="Cambria Math" w:eastAsiaTheme="minorEastAsia"/>
                      </w:rPr>
                    </m:ctrlPr>
                  </m:fPr>
                  <m:num>
                    <m:r>
                      <m:rPr>
                        <m:sty m:val="p"/>
                      </m:rPr>
                      <w:rPr>
                        <w:rFonts w:ascii="Cambria Math" w:hAnsi="Cambria Math" w:cs="Cambria Math" w:eastAsiaTheme="minorEastAsia"/>
                      </w:rPr>
                      <m:t>E∙</m:t>
                    </m:r>
                    <m:sSub>
                      <m:sSubPr>
                        <m:ctrlPr>
                          <w:rPr>
                            <w:rFonts w:ascii="Cambria Math" w:hAnsi="Cambria Math" w:cs="Cambria Math" w:eastAsiaTheme="minorEastAsia"/>
                          </w:rPr>
                        </m:ctrlPr>
                      </m:sSubPr>
                      <m:e>
                        <m:r>
                          <m:rPr>
                            <m:sty m:val="p"/>
                          </m:rPr>
                          <w:rPr>
                            <w:rFonts w:ascii="Cambria Math" w:hAnsi="Cambria Math" w:cs="Cambria Math" w:eastAsiaTheme="minorEastAsia"/>
                          </w:rPr>
                          <m:t>C</m:t>
                        </m:r>
                        <m:ctrlPr>
                          <w:rPr>
                            <w:rFonts w:ascii="Cambria Math" w:hAnsi="Cambria Math" w:cs="Cambria Math" w:eastAsiaTheme="minorEastAsia"/>
                          </w:rPr>
                        </m:ctrlPr>
                      </m:e>
                      <m:sub>
                        <m:r>
                          <m:rPr>
                            <m:sty m:val="p"/>
                          </m:rPr>
                          <w:rPr>
                            <w:rFonts w:ascii="Cambria Math" w:hAnsi="Cambria Math" w:cs="Cambria Math" w:eastAsiaTheme="minorEastAsia"/>
                          </w:rPr>
                          <m:t>s</m:t>
                        </m:r>
                        <m:ctrlPr>
                          <w:rPr>
                            <w:rFonts w:ascii="Cambria Math" w:hAnsi="Cambria Math" w:cs="Cambria Math" w:eastAsiaTheme="minorEastAsia"/>
                          </w:rPr>
                        </m:ctrlPr>
                      </m:sub>
                    </m:sSub>
                    <m:ctrlPr>
                      <w:rPr>
                        <w:rFonts w:ascii="Cambria Math" w:hAnsi="Cambria Math" w:cs="Cambria Math" w:eastAsiaTheme="minorEastAsia"/>
                      </w:rPr>
                    </m:ctrlPr>
                  </m:num>
                  <m:den>
                    <m:r>
                      <m:rPr>
                        <m:sty m:val="p"/>
                      </m:rPr>
                      <w:rPr>
                        <w:rFonts w:ascii="Cambria Math" w:hAnsi="Cambria Math" w:cs="Cambria Math" w:eastAsiaTheme="minorEastAsia"/>
                      </w:rPr>
                      <m:t>3</m:t>
                    </m:r>
                    <m:sSub>
                      <m:sSubPr>
                        <m:ctrlPr>
                          <w:rPr>
                            <w:rFonts w:ascii="Cambria Math" w:hAnsi="Cambria Math" w:cs="Cambria Math" w:eastAsiaTheme="minorEastAsia"/>
                          </w:rPr>
                        </m:ctrlPr>
                      </m:sSubPr>
                      <m:e>
                        <m:r>
                          <m:rPr>
                            <m:sty m:val="p"/>
                          </m:rPr>
                          <w:rPr>
                            <w:rFonts w:ascii="Cambria Math" w:hAnsi="Cambria Math" w:cs="Cambria Math" w:eastAsiaTheme="minorEastAsia"/>
                          </w:rPr>
                          <m:t>t</m:t>
                        </m:r>
                        <m:ctrlPr>
                          <w:rPr>
                            <w:rFonts w:ascii="Cambria Math" w:hAnsi="Cambria Math" w:cs="Cambria Math" w:eastAsiaTheme="minorEastAsia"/>
                          </w:rPr>
                        </m:ctrlPr>
                      </m:e>
                      <m:sub>
                        <m:r>
                          <m:rPr>
                            <m:sty m:val="p"/>
                          </m:rPr>
                          <w:rPr>
                            <w:rFonts w:ascii="Cambria Math" w:hAnsi="Cambria Math" w:cs="Cambria Math" w:eastAsiaTheme="minorEastAsia"/>
                          </w:rPr>
                          <m:t>s</m:t>
                        </m:r>
                        <m:ctrlPr>
                          <w:rPr>
                            <w:rFonts w:ascii="Cambria Math" w:hAnsi="Cambria Math" w:cs="Cambria Math" w:eastAsiaTheme="minorEastAsia"/>
                          </w:rPr>
                        </m:ctrlPr>
                      </m:sub>
                    </m:sSub>
                    <m:ctrlPr>
                      <w:rPr>
                        <w:rFonts w:ascii="Cambria Math" w:hAnsi="Cambria Math" w:cs="Cambria Math" w:eastAsiaTheme="minorEastAsia"/>
                      </w:rPr>
                    </m:ctrlPr>
                  </m:den>
                </m:f>
              </m:oMath>
            </m:oMathPara>
          </w:p>
        </w:tc>
        <w:tc>
          <w:tcPr>
            <w:tcW w:w="1523" w:type="dxa"/>
            <w:shd w:val="clear" w:color="auto" w:fill="auto"/>
            <w:vAlign w:val="center"/>
          </w:tcPr>
          <w:p>
            <w:pPr>
              <w:pStyle w:val="189"/>
              <w:jc w:val="right"/>
            </w:pPr>
            <w:r>
              <w:rPr>
                <w:rFonts w:hint="eastAsia" w:hAnsi="Times New Roman"/>
                <w:kern w:val="2"/>
              </w:rPr>
              <w:t>（</w:t>
            </w:r>
            <w:r>
              <w:rPr>
                <w:rFonts w:hAnsi="Times New Roman"/>
                <w:kern w:val="2"/>
              </w:rPr>
              <w:t>4.5.6-2</w:t>
            </w:r>
            <w:r>
              <w:rPr>
                <w:rFonts w:hint="eastAsia" w:hAnsi="Times New Roman"/>
                <w:kern w:val="2"/>
              </w:rPr>
              <w:t>）</w:t>
            </w:r>
          </w:p>
        </w:tc>
      </w:tr>
      <w:tr>
        <w:tblPrEx>
          <w:tblCellMar>
            <w:top w:w="0" w:type="dxa"/>
            <w:left w:w="108" w:type="dxa"/>
            <w:bottom w:w="0" w:type="dxa"/>
            <w:right w:w="108" w:type="dxa"/>
          </w:tblCellMar>
        </w:tblPrEx>
        <w:trPr>
          <w:jc w:val="right"/>
        </w:trPr>
        <w:tc>
          <w:tcPr>
            <w:tcW w:w="7299" w:type="dxa"/>
            <w:shd w:val="clear" w:color="auto" w:fill="auto"/>
            <w:vAlign w:val="center"/>
          </w:tcPr>
          <w:p>
            <w:pPr>
              <w:spacing w:line="360" w:lineRule="auto"/>
              <w:jc w:val="center"/>
              <w:rPr>
                <w:rFonts w:ascii="Times New Roman" w:hAnsi="Times New Roman"/>
              </w:rPr>
            </w:pPr>
            <m:oMathPara>
              <m:oMath>
                <m:r>
                  <m:rPr>
                    <m:sty m:val="p"/>
                  </m:rPr>
                  <w:rPr>
                    <w:rFonts w:ascii="Cambria Math" w:hAnsi="Cambria Math" w:cs="Cambria Math"/>
                  </w:rPr>
                  <m:t>θ=</m:t>
                </m:r>
                <m:d>
                  <m:dPr>
                    <m:begChr m:val="{"/>
                    <m:endChr m:val=""/>
                    <m:ctrlPr>
                      <w:rPr>
                        <w:rFonts w:ascii="Cambria Math" w:hAnsi="Cambria Math" w:cs="Cambria Math"/>
                      </w:rPr>
                    </m:ctrlPr>
                  </m:dPr>
                  <m:e>
                    <m:eqArr>
                      <m:eqArrPr>
                        <m:ctrlPr>
                          <w:rPr>
                            <w:rFonts w:ascii="Cambria Math" w:hAnsi="Cambria Math" w:cs="Cambria Math"/>
                          </w:rPr>
                        </m:ctrlPr>
                      </m:eqArrPr>
                      <m:e>
                        <m:f>
                          <m:fPr>
                            <m:ctrlPr>
                              <w:rPr>
                                <w:rFonts w:ascii="Cambria Math" w:hAnsi="Cambria Math" w:cs="Cambria Math"/>
                              </w:rPr>
                            </m:ctrlPr>
                          </m:fPr>
                          <m:num>
                            <m:sSup>
                              <m:sSupPr>
                                <m:ctrlPr>
                                  <w:rPr>
                                    <w:rFonts w:ascii="Cambria Math" w:hAnsi="Cambria Math" w:cs="Cambria Math"/>
                                  </w:rPr>
                                </m:ctrlPr>
                              </m:sSupPr>
                              <m:e>
                                <m:r>
                                  <m:rPr>
                                    <m:sty m:val="p"/>
                                  </m:rPr>
                                  <w:rPr>
                                    <w:rFonts w:ascii="Cambria Math" w:hAnsi="Cambria Math" w:cs="Cambria Math"/>
                                  </w:rPr>
                                  <m:t>H</m:t>
                                </m:r>
                                <m:ctrlPr>
                                  <w:rPr>
                                    <w:rFonts w:ascii="Cambria Math" w:hAnsi="Cambria Math" w:cs="Cambria Math"/>
                                  </w:rPr>
                                </m:ctrlPr>
                              </m:e>
                              <m:sup>
                                <m:r>
                                  <m:rPr>
                                    <m:sty m:val="p"/>
                                  </m:rPr>
                                  <w:rPr>
                                    <w:rFonts w:ascii="Cambria Math" w:hAnsi="Cambria Math" w:cs="Cambria Math"/>
                                  </w:rPr>
                                  <m:t>2</m:t>
                                </m:r>
                                <m:ctrlPr>
                                  <w:rPr>
                                    <w:rFonts w:ascii="Cambria Math" w:hAnsi="Cambria Math" w:cs="Cambria Math"/>
                                  </w:rPr>
                                </m:ctrlPr>
                              </m:sup>
                            </m:sSup>
                            <m:r>
                              <m:rPr>
                                <m:sty m:val="p"/>
                              </m:rPr>
                              <w:rPr>
                                <w:rFonts w:ascii="Cambria Math" w:hAnsi="Cambria Math" w:cs="Cambria Math"/>
                              </w:rPr>
                              <m:t>∙(H+3B)</m:t>
                            </m:r>
                            <m:ctrlPr>
                              <w:rPr>
                                <w:rFonts w:ascii="Cambria Math" w:hAnsi="Cambria Math" w:cs="Cambria Math"/>
                              </w:rPr>
                            </m:ctrlPr>
                          </m:num>
                          <m:den>
                            <m:sSup>
                              <m:sSupPr>
                                <m:ctrlPr>
                                  <w:rPr>
                                    <w:rFonts w:ascii="Cambria Math" w:hAnsi="Cambria Math" w:cs="Cambria Math"/>
                                  </w:rPr>
                                </m:ctrlPr>
                              </m:sSupPr>
                              <m:e>
                                <m:r>
                                  <m:rPr>
                                    <m:sty m:val="p"/>
                                  </m:rPr>
                                  <w:rPr>
                                    <w:rFonts w:ascii="Cambria Math" w:hAnsi="Cambria Math" w:cs="Cambria Math"/>
                                  </w:rPr>
                                  <m:t>(B+H)</m:t>
                                </m:r>
                                <m:ctrlPr>
                                  <w:rPr>
                                    <w:rFonts w:ascii="Cambria Math" w:hAnsi="Cambria Math" w:cs="Cambria Math"/>
                                  </w:rPr>
                                </m:ctrlPr>
                              </m:e>
                              <m:sup>
                                <m:r>
                                  <m:rPr>
                                    <m:sty m:val="p"/>
                                  </m:rPr>
                                  <w:rPr>
                                    <w:rFonts w:ascii="Cambria Math" w:hAnsi="Cambria Math" w:cs="Cambria Math"/>
                                  </w:rPr>
                                  <m:t>3</m:t>
                                </m:r>
                                <m:ctrlPr>
                                  <w:rPr>
                                    <w:rFonts w:ascii="Cambria Math" w:hAnsi="Cambria Math" w:cs="Cambria Math"/>
                                  </w:rPr>
                                </m:ctrlPr>
                              </m:sup>
                            </m:sSup>
                            <m:ctrlPr>
                              <w:rPr>
                                <w:rFonts w:ascii="Cambria Math" w:hAnsi="Cambria Math" w:cs="Cambria Math"/>
                              </w:rPr>
                            </m:ctrlPr>
                          </m:den>
                        </m:f>
                        <m:r>
                          <m:rPr>
                            <m:sty m:val="p"/>
                          </m:rPr>
                          <w:rPr>
                            <w:rFonts w:ascii="Cambria Math" w:hAnsi="Cambria Math" w:cs="Cambria Math"/>
                          </w:rPr>
                          <m:t xml:space="preserve">         </m:t>
                        </m:r>
                        <m:r>
                          <m:rPr>
                            <m:sty m:val="p"/>
                          </m:rPr>
                          <w:rPr>
                            <w:rFonts w:hint="eastAsia" w:ascii="Cambria Math" w:hAnsi="Cambria Math" w:cs="Cambria Math"/>
                          </w:rPr>
                          <m:t>全隐框</m:t>
                        </m:r>
                        <m:ctrlPr>
                          <w:rPr>
                            <w:rFonts w:ascii="Cambria Math" w:hAnsi="Cambria Math" w:cs="Cambria Math"/>
                          </w:rPr>
                        </m:ctrlPr>
                      </m:e>
                      <m:e>
                        <m:f>
                          <m:fPr>
                            <m:ctrlPr>
                              <w:rPr>
                                <w:rFonts w:ascii="Cambria Math" w:hAnsi="Cambria Math" w:cs="Cambria Math"/>
                              </w:rPr>
                            </m:ctrlPr>
                          </m:fPr>
                          <m:num>
                            <m:r>
                              <m:rPr>
                                <m:sty m:val="p"/>
                              </m:rPr>
                              <w:rPr>
                                <w:rFonts w:ascii="Cambria Math" w:hAnsi="Cambria Math" w:cs="Cambria Math"/>
                              </w:rPr>
                              <m:t>3</m:t>
                            </m:r>
                            <m:sSup>
                              <m:sSupPr>
                                <m:ctrlPr>
                                  <w:rPr>
                                    <w:rFonts w:ascii="Cambria Math" w:hAnsi="Cambria Math" w:cs="Cambria Math"/>
                                  </w:rPr>
                                </m:ctrlPr>
                              </m:sSupPr>
                              <m:e>
                                <m:r>
                                  <m:rPr>
                                    <m:sty m:val="p"/>
                                  </m:rPr>
                                  <w:rPr>
                                    <w:rFonts w:ascii="Cambria Math" w:hAnsi="Cambria Math" w:cs="Cambria Math"/>
                                  </w:rPr>
                                  <m:t>H</m:t>
                                </m:r>
                                <m:ctrlPr>
                                  <w:rPr>
                                    <w:rFonts w:ascii="Cambria Math" w:hAnsi="Cambria Math" w:cs="Cambria Math"/>
                                  </w:rPr>
                                </m:ctrlPr>
                              </m:e>
                              <m:sup>
                                <m:r>
                                  <m:rPr>
                                    <m:sty m:val="p"/>
                                  </m:rPr>
                                  <w:rPr>
                                    <w:rFonts w:ascii="Cambria Math" w:hAnsi="Cambria Math" w:cs="Cambria Math"/>
                                  </w:rPr>
                                  <m:t>2</m:t>
                                </m:r>
                                <m:ctrlPr>
                                  <w:rPr>
                                    <w:rFonts w:ascii="Cambria Math" w:hAnsi="Cambria Math" w:cs="Cambria Math"/>
                                  </w:rPr>
                                </m:ctrlPr>
                              </m:sup>
                            </m:sSup>
                            <m:ctrlPr>
                              <w:rPr>
                                <w:rFonts w:ascii="Cambria Math" w:hAnsi="Cambria Math" w:cs="Cambria Math"/>
                              </w:rPr>
                            </m:ctrlPr>
                          </m:num>
                          <m:den>
                            <m:r>
                              <m:rPr>
                                <m:sty m:val="p"/>
                              </m:rPr>
                              <w:rPr>
                                <w:rFonts w:ascii="Cambria Math" w:hAnsi="Cambria Math" w:cs="Cambria Math"/>
                              </w:rPr>
                              <m:t>2</m:t>
                            </m:r>
                            <m:sSup>
                              <m:sSupPr>
                                <m:ctrlPr>
                                  <w:rPr>
                                    <w:rFonts w:ascii="Cambria Math" w:hAnsi="Cambria Math" w:cs="Cambria Math"/>
                                  </w:rPr>
                                </m:ctrlPr>
                              </m:sSupPr>
                              <m:e>
                                <m:r>
                                  <m:rPr>
                                    <m:sty m:val="p"/>
                                  </m:rPr>
                                  <w:rPr>
                                    <w:rFonts w:ascii="Cambria Math" w:hAnsi="Cambria Math" w:cs="Cambria Math"/>
                                  </w:rPr>
                                  <m:t>B</m:t>
                                </m:r>
                                <m:ctrlPr>
                                  <w:rPr>
                                    <w:rFonts w:ascii="Cambria Math" w:hAnsi="Cambria Math" w:cs="Cambria Math"/>
                                  </w:rPr>
                                </m:ctrlPr>
                              </m:e>
                              <m:sup>
                                <m:r>
                                  <m:rPr>
                                    <m:sty m:val="p"/>
                                  </m:rPr>
                                  <w:rPr>
                                    <w:rFonts w:ascii="Cambria Math" w:hAnsi="Cambria Math" w:cs="Cambria Math"/>
                                  </w:rPr>
                                  <m:t>2</m:t>
                                </m:r>
                                <m:ctrlPr>
                                  <w:rPr>
                                    <w:rFonts w:ascii="Cambria Math" w:hAnsi="Cambria Math" w:cs="Cambria Math"/>
                                  </w:rPr>
                                </m:ctrlPr>
                              </m:sup>
                            </m:sSup>
                            <m:r>
                              <m:rPr>
                                <m:sty m:val="p"/>
                              </m:rPr>
                              <w:rPr>
                                <w:rFonts w:ascii="Cambria Math" w:hAnsi="Cambria Math" w:cs="Cambria Math"/>
                              </w:rPr>
                              <m:t>+3</m:t>
                            </m:r>
                            <m:sSup>
                              <m:sSupPr>
                                <m:ctrlPr>
                                  <w:rPr>
                                    <w:rFonts w:ascii="Cambria Math" w:hAnsi="Cambria Math" w:cs="Cambria Math"/>
                                  </w:rPr>
                                </m:ctrlPr>
                              </m:sSupPr>
                              <m:e>
                                <m:r>
                                  <m:rPr>
                                    <m:sty m:val="p"/>
                                  </m:rPr>
                                  <w:rPr>
                                    <w:rFonts w:ascii="Cambria Math" w:hAnsi="Cambria Math" w:cs="Cambria Math"/>
                                  </w:rPr>
                                  <m:t>H</m:t>
                                </m:r>
                                <m:ctrlPr>
                                  <w:rPr>
                                    <w:rFonts w:ascii="Cambria Math" w:hAnsi="Cambria Math" w:cs="Cambria Math"/>
                                  </w:rPr>
                                </m:ctrlPr>
                              </m:e>
                              <m:sup>
                                <m:r>
                                  <m:rPr>
                                    <m:sty m:val="p"/>
                                  </m:rPr>
                                  <w:rPr>
                                    <w:rFonts w:ascii="Cambria Math" w:hAnsi="Cambria Math" w:cs="Cambria Math"/>
                                  </w:rPr>
                                  <m:t>2</m:t>
                                </m:r>
                                <m:ctrlPr>
                                  <w:rPr>
                                    <w:rFonts w:ascii="Cambria Math" w:hAnsi="Cambria Math" w:cs="Cambria Math"/>
                                  </w:rPr>
                                </m:ctrlPr>
                              </m:sup>
                            </m:sSup>
                            <m:ctrlPr>
                              <w:rPr>
                                <w:rFonts w:ascii="Cambria Math" w:hAnsi="Cambria Math" w:cs="Cambria Math"/>
                              </w:rPr>
                            </m:ctrlPr>
                          </m:den>
                        </m:f>
                        <m:r>
                          <m:rPr>
                            <m:sty m:val="p"/>
                          </m:rPr>
                          <w:rPr>
                            <w:rFonts w:ascii="Cambria Math" w:hAnsi="Cambria Math" w:cs="Cambria Math"/>
                          </w:rPr>
                          <m:t xml:space="preserve">        </m:t>
                        </m:r>
                        <m:r>
                          <m:rPr>
                            <m:sty m:val="p"/>
                          </m:rPr>
                          <w:rPr>
                            <w:rFonts w:hint="eastAsia" w:ascii="Cambria Math" w:hAnsi="Cambria Math" w:cs="Cambria Math"/>
                          </w:rPr>
                          <m:t>竖明横隐</m:t>
                        </m:r>
                        <m:ctrlPr>
                          <w:rPr>
                            <w:rFonts w:ascii="Cambria Math" w:hAnsi="Cambria Math" w:cs="Cambria Math"/>
                          </w:rPr>
                        </m:ctrlPr>
                      </m:e>
                      <m:e>
                        <m:f>
                          <m:fPr>
                            <m:ctrlPr>
                              <w:rPr>
                                <w:rFonts w:ascii="Cambria Math" w:hAnsi="Cambria Math" w:cs="Cambria Math"/>
                              </w:rPr>
                            </m:ctrlPr>
                          </m:fPr>
                          <m:num>
                            <m:r>
                              <m:rPr>
                                <m:sty m:val="p"/>
                              </m:rPr>
                              <w:rPr>
                                <w:rFonts w:ascii="Cambria Math" w:hAnsi="Cambria Math" w:cs="Cambria Math"/>
                              </w:rPr>
                              <m:t>2</m:t>
                            </m:r>
                            <m:sSup>
                              <m:sSupPr>
                                <m:ctrlPr>
                                  <w:rPr>
                                    <w:rFonts w:ascii="Cambria Math" w:hAnsi="Cambria Math" w:cs="Cambria Math"/>
                                  </w:rPr>
                                </m:ctrlPr>
                              </m:sSupPr>
                              <m:e>
                                <m:r>
                                  <m:rPr>
                                    <m:sty m:val="p"/>
                                  </m:rPr>
                                  <w:rPr>
                                    <w:rFonts w:ascii="Cambria Math" w:hAnsi="Cambria Math" w:cs="Cambria Math"/>
                                  </w:rPr>
                                  <m:t>H</m:t>
                                </m:r>
                                <m:ctrlPr>
                                  <w:rPr>
                                    <w:rFonts w:ascii="Cambria Math" w:hAnsi="Cambria Math" w:cs="Cambria Math"/>
                                  </w:rPr>
                                </m:ctrlPr>
                              </m:e>
                              <m:sup>
                                <m:r>
                                  <m:rPr>
                                    <m:sty m:val="p"/>
                                  </m:rPr>
                                  <w:rPr>
                                    <w:rFonts w:ascii="Cambria Math" w:hAnsi="Cambria Math" w:cs="Cambria Math"/>
                                  </w:rPr>
                                  <m:t>2</m:t>
                                </m:r>
                                <m:ctrlPr>
                                  <w:rPr>
                                    <w:rFonts w:ascii="Cambria Math" w:hAnsi="Cambria Math" w:cs="Cambria Math"/>
                                  </w:rPr>
                                </m:ctrlPr>
                              </m:sup>
                            </m:sSup>
                            <m:ctrlPr>
                              <w:rPr>
                                <w:rFonts w:ascii="Cambria Math" w:hAnsi="Cambria Math" w:cs="Cambria Math"/>
                              </w:rPr>
                            </m:ctrlPr>
                          </m:num>
                          <m:den>
                            <m:r>
                              <m:rPr>
                                <m:sty m:val="p"/>
                              </m:rPr>
                              <w:rPr>
                                <w:rFonts w:ascii="Cambria Math" w:hAnsi="Cambria Math" w:cs="Cambria Math"/>
                              </w:rPr>
                              <m:t>3</m:t>
                            </m:r>
                            <m:sSup>
                              <m:sSupPr>
                                <m:ctrlPr>
                                  <w:rPr>
                                    <w:rFonts w:ascii="Cambria Math" w:hAnsi="Cambria Math" w:cs="Cambria Math"/>
                                  </w:rPr>
                                </m:ctrlPr>
                              </m:sSupPr>
                              <m:e>
                                <m:r>
                                  <m:rPr>
                                    <m:sty m:val="p"/>
                                  </m:rPr>
                                  <w:rPr>
                                    <w:rFonts w:ascii="Cambria Math" w:hAnsi="Cambria Math" w:cs="Cambria Math"/>
                                  </w:rPr>
                                  <m:t>B</m:t>
                                </m:r>
                                <m:ctrlPr>
                                  <w:rPr>
                                    <w:rFonts w:ascii="Cambria Math" w:hAnsi="Cambria Math" w:cs="Cambria Math"/>
                                  </w:rPr>
                                </m:ctrlPr>
                              </m:e>
                              <m:sup>
                                <m:r>
                                  <m:rPr>
                                    <m:sty m:val="p"/>
                                  </m:rPr>
                                  <w:rPr>
                                    <w:rFonts w:ascii="Cambria Math" w:hAnsi="Cambria Math" w:cs="Cambria Math"/>
                                  </w:rPr>
                                  <m:t>2</m:t>
                                </m:r>
                                <m:ctrlPr>
                                  <w:rPr>
                                    <w:rFonts w:ascii="Cambria Math" w:hAnsi="Cambria Math" w:cs="Cambria Math"/>
                                  </w:rPr>
                                </m:ctrlPr>
                              </m:sup>
                            </m:sSup>
                            <m:r>
                              <m:rPr>
                                <m:sty m:val="p"/>
                              </m:rPr>
                              <w:rPr>
                                <w:rFonts w:ascii="Cambria Math" w:hAnsi="Cambria Math" w:cs="Cambria Math"/>
                              </w:rPr>
                              <m:t>+2</m:t>
                            </m:r>
                            <m:sSup>
                              <m:sSupPr>
                                <m:ctrlPr>
                                  <w:rPr>
                                    <w:rFonts w:ascii="Cambria Math" w:hAnsi="Cambria Math" w:cs="Cambria Math"/>
                                  </w:rPr>
                                </m:ctrlPr>
                              </m:sSupPr>
                              <m:e>
                                <m:r>
                                  <m:rPr>
                                    <m:sty m:val="p"/>
                                  </m:rPr>
                                  <w:rPr>
                                    <w:rFonts w:ascii="Cambria Math" w:hAnsi="Cambria Math" w:cs="Cambria Math"/>
                                  </w:rPr>
                                  <m:t>H</m:t>
                                </m:r>
                                <m:ctrlPr>
                                  <w:rPr>
                                    <w:rFonts w:ascii="Cambria Math" w:hAnsi="Cambria Math" w:cs="Cambria Math"/>
                                  </w:rPr>
                                </m:ctrlPr>
                              </m:e>
                              <m:sup>
                                <m:r>
                                  <m:rPr>
                                    <m:sty m:val="p"/>
                                  </m:rPr>
                                  <w:rPr>
                                    <w:rFonts w:ascii="Cambria Math" w:hAnsi="Cambria Math" w:cs="Cambria Math"/>
                                  </w:rPr>
                                  <m:t>2</m:t>
                                </m:r>
                                <m:ctrlPr>
                                  <w:rPr>
                                    <w:rFonts w:ascii="Cambria Math" w:hAnsi="Cambria Math" w:cs="Cambria Math"/>
                                  </w:rPr>
                                </m:ctrlPr>
                              </m:sup>
                            </m:sSup>
                            <m:ctrlPr>
                              <w:rPr>
                                <w:rFonts w:ascii="Cambria Math" w:hAnsi="Cambria Math" w:cs="Cambria Math"/>
                              </w:rPr>
                            </m:ctrlPr>
                          </m:den>
                        </m:f>
                        <m:r>
                          <m:rPr>
                            <m:sty m:val="p"/>
                          </m:rPr>
                          <w:rPr>
                            <w:rFonts w:ascii="Cambria Math" w:hAnsi="Cambria Math" w:cs="Cambria Math"/>
                          </w:rPr>
                          <m:t xml:space="preserve">         </m:t>
                        </m:r>
                        <m:r>
                          <m:rPr>
                            <m:sty m:val="p"/>
                          </m:rPr>
                          <w:rPr>
                            <w:rFonts w:hint="eastAsia" w:ascii="Cambria Math" w:hAnsi="Cambria Math" w:cs="Cambria Math"/>
                          </w:rPr>
                          <m:t>竖隐横明</m:t>
                        </m:r>
                        <m:ctrlPr>
                          <w:rPr>
                            <w:rFonts w:ascii="Cambria Math" w:hAnsi="Cambria Math" w:cs="Cambria Math"/>
                          </w:rPr>
                        </m:ctrlPr>
                      </m:e>
                    </m:eqArr>
                    <m:ctrlPr>
                      <w:rPr>
                        <w:rFonts w:ascii="Cambria Math" w:hAnsi="Cambria Math" w:cs="Cambria Math"/>
                      </w:rPr>
                    </m:ctrlPr>
                  </m:e>
                </m:d>
              </m:oMath>
            </m:oMathPara>
          </w:p>
        </w:tc>
        <w:tc>
          <w:tcPr>
            <w:tcW w:w="1523" w:type="dxa"/>
            <w:shd w:val="clear" w:color="auto" w:fill="auto"/>
            <w:vAlign w:val="center"/>
          </w:tcPr>
          <w:p>
            <w:pPr>
              <w:pStyle w:val="189"/>
              <w:jc w:val="right"/>
            </w:pPr>
            <w:r>
              <w:rPr>
                <w:rFonts w:hint="eastAsia" w:hAnsi="Times New Roman"/>
                <w:kern w:val="2"/>
              </w:rPr>
              <w:t>（</w:t>
            </w:r>
            <w:r>
              <w:rPr>
                <w:rFonts w:hAnsi="Times New Roman"/>
                <w:kern w:val="2"/>
              </w:rPr>
              <w:t>4.5.6-3</w:t>
            </w:r>
            <w:r>
              <w:rPr>
                <w:rFonts w:hint="eastAsia" w:hAnsi="Times New Roman"/>
                <w:kern w:val="2"/>
              </w:rPr>
              <w:t>）</w:t>
            </w:r>
          </w:p>
        </w:tc>
      </w:tr>
    </w:tbl>
    <w:p>
      <w:pPr>
        <w:pStyle w:val="189"/>
      </w:pPr>
      <w:r>
        <w:rPr>
          <w:rFonts w:hint="eastAsia"/>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i/>
              </w:rPr>
            </w:pPr>
            <m:oMathPara>
              <m:oMathParaPr>
                <m:jc m:val="right"/>
              </m:oMathParaPr>
              <m:oMath>
                <m:r>
                  <m:rPr/>
                  <w:rPr>
                    <w:rFonts w:ascii="Cambria Math" w:hAnsi="Cambria Math"/>
                  </w:rPr>
                  <m:t>B</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rFonts w:hint="eastAsia"/>
              </w:rPr>
              <w:t>玻璃面板宽度 (mm)；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i/>
              </w:rPr>
            </w:pPr>
            <m:oMathPara>
              <m:oMathParaPr>
                <m:jc m:val="right"/>
              </m:oMathParaPr>
              <m:oMath>
                <m:r>
                  <m:rPr/>
                  <w:rPr>
                    <w:rFonts w:hint="eastAsia" w:ascii="Cambria Math" w:hAnsi="Cambria Math"/>
                  </w:rPr>
                  <m:t>H</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rFonts w:hint="eastAsia"/>
              </w:rPr>
              <w:t>玻璃面板高度 (mm)；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i/>
              </w:rPr>
            </w:pPr>
            <m:oMathPara>
              <m:oMathParaPr>
                <m:jc m:val="right"/>
              </m:oMathParaPr>
              <m:oMath>
                <m:r>
                  <m:rPr/>
                  <w:rPr>
                    <w:rFonts w:ascii="Cambria Math" w:hAnsi="Cambria Math"/>
                  </w:rPr>
                  <m:t>E</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rFonts w:hint="eastAsia"/>
              </w:rPr>
              <w:t>结构胶弹性模量 (MPa)；</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i/>
              </w:rPr>
            </w:pPr>
            <m:oMathPara>
              <m:oMathParaPr>
                <m:jc m:val="right"/>
              </m:oMathParaPr>
              <m:oMath>
                <m:sSub>
                  <m:sSubPr>
                    <m:ctrlPr>
                      <w:rPr>
                        <w:rFonts w:ascii="Cambria Math" w:hAnsi="Cambria Math" w:cs="Cambria Math"/>
                      </w:rPr>
                    </m:ctrlPr>
                  </m:sSubPr>
                  <m:e>
                    <m:r>
                      <m:rPr/>
                      <w:rPr>
                        <w:rFonts w:ascii="Cambria Math" w:hAnsi="Cambria Math" w:cs="Cambria Math"/>
                      </w:rPr>
                      <m:t>C</m:t>
                    </m:r>
                    <m:ctrlPr>
                      <w:rPr>
                        <w:rFonts w:ascii="Cambria Math" w:hAnsi="Cambria Math" w:cs="Cambria Math"/>
                      </w:rPr>
                    </m:ctrlPr>
                  </m:e>
                  <m:sub>
                    <m:r>
                      <m:rPr>
                        <m:sty m:val="p"/>
                      </m:rPr>
                      <w:rPr>
                        <w:rFonts w:ascii="Cambria Math" w:hAnsi="Cambria Math" w:cs="Cambria Math"/>
                      </w:rPr>
                      <m:t>s</m:t>
                    </m:r>
                    <m:ctrlPr>
                      <w:rPr>
                        <w:rFonts w:ascii="Cambria Math" w:hAnsi="Cambria Math" w:cs="Cambria Math"/>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rFonts w:hint="eastAsia"/>
              </w:rPr>
              <w:t>结构胶宽度 (mm)；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i/>
              </w:rPr>
            </w:pPr>
            <m:oMathPara>
              <m:oMathParaPr>
                <m:jc m:val="right"/>
              </m:oMathParaPr>
              <m:oMath>
                <m:sSub>
                  <m:sSubPr>
                    <m:ctrlPr>
                      <w:rPr>
                        <w:rFonts w:ascii="Cambria Math" w:hAnsi="Cambria Math" w:cs="Cambria Math"/>
                      </w:rPr>
                    </m:ctrlPr>
                  </m:sSubPr>
                  <m:e>
                    <m:r>
                      <m:rPr/>
                      <w:rPr>
                        <w:rFonts w:ascii="Cambria Math" w:hAnsi="Cambria Math" w:cs="Cambria Math"/>
                      </w:rPr>
                      <m:t>t</m:t>
                    </m:r>
                    <m:ctrlPr>
                      <w:rPr>
                        <w:rFonts w:ascii="Cambria Math" w:hAnsi="Cambria Math" w:cs="Cambria Math"/>
                      </w:rPr>
                    </m:ctrlPr>
                  </m:e>
                  <m:sub>
                    <m:r>
                      <m:rPr>
                        <m:sty m:val="p"/>
                      </m:rPr>
                      <w:rPr>
                        <w:rFonts w:ascii="Cambria Math" w:hAnsi="Cambria Math" w:cs="Cambria Math"/>
                      </w:rPr>
                      <m:t>s</m:t>
                    </m:r>
                    <m:ctrlPr>
                      <w:rPr>
                        <w:rFonts w:ascii="Cambria Math" w:hAnsi="Cambria Math" w:cs="Cambria Math"/>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rFonts w:hint="eastAsia"/>
              </w:rPr>
              <w:t>结构胶厚度 (mm)。</w:t>
            </w:r>
          </w:p>
        </w:tc>
      </w:tr>
    </w:tbl>
    <w:p>
      <w:pPr>
        <w:pStyle w:val="189"/>
      </w:pPr>
    </w:p>
    <w:p>
      <w:pPr>
        <w:pStyle w:val="189"/>
      </w:pPr>
    </w:p>
    <w:p>
      <w:pPr>
        <w:rPr>
          <w:rFonts w:ascii="Times New Roman" w:hAnsi="Times New Roman"/>
        </w:rPr>
        <w:sectPr>
          <w:footerReference r:id="rId11" w:type="default"/>
          <w:pgSz w:w="11906" w:h="16838"/>
          <w:pgMar w:top="1418" w:right="1418" w:bottom="1418" w:left="1418" w:header="851" w:footer="992" w:gutter="0"/>
          <w:cols w:space="720" w:num="1"/>
          <w:docGrid w:linePitch="312" w:charSpace="0"/>
        </w:sectPr>
      </w:pPr>
    </w:p>
    <w:bookmarkEnd w:id="24"/>
    <w:p>
      <w:pPr>
        <w:pStyle w:val="2"/>
        <w:rPr>
          <w:rFonts w:ascii="Times New Roman" w:hAnsi="Times New Roman"/>
        </w:rPr>
      </w:pPr>
      <w:bookmarkStart w:id="37" w:name="_Toc162996214"/>
      <w:r>
        <w:rPr>
          <w:rFonts w:ascii="Times New Roman" w:hAnsi="Times New Roman"/>
        </w:rPr>
        <w:t>5 面板</w:t>
      </w:r>
      <w:bookmarkEnd w:id="25"/>
      <w:bookmarkEnd w:id="37"/>
      <w:r>
        <w:rPr>
          <w:rFonts w:hint="eastAsia" w:ascii="Times New Roman" w:hAnsi="Times New Roman"/>
        </w:rPr>
        <w:t>计算</w:t>
      </w:r>
    </w:p>
    <w:p>
      <w:pPr>
        <w:pStyle w:val="6"/>
        <w:rPr>
          <w:rFonts w:ascii="Times New Roman" w:hAnsi="Times New Roman"/>
        </w:rPr>
      </w:pPr>
      <w:bookmarkStart w:id="38" w:name="_Toc81378715"/>
      <w:bookmarkStart w:id="39" w:name="_Toc162996215"/>
      <w:r>
        <w:rPr>
          <w:rFonts w:ascii="Times New Roman" w:hAnsi="Times New Roman"/>
        </w:rPr>
        <w:t>5.1 一般规定</w:t>
      </w:r>
      <w:bookmarkEnd w:id="38"/>
      <w:bookmarkEnd w:id="39"/>
    </w:p>
    <w:p>
      <w:pPr>
        <w:pStyle w:val="189"/>
        <w:rPr>
          <w:b/>
        </w:rPr>
      </w:pPr>
      <w:r>
        <w:rPr>
          <w:rFonts w:hint="eastAsia"/>
          <w:b/>
        </w:rPr>
        <w:t>5</w:t>
      </w:r>
      <w:r>
        <w:rPr>
          <w:b/>
        </w:rPr>
        <w:t>.1.1</w:t>
      </w:r>
      <w:r>
        <w:rPr>
          <w:rFonts w:hint="eastAsia"/>
          <w:b/>
        </w:rPr>
        <w:t xml:space="preserve"> </w:t>
      </w:r>
      <w:r>
        <w:t>面板计算应根据面板材料、外形、截面形式和连接方式，采用合理的结构分析方法进行计算。非常规面板应采用数值模拟分析</w:t>
      </w:r>
      <w:r>
        <w:rPr>
          <w:rFonts w:hint="eastAsia"/>
        </w:rPr>
        <w:t>。</w:t>
      </w:r>
      <w:r>
        <w:t>面板计算应满足规定的</w:t>
      </w:r>
      <w:r>
        <w:rPr>
          <w:rFonts w:hint="eastAsia"/>
        </w:rPr>
        <w:t>强度及</w:t>
      </w:r>
      <w:r>
        <w:t>刚度。幕墙面板与其支承结构应具有足够的相对位移能力。</w:t>
      </w:r>
    </w:p>
    <w:p>
      <w:pPr>
        <w:pStyle w:val="120"/>
        <w:rPr>
          <w:rFonts w:ascii="Times New Roman" w:hAnsi="Times New Roman"/>
        </w:rPr>
      </w:pPr>
      <w:r>
        <w:rPr>
          <w:rFonts w:ascii="Times New Roman" w:hAnsi="Times New Roman"/>
        </w:rPr>
        <w:t>【条文说明】5.1.1 应根据面板选材、外观形状常规或异型、平面内外、面板截面复杂形式和面板的固定连接方式，综合确定面板结构计算方法，可采用解析法、数值模拟分析法、实验力学分析法。</w:t>
      </w:r>
      <w:r>
        <w:rPr>
          <w:rFonts w:hint="eastAsia" w:ascii="Times New Roman" w:hAnsi="Times New Roman"/>
        </w:rPr>
        <w:t>如曲面面板、异型面板等。</w:t>
      </w:r>
    </w:p>
    <w:p>
      <w:pPr>
        <w:spacing w:line="360" w:lineRule="auto"/>
        <w:rPr>
          <w:rFonts w:ascii="Times New Roman" w:hAnsi="Times New Roman"/>
          <w:b/>
        </w:rPr>
      </w:pPr>
      <w:r>
        <w:rPr>
          <w:rFonts w:ascii="Times New Roman" w:hAnsi="Times New Roman" w:cs="Times New Roman"/>
          <w:b/>
          <w:bCs/>
          <w:szCs w:val="21"/>
        </w:rPr>
        <w:t>5.1.2</w:t>
      </w:r>
      <w:r>
        <w:rPr>
          <w:rFonts w:ascii="Times New Roman" w:hAnsi="Times New Roman"/>
          <w:b/>
        </w:rPr>
        <w:t xml:space="preserve"> </w:t>
      </w:r>
      <w:r>
        <w:rPr>
          <w:rFonts w:ascii="Times New Roman" w:hAnsi="Times New Roman" w:cs="Times New Roman"/>
          <w:bCs/>
          <w:szCs w:val="21"/>
        </w:rPr>
        <w:t>面板结构计算，应考虑永久作用、风荷载、地震荷载和温度作用。</w:t>
      </w:r>
      <w:r>
        <w:rPr>
          <w:rFonts w:hint="eastAsia" w:ascii="Times New Roman" w:hAnsi="Times New Roman" w:cs="Times New Roman"/>
          <w:bCs/>
          <w:szCs w:val="21"/>
        </w:rPr>
        <w:t>与水平面夹角小于7</w:t>
      </w:r>
      <w:r>
        <w:rPr>
          <w:rFonts w:ascii="Times New Roman" w:hAnsi="Times New Roman" w:cs="Times New Roman"/>
          <w:bCs/>
          <w:szCs w:val="21"/>
        </w:rPr>
        <w:t>5度的面板，尚应考虑雪荷载、活荷载。</w:t>
      </w:r>
    </w:p>
    <w:p>
      <w:pPr>
        <w:pStyle w:val="120"/>
        <w:rPr>
          <w:rFonts w:ascii="Times New Roman" w:hAnsi="Times New Roman"/>
        </w:rPr>
      </w:pPr>
      <w:r>
        <w:rPr>
          <w:rFonts w:ascii="Times New Roman" w:hAnsi="Times New Roman"/>
        </w:rPr>
        <w:t>【条文说明】5.1.2 应考虑永久作用（结构自重、预应力、引起结构外加变形或约束变形的各种施工因素）、可变作用（风荷载、多遇地震、正常撞击、温度变化）、偶然作用（撞击、爆炸、罕遇地震、龙卷风、火灾、极严重的侵蚀、洪水作用）</w:t>
      </w:r>
      <w:r>
        <w:rPr>
          <w:rFonts w:hint="eastAsia" w:ascii="Times New Roman" w:hAnsi="Times New Roman"/>
        </w:rPr>
        <w:t>。</w:t>
      </w:r>
    </w:p>
    <w:p>
      <w:pPr>
        <w:spacing w:line="360" w:lineRule="auto"/>
        <w:rPr>
          <w:rFonts w:ascii="Times New Roman" w:hAnsi="Times New Roman"/>
        </w:rPr>
      </w:pPr>
      <w:r>
        <w:rPr>
          <w:rFonts w:hint="eastAsia" w:ascii="Times New Roman" w:hAnsi="Times New Roman" w:cs="Times New Roman"/>
          <w:b/>
          <w:bCs/>
          <w:szCs w:val="21"/>
        </w:rPr>
        <w:t>5.1.</w:t>
      </w:r>
      <w:r>
        <w:rPr>
          <w:rFonts w:ascii="Times New Roman" w:hAnsi="Times New Roman" w:cs="Times New Roman"/>
          <w:b/>
          <w:bCs/>
          <w:szCs w:val="21"/>
        </w:rPr>
        <w:t>3</w:t>
      </w:r>
      <w:r>
        <w:rPr>
          <w:rFonts w:hint="eastAsia" w:ascii="Times New Roman" w:hAnsi="Times New Roman" w:cs="Times New Roman"/>
          <w:b/>
          <w:bCs/>
          <w:szCs w:val="21"/>
        </w:rPr>
        <w:t xml:space="preserve"> </w:t>
      </w:r>
      <w:r>
        <w:rPr>
          <w:rFonts w:ascii="Times New Roman" w:hAnsi="Times New Roman"/>
        </w:rPr>
        <w:t>面板计算时，各种荷载</w:t>
      </w:r>
      <w:r>
        <w:rPr>
          <w:rFonts w:hint="eastAsia" w:ascii="Times New Roman" w:hAnsi="Times New Roman"/>
        </w:rPr>
        <w:t>（或</w:t>
      </w:r>
      <w:r>
        <w:rPr>
          <w:rFonts w:ascii="Times New Roman" w:hAnsi="Times New Roman"/>
        </w:rPr>
        <w:t>作用</w:t>
      </w:r>
      <w:r>
        <w:rPr>
          <w:rFonts w:hint="eastAsia" w:ascii="Times New Roman" w:hAnsi="Times New Roman"/>
        </w:rPr>
        <w:t>）</w:t>
      </w:r>
      <w:r>
        <w:rPr>
          <w:rFonts w:ascii="Times New Roman" w:hAnsi="Times New Roman"/>
        </w:rPr>
        <w:t>应按本</w:t>
      </w:r>
      <w:r>
        <w:rPr>
          <w:rFonts w:hint="eastAsia" w:ascii="Times New Roman" w:hAnsi="Times New Roman"/>
        </w:rPr>
        <w:t>标准</w:t>
      </w:r>
      <w:r>
        <w:rPr>
          <w:rFonts w:ascii="Times New Roman" w:hAnsi="Times New Roman"/>
        </w:rPr>
        <w:t>4.4</w:t>
      </w:r>
      <w:r>
        <w:rPr>
          <w:rFonts w:hint="eastAsia" w:ascii="Times New Roman" w:hAnsi="Times New Roman"/>
        </w:rPr>
        <w:t>的</w:t>
      </w:r>
      <w:r>
        <w:rPr>
          <w:rFonts w:ascii="Times New Roman" w:hAnsi="Times New Roman"/>
        </w:rPr>
        <w:t>规定组合，最</w:t>
      </w:r>
      <w:r>
        <w:rPr>
          <w:rFonts w:hint="eastAsia" w:ascii="Times New Roman" w:hAnsi="Times New Roman"/>
        </w:rPr>
        <w:t>大应力设计值不超过面板强度设计值。</w:t>
      </w:r>
    </w:p>
    <w:p>
      <w:pPr>
        <w:spacing w:line="360" w:lineRule="auto"/>
        <w:rPr>
          <w:rFonts w:ascii="Times New Roman" w:hAnsi="Times New Roman"/>
        </w:rPr>
      </w:pPr>
      <w:r>
        <w:rPr>
          <w:rFonts w:hint="eastAsia" w:ascii="Times New Roman" w:hAnsi="Times New Roman" w:cs="Times New Roman"/>
          <w:b/>
          <w:bCs/>
          <w:szCs w:val="21"/>
        </w:rPr>
        <w:t>5.1.</w:t>
      </w:r>
      <w:r>
        <w:rPr>
          <w:rFonts w:ascii="Times New Roman" w:hAnsi="Times New Roman" w:cs="Times New Roman"/>
          <w:b/>
          <w:bCs/>
          <w:szCs w:val="21"/>
        </w:rPr>
        <w:t>4</w:t>
      </w:r>
      <w:r>
        <w:rPr>
          <w:rFonts w:ascii="Times New Roman" w:hAnsi="Times New Roman"/>
          <w:b/>
        </w:rPr>
        <w:t xml:space="preserve"> </w:t>
      </w:r>
      <w:r>
        <w:rPr>
          <w:rFonts w:ascii="Times New Roman" w:hAnsi="Times New Roman"/>
        </w:rPr>
        <w:t>面板与幕墙支承结构的连接，应能满足各作用</w:t>
      </w:r>
      <w:r>
        <w:rPr>
          <w:rFonts w:hint="eastAsia" w:ascii="Times New Roman" w:hAnsi="Times New Roman"/>
        </w:rPr>
        <w:t>所产生幕墙平面内和平面外的变形要求。</w:t>
      </w:r>
    </w:p>
    <w:p>
      <w:pPr>
        <w:spacing w:line="360" w:lineRule="auto"/>
        <w:rPr>
          <w:rFonts w:ascii="Times New Roman" w:hAnsi="Times New Roman"/>
        </w:rPr>
      </w:pPr>
      <w:r>
        <w:rPr>
          <w:rFonts w:hint="eastAsia" w:ascii="Times New Roman" w:hAnsi="Times New Roman" w:cs="Times New Roman"/>
          <w:b/>
          <w:bCs/>
          <w:szCs w:val="21"/>
        </w:rPr>
        <w:t>5.1.</w:t>
      </w:r>
      <w:r>
        <w:rPr>
          <w:rFonts w:ascii="Times New Roman" w:hAnsi="Times New Roman" w:cs="Times New Roman"/>
          <w:b/>
          <w:bCs/>
          <w:szCs w:val="21"/>
        </w:rPr>
        <w:t>5</w:t>
      </w:r>
      <w:r>
        <w:rPr>
          <w:rFonts w:ascii="Times New Roman" w:hAnsi="Times New Roman"/>
          <w:b/>
        </w:rPr>
        <w:t xml:space="preserve"> </w:t>
      </w:r>
      <w:r>
        <w:rPr>
          <w:rFonts w:ascii="Times New Roman" w:hAnsi="Times New Roman"/>
        </w:rPr>
        <w:t>面板的挠度应符合表5.1.5</w:t>
      </w:r>
      <w:r>
        <w:rPr>
          <w:rFonts w:hint="eastAsia" w:ascii="Times New Roman" w:hAnsi="Times New Roman"/>
        </w:rPr>
        <w:t>的规定。</w:t>
      </w:r>
    </w:p>
    <w:p>
      <w:pPr>
        <w:jc w:val="center"/>
        <w:rPr>
          <w:rFonts w:ascii="Times New Roman" w:hAnsi="Times New Roman"/>
        </w:rPr>
      </w:pPr>
      <w:r>
        <w:rPr>
          <w:rFonts w:hint="eastAsia" w:ascii="Times New Roman" w:hAnsi="Times New Roman"/>
        </w:rPr>
        <w:t>表</w:t>
      </w:r>
      <w:r>
        <w:rPr>
          <w:rFonts w:ascii="Times New Roman" w:hAnsi="Times New Roman"/>
          <w:b/>
        </w:rPr>
        <w:t xml:space="preserve">5.1.5 </w:t>
      </w:r>
      <w:r>
        <w:rPr>
          <w:rFonts w:ascii="Times New Roman" w:hAnsi="Times New Roman"/>
        </w:rPr>
        <w:t>幕墙面板的挠度限值</w:t>
      </w:r>
      <m:oMath>
        <m:sSub>
          <m:sSubPr>
            <m:ctrlPr>
              <w:rPr>
                <w:rFonts w:ascii="Cambria Math" w:hAnsi="Cambria Math"/>
                <w:iCs/>
              </w:rPr>
            </m:ctrlPr>
          </m:sSubPr>
          <m:e>
            <m:r>
              <m:rPr/>
              <w:rPr>
                <w:rFonts w:ascii="Cambria Math" w:hAnsi="Cambria Math"/>
              </w:rPr>
              <m:t>d</m:t>
            </m:r>
            <m:ctrlPr>
              <w:rPr>
                <w:rFonts w:ascii="Cambria Math" w:hAnsi="Cambria Math"/>
                <w:iCs/>
              </w:rPr>
            </m:ctrlPr>
          </m:e>
          <m:sub>
            <m:r>
              <m:rPr/>
              <w:rPr>
                <w:rFonts w:ascii="Cambria Math" w:hAnsi="Cambria Math"/>
              </w:rPr>
              <m:t>f，lim</m:t>
            </m:r>
            <m:ctrlPr>
              <w:rPr>
                <w:rFonts w:ascii="Cambria Math" w:hAnsi="Cambria Math"/>
                <w:iCs/>
              </w:rPr>
            </m:ctrlPr>
          </m:sub>
        </m:sSub>
      </m:oMath>
    </w:p>
    <w:tbl>
      <w:tblPr>
        <w:tblStyle w:val="38"/>
        <w:tblW w:w="47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31"/>
        <w:gridCol w:w="2936"/>
        <w:gridCol w:w="2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Align w:val="center"/>
          </w:tcPr>
          <w:p>
            <w:pPr>
              <w:jc w:val="center"/>
              <w:rPr>
                <w:rFonts w:ascii="Times New Roman" w:hAnsi="Times New Roman"/>
                <w:sz w:val="21"/>
                <w:szCs w:val="21"/>
              </w:rPr>
            </w:pPr>
            <w:r>
              <w:rPr>
                <w:rFonts w:hint="eastAsia" w:ascii="Times New Roman" w:hAnsi="Times New Roman"/>
                <w:sz w:val="21"/>
                <w:szCs w:val="21"/>
              </w:rPr>
              <w:t>幕墙结构类型</w:t>
            </w: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面板种类</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挠度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Merge w:val="restart"/>
            <w:vAlign w:val="center"/>
          </w:tcPr>
          <w:p>
            <w:pPr>
              <w:jc w:val="center"/>
              <w:rPr>
                <w:rFonts w:ascii="Times New Roman" w:hAnsi="Times New Roman"/>
                <w:sz w:val="21"/>
                <w:szCs w:val="21"/>
              </w:rPr>
            </w:pPr>
            <w:r>
              <w:rPr>
                <w:rFonts w:hint="eastAsia" w:ascii="Times New Roman" w:hAnsi="Times New Roman"/>
                <w:sz w:val="21"/>
                <w:szCs w:val="21"/>
              </w:rPr>
              <w:t>构件式玻璃幕墙</w:t>
            </w:r>
          </w:p>
          <w:p>
            <w:pPr>
              <w:jc w:val="center"/>
              <w:rPr>
                <w:rFonts w:ascii="Times New Roman" w:hAnsi="Times New Roman"/>
                <w:sz w:val="21"/>
                <w:szCs w:val="21"/>
              </w:rPr>
            </w:pPr>
            <w:r>
              <w:rPr>
                <w:rFonts w:hint="eastAsia" w:ascii="Times New Roman" w:hAnsi="Times New Roman"/>
                <w:sz w:val="21"/>
                <w:szCs w:val="21"/>
              </w:rPr>
              <w:t>单元式玻璃幕墙</w:t>
            </w: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玻璃面板</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四边支承：短边距</w:t>
            </w:r>
            <w:r>
              <w:rPr>
                <w:rFonts w:ascii="Times New Roman" w:hAnsi="Times New Roman"/>
                <w:sz w:val="21"/>
                <w:szCs w:val="21"/>
              </w:rPr>
              <w:t>/60</w:t>
            </w:r>
          </w:p>
          <w:p>
            <w:pPr>
              <w:jc w:val="center"/>
              <w:rPr>
                <w:rFonts w:ascii="Times New Roman" w:hAnsi="Times New Roman"/>
                <w:sz w:val="21"/>
                <w:szCs w:val="21"/>
              </w:rPr>
            </w:pPr>
            <w:r>
              <w:rPr>
                <w:rFonts w:ascii="Times New Roman" w:hAnsi="Times New Roman"/>
                <w:sz w:val="21"/>
                <w:szCs w:val="21"/>
              </w:rPr>
              <w:t>对边支承：跨距/60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Merge w:val="continue"/>
            <w:vAlign w:val="center"/>
          </w:tcPr>
          <w:p>
            <w:pPr>
              <w:jc w:val="center"/>
              <w:rPr>
                <w:rFonts w:ascii="Times New Roman" w:hAnsi="Times New Roman"/>
                <w:sz w:val="21"/>
                <w:szCs w:val="21"/>
              </w:rPr>
            </w:pP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光伏玻璃面板</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短边距</w:t>
            </w:r>
            <w:r>
              <w:rPr>
                <w:rFonts w:ascii="Times New Roman" w:hAnsi="Times New Roman"/>
                <w:sz w:val="21"/>
                <w:szCs w:val="21"/>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Align w:val="center"/>
          </w:tcPr>
          <w:p>
            <w:pPr>
              <w:jc w:val="center"/>
              <w:rPr>
                <w:rFonts w:ascii="Times New Roman" w:hAnsi="Times New Roman"/>
                <w:sz w:val="21"/>
                <w:szCs w:val="21"/>
              </w:rPr>
            </w:pPr>
            <w:r>
              <w:rPr>
                <w:rFonts w:hint="eastAsia" w:ascii="Times New Roman" w:hAnsi="Times New Roman"/>
                <w:sz w:val="21"/>
                <w:szCs w:val="21"/>
              </w:rPr>
              <w:t>金属板幕墙</w:t>
            </w: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金属面板</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短边距</w:t>
            </w:r>
            <w:r>
              <w:rPr>
                <w:rFonts w:ascii="Times New Roman" w:hAnsi="Times New Roman"/>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Align w:val="center"/>
          </w:tcPr>
          <w:p>
            <w:pPr>
              <w:jc w:val="center"/>
              <w:rPr>
                <w:rFonts w:ascii="Times New Roman" w:hAnsi="Times New Roman"/>
                <w:sz w:val="21"/>
                <w:szCs w:val="21"/>
              </w:rPr>
            </w:pPr>
            <w:r>
              <w:rPr>
                <w:rFonts w:hint="eastAsia" w:ascii="Times New Roman" w:hAnsi="Times New Roman"/>
                <w:sz w:val="21"/>
                <w:szCs w:val="21"/>
              </w:rPr>
              <w:t>石材幕墙</w:t>
            </w: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石材面板</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Merge w:val="restart"/>
            <w:vAlign w:val="center"/>
          </w:tcPr>
          <w:p>
            <w:pPr>
              <w:jc w:val="center"/>
              <w:rPr>
                <w:rFonts w:ascii="Times New Roman" w:hAnsi="Times New Roman"/>
                <w:sz w:val="21"/>
                <w:szCs w:val="21"/>
              </w:rPr>
            </w:pPr>
            <w:r>
              <w:rPr>
                <w:rFonts w:hint="eastAsia" w:ascii="Times New Roman" w:hAnsi="Times New Roman"/>
                <w:sz w:val="21"/>
                <w:szCs w:val="21"/>
              </w:rPr>
              <w:t>人造板材幕墙</w:t>
            </w: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纤维水泥板</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计算跨度</w:t>
            </w:r>
            <w:r>
              <w:rPr>
                <w:rFonts w:ascii="Times New Roman" w:hAnsi="Times New Roman"/>
                <w:sz w:val="21"/>
                <w:szCs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Merge w:val="continue"/>
            <w:vAlign w:val="center"/>
          </w:tcPr>
          <w:p>
            <w:pPr>
              <w:jc w:val="center"/>
              <w:rPr>
                <w:rFonts w:ascii="Times New Roman" w:hAnsi="Times New Roman"/>
                <w:sz w:val="21"/>
                <w:szCs w:val="21"/>
              </w:rPr>
            </w:pP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石材蜂窝板</w:t>
            </w:r>
          </w:p>
          <w:p>
            <w:pPr>
              <w:jc w:val="center"/>
              <w:rPr>
                <w:rFonts w:ascii="Times New Roman" w:hAnsi="Times New Roman"/>
                <w:sz w:val="21"/>
                <w:szCs w:val="21"/>
              </w:rPr>
            </w:pPr>
            <w:r>
              <w:rPr>
                <w:rFonts w:hint="eastAsia" w:ascii="Times New Roman" w:hAnsi="Times New Roman"/>
                <w:sz w:val="21"/>
                <w:szCs w:val="21"/>
                <w:lang w:eastAsia="zh-CN"/>
              </w:rPr>
              <w:t>（</w:t>
            </w:r>
            <w:r>
              <w:rPr>
                <w:rFonts w:ascii="Times New Roman" w:hAnsi="Times New Roman"/>
                <w:sz w:val="21"/>
                <w:szCs w:val="21"/>
              </w:rPr>
              <w:t>背部衬板为铝蜂窝板或钢蜂窝板</w:t>
            </w:r>
            <w:r>
              <w:rPr>
                <w:rFonts w:hint="eastAsia" w:ascii="Times New Roman" w:hAnsi="Times New Roman"/>
                <w:sz w:val="21"/>
                <w:szCs w:val="21"/>
                <w:lang w:eastAsia="zh-CN"/>
              </w:rPr>
              <w:t>）</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长边孔距</w:t>
            </w:r>
            <w:r>
              <w:rPr>
                <w:rFonts w:ascii="Times New Roman" w:hAnsi="Times New Roman"/>
                <w:sz w:val="21"/>
                <w:szCs w:val="21"/>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Merge w:val="continue"/>
            <w:vAlign w:val="center"/>
          </w:tcPr>
          <w:p>
            <w:pPr>
              <w:jc w:val="center"/>
              <w:rPr>
                <w:rFonts w:ascii="Times New Roman" w:hAnsi="Times New Roman"/>
                <w:sz w:val="21"/>
                <w:szCs w:val="21"/>
              </w:rPr>
            </w:pP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石材蜂窝板</w:t>
            </w:r>
          </w:p>
          <w:p>
            <w:pPr>
              <w:jc w:val="center"/>
              <w:rPr>
                <w:rFonts w:ascii="Times New Roman" w:hAnsi="Times New Roman"/>
                <w:sz w:val="21"/>
                <w:szCs w:val="21"/>
              </w:rPr>
            </w:pPr>
            <w:r>
              <w:rPr>
                <w:rFonts w:hint="eastAsia" w:ascii="Times New Roman" w:hAnsi="Times New Roman"/>
                <w:sz w:val="21"/>
                <w:szCs w:val="21"/>
                <w:lang w:eastAsia="zh-CN"/>
              </w:rPr>
              <w:t>（</w:t>
            </w:r>
            <w:r>
              <w:rPr>
                <w:rFonts w:ascii="Times New Roman" w:hAnsi="Times New Roman"/>
                <w:sz w:val="21"/>
                <w:szCs w:val="21"/>
              </w:rPr>
              <w:t>背部衬板为玻纤蜂窝板</w:t>
            </w:r>
            <w:r>
              <w:rPr>
                <w:rFonts w:hint="eastAsia" w:ascii="Times New Roman" w:hAnsi="Times New Roman"/>
                <w:sz w:val="21"/>
                <w:szCs w:val="21"/>
                <w:lang w:eastAsia="zh-CN"/>
              </w:rPr>
              <w:t>）</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长边孔距</w:t>
            </w:r>
            <w:r>
              <w:rPr>
                <w:rFonts w:ascii="Times New Roman" w:hAnsi="Times New Roman"/>
                <w:sz w:val="21"/>
                <w:szCs w:val="21"/>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Merge w:val="continue"/>
            <w:vAlign w:val="center"/>
          </w:tcPr>
          <w:p>
            <w:pPr>
              <w:jc w:val="center"/>
              <w:rPr>
                <w:rFonts w:ascii="Times New Roman" w:hAnsi="Times New Roman"/>
                <w:sz w:val="21"/>
                <w:szCs w:val="21"/>
              </w:rPr>
            </w:pP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木纤维板</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长边孔距</w:t>
            </w:r>
            <w:r>
              <w:rPr>
                <w:rFonts w:ascii="Times New Roman" w:hAnsi="Times New Roman"/>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Align w:val="center"/>
          </w:tcPr>
          <w:p>
            <w:pPr>
              <w:jc w:val="center"/>
              <w:rPr>
                <w:rFonts w:ascii="Times New Roman" w:hAnsi="Times New Roman"/>
                <w:sz w:val="21"/>
                <w:szCs w:val="21"/>
              </w:rPr>
            </w:pPr>
            <w:r>
              <w:rPr>
                <w:rFonts w:hint="eastAsia" w:ascii="Times New Roman" w:hAnsi="Times New Roman"/>
                <w:sz w:val="21"/>
                <w:szCs w:val="21"/>
              </w:rPr>
              <w:t>点支承玻璃幕墙</w:t>
            </w: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玻璃面板</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长边孔距</w:t>
            </w:r>
            <w:r>
              <w:rPr>
                <w:rFonts w:ascii="Times New Roman" w:hAnsi="Times New Roman"/>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Align w:val="center"/>
          </w:tcPr>
          <w:p>
            <w:pPr>
              <w:jc w:val="center"/>
              <w:rPr>
                <w:rFonts w:ascii="Times New Roman" w:hAnsi="Times New Roman"/>
                <w:sz w:val="21"/>
                <w:szCs w:val="21"/>
              </w:rPr>
            </w:pPr>
            <w:r>
              <w:rPr>
                <w:rFonts w:hint="eastAsia" w:ascii="Times New Roman" w:hAnsi="Times New Roman"/>
                <w:sz w:val="21"/>
                <w:szCs w:val="21"/>
              </w:rPr>
              <w:t>全玻璃幕墙</w:t>
            </w: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玻璃面板</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跨距</w:t>
            </w:r>
            <w:r>
              <w:rPr>
                <w:rFonts w:ascii="Times New Roman" w:hAnsi="Times New Roman"/>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Merge w:val="restart"/>
            <w:vAlign w:val="center"/>
          </w:tcPr>
          <w:p>
            <w:pPr>
              <w:jc w:val="center"/>
              <w:rPr>
                <w:rFonts w:ascii="Times New Roman" w:hAnsi="Times New Roman"/>
                <w:sz w:val="21"/>
                <w:szCs w:val="21"/>
              </w:rPr>
            </w:pPr>
            <w:r>
              <w:rPr>
                <w:rFonts w:hint="eastAsia" w:ascii="Times New Roman" w:hAnsi="Times New Roman"/>
                <w:sz w:val="21"/>
                <w:szCs w:val="21"/>
              </w:rPr>
              <w:t>金属屋面</w:t>
            </w: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铝合金板</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跨距</w:t>
            </w:r>
            <w:r>
              <w:rPr>
                <w:rFonts w:ascii="Times New Roman" w:hAnsi="Times New Roman"/>
                <w:sz w:val="21"/>
                <w:szCs w:val="21"/>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Merge w:val="continue"/>
            <w:vAlign w:val="center"/>
          </w:tcPr>
          <w:p>
            <w:pPr>
              <w:jc w:val="center"/>
              <w:rPr>
                <w:rFonts w:ascii="Times New Roman" w:hAnsi="Times New Roman"/>
                <w:sz w:val="21"/>
                <w:szCs w:val="21"/>
              </w:rPr>
            </w:pP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钢板，坡度≤</w:t>
            </w:r>
            <w:r>
              <w:rPr>
                <w:rFonts w:ascii="Times New Roman" w:hAnsi="Times New Roman"/>
                <w:sz w:val="21"/>
                <w:szCs w:val="21"/>
              </w:rPr>
              <w:t>1/20</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跨距</w:t>
            </w:r>
            <w:r>
              <w:rPr>
                <w:rFonts w:ascii="Times New Roman" w:hAnsi="Times New Roman"/>
                <w:sz w:val="21"/>
                <w:szCs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Merge w:val="continue"/>
            <w:vAlign w:val="center"/>
          </w:tcPr>
          <w:p>
            <w:pPr>
              <w:jc w:val="center"/>
              <w:rPr>
                <w:rFonts w:ascii="Times New Roman" w:hAnsi="Times New Roman"/>
                <w:sz w:val="21"/>
                <w:szCs w:val="21"/>
              </w:rPr>
            </w:pP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钢板，坡度＞</w:t>
            </w:r>
            <w:r>
              <w:rPr>
                <w:rFonts w:ascii="Times New Roman" w:hAnsi="Times New Roman"/>
                <w:sz w:val="21"/>
                <w:szCs w:val="21"/>
              </w:rPr>
              <w:t>1/20</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跨距</w:t>
            </w:r>
            <w:r>
              <w:rPr>
                <w:rFonts w:ascii="Times New Roman" w:hAnsi="Times New Roman"/>
                <w:sz w:val="21"/>
                <w:szCs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Merge w:val="continue"/>
            <w:vAlign w:val="center"/>
          </w:tcPr>
          <w:p>
            <w:pPr>
              <w:jc w:val="center"/>
              <w:rPr>
                <w:rFonts w:ascii="Times New Roman" w:hAnsi="Times New Roman"/>
                <w:sz w:val="21"/>
                <w:szCs w:val="21"/>
                <w:highlight w:val="yellow"/>
              </w:rPr>
            </w:pP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金属平板</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跨距</w:t>
            </w:r>
            <w:r>
              <w:rPr>
                <w:rFonts w:ascii="Times New Roman" w:hAnsi="Times New Roman"/>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60" w:type="dxa"/>
            <w:vAlign w:val="center"/>
          </w:tcPr>
          <w:p>
            <w:pPr>
              <w:jc w:val="center"/>
              <w:rPr>
                <w:rFonts w:ascii="Times New Roman" w:hAnsi="Times New Roman"/>
                <w:sz w:val="21"/>
                <w:szCs w:val="21"/>
              </w:rPr>
            </w:pPr>
            <w:r>
              <w:rPr>
                <w:rFonts w:hint="eastAsia" w:ascii="Times New Roman" w:hAnsi="Times New Roman"/>
                <w:sz w:val="21"/>
                <w:szCs w:val="21"/>
              </w:rPr>
              <w:t>聚碳酸酯板幕墙</w:t>
            </w:r>
          </w:p>
        </w:tc>
        <w:tc>
          <w:tcPr>
            <w:tcW w:w="2864" w:type="dxa"/>
            <w:vAlign w:val="center"/>
          </w:tcPr>
          <w:p>
            <w:pPr>
              <w:jc w:val="center"/>
              <w:rPr>
                <w:rFonts w:ascii="Times New Roman" w:hAnsi="Times New Roman"/>
                <w:sz w:val="21"/>
                <w:szCs w:val="21"/>
              </w:rPr>
            </w:pPr>
            <w:r>
              <w:rPr>
                <w:rFonts w:hint="eastAsia" w:ascii="Times New Roman" w:hAnsi="Times New Roman"/>
                <w:sz w:val="21"/>
                <w:szCs w:val="21"/>
              </w:rPr>
              <w:t>聚碳酸酯板</w:t>
            </w:r>
          </w:p>
        </w:tc>
        <w:tc>
          <w:tcPr>
            <w:tcW w:w="2883" w:type="dxa"/>
            <w:vAlign w:val="center"/>
          </w:tcPr>
          <w:p>
            <w:pPr>
              <w:jc w:val="center"/>
              <w:rPr>
                <w:rFonts w:ascii="Times New Roman" w:hAnsi="Times New Roman"/>
                <w:sz w:val="21"/>
                <w:szCs w:val="21"/>
              </w:rPr>
            </w:pPr>
            <w:r>
              <w:rPr>
                <w:rFonts w:hint="eastAsia" w:ascii="Times New Roman" w:hAnsi="Times New Roman"/>
                <w:sz w:val="21"/>
                <w:szCs w:val="21"/>
              </w:rPr>
              <w:t>四</w:t>
            </w:r>
            <w:r>
              <w:rPr>
                <w:rFonts w:ascii="Times New Roman" w:hAnsi="Times New Roman"/>
                <w:sz w:val="21"/>
                <w:szCs w:val="21"/>
              </w:rPr>
              <w:t>边支承：</w:t>
            </w:r>
            <w:r>
              <w:rPr>
                <w:rFonts w:hint="eastAsia" w:ascii="Times New Roman" w:hAnsi="Times New Roman"/>
                <w:sz w:val="21"/>
                <w:szCs w:val="21"/>
              </w:rPr>
              <w:t>短边</w:t>
            </w:r>
            <w:r>
              <w:rPr>
                <w:rFonts w:ascii="Times New Roman" w:hAnsi="Times New Roman"/>
                <w:sz w:val="21"/>
                <w:szCs w:val="21"/>
              </w:rPr>
              <w:t>距/60</w:t>
            </w:r>
          </w:p>
          <w:p>
            <w:pPr>
              <w:jc w:val="center"/>
              <w:rPr>
                <w:rFonts w:ascii="Times New Roman" w:hAnsi="Times New Roman"/>
                <w:sz w:val="21"/>
                <w:szCs w:val="21"/>
              </w:rPr>
            </w:pPr>
            <w:r>
              <w:rPr>
                <w:rFonts w:ascii="Times New Roman" w:hAnsi="Times New Roman"/>
                <w:sz w:val="21"/>
                <w:szCs w:val="21"/>
              </w:rPr>
              <w:t>对边支承：跨距/60</w:t>
            </w:r>
          </w:p>
        </w:tc>
      </w:tr>
    </w:tbl>
    <w:p>
      <w:pPr>
        <w:pStyle w:val="16"/>
        <w:ind w:firstLine="420"/>
        <w:rPr>
          <w:rFonts w:ascii="Times New Roman" w:hAnsi="Times New Roman"/>
          <w:i/>
          <w:sz w:val="21"/>
          <w:szCs w:val="21"/>
        </w:rPr>
      </w:pPr>
      <w:r>
        <w:rPr>
          <w:rFonts w:hint="eastAsia" w:ascii="Times New Roman" w:hAnsi="Times New Roman"/>
          <w:i/>
          <w:sz w:val="21"/>
          <w:szCs w:val="21"/>
        </w:rPr>
        <w:t>注：</w:t>
      </w:r>
    </w:p>
    <w:p>
      <w:pPr>
        <w:pStyle w:val="16"/>
        <w:ind w:firstLine="420"/>
        <w:rPr>
          <w:rFonts w:ascii="Times New Roman" w:hAnsi="Times New Roman"/>
          <w:i/>
          <w:sz w:val="21"/>
          <w:szCs w:val="21"/>
        </w:rPr>
      </w:pPr>
      <w:r>
        <w:rPr>
          <w:rFonts w:ascii="Times New Roman" w:hAnsi="Times New Roman"/>
          <w:i/>
          <w:sz w:val="21"/>
          <w:szCs w:val="21"/>
        </w:rPr>
        <w:t>1、纤维水泥板的计算跨度，对边通槽支承时取支承边的距度，四点支承时取支承点长边孔距。</w:t>
      </w:r>
    </w:p>
    <w:p>
      <w:pPr>
        <w:pStyle w:val="16"/>
        <w:ind w:firstLine="420"/>
        <w:rPr>
          <w:rFonts w:ascii="Times New Roman" w:hAnsi="Times New Roman"/>
          <w:i/>
          <w:sz w:val="21"/>
          <w:szCs w:val="21"/>
        </w:rPr>
      </w:pPr>
      <w:r>
        <w:rPr>
          <w:rFonts w:ascii="Times New Roman" w:hAnsi="Times New Roman"/>
          <w:i/>
          <w:sz w:val="21"/>
          <w:szCs w:val="21"/>
        </w:rPr>
        <w:t>2</w:t>
      </w:r>
      <w:r>
        <w:rPr>
          <w:rFonts w:hint="eastAsia" w:ascii="Times New Roman" w:hAnsi="Times New Roman"/>
          <w:i/>
          <w:sz w:val="21"/>
          <w:szCs w:val="21"/>
        </w:rPr>
        <w:t>、悬臂梁和伸臂梁构件的跨距可取其悬挑长度的</w:t>
      </w:r>
      <w:r>
        <w:rPr>
          <w:rFonts w:ascii="Times New Roman" w:hAnsi="Times New Roman"/>
          <w:i/>
          <w:sz w:val="21"/>
          <w:szCs w:val="21"/>
        </w:rPr>
        <w:t>2倍。</w:t>
      </w:r>
    </w:p>
    <w:p>
      <w:pPr>
        <w:pStyle w:val="16"/>
        <w:rPr>
          <w:rFonts w:ascii="Times New Roman" w:hAnsi="Times New Roman"/>
        </w:rPr>
      </w:pPr>
    </w:p>
    <w:p>
      <w:pPr>
        <w:pStyle w:val="120"/>
        <w:rPr>
          <w:rFonts w:ascii="Times New Roman" w:hAnsi="Times New Roman"/>
        </w:rPr>
      </w:pPr>
      <w:r>
        <w:rPr>
          <w:rFonts w:ascii="Times New Roman" w:hAnsi="Times New Roman"/>
        </w:rPr>
        <w:t>【条文说明】</w:t>
      </w:r>
    </w:p>
    <w:p>
      <w:pPr>
        <w:pStyle w:val="120"/>
        <w:rPr>
          <w:rFonts w:ascii="Times New Roman" w:hAnsi="Times New Roman"/>
        </w:rPr>
      </w:pPr>
      <w:r>
        <w:rPr>
          <w:rFonts w:hint="eastAsia" w:ascii="Times New Roman" w:hAnsi="Times New Roman"/>
        </w:rPr>
        <w:t>玻璃：单层玻璃、夹层玻璃（不同胶片，</w:t>
      </w:r>
      <w:r>
        <w:rPr>
          <w:rFonts w:ascii="Times New Roman" w:hAnsi="Times New Roman"/>
        </w:rPr>
        <w:t>PVB、SGP</w:t>
      </w:r>
      <w:r>
        <w:rPr>
          <w:rFonts w:hint="eastAsia" w:ascii="Times New Roman" w:hAnsi="Times New Roman"/>
        </w:rPr>
        <w:t>胶片）、中空玻璃、特殊玻璃（防火、隔声、弯弧、</w:t>
      </w:r>
      <w:r>
        <w:rPr>
          <w:rFonts w:ascii="Times New Roman" w:hAnsi="Times New Roman"/>
        </w:rPr>
        <w:t>U</w:t>
      </w:r>
      <w:r>
        <w:rPr>
          <w:rFonts w:hint="eastAsia" w:ascii="Times New Roman" w:hAnsi="Times New Roman"/>
        </w:rPr>
        <w:t>型玻璃、光伏玻璃等）</w:t>
      </w:r>
    </w:p>
    <w:p>
      <w:pPr>
        <w:pStyle w:val="120"/>
        <w:rPr>
          <w:rFonts w:ascii="Times New Roman" w:hAnsi="Times New Roman"/>
        </w:rPr>
      </w:pPr>
      <w:r>
        <w:rPr>
          <w:rFonts w:hint="eastAsia" w:ascii="Times New Roman" w:hAnsi="Times New Roman"/>
        </w:rPr>
        <w:t>金属板：铝板、钢板、不锈钢板、穿孔板、异形板等</w:t>
      </w:r>
      <w:r>
        <w:rPr>
          <w:rFonts w:ascii="Times New Roman" w:hAnsi="Times New Roman"/>
        </w:rPr>
        <w:t xml:space="preserve">   </w:t>
      </w:r>
      <w:r>
        <w:rPr>
          <w:rFonts w:hint="eastAsia" w:ascii="Times New Roman" w:hAnsi="Times New Roman"/>
        </w:rPr>
        <w:t>复合金属板</w:t>
      </w:r>
      <w:r>
        <w:rPr>
          <w:rFonts w:hint="eastAsia" w:ascii="Times New Roman" w:hAnsi="Times New Roman"/>
          <w:lang w:eastAsia="zh-CN"/>
        </w:rPr>
        <w:t>？</w:t>
      </w:r>
    </w:p>
    <w:p>
      <w:pPr>
        <w:pStyle w:val="120"/>
        <w:rPr>
          <w:rFonts w:ascii="Times New Roman" w:hAnsi="Times New Roman"/>
        </w:rPr>
      </w:pPr>
      <w:r>
        <w:rPr>
          <w:rFonts w:ascii="Times New Roman" w:hAnsi="Times New Roman"/>
        </w:rPr>
        <w:t>铜及铜复合板</w:t>
      </w:r>
    </w:p>
    <w:p>
      <w:pPr>
        <w:pStyle w:val="120"/>
        <w:rPr>
          <w:rFonts w:ascii="Times New Roman" w:hAnsi="Times New Roman"/>
        </w:rPr>
      </w:pPr>
      <w:r>
        <w:rPr>
          <w:rFonts w:ascii="Times New Roman" w:hAnsi="Times New Roman"/>
        </w:rPr>
        <w:t>单层铝板、铝塑复合板、蜂窝铝板、彩色涂层钢板、搪瓷涂层钢板、锌合金板、不锈钢板、铜合金板、钛合金板；镀锌钢板或涂层钢板</w:t>
      </w:r>
    </w:p>
    <w:p>
      <w:pPr>
        <w:pStyle w:val="120"/>
        <w:rPr>
          <w:rFonts w:ascii="Times New Roman" w:hAnsi="Times New Roman"/>
        </w:rPr>
      </w:pPr>
      <w:r>
        <w:rPr>
          <w:rFonts w:hint="eastAsia" w:ascii="Times New Roman" w:hAnsi="Times New Roman"/>
        </w:rPr>
        <w:t>石材：天然石材（花岗石、石灰石、大理石、洞石等）、合成石材（复合板等）、</w:t>
      </w:r>
    </w:p>
    <w:p>
      <w:pPr>
        <w:pStyle w:val="120"/>
        <w:rPr>
          <w:rFonts w:ascii="Times New Roman" w:hAnsi="Times New Roman"/>
        </w:rPr>
      </w:pPr>
      <w:r>
        <w:rPr>
          <w:rFonts w:ascii="Times New Roman" w:hAnsi="Times New Roman"/>
        </w:rPr>
        <w:t>石材幕墙面板支承形式：嵌入、钢销、短槽、通槽、勾托、平挂、穿透、蝶形背卡、背栓</w:t>
      </w:r>
    </w:p>
    <w:p>
      <w:pPr>
        <w:pStyle w:val="120"/>
        <w:rPr>
          <w:rFonts w:ascii="Times New Roman" w:hAnsi="Times New Roman"/>
        </w:rPr>
      </w:pPr>
      <w:r>
        <w:rPr>
          <w:rFonts w:hint="eastAsia" w:ascii="Times New Roman" w:hAnsi="Times New Roman"/>
        </w:rPr>
        <w:t>木人造板材：复合金属板、</w:t>
      </w:r>
      <w:r>
        <w:rPr>
          <w:rFonts w:ascii="Times New Roman" w:hAnsi="Times New Roman"/>
        </w:rPr>
        <w:t>UHPC</w:t>
      </w:r>
      <w:r>
        <w:rPr>
          <w:rFonts w:hint="eastAsia" w:ascii="Times New Roman" w:hAnsi="Times New Roman"/>
        </w:rPr>
        <w:t>、</w:t>
      </w:r>
      <w:r>
        <w:rPr>
          <w:rFonts w:ascii="Times New Roman" w:hAnsi="Times New Roman"/>
        </w:rPr>
        <w:t>PC</w:t>
      </w:r>
      <w:r>
        <w:rPr>
          <w:rFonts w:hint="eastAsia" w:ascii="Times New Roman" w:hAnsi="Times New Roman"/>
        </w:rPr>
        <w:t>板等；瓷板、陶板、微晶玻璃</w:t>
      </w:r>
    </w:p>
    <w:p>
      <w:pPr>
        <w:pStyle w:val="120"/>
        <w:rPr>
          <w:rFonts w:ascii="Times New Roman" w:hAnsi="Times New Roman"/>
        </w:rPr>
      </w:pPr>
      <w:r>
        <w:rPr>
          <w:rFonts w:ascii="Times New Roman" w:hAnsi="Times New Roman"/>
        </w:rPr>
        <w:t>木质</w:t>
      </w:r>
      <w:r>
        <w:rPr>
          <w:rFonts w:hint="eastAsia" w:ascii="Times New Roman" w:hAnsi="Times New Roman"/>
        </w:rPr>
        <w:t>：</w:t>
      </w:r>
    </w:p>
    <w:p>
      <w:pPr>
        <w:pStyle w:val="120"/>
        <w:rPr>
          <w:rFonts w:ascii="Times New Roman" w:hAnsi="Times New Roman"/>
        </w:rPr>
      </w:pPr>
      <w:r>
        <w:rPr>
          <w:rFonts w:hint="eastAsia" w:ascii="Times New Roman" w:hAnsi="Times New Roman"/>
        </w:rPr>
        <w:t>屋面板：金属屋面板</w:t>
      </w:r>
      <w:r>
        <w:rPr>
          <w:rFonts w:ascii="Times New Roman" w:hAnsi="Times New Roman"/>
        </w:rPr>
        <w:t>-</w:t>
      </w:r>
      <w:r>
        <w:rPr>
          <w:rFonts w:hint="eastAsia" w:ascii="Times New Roman" w:hAnsi="Times New Roman"/>
        </w:rPr>
        <w:t>铝镁锰、不锈钢、钢</w:t>
      </w:r>
    </w:p>
    <w:p>
      <w:pPr>
        <w:pStyle w:val="120"/>
        <w:rPr>
          <w:rFonts w:ascii="Times New Roman" w:hAnsi="Times New Roman"/>
        </w:rPr>
      </w:pPr>
      <w:r>
        <w:rPr>
          <w:rFonts w:hint="eastAsia" w:ascii="Times New Roman" w:hAnsi="Times New Roman"/>
        </w:rPr>
        <w:t>采光顶：阳光板、亚克力板、</w:t>
      </w:r>
      <w:r>
        <w:rPr>
          <w:rFonts w:ascii="Times New Roman" w:hAnsi="Times New Roman"/>
        </w:rPr>
        <w:t>合成树脂</w:t>
      </w:r>
    </w:p>
    <w:p>
      <w:pPr>
        <w:pStyle w:val="120"/>
        <w:rPr>
          <w:rFonts w:ascii="Times New Roman" w:hAnsi="Times New Roman"/>
        </w:rPr>
      </w:pPr>
      <w:r>
        <w:rPr>
          <w:rFonts w:ascii="Times New Roman" w:hAnsi="Times New Roman"/>
        </w:rPr>
        <w:t>膜（各种膜材）</w:t>
      </w:r>
    </w:p>
    <w:p>
      <w:pPr>
        <w:pStyle w:val="120"/>
        <w:rPr>
          <w:rFonts w:ascii="Times New Roman" w:hAnsi="Times New Roman"/>
        </w:rPr>
      </w:pPr>
      <w:r>
        <w:rPr>
          <w:rFonts w:ascii="Times New Roman" w:hAnsi="Times New Roman"/>
        </w:rPr>
        <w:t>双层幕墙面板：</w:t>
      </w:r>
    </w:p>
    <w:p>
      <w:pPr>
        <w:pStyle w:val="120"/>
        <w:rPr>
          <w:rFonts w:ascii="Times New Roman" w:hAnsi="Times New Roman"/>
        </w:rPr>
      </w:pPr>
      <w:r>
        <w:rPr>
          <w:rFonts w:hint="eastAsia" w:ascii="Times New Roman" w:hAnsi="Times New Roman"/>
        </w:rPr>
        <w:t>金属面夹芯板——屋面板、墙面板</w:t>
      </w:r>
    </w:p>
    <w:p>
      <w:pPr>
        <w:pStyle w:val="120"/>
        <w:rPr>
          <w:rFonts w:ascii="Times New Roman" w:hAnsi="Times New Roman"/>
        </w:rPr>
      </w:pPr>
      <w:r>
        <w:rPr>
          <w:rFonts w:ascii="Times New Roman" w:hAnsi="Times New Roman"/>
        </w:rPr>
        <w:t>压型金属板</w:t>
      </w:r>
    </w:p>
    <w:p>
      <w:pPr>
        <w:pStyle w:val="6"/>
        <w:rPr>
          <w:rFonts w:ascii="Times New Roman" w:hAnsi="Times New Roman"/>
        </w:rPr>
      </w:pPr>
      <w:bookmarkStart w:id="40" w:name="_Toc162996216"/>
      <w:r>
        <w:rPr>
          <w:rFonts w:ascii="Times New Roman" w:hAnsi="Times New Roman"/>
        </w:rPr>
        <w:t>5.2 线支承</w:t>
      </w:r>
      <w:bookmarkEnd w:id="40"/>
    </w:p>
    <w:p>
      <w:pPr>
        <w:pStyle w:val="189"/>
      </w:pPr>
      <w:r>
        <w:rPr>
          <w:rFonts w:hint="eastAsia"/>
          <w:b/>
        </w:rPr>
        <w:t>5</w:t>
      </w:r>
      <w:r>
        <w:rPr>
          <w:b/>
        </w:rPr>
        <w:t>.</w:t>
      </w:r>
      <w:r>
        <w:rPr>
          <w:rFonts w:hint="eastAsia"/>
          <w:b/>
        </w:rPr>
        <w:t>2</w:t>
      </w:r>
      <w:r>
        <w:rPr>
          <w:b/>
        </w:rPr>
        <w:t>.1</w:t>
      </w:r>
      <w:r>
        <w:rPr>
          <w:rFonts w:hint="eastAsia"/>
          <w:b/>
        </w:rPr>
        <w:t xml:space="preserve"> 四边支承</w:t>
      </w:r>
    </w:p>
    <w:p>
      <w:pPr>
        <w:pStyle w:val="189"/>
        <w:ind w:firstLine="480" w:firstLineChars="200"/>
      </w:pPr>
      <w:r>
        <w:rPr>
          <w:rFonts w:hint="eastAsia"/>
        </w:rPr>
        <w:t>1</w:t>
      </w:r>
      <w:r>
        <w:t xml:space="preserve"> </w:t>
      </w:r>
      <w:r>
        <w:rPr>
          <w:rFonts w:hint="eastAsia"/>
        </w:rPr>
        <w:t>单片玻璃、夹层玻璃、中空玻璃抗风压设计按《玻璃幕墙工程技术规范》J</w:t>
      </w:r>
      <w:r>
        <w:t>GJ 102</w:t>
      </w:r>
      <w:r>
        <w:rPr>
          <w:rFonts w:hint="eastAsia"/>
        </w:rPr>
        <w:t>执行；金属与石材面板抗风压设计按《金属与石材幕墙工程技术规范》J</w:t>
      </w:r>
      <w:r>
        <w:t>GJ 133</w:t>
      </w:r>
      <w:r>
        <w:rPr>
          <w:rFonts w:hint="eastAsia"/>
        </w:rPr>
        <w:t>执行；人造板材抗风压设计按《人造板材幕墙工程技术规范》J</w:t>
      </w:r>
      <w:r>
        <w:t>GJ 336</w:t>
      </w:r>
      <w:r>
        <w:rPr>
          <w:rFonts w:hint="eastAsia"/>
        </w:rPr>
        <w:t>执行；采光顶与金属屋面抗风压设计按《采光顶与金属屋面技术规程》J</w:t>
      </w:r>
      <w:r>
        <w:t>GJ 255</w:t>
      </w:r>
      <w:r>
        <w:rPr>
          <w:rFonts w:hint="eastAsia"/>
        </w:rPr>
        <w:t>执行。</w:t>
      </w:r>
    </w:p>
    <w:p>
      <w:pPr>
        <w:pStyle w:val="189"/>
        <w:ind w:firstLine="480" w:firstLineChars="200"/>
      </w:pPr>
      <w:r>
        <w:rPr>
          <w:rFonts w:hint="eastAsia"/>
        </w:rPr>
        <w:t>2 四边支承中空单面夹层玻璃按下列规定计算：</w:t>
      </w:r>
    </w:p>
    <w:p>
      <w:pPr>
        <w:pStyle w:val="16"/>
        <w:spacing w:line="360" w:lineRule="auto"/>
        <w:rPr>
          <w:rFonts w:ascii="Times New Roman" w:hAnsi="Times New Roman"/>
        </w:rPr>
      </w:pPr>
      <w:r>
        <w:rPr>
          <w:rFonts w:ascii="Times New Roman" w:hAnsi="Times New Roman"/>
        </w:rPr>
        <w:t>作用于中空单面夹层玻璃上的风荷载标准值可按下列公</w:t>
      </w:r>
      <w:r>
        <w:rPr>
          <w:rFonts w:hint="eastAsia" w:ascii="Times New Roman" w:hAnsi="Times New Roman"/>
        </w:rPr>
        <w:t>式分配至三片玻璃上</w:t>
      </w:r>
      <w:r>
        <w:rPr>
          <w:rFonts w:hint="eastAsia" w:ascii="Times New Roman" w:hAnsi="Times New Roman"/>
          <w:lang w:eastAsia="zh-CN"/>
        </w:rPr>
        <w:t>：</w:t>
      </w:r>
    </w:p>
    <w:p>
      <w:pPr>
        <w:pStyle w:val="16"/>
        <w:spacing w:line="360" w:lineRule="auto"/>
        <w:ind w:left="840" w:firstLine="0" w:firstLineChars="0"/>
        <w:rPr>
          <w:rFonts w:ascii="Times New Roman" w:hAnsi="Times New Roman"/>
        </w:rPr>
      </w:pPr>
      <w:r>
        <w:rPr>
          <w:rFonts w:ascii="Times New Roman" w:hAnsi="Times New Roman"/>
        </w:rPr>
        <w:t>1</w:t>
      </w:r>
      <w:r>
        <w:rPr>
          <w:rFonts w:hint="eastAsia" w:ascii="Times New Roman" w:hAnsi="Times New Roman"/>
        </w:rPr>
        <w:t>）直接承受风荷载作用的单片玻璃：</w:t>
      </w:r>
    </w:p>
    <w:p>
      <w:pPr>
        <w:pStyle w:val="16"/>
        <w:spacing w:line="360" w:lineRule="auto"/>
        <w:ind w:firstLine="0" w:firstLineChars="0"/>
        <w:jc w:val="center"/>
        <w:rPr>
          <w:rFonts w:ascii="Times New Roman" w:hAnsi="Times New Roman"/>
        </w:rPr>
      </w:pPr>
      <w:r>
        <w:rPr>
          <w:rFonts w:ascii="Times New Roman" w:hAnsi="Times New Roman"/>
          <w:position w:val="-68"/>
        </w:rPr>
        <w:object>
          <v:shape id="_x0000_i1028" o:spt="75" type="#_x0000_t75" style="height:57.6pt;width:94.2pt;" o:ole="t" filled="f" o:preferrelative="t" stroked="f" coordsize="21600,21600">
            <v:path/>
            <v:fill on="f" focussize="0,0"/>
            <v:stroke on="f" joinstyle="miter"/>
            <v:imagedata r:id="rId28" o:title=""/>
            <o:lock v:ext="edit" aspectratio="t"/>
            <w10:wrap type="none"/>
            <w10:anchorlock/>
          </v:shape>
          <o:OLEObject Type="Embed" ProgID="Equation.DSMT4" ShapeID="_x0000_i1028" DrawAspect="Content" ObjectID="_1468075728" r:id="rId27">
            <o:LockedField>false</o:LockedField>
          </o:OLEObject>
        </w:object>
      </w:r>
    </w:p>
    <w:p>
      <w:pPr>
        <w:pStyle w:val="16"/>
        <w:spacing w:line="360" w:lineRule="auto"/>
        <w:ind w:left="840" w:firstLine="0" w:firstLineChars="0"/>
        <w:rPr>
          <w:rFonts w:ascii="Times New Roman" w:hAnsi="Times New Roman"/>
        </w:rPr>
      </w:pPr>
      <w:r>
        <w:rPr>
          <w:rFonts w:ascii="Times New Roman" w:hAnsi="Times New Roman"/>
        </w:rPr>
        <w:t>2</w:t>
      </w:r>
      <w:r>
        <w:rPr>
          <w:rFonts w:hint="eastAsia" w:ascii="Times New Roman" w:hAnsi="Times New Roman"/>
        </w:rPr>
        <w:t>）不直接承受风荷载的夹层玻璃：</w:t>
      </w:r>
    </w:p>
    <w:p>
      <w:pPr>
        <w:pStyle w:val="16"/>
        <w:spacing w:line="360" w:lineRule="auto"/>
        <w:ind w:firstLine="0" w:firstLineChars="0"/>
        <w:jc w:val="center"/>
        <w:rPr>
          <w:rFonts w:ascii="Times New Roman" w:hAnsi="Times New Roman"/>
        </w:rPr>
      </w:pPr>
      <w:r>
        <w:rPr>
          <w:rFonts w:ascii="Times New Roman" w:hAnsi="Times New Roman"/>
          <w:position w:val="-68"/>
        </w:rPr>
        <w:object>
          <v:shape id="_x0000_i1029" o:spt="75" type="#_x0000_t75" style="height:57.6pt;width:78pt;" o:ole="t" filled="f" o:preferrelative="t" stroked="f" coordsize="21600,21600">
            <v:path/>
            <v:fill on="f" focussize="0,0"/>
            <v:stroke on="f" joinstyle="miter"/>
            <v:imagedata r:id="rId30" o:title=""/>
            <o:lock v:ext="edit" aspectratio="t"/>
            <w10:wrap type="none"/>
            <w10:anchorlock/>
          </v:shape>
          <o:OLEObject Type="Embed" ProgID="Equation.DSMT4" ShapeID="_x0000_i1029" DrawAspect="Content" ObjectID="_1468075729" r:id="rId29">
            <o:LockedField>false</o:LockedField>
          </o:OLEObject>
        </w:object>
      </w:r>
    </w:p>
    <w:p>
      <w:pPr>
        <w:pStyle w:val="16"/>
        <w:spacing w:line="360" w:lineRule="auto"/>
        <w:ind w:firstLine="0" w:firstLineChars="0"/>
        <w:rPr>
          <w:rFonts w:ascii="Times New Roman" w:hAnsi="Times New Roman"/>
        </w:rPr>
      </w:pPr>
      <w:r>
        <w:rPr>
          <w:rFonts w:hint="eastAsia" w:ascii="Times New Roman" w:hAnsi="Times New Roman"/>
        </w:rPr>
        <w:t>式中</w:t>
      </w:r>
      <w:r>
        <w:rPr>
          <w:rFonts w:ascii="Times New Roman" w:hAnsi="Times New Roman"/>
        </w:rPr>
        <w:t xml:space="preserve"> </w:t>
      </w:r>
      <w:r>
        <w:rPr>
          <w:rFonts w:ascii="Times New Roman" w:hAnsi="Times New Roman"/>
          <w:position w:val="-12"/>
        </w:rPr>
        <w:object>
          <v:shape id="_x0000_i1030" o:spt="75" type="#_x0000_t75" style="height:18.6pt;width:9pt;" o:ole="t" filled="f" o:preferrelative="t" stroked="f" coordsize="21600,21600">
            <v:path/>
            <v:fill on="f" focussize="0,0"/>
            <v:stroke on="f" joinstyle="miter"/>
            <v:imagedata r:id="rId32" o:title=""/>
            <o:lock v:ext="edit" aspectratio="t"/>
            <w10:wrap type="none"/>
            <w10:anchorlock/>
          </v:shape>
          <o:OLEObject Type="Embed" ProgID="Equation.DSMT4" ShapeID="_x0000_i1030" DrawAspect="Content" ObjectID="_1468075730" r:id="rId31">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中空单片玻璃的厚度（</w:t>
      </w:r>
      <w:r>
        <w:rPr>
          <w:rFonts w:ascii="Times New Roman" w:hAnsi="Times New Roman"/>
          <w:position w:val="-6"/>
        </w:rPr>
        <w:object>
          <v:shape id="_x0000_i1031" o:spt="75" type="#_x0000_t75" style="height:12pt;width:24pt;" o:ole="t" filled="f" o:preferrelative="t" stroked="f" coordsize="21600,21600">
            <v:path/>
            <v:fill on="f" focussize="0,0"/>
            <v:stroke on="f" joinstyle="miter"/>
            <v:imagedata r:id="rId34" o:title=""/>
            <o:lock v:ext="edit" aspectratio="t"/>
            <w10:wrap type="none"/>
            <w10:anchorlock/>
          </v:shape>
          <o:OLEObject Type="Embed" ProgID="Equation.DSMT4" ShapeID="_x0000_i1031" DrawAspect="Content" ObjectID="_1468075731" r:id="rId33">
            <o:LockedField>false</o:LockedField>
          </o:OLEObject>
        </w:object>
      </w:r>
      <w:r>
        <w:rPr>
          <w:rFonts w:hint="eastAsia" w:ascii="Times New Roman" w:hAnsi="Times New Roman"/>
        </w:rPr>
        <w:t>）；</w:t>
      </w:r>
    </w:p>
    <w:p>
      <w:pPr>
        <w:pStyle w:val="189"/>
      </w:pPr>
      <w:r>
        <w:rPr>
          <w:position w:val="-12"/>
        </w:rPr>
        <w:object>
          <v:shape id="_x0000_i1032" o:spt="75" type="#_x0000_t75" style="height:18.6pt;width:11.4pt;" o:ole="t" filled="f" o:preferrelative="t" stroked="f" coordsize="21600,21600">
            <v:path/>
            <v:fill on="f" focussize="0,0"/>
            <v:stroke on="f" joinstyle="miter"/>
            <v:imagedata r:id="rId36" o:title=""/>
            <o:lock v:ext="edit" aspectratio="t"/>
            <w10:wrap type="none"/>
            <w10:anchorlock/>
          </v:shape>
          <o:OLEObject Type="Embed" ProgID="Equation.DSMT4" ShapeID="_x0000_i1032" DrawAspect="Content" ObjectID="_1468075732" r:id="rId35">
            <o:LockedField>false</o:LockedField>
          </o:OLEObject>
        </w:object>
      </w:r>
      <w:r>
        <w:t xml:space="preserve"> </w:t>
      </w:r>
      <w:r>
        <w:rPr>
          <w:rFonts w:hint="eastAsia"/>
        </w:rPr>
        <w:t>、</w:t>
      </w:r>
      <w:r>
        <w:rPr>
          <w:position w:val="-12"/>
        </w:rPr>
        <w:object>
          <v:shape id="_x0000_i1033" o:spt="75" type="#_x0000_t75" style="height:18.6pt;width:9.6pt;" o:ole="t" filled="f" o:preferrelative="t" stroked="f" coordsize="21600,21600">
            <v:path/>
            <v:fill on="f" focussize="0,0"/>
            <v:stroke on="f" joinstyle="miter"/>
            <v:imagedata r:id="rId38" o:title=""/>
            <o:lock v:ext="edit" aspectratio="t"/>
            <w10:wrap type="none"/>
            <w10:anchorlock/>
          </v:shape>
          <o:OLEObject Type="Embed" ProgID="Equation.DSMT4" ShapeID="_x0000_i1033" DrawAspect="Content" ObjectID="_1468075733" r:id="rId37">
            <o:LockedField>false</o:LockedField>
          </o:OLEObject>
        </w:object>
      </w:r>
      <w:r>
        <w:t xml:space="preserve"> </w:t>
      </w:r>
      <w:r>
        <w:rPr>
          <w:rFonts w:hint="eastAsia"/>
        </w:rPr>
        <w:t>——</w:t>
      </w:r>
      <w:r>
        <w:t xml:space="preserve"> </w:t>
      </w:r>
      <w:r>
        <w:rPr>
          <w:rFonts w:hint="eastAsia"/>
        </w:rPr>
        <w:t>夹层玻璃各单片玻璃的厚度（</w:t>
      </w:r>
      <w:r>
        <w:rPr>
          <w:position w:val="-6"/>
        </w:rPr>
        <w:object>
          <v:shape id="_x0000_i1034" o:spt="75" type="#_x0000_t75" style="height:12pt;width:24pt;" o:ole="t" filled="f" o:preferrelative="t" stroked="f" coordsize="21600,21600">
            <v:path/>
            <v:fill on="f" focussize="0,0"/>
            <v:stroke on="f" joinstyle="miter"/>
            <v:imagedata r:id="rId34" o:title=""/>
            <o:lock v:ext="edit" aspectratio="t"/>
            <w10:wrap type="none"/>
            <w10:anchorlock/>
          </v:shape>
          <o:OLEObject Type="Embed" ProgID="Equation.DSMT4" ShapeID="_x0000_i1034" DrawAspect="Content" ObjectID="_1468075734" r:id="rId39">
            <o:LockedField>false</o:LockedField>
          </o:OLEObject>
        </w:object>
      </w:r>
      <w:r>
        <w:rPr>
          <w:rFonts w:hint="eastAsia"/>
        </w:rPr>
        <w:t>）。</w:t>
      </w:r>
    </w:p>
    <w:p>
      <w:pPr>
        <w:pStyle w:val="16"/>
        <w:spacing w:line="360" w:lineRule="auto"/>
        <w:rPr>
          <w:rFonts w:ascii="Times New Roman" w:hAnsi="Times New Roman"/>
        </w:rPr>
      </w:pPr>
      <w:r>
        <w:rPr>
          <w:rFonts w:ascii="Times New Roman" w:hAnsi="Times New Roman"/>
        </w:rPr>
        <w:t xml:space="preserve">3 </w:t>
      </w:r>
      <w:r>
        <w:rPr>
          <w:rFonts w:hint="eastAsia" w:ascii="Times New Roman" w:hAnsi="Times New Roman"/>
        </w:rPr>
        <w:t>地震作用标准值，根据各单片玻璃的自重，按照《玻璃幕墙工程技术规范》</w:t>
      </w:r>
      <w:r>
        <w:rPr>
          <w:rFonts w:ascii="Times New Roman" w:hAnsi="Times New Roman"/>
        </w:rPr>
        <w:t>JGJ 102</w:t>
      </w:r>
      <w:r>
        <w:rPr>
          <w:rFonts w:hint="eastAsia" w:ascii="Times New Roman" w:hAnsi="Times New Roman"/>
        </w:rPr>
        <w:t>的规定计算。</w:t>
      </w:r>
    </w:p>
    <w:p>
      <w:pPr>
        <w:pStyle w:val="16"/>
        <w:spacing w:line="360" w:lineRule="auto"/>
        <w:rPr>
          <w:rFonts w:ascii="Times New Roman" w:hAnsi="Times New Roman"/>
        </w:rPr>
      </w:pPr>
      <w:r>
        <w:rPr>
          <w:rFonts w:ascii="Times New Roman" w:hAnsi="Times New Roman"/>
        </w:rPr>
        <w:t xml:space="preserve">4 </w:t>
      </w:r>
      <w:r>
        <w:rPr>
          <w:rFonts w:hint="eastAsia" w:ascii="Times New Roman" w:hAnsi="Times New Roman"/>
        </w:rPr>
        <w:t>三片玻璃可分别根据各自承受的荷载按下式进行应力计算：</w:t>
      </w:r>
    </w:p>
    <w:p>
      <w:pPr>
        <w:pStyle w:val="16"/>
        <w:spacing w:line="360" w:lineRule="auto"/>
        <w:ind w:firstLine="0" w:firstLineChars="0"/>
        <w:jc w:val="center"/>
        <w:rPr>
          <w:rFonts w:ascii="Times New Roman" w:hAnsi="Times New Roman"/>
        </w:rPr>
      </w:pPr>
      <w:r>
        <w:rPr>
          <w:rFonts w:ascii="Times New Roman" w:hAnsi="Times New Roman"/>
          <w:position w:val="-28"/>
        </w:rPr>
        <w:object>
          <v:shape id="_x0000_i1035" o:spt="75" type="#_x0000_t75" style="height:37.8pt;width:93pt;" o:ole="t" filled="f" o:preferrelative="t" stroked="f" coordsize="21600,21600">
            <v:path/>
            <v:fill on="f" focussize="0,0"/>
            <v:stroke on="f" joinstyle="miter"/>
            <v:imagedata r:id="rId41" o:title=""/>
            <o:lock v:ext="edit" aspectratio="t"/>
            <w10:wrap type="none"/>
            <w10:anchorlock/>
          </v:shape>
          <o:OLEObject Type="Embed" ProgID="Equation.DSMT4" ShapeID="_x0000_i1035" DrawAspect="Content" ObjectID="_1468075735" r:id="rId40">
            <o:LockedField>false</o:LockedField>
          </o:OLEObject>
        </w:object>
      </w:r>
    </w:p>
    <w:p>
      <w:pPr>
        <w:pStyle w:val="16"/>
        <w:spacing w:line="360" w:lineRule="auto"/>
        <w:ind w:firstLine="0" w:firstLineChars="0"/>
        <w:jc w:val="center"/>
        <w:rPr>
          <w:rFonts w:ascii="Times New Roman" w:hAnsi="Times New Roman"/>
        </w:rPr>
      </w:pPr>
      <w:r>
        <w:rPr>
          <w:rFonts w:ascii="Times New Roman" w:hAnsi="Times New Roman"/>
          <w:position w:val="-28"/>
        </w:rPr>
        <w:object>
          <v:shape id="_x0000_i1036" o:spt="75" type="#_x0000_t75" style="height:37.8pt;width:96pt;" o:ole="t" filled="f" o:preferrelative="t" stroked="f" coordsize="21600,21600">
            <v:path/>
            <v:fill on="f" focussize="0,0"/>
            <v:stroke on="f" joinstyle="miter"/>
            <v:imagedata r:id="rId43" o:title=""/>
            <o:lock v:ext="edit" aspectratio="t"/>
            <w10:wrap type="none"/>
            <w10:anchorlock/>
          </v:shape>
          <o:OLEObject Type="Embed" ProgID="Equation.DSMT4" ShapeID="_x0000_i1036" DrawAspect="Content" ObjectID="_1468075736" r:id="rId42">
            <o:LockedField>false</o:LockedField>
          </o:OLEObject>
        </w:object>
      </w:r>
    </w:p>
    <w:p>
      <w:pPr>
        <w:pStyle w:val="16"/>
        <w:spacing w:line="360" w:lineRule="auto"/>
        <w:ind w:firstLine="0" w:firstLineChars="0"/>
        <w:jc w:val="center"/>
        <w:rPr>
          <w:rFonts w:ascii="Times New Roman" w:hAnsi="Times New Roman"/>
        </w:rPr>
      </w:pPr>
      <w:r>
        <w:rPr>
          <w:rFonts w:ascii="Times New Roman" w:hAnsi="Times New Roman"/>
          <w:position w:val="-28"/>
        </w:rPr>
        <w:object>
          <v:shape id="_x0000_i1037" o:spt="75" type="#_x0000_t75" style="height:37.8pt;width:54.6pt;" o:ole="t" filled="f" o:preferrelative="t" stroked="f" coordsize="21600,21600">
            <v:path/>
            <v:fill on="f" focussize="0,0"/>
            <v:stroke on="f" joinstyle="miter"/>
            <v:imagedata r:id="rId45" o:title=""/>
            <o:lock v:ext="edit" aspectratio="t"/>
            <w10:wrap type="none"/>
            <w10:anchorlock/>
          </v:shape>
          <o:OLEObject Type="Embed" ProgID="Equation.DSMT4" ShapeID="_x0000_i1037" DrawAspect="Content" ObjectID="_1468075737" r:id="rId44">
            <o:LockedField>false</o:LockedField>
          </o:OLEObject>
        </w:object>
      </w:r>
      <w:r>
        <w:rPr>
          <w:rFonts w:ascii="Times New Roman" w:hAnsi="Times New Roman"/>
        </w:rPr>
        <w:t xml:space="preserve"> </w:t>
      </w:r>
      <w:r>
        <w:rPr>
          <w:rFonts w:hint="eastAsia" w:ascii="Times New Roman" w:hAnsi="Times New Roman"/>
        </w:rPr>
        <w:t>或</w:t>
      </w:r>
      <w:r>
        <w:rPr>
          <w:rFonts w:ascii="Times New Roman" w:hAnsi="Times New Roman"/>
          <w:position w:val="-28"/>
        </w:rPr>
        <w:object>
          <v:shape id="_x0000_i1038" o:spt="75" type="#_x0000_t75" style="height:39pt;width:115.8pt;" o:ole="t" filled="f" o:preferrelative="t" stroked="f" coordsize="21600,21600">
            <v:path/>
            <v:fill on="f" focussize="0,0"/>
            <v:stroke on="f" joinstyle="miter"/>
            <v:imagedata r:id="rId47" o:title=""/>
            <o:lock v:ext="edit" aspectratio="t"/>
            <w10:wrap type="none"/>
            <w10:anchorlock/>
          </v:shape>
          <o:OLEObject Type="Embed" ProgID="Equation.DSMT4" ShapeID="_x0000_i1038" DrawAspect="Content" ObjectID="_1468075738" r:id="rId46">
            <o:LockedField>false</o:LockedField>
          </o:OLEObject>
        </w:object>
      </w:r>
    </w:p>
    <w:p>
      <w:pPr>
        <w:pStyle w:val="16"/>
        <w:spacing w:line="360" w:lineRule="auto"/>
        <w:ind w:firstLine="0" w:firstLineChars="0"/>
        <w:jc w:val="both"/>
        <w:rPr>
          <w:rFonts w:ascii="Times New Roman" w:hAnsi="Times New Roman"/>
        </w:rPr>
      </w:pPr>
      <w:r>
        <w:rPr>
          <w:rFonts w:hint="eastAsia" w:ascii="Times New Roman" w:hAnsi="Times New Roman"/>
        </w:rPr>
        <w:t>式中</w:t>
      </w:r>
      <w:r>
        <w:rPr>
          <w:rFonts w:ascii="Times New Roman" w:hAnsi="Times New Roman"/>
        </w:rPr>
        <w:t xml:space="preserve">  </w:t>
      </w:r>
      <w:r>
        <w:rPr>
          <w:rFonts w:ascii="Times New Roman" w:hAnsi="Times New Roman"/>
          <w:position w:val="-6"/>
        </w:rPr>
        <w:object>
          <v:shape id="_x0000_i1039" o:spt="75" type="#_x0000_t75" style="height:13.8pt;width:9.6pt;" o:ole="t" filled="f" o:preferrelative="t" stroked="f" coordsize="21600,21600">
            <v:path/>
            <v:fill on="f" focussize="0,0"/>
            <v:stroke on="f" joinstyle="miter"/>
            <v:imagedata r:id="rId49" o:title=""/>
            <o:lock v:ext="edit" aspectratio="t"/>
            <w10:wrap type="none"/>
            <w10:anchorlock/>
          </v:shape>
          <o:OLEObject Type="Embed" ProgID="Equation.DSMT4" ShapeID="_x0000_i1039" DrawAspect="Content" ObjectID="_1468075739" r:id="rId48">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参数；</w:t>
      </w:r>
    </w:p>
    <w:p>
      <w:pPr>
        <w:pStyle w:val="16"/>
        <w:spacing w:line="360" w:lineRule="auto"/>
        <w:ind w:firstLine="0" w:firstLineChars="0"/>
        <w:jc w:val="both"/>
        <w:rPr>
          <w:rFonts w:ascii="Times New Roman" w:hAnsi="Times New Roman"/>
        </w:rPr>
      </w:pPr>
      <w:r>
        <w:rPr>
          <w:rFonts w:ascii="Times New Roman" w:hAnsi="Times New Roman"/>
          <w:position w:val="-12"/>
        </w:rPr>
        <w:object>
          <v:shape id="_x0000_i1040" o:spt="75" type="#_x0000_t75" style="height:18.6pt;width:20.4pt;" o:ole="t" filled="f" o:preferrelative="t" stroked="f" coordsize="21600,21600">
            <v:path/>
            <v:fill on="f" focussize="0,0"/>
            <v:stroke on="f" joinstyle="miter"/>
            <v:imagedata r:id="rId51" o:title=""/>
            <o:lock v:ext="edit" aspectratio="t"/>
            <w10:wrap type="none"/>
            <w10:anchorlock/>
          </v:shape>
          <o:OLEObject Type="Embed" ProgID="Equation.DSMT4" ShapeID="_x0000_i1040" DrawAspect="Content" ObjectID="_1468075740" r:id="rId50">
            <o:LockedField>false</o:LockedField>
          </o:OLEObject>
        </w:object>
      </w:r>
      <w:r>
        <w:rPr>
          <w:rFonts w:hint="eastAsia" w:ascii="Times New Roman" w:hAnsi="Times New Roman"/>
        </w:rPr>
        <w:t>、</w:t>
      </w:r>
      <w:r>
        <w:rPr>
          <w:rFonts w:ascii="Times New Roman" w:hAnsi="Times New Roman"/>
          <w:position w:val="-12"/>
        </w:rPr>
        <w:object>
          <v:shape id="_x0000_i1041" o:spt="75" type="#_x0000_t75" style="height:18.6pt;width:20.4pt;" o:ole="t" filled="f" o:preferrelative="t" stroked="f" coordsize="21600,21600">
            <v:path/>
            <v:fill on="f" focussize="0,0"/>
            <v:stroke on="f" joinstyle="miter"/>
            <v:imagedata r:id="rId53" o:title=""/>
            <o:lock v:ext="edit" aspectratio="t"/>
            <w10:wrap type="none"/>
            <w10:anchorlock/>
          </v:shape>
          <o:OLEObject Type="Embed" ProgID="Equation.DSMT4" ShapeID="_x0000_i1041" DrawAspect="Content" ObjectID="_1468075741" r:id="rId52">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分别为风荷载、地震作用下玻璃截面的最大应力标准值</w:t>
      </w:r>
      <w:r>
        <w:rPr>
          <w:rFonts w:hint="eastAsia" w:ascii="Times New Roman" w:hAnsi="Times New Roman"/>
          <w:lang w:eastAsia="zh-CN"/>
        </w:rPr>
        <w:t>（</w:t>
      </w:r>
      <w:r>
        <w:rPr>
          <w:rFonts w:ascii="Times New Roman" w:hAnsi="Times New Roman"/>
          <w:position w:val="-6"/>
        </w:rPr>
        <w:object>
          <v:shape id="_x0000_i1042" o:spt="75" type="#_x0000_t75" style="height:15.6pt;width:43.8pt;" o:ole="t" filled="f" o:preferrelative="t" stroked="f" coordsize="21600,21600">
            <v:path/>
            <v:fill on="f" focussize="0,0"/>
            <v:stroke on="f" joinstyle="miter"/>
            <v:imagedata r:id="rId55" o:title=""/>
            <o:lock v:ext="edit" aspectratio="t"/>
            <w10:wrap type="none"/>
            <w10:anchorlock/>
          </v:shape>
          <o:OLEObject Type="Embed" ProgID="Equation.DSMT4" ShapeID="_x0000_i1042" DrawAspect="Content" ObjectID="_1468075742" r:id="rId54">
            <o:LockedField>false</o:LockedField>
          </o:OLEObject>
        </w:object>
      </w:r>
      <w:r>
        <w:rPr>
          <w:rFonts w:ascii="Times New Roman" w:hAnsi="Times New Roman"/>
        </w:rPr>
        <w:t>);</w:t>
      </w:r>
    </w:p>
    <w:p>
      <w:pPr>
        <w:pStyle w:val="16"/>
        <w:spacing w:line="360" w:lineRule="auto"/>
        <w:ind w:firstLine="0" w:firstLineChars="0"/>
        <w:jc w:val="both"/>
        <w:rPr>
          <w:rFonts w:ascii="Times New Roman" w:hAnsi="Times New Roman"/>
        </w:rPr>
      </w:pPr>
      <w:r>
        <w:rPr>
          <w:rFonts w:ascii="Times New Roman" w:hAnsi="Times New Roman"/>
          <w:position w:val="-12"/>
        </w:rPr>
        <w:object>
          <v:shape id="_x0000_i1043" o:spt="75" type="#_x0000_t75" style="height:18.6pt;width:15pt;" o:ole="t" filled="f" o:preferrelative="t" stroked="f" coordsize="21600,21600">
            <v:path/>
            <v:fill on="f" focussize="0,0"/>
            <v:stroke on="f" joinstyle="miter"/>
            <v:imagedata r:id="rId57" o:title=""/>
            <o:lock v:ext="edit" aspectratio="t"/>
            <w10:wrap type="none"/>
            <w10:anchorlock/>
          </v:shape>
          <o:OLEObject Type="Embed" ProgID="Equation.DSMT4" ShapeID="_x0000_i1043" DrawAspect="Content" ObjectID="_1468075743" r:id="rId56">
            <o:LockedField>false</o:LockedField>
          </o:OLEObject>
        </w:object>
      </w:r>
      <w:r>
        <w:rPr>
          <w:rFonts w:hint="eastAsia" w:ascii="Times New Roman" w:hAnsi="Times New Roman"/>
        </w:rPr>
        <w:t>、</w:t>
      </w:r>
      <w:r>
        <w:rPr>
          <w:rFonts w:ascii="Times New Roman" w:hAnsi="Times New Roman"/>
          <w:position w:val="-12"/>
        </w:rPr>
        <w:object>
          <v:shape id="_x0000_i1044" o:spt="75" type="#_x0000_t75" style="height:18.6pt;width:18.6pt;" o:ole="t" filled="f" o:preferrelative="t" stroked="f" coordsize="21600,21600">
            <v:path/>
            <v:fill on="f" focussize="0,0"/>
            <v:stroke on="f" joinstyle="miter"/>
            <v:imagedata r:id="rId59" o:title=""/>
            <o:lock v:ext="edit" aspectratio="t"/>
            <w10:wrap type="none"/>
            <w10:anchorlock/>
          </v:shape>
          <o:OLEObject Type="Embed" ProgID="Equation.DSMT4" ShapeID="_x0000_i1044" DrawAspect="Content" ObjectID="_1468075744" r:id="rId58">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分别为垂直于玻璃幕墙平面的风荷载、地震作用标准值</w:t>
      </w:r>
      <w:r>
        <w:rPr>
          <w:rFonts w:hint="eastAsia" w:ascii="Times New Roman" w:hAnsi="Times New Roman"/>
          <w:lang w:eastAsia="zh-CN"/>
        </w:rPr>
        <w:t>（</w:t>
      </w:r>
      <w:r>
        <w:rPr>
          <w:rFonts w:ascii="Times New Roman" w:hAnsi="Times New Roman"/>
          <w:position w:val="-6"/>
        </w:rPr>
        <w:object>
          <v:shape id="_x0000_i1045" o:spt="75" type="#_x0000_t75" style="height:15.6pt;width:43.8pt;" o:ole="t" filled="f" o:preferrelative="t" stroked="f" coordsize="21600,21600">
            <v:path/>
            <v:fill on="f" focussize="0,0"/>
            <v:stroke on="f" joinstyle="miter"/>
            <v:imagedata r:id="rId55" o:title=""/>
            <o:lock v:ext="edit" aspectratio="t"/>
            <w10:wrap type="none"/>
            <w10:anchorlock/>
          </v:shape>
          <o:OLEObject Type="Embed" ProgID="Equation.DSMT4" ShapeID="_x0000_i1045" DrawAspect="Content" ObjectID="_1468075745" r:id="rId60">
            <o:LockedField>false</o:LockedField>
          </o:OLEObject>
        </w:object>
      </w:r>
      <w:r>
        <w:rPr>
          <w:rFonts w:ascii="Times New Roman" w:hAnsi="Times New Roman"/>
        </w:rPr>
        <w:t>);</w:t>
      </w:r>
    </w:p>
    <w:p>
      <w:pPr>
        <w:pStyle w:val="16"/>
        <w:spacing w:line="360" w:lineRule="auto"/>
        <w:jc w:val="both"/>
        <w:rPr>
          <w:rFonts w:ascii="Times New Roman" w:hAnsi="Times New Roman"/>
        </w:rPr>
      </w:pPr>
      <w:r>
        <w:rPr>
          <w:rFonts w:ascii="Times New Roman" w:hAnsi="Times New Roman"/>
          <w:position w:val="-6"/>
        </w:rPr>
        <w:object>
          <v:shape id="_x0000_i1046" o:spt="75" type="#_x0000_t75" style="height:11.4pt;width:9.6pt;" o:ole="t" filled="f" o:preferrelative="t" stroked="f" coordsize="21600,21600">
            <v:path/>
            <v:fill on="f" focussize="0,0"/>
            <v:stroke on="f" joinstyle="miter"/>
            <v:imagedata r:id="rId62" o:title=""/>
            <o:lock v:ext="edit" aspectratio="t"/>
            <w10:wrap type="none"/>
            <w10:anchorlock/>
          </v:shape>
          <o:OLEObject Type="Embed" ProgID="Equation.DSMT4" ShapeID="_x0000_i1046" DrawAspect="Content" ObjectID="_1468075746" r:id="rId61">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矩形玻璃面板短边边长</w:t>
      </w:r>
      <w:r>
        <w:rPr>
          <w:rFonts w:hint="eastAsia" w:ascii="Times New Roman" w:hAnsi="Times New Roman"/>
          <w:lang w:eastAsia="zh-CN"/>
        </w:rPr>
        <w:t>（</w:t>
      </w:r>
      <w:r>
        <w:rPr>
          <w:rFonts w:ascii="Times New Roman" w:hAnsi="Times New Roman"/>
          <w:position w:val="-6"/>
        </w:rPr>
        <w:object>
          <v:shape id="_x0000_i1047" o:spt="75" type="#_x0000_t75" style="height:12pt;width:24pt;" o:ole="t" filled="f" o:preferrelative="t" stroked="f" coordsize="21600,21600">
            <v:path/>
            <v:fill on="f" focussize="0,0"/>
            <v:stroke on="f" joinstyle="miter"/>
            <v:imagedata r:id="rId34" o:title=""/>
            <o:lock v:ext="edit" aspectratio="t"/>
            <w10:wrap type="none"/>
            <w10:anchorlock/>
          </v:shape>
          <o:OLEObject Type="Embed" ProgID="Equation.DSMT4" ShapeID="_x0000_i1047" DrawAspect="Content" ObjectID="_1468075747" r:id="rId63">
            <o:LockedField>false</o:LockedField>
          </o:OLEObject>
        </w:object>
      </w:r>
      <w:r>
        <w:rPr>
          <w:rFonts w:ascii="Times New Roman" w:hAnsi="Times New Roman"/>
        </w:rPr>
        <w:t>)</w:t>
      </w:r>
      <w:r>
        <w:rPr>
          <w:rFonts w:hint="eastAsia" w:ascii="Times New Roman" w:hAnsi="Times New Roman"/>
        </w:rPr>
        <w:t>；</w:t>
      </w:r>
    </w:p>
    <w:p>
      <w:pPr>
        <w:pStyle w:val="16"/>
        <w:spacing w:line="360" w:lineRule="auto"/>
        <w:jc w:val="both"/>
        <w:rPr>
          <w:rFonts w:ascii="Times New Roman" w:hAnsi="Times New Roman"/>
        </w:rPr>
      </w:pPr>
      <w:r>
        <w:rPr>
          <w:rFonts w:ascii="Times New Roman" w:hAnsi="Times New Roman"/>
          <w:position w:val="-6"/>
        </w:rPr>
        <w:object>
          <v:shape id="_x0000_i1048" o:spt="75" type="#_x0000_t75" style="height:12pt;width:7.2pt;" o:ole="t" filled="f" o:preferrelative="t" stroked="f" coordsize="21600,21600">
            <v:path/>
            <v:fill on="f" focussize="0,0"/>
            <v:stroke on="f" joinstyle="miter"/>
            <v:imagedata r:id="rId65" o:title=""/>
            <o:lock v:ext="edit" aspectratio="t"/>
            <w10:wrap type="none"/>
            <w10:anchorlock/>
          </v:shape>
          <o:OLEObject Type="Embed" ProgID="Equation.DSMT4" ShapeID="_x0000_i1048" DrawAspect="Content" ObjectID="_1468075748" r:id="rId64">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玻璃的厚度</w:t>
      </w:r>
      <w:r>
        <w:rPr>
          <w:rFonts w:hint="eastAsia" w:ascii="Times New Roman" w:hAnsi="Times New Roman"/>
          <w:lang w:eastAsia="zh-CN"/>
        </w:rPr>
        <w:t>（</w:t>
      </w:r>
      <w:r>
        <w:rPr>
          <w:rFonts w:ascii="Times New Roman" w:hAnsi="Times New Roman"/>
          <w:position w:val="-6"/>
        </w:rPr>
        <w:object>
          <v:shape id="_x0000_i1049" o:spt="75" type="#_x0000_t75" style="height:12pt;width:24pt;" o:ole="t" filled="f" o:preferrelative="t" stroked="f" coordsize="21600,21600">
            <v:path/>
            <v:fill on="f" focussize="0,0"/>
            <v:stroke on="f" joinstyle="miter"/>
            <v:imagedata r:id="rId34" o:title=""/>
            <o:lock v:ext="edit" aspectratio="t"/>
            <w10:wrap type="none"/>
            <w10:anchorlock/>
          </v:shape>
          <o:OLEObject Type="Embed" ProgID="Equation.DSMT4" ShapeID="_x0000_i1049" DrawAspect="Content" ObjectID="_1468075749" r:id="rId66">
            <o:LockedField>false</o:LockedField>
          </o:OLEObject>
        </w:object>
      </w:r>
      <w:r>
        <w:rPr>
          <w:rFonts w:ascii="Times New Roman" w:hAnsi="Times New Roman"/>
        </w:rPr>
        <w:t>)</w:t>
      </w:r>
      <w:r>
        <w:rPr>
          <w:rFonts w:hint="eastAsia" w:ascii="Times New Roman" w:hAnsi="Times New Roman"/>
        </w:rPr>
        <w:t>；</w:t>
      </w:r>
    </w:p>
    <w:p>
      <w:pPr>
        <w:pStyle w:val="16"/>
        <w:spacing w:line="360" w:lineRule="auto"/>
        <w:jc w:val="both"/>
        <w:rPr>
          <w:rFonts w:ascii="Times New Roman" w:hAnsi="Times New Roman"/>
        </w:rPr>
      </w:pPr>
      <w:r>
        <w:rPr>
          <w:rFonts w:ascii="Times New Roman" w:hAnsi="Times New Roman"/>
          <w:position w:val="-4"/>
        </w:rPr>
        <w:object>
          <v:shape id="_x0000_i1050" o:spt="75" type="#_x0000_t75" style="height:13.2pt;width:12pt;" o:ole="t" filled="f" o:preferrelative="t" stroked="f" coordsize="21600,21600">
            <v:path/>
            <v:fill on="f" focussize="0,0"/>
            <v:stroke on="f" joinstyle="miter"/>
            <v:imagedata r:id="rId68" o:title=""/>
            <o:lock v:ext="edit" aspectratio="t"/>
            <w10:wrap type="none"/>
            <w10:anchorlock/>
          </v:shape>
          <o:OLEObject Type="Embed" ProgID="Equation.DSMT4" ShapeID="_x0000_i1050" DrawAspect="Content" ObjectID="_1468075750" r:id="rId67">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玻璃的弹性模量</w:t>
      </w:r>
      <w:r>
        <w:rPr>
          <w:rFonts w:hint="eastAsia" w:ascii="Times New Roman" w:hAnsi="Times New Roman"/>
          <w:lang w:eastAsia="zh-CN"/>
        </w:rPr>
        <w:t>（</w:t>
      </w:r>
      <w:r>
        <w:rPr>
          <w:rFonts w:ascii="Times New Roman" w:hAnsi="Times New Roman"/>
          <w:position w:val="-6"/>
        </w:rPr>
        <w:object>
          <v:shape id="_x0000_i1051" o:spt="75" type="#_x0000_t75" style="height:15.6pt;width:43.8pt;" o:ole="t" filled="f" o:preferrelative="t" stroked="f" coordsize="21600,21600">
            <v:path/>
            <v:fill on="f" focussize="0,0"/>
            <v:stroke on="f" joinstyle="miter"/>
            <v:imagedata r:id="rId55" o:title=""/>
            <o:lock v:ext="edit" aspectratio="t"/>
            <w10:wrap type="none"/>
            <w10:anchorlock/>
          </v:shape>
          <o:OLEObject Type="Embed" ProgID="Equation.DSMT4" ShapeID="_x0000_i1051" DrawAspect="Content" ObjectID="_1468075751" r:id="rId69">
            <o:LockedField>false</o:LockedField>
          </o:OLEObject>
        </w:object>
      </w:r>
      <w:r>
        <w:rPr>
          <w:rFonts w:ascii="Times New Roman" w:hAnsi="Times New Roman"/>
        </w:rPr>
        <w:t>)</w:t>
      </w:r>
      <w:r>
        <w:rPr>
          <w:rFonts w:hint="eastAsia" w:ascii="Times New Roman" w:hAnsi="Times New Roman"/>
        </w:rPr>
        <w:t>；</w:t>
      </w:r>
    </w:p>
    <w:p>
      <w:pPr>
        <w:pStyle w:val="16"/>
        <w:spacing w:line="360" w:lineRule="auto"/>
        <w:ind w:left="446" w:leftChars="186" w:firstLine="0" w:firstLineChars="0"/>
        <w:jc w:val="both"/>
        <w:rPr>
          <w:rFonts w:ascii="Times New Roman" w:hAnsi="Times New Roman"/>
        </w:rPr>
      </w:pPr>
      <w:r>
        <w:rPr>
          <w:rFonts w:ascii="Times New Roman" w:hAnsi="Times New Roman"/>
          <w:position w:val="-6"/>
        </w:rPr>
        <w:object>
          <v:shape id="_x0000_i1052" o:spt="75" type="#_x0000_t75" style="height:11.4pt;width:13.2pt;" o:ole="t" filled="f" o:preferrelative="t" stroked="f" coordsize="21600,21600">
            <v:path/>
            <v:fill on="f" focussize="0,0"/>
            <v:stroke on="f" joinstyle="miter"/>
            <v:imagedata r:id="rId71" o:title=""/>
            <o:lock v:ext="edit" aspectratio="t"/>
            <w10:wrap type="none"/>
            <w10:anchorlock/>
          </v:shape>
          <o:OLEObject Type="Embed" ProgID="Equation.DSMT4" ShapeID="_x0000_i1052" DrawAspect="Content" ObjectID="_1468075752" r:id="rId70">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弯矩系数</w:t>
      </w:r>
      <w:r>
        <w:rPr>
          <w:rFonts w:ascii="Times New Roman" w:hAnsi="Times New Roman"/>
        </w:rPr>
        <w:t>，</w:t>
      </w:r>
      <w:r>
        <w:rPr>
          <w:rFonts w:ascii="Times New Roman" w:hAnsi="Times New Roman"/>
        </w:rPr>
        <w:t>由玻璃面板短边与长边边长之比a/b 按</w:t>
      </w:r>
      <w:r>
        <w:rPr>
          <w:rFonts w:hint="eastAsia" w:ascii="Times New Roman" w:hAnsi="Times New Roman"/>
        </w:rPr>
        <w:t>表</w:t>
      </w:r>
      <w:r>
        <w:rPr>
          <w:rFonts w:ascii="Times New Roman" w:hAnsi="Times New Roman"/>
        </w:rPr>
        <w:t>5.2.1-1采用</w:t>
      </w:r>
      <w:r>
        <w:rPr>
          <w:rFonts w:hint="eastAsia" w:ascii="Times New Roman" w:hAnsi="Times New Roman"/>
          <w:lang w:eastAsia="zh-CN"/>
        </w:rPr>
        <w:t>；</w:t>
      </w:r>
    </w:p>
    <w:p>
      <w:pPr>
        <w:pStyle w:val="16"/>
        <w:spacing w:line="360" w:lineRule="auto"/>
        <w:jc w:val="both"/>
        <w:rPr>
          <w:rFonts w:ascii="Times New Roman" w:hAnsi="Times New Roman"/>
        </w:rPr>
      </w:pPr>
      <w:r>
        <w:rPr>
          <w:rFonts w:ascii="Times New Roman" w:hAnsi="Times New Roman"/>
          <w:position w:val="-10"/>
        </w:rPr>
        <w:object>
          <v:shape id="_x0000_i1053" o:spt="75" type="#_x0000_t75" style="height:13.2pt;width:9.6pt;" o:ole="t" filled="f" o:preferrelative="t" stroked="f" coordsize="21600,21600">
            <v:path/>
            <v:fill on="f" focussize="0,0"/>
            <v:stroke on="f" joinstyle="miter"/>
            <v:imagedata r:id="rId73" o:title=""/>
            <o:lock v:ext="edit" aspectratio="t"/>
            <w10:wrap type="none"/>
            <w10:anchorlock/>
          </v:shape>
          <o:OLEObject Type="Embed" ProgID="Equation.DSMT4" ShapeID="_x0000_i1053" DrawAspect="Content" ObjectID="_1468075753" r:id="rId72">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折减系数，</w:t>
      </w:r>
      <w:r>
        <w:rPr>
          <w:rFonts w:ascii="Times New Roman" w:hAnsi="Times New Roman"/>
        </w:rPr>
        <w:t>按表5.2.1-2采用。</w:t>
      </w:r>
    </w:p>
    <w:p>
      <w:pPr>
        <w:pStyle w:val="16"/>
        <w:ind w:firstLine="0" w:firstLineChars="0"/>
        <w:jc w:val="center"/>
        <w:rPr>
          <w:rFonts w:ascii="Times New Roman" w:hAnsi="Times New Roman"/>
          <w:b/>
          <w:bCs/>
        </w:rPr>
      </w:pPr>
      <w:r>
        <w:rPr>
          <w:rFonts w:hint="eastAsia" w:ascii="Times New Roman" w:hAnsi="Times New Roman"/>
          <w:b/>
          <w:bCs/>
        </w:rPr>
        <w:t>表</w:t>
      </w:r>
      <w:r>
        <w:rPr>
          <w:rFonts w:ascii="Times New Roman" w:hAnsi="Times New Roman"/>
          <w:b/>
          <w:bCs/>
        </w:rPr>
        <w:t>5.2.1</w:t>
      </w:r>
      <w:r>
        <w:rPr>
          <w:rFonts w:hint="eastAsia" w:ascii="Times New Roman" w:hAnsi="Times New Roman"/>
          <w:b/>
          <w:bCs/>
        </w:rPr>
        <w:t>—</w:t>
      </w:r>
      <w:r>
        <w:rPr>
          <w:rFonts w:ascii="Times New Roman" w:hAnsi="Times New Roman"/>
          <w:b/>
          <w:bCs/>
        </w:rPr>
        <w:t xml:space="preserve">1 </w:t>
      </w:r>
      <w:r>
        <w:rPr>
          <w:rFonts w:hint="eastAsia" w:ascii="Times New Roman" w:hAnsi="Times New Roman"/>
          <w:b/>
          <w:bCs/>
        </w:rPr>
        <w:t>四边支撑玻璃板的弯矩系数</w:t>
      </w:r>
      <w:r>
        <w:rPr>
          <w:rFonts w:ascii="Times New Roman" w:hAnsi="Times New Roman"/>
          <w:b/>
          <w:bCs/>
        </w:rPr>
        <w:t>m</w: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1"/>
        <w:gridCol w:w="921"/>
        <w:gridCol w:w="922"/>
        <w:gridCol w:w="922"/>
        <w:gridCol w:w="922"/>
        <w:gridCol w:w="922"/>
        <w:gridCol w:w="922"/>
        <w:gridCol w:w="922"/>
        <w:gridCol w:w="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1" w:type="dxa"/>
          </w:tcPr>
          <w:p>
            <w:pPr>
              <w:pStyle w:val="16"/>
              <w:ind w:firstLine="0" w:firstLineChars="0"/>
              <w:jc w:val="center"/>
              <w:rPr>
                <w:rFonts w:ascii="Times New Roman" w:hAnsi="Times New Roman"/>
                <w:sz w:val="21"/>
                <w:szCs w:val="21"/>
              </w:rPr>
            </w:pPr>
            <w:r>
              <w:rPr>
                <w:rFonts w:ascii="Times New Roman" w:hAnsi="Times New Roman"/>
                <w:sz w:val="21"/>
                <w:szCs w:val="21"/>
              </w:rPr>
              <w:t>a/b</w:t>
            </w:r>
          </w:p>
        </w:tc>
        <w:tc>
          <w:tcPr>
            <w:tcW w:w="921" w:type="dxa"/>
          </w:tcPr>
          <w:p>
            <w:pPr>
              <w:pStyle w:val="16"/>
              <w:ind w:firstLine="0" w:firstLineChars="0"/>
              <w:rPr>
                <w:rFonts w:ascii="Times New Roman" w:hAnsi="Times New Roman"/>
                <w:sz w:val="21"/>
                <w:szCs w:val="21"/>
              </w:rPr>
            </w:pPr>
            <w:r>
              <w:rPr>
                <w:rFonts w:ascii="Times New Roman" w:hAnsi="Times New Roman"/>
                <w:sz w:val="21"/>
                <w:szCs w:val="21"/>
              </w:rPr>
              <w:t>0.01</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0.25</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0.33</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0.40</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0.5</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0.55</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0.60</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1" w:type="dxa"/>
          </w:tcPr>
          <w:p>
            <w:pPr>
              <w:pStyle w:val="16"/>
              <w:ind w:firstLine="0" w:firstLineChars="0"/>
              <w:jc w:val="center"/>
              <w:rPr>
                <w:rFonts w:ascii="Times New Roman" w:hAnsi="Times New Roman"/>
                <w:sz w:val="21"/>
                <w:szCs w:val="21"/>
              </w:rPr>
            </w:pPr>
            <w:r>
              <w:rPr>
                <w:rFonts w:ascii="Times New Roman" w:hAnsi="Times New Roman"/>
                <w:sz w:val="21"/>
                <w:szCs w:val="21"/>
              </w:rPr>
              <w:t>m</w:t>
            </w:r>
          </w:p>
        </w:tc>
        <w:tc>
          <w:tcPr>
            <w:tcW w:w="921" w:type="dxa"/>
          </w:tcPr>
          <w:p>
            <w:pPr>
              <w:pStyle w:val="16"/>
              <w:ind w:firstLine="0" w:firstLineChars="0"/>
              <w:rPr>
                <w:rFonts w:ascii="Times New Roman" w:hAnsi="Times New Roman"/>
                <w:sz w:val="21"/>
                <w:szCs w:val="21"/>
              </w:rPr>
            </w:pPr>
            <w:r>
              <w:rPr>
                <w:rFonts w:ascii="Times New Roman" w:hAnsi="Times New Roman"/>
                <w:sz w:val="21"/>
                <w:szCs w:val="21"/>
              </w:rPr>
              <w:t>0.125</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0.123</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0.118</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0.1115</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0.1000</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0.0934</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0.0868</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0.0804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1" w:type="dxa"/>
          </w:tcPr>
          <w:p>
            <w:pPr>
              <w:pStyle w:val="16"/>
              <w:ind w:firstLine="0" w:firstLineChars="0"/>
              <w:jc w:val="center"/>
              <w:rPr>
                <w:rFonts w:ascii="Times New Roman" w:hAnsi="Times New Roman"/>
                <w:sz w:val="21"/>
                <w:szCs w:val="21"/>
              </w:rPr>
            </w:pPr>
            <w:r>
              <w:rPr>
                <w:rFonts w:ascii="Times New Roman" w:hAnsi="Times New Roman"/>
                <w:sz w:val="21"/>
                <w:szCs w:val="21"/>
              </w:rPr>
              <w:t>a/b</w:t>
            </w:r>
          </w:p>
        </w:tc>
        <w:tc>
          <w:tcPr>
            <w:tcW w:w="921" w:type="dxa"/>
          </w:tcPr>
          <w:p>
            <w:pPr>
              <w:pStyle w:val="16"/>
              <w:ind w:firstLine="0" w:firstLineChars="0"/>
              <w:rPr>
                <w:rFonts w:ascii="Times New Roman" w:hAnsi="Times New Roman"/>
                <w:sz w:val="21"/>
                <w:szCs w:val="21"/>
              </w:rPr>
            </w:pPr>
            <w:r>
              <w:rPr>
                <w:rFonts w:ascii="Times New Roman" w:hAnsi="Times New Roman"/>
                <w:sz w:val="21"/>
                <w:szCs w:val="21"/>
              </w:rPr>
              <w:t>0.70</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0.75</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0.80</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0.85</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0.90</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0.95</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1.0</w:t>
            </w:r>
          </w:p>
        </w:tc>
        <w:tc>
          <w:tcPr>
            <w:tcW w:w="922" w:type="dxa"/>
          </w:tcPr>
          <w:p>
            <w:pPr>
              <w:pStyle w:val="16"/>
              <w:ind w:firstLine="0" w:firstLineChars="0"/>
              <w:rPr>
                <w:rFonts w:ascii="Times New Roman" w:hAnsi="Times New Roman"/>
                <w:sz w:val="21"/>
                <w:szCs w:val="21"/>
              </w:rPr>
            </w:pPr>
            <w:r>
              <w:rPr>
                <w:rFonts w:hint="eastAsia"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1" w:type="dxa"/>
          </w:tcPr>
          <w:p>
            <w:pPr>
              <w:pStyle w:val="16"/>
              <w:ind w:firstLine="0" w:firstLineChars="0"/>
              <w:jc w:val="center"/>
              <w:rPr>
                <w:rFonts w:ascii="Times New Roman" w:hAnsi="Times New Roman"/>
                <w:sz w:val="21"/>
                <w:szCs w:val="21"/>
              </w:rPr>
            </w:pPr>
            <w:r>
              <w:rPr>
                <w:rFonts w:ascii="Times New Roman" w:hAnsi="Times New Roman"/>
                <w:sz w:val="21"/>
                <w:szCs w:val="21"/>
              </w:rPr>
              <w:t>m</w:t>
            </w:r>
          </w:p>
        </w:tc>
        <w:tc>
          <w:tcPr>
            <w:tcW w:w="921" w:type="dxa"/>
          </w:tcPr>
          <w:p>
            <w:pPr>
              <w:pStyle w:val="16"/>
              <w:ind w:firstLine="0" w:firstLineChars="0"/>
              <w:rPr>
                <w:rFonts w:ascii="Times New Roman" w:hAnsi="Times New Roman"/>
                <w:sz w:val="21"/>
                <w:szCs w:val="21"/>
              </w:rPr>
            </w:pPr>
            <w:r>
              <w:rPr>
                <w:rFonts w:ascii="Times New Roman" w:hAnsi="Times New Roman"/>
                <w:sz w:val="21"/>
                <w:szCs w:val="21"/>
              </w:rPr>
              <w:t>0.0742</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0.0683</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0.0628</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0.0576</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0.0528</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0.0483</w:t>
            </w:r>
          </w:p>
        </w:tc>
        <w:tc>
          <w:tcPr>
            <w:tcW w:w="922" w:type="dxa"/>
          </w:tcPr>
          <w:p>
            <w:pPr>
              <w:pStyle w:val="16"/>
              <w:ind w:firstLine="0" w:firstLineChars="0"/>
              <w:rPr>
                <w:rFonts w:ascii="Times New Roman" w:hAnsi="Times New Roman"/>
                <w:sz w:val="21"/>
                <w:szCs w:val="21"/>
              </w:rPr>
            </w:pPr>
            <w:r>
              <w:rPr>
                <w:rFonts w:ascii="Times New Roman" w:hAnsi="Times New Roman"/>
                <w:sz w:val="21"/>
                <w:szCs w:val="21"/>
              </w:rPr>
              <w:t>0.0442</w:t>
            </w:r>
          </w:p>
        </w:tc>
        <w:tc>
          <w:tcPr>
            <w:tcW w:w="922" w:type="dxa"/>
          </w:tcPr>
          <w:p>
            <w:pPr>
              <w:pStyle w:val="16"/>
              <w:ind w:firstLine="0" w:firstLineChars="0"/>
              <w:rPr>
                <w:rFonts w:ascii="Times New Roman" w:hAnsi="Times New Roman"/>
                <w:sz w:val="21"/>
                <w:szCs w:val="21"/>
              </w:rPr>
            </w:pPr>
            <w:r>
              <w:rPr>
                <w:rFonts w:hint="eastAsia" w:ascii="Times New Roman" w:hAnsi="Times New Roman"/>
                <w:sz w:val="21"/>
                <w:szCs w:val="21"/>
              </w:rPr>
              <w:t>—</w:t>
            </w:r>
          </w:p>
        </w:tc>
      </w:tr>
    </w:tbl>
    <w:p>
      <w:pPr>
        <w:pStyle w:val="16"/>
        <w:ind w:firstLine="0" w:firstLineChars="0"/>
        <w:jc w:val="center"/>
        <w:rPr>
          <w:rFonts w:ascii="Times New Roman" w:hAnsi="Times New Roman"/>
        </w:rPr>
      </w:pPr>
      <w:r>
        <w:rPr>
          <w:rFonts w:hint="eastAsia" w:ascii="Times New Roman" w:hAnsi="Times New Roman"/>
          <w:b/>
          <w:bCs/>
        </w:rPr>
        <w:t>表</w:t>
      </w:r>
      <w:r>
        <w:rPr>
          <w:rFonts w:ascii="Times New Roman" w:hAnsi="Times New Roman"/>
          <w:b/>
          <w:bCs/>
        </w:rPr>
        <w:t>5.2.1</w:t>
      </w:r>
      <w:r>
        <w:rPr>
          <w:rFonts w:hint="eastAsia" w:ascii="Times New Roman" w:hAnsi="Times New Roman"/>
          <w:b/>
          <w:bCs/>
        </w:rPr>
        <w:t>—</w:t>
      </w:r>
      <w:r>
        <w:rPr>
          <w:rFonts w:ascii="Times New Roman" w:hAnsi="Times New Roman"/>
          <w:b/>
          <w:bCs/>
        </w:rPr>
        <w:t xml:space="preserve">2 </w:t>
      </w:r>
      <w:r>
        <w:rPr>
          <w:rFonts w:hint="eastAsia" w:ascii="Times New Roman" w:hAnsi="Times New Roman"/>
          <w:b/>
          <w:bCs/>
        </w:rPr>
        <w:t>折减系数</w:t>
      </w:r>
      <w:r>
        <w:rPr>
          <w:rFonts w:ascii="Times New Roman" w:hAnsi="Times New Roman"/>
          <w:position w:val="-10"/>
        </w:rPr>
        <w:object>
          <v:shape id="_x0000_i1054" o:spt="75" type="#_x0000_t75" style="height:13.8pt;width:11.4pt;" o:ole="t" filled="f" o:preferrelative="t" stroked="f" coordsize="21600,21600">
            <v:path/>
            <v:fill on="f" focussize="0,0"/>
            <v:stroke on="f" joinstyle="miter"/>
            <v:imagedata r:id="rId75" o:title=""/>
            <o:lock v:ext="edit" aspectratio="t"/>
            <w10:wrap type="none"/>
            <w10:anchorlock/>
          </v:shape>
          <o:OLEObject Type="Embed" ProgID="Equation.DSMT4" ShapeID="_x0000_i1054" DrawAspect="Content" ObjectID="_1468075754" r:id="rId74">
            <o:LockedField>false</o:LockedField>
          </o:OLEObject>
        </w:objec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37"/>
        <w:gridCol w:w="1037"/>
        <w:gridCol w:w="1037"/>
        <w:gridCol w:w="1037"/>
        <w:gridCol w:w="1037"/>
        <w:gridCol w:w="1037"/>
        <w:gridCol w:w="1037"/>
        <w:gridCol w:w="10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7" w:type="dxa"/>
            <w:vAlign w:val="center"/>
          </w:tcPr>
          <w:p>
            <w:pPr>
              <w:pStyle w:val="16"/>
              <w:ind w:firstLine="0" w:firstLineChars="0"/>
              <w:jc w:val="center"/>
              <w:rPr>
                <w:rFonts w:ascii="Times New Roman" w:hAnsi="Times New Roman"/>
                <w:sz w:val="21"/>
                <w:szCs w:val="21"/>
              </w:rPr>
            </w:pPr>
            <w:r>
              <w:rPr>
                <w:rFonts w:ascii="Times New Roman" w:hAnsi="Times New Roman" w:eastAsiaTheme="minorEastAsia" w:cstheme="minorBidi"/>
                <w:kern w:val="2"/>
                <w:position w:val="-6"/>
                <w:sz w:val="21"/>
                <w:szCs w:val="21"/>
              </w:rPr>
              <w:object>
                <v:shape id="_x0000_i1055" o:spt="75" type="#_x0000_t75" style="height:15pt;width:11.4pt;" o:ole="t" filled="f" o:preferrelative="t" stroked="f" coordsize="21600,21600">
                  <v:path/>
                  <v:fill on="f" focussize="0,0"/>
                  <v:stroke on="f" joinstyle="miter"/>
                  <v:imagedata r:id="rId77" o:title=""/>
                  <o:lock v:ext="edit" aspectratio="t"/>
                  <w10:wrap type="none"/>
                  <w10:anchorlock/>
                </v:shape>
                <o:OLEObject Type="Embed" ProgID="Equation.DSMT4" ShapeID="_x0000_i1055" DrawAspect="Content" ObjectID="_1468075755" r:id="rId76">
                  <o:LockedField>false</o:LockedField>
                </o:OLEObject>
              </w:object>
            </w:r>
          </w:p>
        </w:tc>
        <w:tc>
          <w:tcPr>
            <w:tcW w:w="1037" w:type="dxa"/>
            <w:vAlign w:val="center"/>
          </w:tcPr>
          <w:p>
            <w:pPr>
              <w:pStyle w:val="16"/>
              <w:ind w:firstLine="0" w:firstLineChars="0"/>
              <w:jc w:val="both"/>
              <w:rPr>
                <w:rFonts w:ascii="Times New Roman" w:hAnsi="Times New Roman"/>
                <w:sz w:val="21"/>
                <w:szCs w:val="21"/>
              </w:rPr>
            </w:pPr>
            <w:r>
              <w:rPr>
                <w:rFonts w:hint="eastAsia" w:ascii="Times New Roman" w:hAnsi="Times New Roman"/>
                <w:sz w:val="21"/>
                <w:szCs w:val="21"/>
              </w:rPr>
              <w:t>≤</w:t>
            </w:r>
            <w:r>
              <w:rPr>
                <w:rFonts w:ascii="Times New Roman" w:hAnsi="Times New Roman"/>
                <w:sz w:val="21"/>
                <w:szCs w:val="21"/>
              </w:rPr>
              <w:t>5</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10</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20</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40</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60</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80</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7" w:type="dxa"/>
            <w:vAlign w:val="center"/>
          </w:tcPr>
          <w:p>
            <w:pPr>
              <w:pStyle w:val="16"/>
              <w:ind w:firstLine="0" w:firstLineChars="0"/>
              <w:jc w:val="center"/>
              <w:rPr>
                <w:rFonts w:ascii="Times New Roman" w:hAnsi="Times New Roman"/>
                <w:sz w:val="21"/>
                <w:szCs w:val="21"/>
              </w:rPr>
            </w:pPr>
            <w:r>
              <w:rPr>
                <w:rFonts w:ascii="Times New Roman" w:hAnsi="Times New Roman" w:eastAsiaTheme="minorEastAsia" w:cstheme="minorBidi"/>
                <w:kern w:val="2"/>
                <w:position w:val="-10"/>
                <w:sz w:val="21"/>
                <w:szCs w:val="21"/>
              </w:rPr>
              <w:object>
                <v:shape id="_x0000_i1056" o:spt="75" type="#_x0000_t75" style="height:13.8pt;width:11.4pt;" o:ole="t" filled="f" o:preferrelative="t" stroked="f" coordsize="21600,21600">
                  <v:path/>
                  <v:fill on="f" focussize="0,0"/>
                  <v:stroke on="f" joinstyle="miter"/>
                  <v:imagedata r:id="rId79" o:title=""/>
                  <o:lock v:ext="edit" aspectratio="t"/>
                  <w10:wrap type="none"/>
                  <w10:anchorlock/>
                </v:shape>
                <o:OLEObject Type="Embed" ProgID="Equation.DSMT4" ShapeID="_x0000_i1056" DrawAspect="Content" ObjectID="_1468075756" r:id="rId78">
                  <o:LockedField>false</o:LockedField>
                </o:OLEObject>
              </w:objec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1．00</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0.96</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0.92</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0.84</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0.78</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0.73</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7" w:type="dxa"/>
            <w:vAlign w:val="center"/>
          </w:tcPr>
          <w:p>
            <w:pPr>
              <w:pStyle w:val="16"/>
              <w:ind w:firstLine="0" w:firstLineChars="0"/>
              <w:jc w:val="center"/>
              <w:rPr>
                <w:rFonts w:ascii="Times New Roman" w:hAnsi="Times New Roman"/>
                <w:sz w:val="21"/>
                <w:szCs w:val="21"/>
              </w:rPr>
            </w:pPr>
            <w:r>
              <w:rPr>
                <w:rFonts w:ascii="Times New Roman" w:hAnsi="Times New Roman" w:eastAsiaTheme="minorEastAsia" w:cstheme="minorBidi"/>
                <w:kern w:val="2"/>
                <w:position w:val="-6"/>
                <w:sz w:val="21"/>
                <w:szCs w:val="21"/>
              </w:rPr>
              <w:object>
                <v:shape id="_x0000_i1057" o:spt="75" type="#_x0000_t75" style="height:15pt;width:11.4pt;" o:ole="t" filled="f" o:preferrelative="t" stroked="f" coordsize="21600,21600">
                  <v:path/>
                  <v:fill on="f" focussize="0,0"/>
                  <v:stroke on="f" joinstyle="miter"/>
                  <v:imagedata r:id="rId81" o:title=""/>
                  <o:lock v:ext="edit" aspectratio="t"/>
                  <w10:wrap type="none"/>
                  <w10:anchorlock/>
                </v:shape>
                <o:OLEObject Type="Embed" ProgID="Equation.DSMT4" ShapeID="_x0000_i1057" DrawAspect="Content" ObjectID="_1468075757" r:id="rId80">
                  <o:LockedField>false</o:LockedField>
                </o:OLEObject>
              </w:objec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120</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150</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200</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250</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300</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350</w:t>
            </w:r>
          </w:p>
        </w:tc>
        <w:tc>
          <w:tcPr>
            <w:tcW w:w="1037" w:type="dxa"/>
            <w:vAlign w:val="center"/>
          </w:tcPr>
          <w:p>
            <w:pPr>
              <w:pStyle w:val="16"/>
              <w:ind w:firstLine="0" w:firstLineChars="0"/>
              <w:jc w:val="both"/>
              <w:rPr>
                <w:rFonts w:ascii="Times New Roman" w:hAnsi="Times New Roman"/>
                <w:sz w:val="21"/>
                <w:szCs w:val="21"/>
              </w:rPr>
            </w:pPr>
            <w:r>
              <w:rPr>
                <w:rFonts w:hint="eastAsia" w:ascii="Times New Roman" w:hAnsi="Times New Roman"/>
                <w:sz w:val="21"/>
                <w:szCs w:val="21"/>
              </w:rPr>
              <w:t>≥</w:t>
            </w:r>
            <w:r>
              <w:rPr>
                <w:rFonts w:ascii="Times New Roman" w:hAnsi="Times New Roman"/>
                <w:sz w:val="21"/>
                <w:szCs w:val="21"/>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7" w:type="dxa"/>
            <w:vAlign w:val="center"/>
          </w:tcPr>
          <w:p>
            <w:pPr>
              <w:pStyle w:val="16"/>
              <w:ind w:firstLine="0" w:firstLineChars="0"/>
              <w:jc w:val="center"/>
              <w:rPr>
                <w:rFonts w:ascii="Times New Roman" w:hAnsi="Times New Roman"/>
                <w:sz w:val="21"/>
                <w:szCs w:val="21"/>
              </w:rPr>
            </w:pPr>
            <w:r>
              <w:rPr>
                <w:rFonts w:ascii="Times New Roman" w:hAnsi="Times New Roman" w:eastAsiaTheme="minorEastAsia" w:cstheme="minorBidi"/>
                <w:kern w:val="2"/>
                <w:position w:val="-10"/>
                <w:sz w:val="21"/>
                <w:szCs w:val="21"/>
              </w:rPr>
              <w:object>
                <v:shape id="_x0000_i1058" o:spt="75" type="#_x0000_t75" style="height:13.8pt;width:11.4pt;" o:ole="t" filled="f" o:preferrelative="t" stroked="f" coordsize="21600,21600">
                  <v:path/>
                  <v:fill on="f" focussize="0,0"/>
                  <v:stroke on="f" joinstyle="miter"/>
                  <v:imagedata r:id="rId83" o:title=""/>
                  <o:lock v:ext="edit" aspectratio="t"/>
                  <w10:wrap type="none"/>
                  <w10:anchorlock/>
                </v:shape>
                <o:OLEObject Type="Embed" ProgID="Equation.DSMT4" ShapeID="_x0000_i1058" DrawAspect="Content" ObjectID="_1468075758" r:id="rId82">
                  <o:LockedField>false</o:LockedField>
                </o:OLEObject>
              </w:objec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0.65</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0.61</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0.57</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0.54</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0.52</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0.51</w:t>
            </w:r>
          </w:p>
        </w:tc>
        <w:tc>
          <w:tcPr>
            <w:tcW w:w="1037"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0.50</w:t>
            </w:r>
          </w:p>
        </w:tc>
      </w:tr>
    </w:tbl>
    <w:p>
      <w:pPr>
        <w:pStyle w:val="16"/>
        <w:ind w:firstLine="0" w:firstLineChars="0"/>
        <w:jc w:val="center"/>
        <w:rPr>
          <w:rFonts w:ascii="Times New Roman" w:hAnsi="Times New Roman"/>
          <w:b/>
          <w:bCs/>
        </w:rPr>
      </w:pPr>
      <w:r>
        <w:rPr>
          <w:rFonts w:hint="eastAsia" w:ascii="Times New Roman" w:hAnsi="Times New Roman"/>
          <w:b/>
          <w:bCs/>
        </w:rPr>
        <w:t>表</w:t>
      </w:r>
      <w:r>
        <w:rPr>
          <w:rFonts w:ascii="Times New Roman" w:hAnsi="Times New Roman"/>
          <w:b/>
          <w:bCs/>
        </w:rPr>
        <w:t>5.2.1</w:t>
      </w:r>
      <w:r>
        <w:rPr>
          <w:rFonts w:hint="eastAsia" w:ascii="Times New Roman" w:hAnsi="Times New Roman"/>
          <w:b/>
          <w:bCs/>
        </w:rPr>
        <w:t>—</w:t>
      </w:r>
      <w:r>
        <w:rPr>
          <w:rFonts w:ascii="Times New Roman" w:hAnsi="Times New Roman"/>
          <w:b/>
          <w:bCs/>
        </w:rPr>
        <w:t xml:space="preserve">3 </w:t>
      </w:r>
      <w:r>
        <w:rPr>
          <w:rFonts w:hint="eastAsia" w:ascii="Times New Roman" w:hAnsi="Times New Roman"/>
          <w:b/>
          <w:bCs/>
        </w:rPr>
        <w:t>四边支撑板的挠度系数</w:t>
      </w:r>
      <w:r>
        <w:rPr>
          <w:rFonts w:ascii="Times New Roman" w:hAnsi="Times New Roman"/>
          <w:b/>
          <w:bCs/>
          <w:position w:val="-10"/>
        </w:rPr>
        <w:object>
          <v:shape id="_x0000_i1059" o:spt="75" type="#_x0000_t75" style="height:13.8pt;width:13.2pt;" o:ole="t" filled="f" o:preferrelative="t" stroked="f" coordsize="21600,21600">
            <v:path/>
            <v:fill on="f" focussize="0,0"/>
            <v:stroke on="f" joinstyle="miter"/>
            <v:imagedata r:id="rId85" o:title=""/>
            <o:lock v:ext="edit" aspectratio="t"/>
            <w10:wrap type="none"/>
            <w10:anchorlock/>
          </v:shape>
          <o:OLEObject Type="Embed" ProgID="Equation.DSMT4" ShapeID="_x0000_i1059" DrawAspect="Content" ObjectID="_1468075759" r:id="rId84">
            <o:LockedField>false</o:LockedField>
          </o:OLEObject>
        </w:objec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2"/>
        <w:gridCol w:w="1382"/>
        <w:gridCol w:w="1383"/>
        <w:gridCol w:w="1383"/>
        <w:gridCol w:w="1383"/>
        <w:gridCol w:w="1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vAlign w:val="center"/>
          </w:tcPr>
          <w:p>
            <w:pPr>
              <w:pStyle w:val="16"/>
              <w:ind w:firstLine="0" w:firstLineChars="0"/>
              <w:jc w:val="center"/>
              <w:rPr>
                <w:rFonts w:ascii="Times New Roman" w:hAnsi="Times New Roman"/>
                <w:sz w:val="21"/>
                <w:szCs w:val="21"/>
              </w:rPr>
            </w:pPr>
            <w:r>
              <w:rPr>
                <w:rFonts w:ascii="Times New Roman" w:hAnsi="Times New Roman"/>
                <w:sz w:val="21"/>
                <w:szCs w:val="21"/>
              </w:rPr>
              <w:t>a/b</w:t>
            </w:r>
          </w:p>
        </w:tc>
        <w:tc>
          <w:tcPr>
            <w:tcW w:w="1382"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0.00</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0.20</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0.25</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0.33</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vAlign w:val="center"/>
          </w:tcPr>
          <w:p>
            <w:pPr>
              <w:pStyle w:val="16"/>
              <w:ind w:firstLine="0" w:firstLineChars="0"/>
              <w:jc w:val="center"/>
              <w:rPr>
                <w:rFonts w:ascii="Times New Roman" w:hAnsi="Times New Roman"/>
                <w:sz w:val="21"/>
                <w:szCs w:val="21"/>
              </w:rPr>
            </w:pPr>
            <w:r>
              <w:rPr>
                <w:rFonts w:ascii="Times New Roman" w:hAnsi="Times New Roman" w:eastAsiaTheme="minorEastAsia" w:cstheme="minorBidi"/>
                <w:kern w:val="2"/>
                <w:position w:val="-10"/>
                <w:sz w:val="21"/>
                <w:szCs w:val="21"/>
              </w:rPr>
              <w:object>
                <v:shape id="_x0000_i1060" o:spt="75" type="#_x0000_t75" style="height:13.8pt;width:13.2pt;" o:ole="t" filled="f" o:preferrelative="t" stroked="f" coordsize="21600,21600">
                  <v:path/>
                  <v:fill on="f" focussize="0,0"/>
                  <v:stroke on="f" joinstyle="miter"/>
                  <v:imagedata r:id="rId87" o:title=""/>
                  <o:lock v:ext="edit" aspectratio="t"/>
                  <w10:wrap type="none"/>
                  <w10:anchorlock/>
                </v:shape>
                <o:OLEObject Type="Embed" ProgID="Equation.DSMT4" ShapeID="_x0000_i1060" DrawAspect="Content" ObjectID="_1468075760" r:id="rId86">
                  <o:LockedField>false</o:LockedField>
                </o:OLEObject>
              </w:object>
            </w:r>
          </w:p>
        </w:tc>
        <w:tc>
          <w:tcPr>
            <w:tcW w:w="1382"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0.01302</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0.01297</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0.01282</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0.01223</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0.01013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vAlign w:val="center"/>
          </w:tcPr>
          <w:p>
            <w:pPr>
              <w:pStyle w:val="16"/>
              <w:ind w:firstLine="0" w:firstLineChars="0"/>
              <w:jc w:val="center"/>
              <w:rPr>
                <w:rFonts w:ascii="Times New Roman" w:hAnsi="Times New Roman"/>
                <w:sz w:val="21"/>
                <w:szCs w:val="21"/>
              </w:rPr>
            </w:pPr>
            <w:r>
              <w:rPr>
                <w:rFonts w:ascii="Times New Roman" w:hAnsi="Times New Roman"/>
                <w:sz w:val="21"/>
                <w:szCs w:val="21"/>
              </w:rPr>
              <w:t>a/b</w:t>
            </w:r>
          </w:p>
        </w:tc>
        <w:tc>
          <w:tcPr>
            <w:tcW w:w="1382"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0.55</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0.6</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0.65</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0.70</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vAlign w:val="center"/>
          </w:tcPr>
          <w:p>
            <w:pPr>
              <w:pStyle w:val="16"/>
              <w:ind w:firstLine="0" w:firstLineChars="0"/>
              <w:jc w:val="center"/>
              <w:rPr>
                <w:rFonts w:ascii="Times New Roman" w:hAnsi="Times New Roman"/>
                <w:sz w:val="21"/>
                <w:szCs w:val="21"/>
              </w:rPr>
            </w:pPr>
            <w:r>
              <w:rPr>
                <w:rFonts w:ascii="Times New Roman" w:hAnsi="Times New Roman" w:eastAsiaTheme="minorEastAsia" w:cstheme="minorBidi"/>
                <w:kern w:val="2"/>
                <w:position w:val="-10"/>
                <w:sz w:val="21"/>
                <w:szCs w:val="21"/>
              </w:rPr>
              <w:object>
                <v:shape id="_x0000_i1061" o:spt="75" type="#_x0000_t75" style="height:13.8pt;width:13.2pt;" o:ole="t" filled="f" o:preferrelative="t" stroked="f" coordsize="21600,21600">
                  <v:path/>
                  <v:fill on="f" focussize="0,0"/>
                  <v:stroke on="f" joinstyle="miter"/>
                  <v:imagedata r:id="rId89" o:title=""/>
                  <o:lock v:ext="edit" aspectratio="t"/>
                  <w10:wrap type="none"/>
                  <w10:anchorlock/>
                </v:shape>
                <o:OLEObject Type="Embed" ProgID="Equation.DSMT4" ShapeID="_x0000_i1061" DrawAspect="Content" ObjectID="_1468075761" r:id="rId88">
                  <o:LockedField>false</o:LockedField>
                </o:OLEObject>
              </w:object>
            </w:r>
          </w:p>
        </w:tc>
        <w:tc>
          <w:tcPr>
            <w:tcW w:w="1382"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0.00940</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0.00867</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0.00796</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0.00727</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0.00663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vAlign w:val="center"/>
          </w:tcPr>
          <w:p>
            <w:pPr>
              <w:pStyle w:val="16"/>
              <w:ind w:firstLine="0" w:firstLineChars="0"/>
              <w:jc w:val="center"/>
              <w:rPr>
                <w:rFonts w:ascii="Times New Roman" w:hAnsi="Times New Roman"/>
                <w:sz w:val="21"/>
                <w:szCs w:val="21"/>
              </w:rPr>
            </w:pPr>
            <w:r>
              <w:rPr>
                <w:rFonts w:ascii="Times New Roman" w:hAnsi="Times New Roman"/>
                <w:sz w:val="21"/>
                <w:szCs w:val="21"/>
              </w:rPr>
              <w:t>a/b</w:t>
            </w:r>
          </w:p>
        </w:tc>
        <w:tc>
          <w:tcPr>
            <w:tcW w:w="1382"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0.80</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0.85</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0.90</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0.95</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vAlign w:val="center"/>
          </w:tcPr>
          <w:p>
            <w:pPr>
              <w:pStyle w:val="16"/>
              <w:ind w:firstLine="0" w:firstLineChars="0"/>
              <w:jc w:val="center"/>
              <w:rPr>
                <w:rFonts w:ascii="Times New Roman" w:hAnsi="Times New Roman"/>
                <w:sz w:val="21"/>
                <w:szCs w:val="21"/>
              </w:rPr>
            </w:pPr>
            <w:r>
              <w:rPr>
                <w:rFonts w:ascii="Times New Roman" w:hAnsi="Times New Roman" w:eastAsiaTheme="minorEastAsia" w:cstheme="minorBidi"/>
                <w:kern w:val="2"/>
                <w:position w:val="-10"/>
                <w:sz w:val="21"/>
                <w:szCs w:val="21"/>
              </w:rPr>
              <w:object>
                <v:shape id="_x0000_i1062" o:spt="75" type="#_x0000_t75" style="height:13.8pt;width:13.2pt;" o:ole="t" filled="f" o:preferrelative="t" stroked="f" coordsize="21600,21600">
                  <v:path/>
                  <v:fill on="f" focussize="0,0"/>
                  <v:stroke on="f" joinstyle="miter"/>
                  <v:imagedata r:id="rId91" o:title=""/>
                  <o:lock v:ext="edit" aspectratio="t"/>
                  <w10:wrap type="none"/>
                  <w10:anchorlock/>
                </v:shape>
                <o:OLEObject Type="Embed" ProgID="Equation.DSMT4" ShapeID="_x0000_i1062" DrawAspect="Content" ObjectID="_1468075762" r:id="rId90">
                  <o:LockedField>false</o:LockedField>
                </o:OLEObject>
              </w:object>
            </w:r>
          </w:p>
        </w:tc>
        <w:tc>
          <w:tcPr>
            <w:tcW w:w="1382"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0.00603</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0.00547</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0.00496</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0.00449</w:t>
            </w:r>
          </w:p>
        </w:tc>
        <w:tc>
          <w:tcPr>
            <w:tcW w:w="1383" w:type="dxa"/>
            <w:vAlign w:val="center"/>
          </w:tcPr>
          <w:p>
            <w:pPr>
              <w:pStyle w:val="16"/>
              <w:ind w:firstLine="0" w:firstLineChars="0"/>
              <w:jc w:val="both"/>
              <w:rPr>
                <w:rFonts w:ascii="Times New Roman" w:hAnsi="Times New Roman"/>
                <w:sz w:val="21"/>
                <w:szCs w:val="21"/>
              </w:rPr>
            </w:pPr>
            <w:r>
              <w:rPr>
                <w:rFonts w:ascii="Times New Roman" w:hAnsi="Times New Roman"/>
                <w:sz w:val="21"/>
                <w:szCs w:val="21"/>
              </w:rPr>
              <w:t>0.00406</w:t>
            </w:r>
          </w:p>
        </w:tc>
      </w:tr>
    </w:tbl>
    <w:p>
      <w:pPr>
        <w:pStyle w:val="16"/>
        <w:spacing w:line="360" w:lineRule="auto"/>
        <w:rPr>
          <w:rFonts w:ascii="Times New Roman" w:hAnsi="Times New Roman"/>
        </w:rPr>
      </w:pPr>
      <w:r>
        <w:rPr>
          <w:rFonts w:ascii="Times New Roman" w:hAnsi="Times New Roman"/>
        </w:rPr>
        <w:t xml:space="preserve">5 </w:t>
      </w:r>
      <w:r>
        <w:rPr>
          <w:rFonts w:hint="eastAsia" w:ascii="Times New Roman" w:hAnsi="Times New Roman"/>
        </w:rPr>
        <w:t>玻璃挠度可采用等效厚度法或根据三片玻璃各自承受的荷载按下式进行计算：</w:t>
      </w:r>
    </w:p>
    <w:p>
      <w:pPr>
        <w:pStyle w:val="16"/>
        <w:numPr>
          <w:ilvl w:val="0"/>
          <w:numId w:val="15"/>
        </w:numPr>
        <w:spacing w:line="360" w:lineRule="auto"/>
        <w:ind w:firstLineChars="0"/>
        <w:rPr>
          <w:rFonts w:ascii="Times New Roman" w:hAnsi="Times New Roman"/>
        </w:rPr>
      </w:pPr>
      <w:r>
        <w:rPr>
          <w:rFonts w:hint="eastAsia" w:ascii="Times New Roman" w:hAnsi="Times New Roman"/>
        </w:rPr>
        <w:t>单片玻璃刚度</w:t>
      </w:r>
      <w:r>
        <w:rPr>
          <w:rFonts w:ascii="Times New Roman" w:hAnsi="Times New Roman"/>
        </w:rPr>
        <w:t>D</w:t>
      </w:r>
      <w:r>
        <w:rPr>
          <w:rFonts w:hint="eastAsia" w:ascii="Times New Roman" w:hAnsi="Times New Roman"/>
        </w:rPr>
        <w:t>按下列公式计算：</w:t>
      </w:r>
    </w:p>
    <w:p>
      <w:pPr>
        <w:pStyle w:val="16"/>
        <w:spacing w:line="360" w:lineRule="auto"/>
        <w:ind w:firstLine="0" w:firstLineChars="0"/>
        <w:jc w:val="center"/>
        <w:rPr>
          <w:rFonts w:ascii="Times New Roman" w:hAnsi="Times New Roman"/>
        </w:rPr>
      </w:pPr>
      <w:r>
        <w:rPr>
          <w:rFonts w:ascii="Times New Roman" w:hAnsi="Times New Roman"/>
          <w:position w:val="-42"/>
        </w:rPr>
        <w:object>
          <v:shape id="_x0000_i1063" o:spt="75" type="#_x0000_t75" style="height:45pt;width:84pt;" o:ole="t" filled="f" o:preferrelative="t" stroked="f" coordsize="21600,21600">
            <v:path/>
            <v:fill on="f" focussize="0,0"/>
            <v:stroke on="f" joinstyle="miter"/>
            <v:imagedata r:id="rId93" o:title=""/>
            <o:lock v:ext="edit" aspectratio="t"/>
            <w10:wrap type="none"/>
            <w10:anchorlock/>
          </v:shape>
          <o:OLEObject Type="Embed" ProgID="Equation.DSMT4" ShapeID="_x0000_i1063" DrawAspect="Content" ObjectID="_1468075763" r:id="rId92">
            <o:LockedField>false</o:LockedField>
          </o:OLEObject>
        </w:object>
      </w:r>
    </w:p>
    <w:p>
      <w:pPr>
        <w:pStyle w:val="16"/>
        <w:spacing w:line="360" w:lineRule="auto"/>
        <w:ind w:firstLine="0" w:firstLineChars="0"/>
        <w:jc w:val="both"/>
        <w:rPr>
          <w:rFonts w:ascii="Times New Roman" w:hAnsi="Times New Roman"/>
        </w:rPr>
      </w:pPr>
      <w:r>
        <w:rPr>
          <w:rFonts w:hint="eastAsia" w:ascii="Times New Roman" w:hAnsi="Times New Roman"/>
        </w:rPr>
        <w:t>式中</w:t>
      </w:r>
      <w:r>
        <w:rPr>
          <w:rFonts w:ascii="Times New Roman" w:hAnsi="Times New Roman"/>
        </w:rPr>
        <w:t xml:space="preserve"> </w:t>
      </w:r>
      <w:r>
        <w:rPr>
          <w:rFonts w:ascii="Times New Roman" w:hAnsi="Times New Roman"/>
          <w:position w:val="-4"/>
        </w:rPr>
        <w:object>
          <v:shape id="_x0000_i1064" o:spt="75" type="#_x0000_t75" style="height:13.8pt;width:15pt;" o:ole="t" filled="f" o:preferrelative="t" stroked="f" coordsize="21600,21600">
            <v:path/>
            <v:fill on="f" focussize="0,0"/>
            <v:stroke on="f" joinstyle="miter"/>
            <v:imagedata r:id="rId95" o:title=""/>
            <o:lock v:ext="edit" aspectratio="t"/>
            <w10:wrap type="none"/>
            <w10:anchorlock/>
          </v:shape>
          <o:OLEObject Type="Embed" ProgID="Equation.DSMT4" ShapeID="_x0000_i1064" DrawAspect="Content" ObjectID="_1468075764" r:id="rId94">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玻璃刚度（</w:t>
      </w:r>
      <w:r>
        <w:rPr>
          <w:rFonts w:ascii="Times New Roman" w:hAnsi="Times New Roman"/>
          <w:position w:val="-6"/>
        </w:rPr>
        <w:object>
          <v:shape id="_x0000_i1065" o:spt="75" type="#_x0000_t75" style="height:15pt;width:34.8pt;" o:ole="t" filled="f" o:preferrelative="t" stroked="f" coordsize="21600,21600">
            <v:path/>
            <v:fill on="f" focussize="0,0"/>
            <v:stroke on="f" joinstyle="miter"/>
            <v:imagedata r:id="rId97" o:title=""/>
            <o:lock v:ext="edit" aspectratio="t"/>
            <w10:wrap type="none"/>
            <w10:anchorlock/>
          </v:shape>
          <o:OLEObject Type="Embed" ProgID="Equation.DSMT4" ShapeID="_x0000_i1065" DrawAspect="Content" ObjectID="_1468075765" r:id="rId96">
            <o:LockedField>false</o:LockedField>
          </o:OLEObject>
        </w:object>
      </w:r>
      <w:r>
        <w:rPr>
          <w:rFonts w:hint="eastAsia" w:ascii="Times New Roman" w:hAnsi="Times New Roman"/>
        </w:rPr>
        <w:t>）</w:t>
      </w:r>
      <w:r>
        <w:rPr>
          <w:rFonts w:hint="eastAsia" w:ascii="Times New Roman" w:hAnsi="Times New Roman"/>
          <w:lang w:eastAsia="zh-CN"/>
        </w:rPr>
        <w:t>；</w:t>
      </w:r>
    </w:p>
    <w:p>
      <w:pPr>
        <w:pStyle w:val="16"/>
        <w:spacing w:line="360" w:lineRule="auto"/>
        <w:ind w:firstLine="720" w:firstLineChars="300"/>
        <w:jc w:val="both"/>
        <w:rPr>
          <w:rFonts w:ascii="Times New Roman" w:hAnsi="Times New Roman"/>
        </w:rPr>
      </w:pPr>
      <w:r>
        <w:rPr>
          <w:rFonts w:ascii="Times New Roman" w:hAnsi="Times New Roman"/>
          <w:position w:val="-6"/>
        </w:rPr>
        <w:object>
          <v:shape id="_x0000_i1066" o:spt="75" type="#_x0000_t75" style="height:13.2pt;width:7.8pt;" o:ole="t" filled="f" o:preferrelative="t" stroked="f" coordsize="21600,21600">
            <v:path/>
            <v:fill on="f" focussize="0,0"/>
            <v:stroke on="f" joinstyle="miter"/>
            <v:imagedata r:id="rId99" o:title=""/>
            <o:lock v:ext="edit" aspectratio="t"/>
            <w10:wrap type="none"/>
            <w10:anchorlock/>
          </v:shape>
          <o:OLEObject Type="Embed" ProgID="Equation.DSMT4" ShapeID="_x0000_i1066" DrawAspect="Content" ObjectID="_1468075766" r:id="rId98">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玻璃厚度（</w:t>
      </w:r>
      <w:r>
        <w:rPr>
          <w:rFonts w:ascii="Times New Roman" w:hAnsi="Times New Roman"/>
          <w:position w:val="-6"/>
        </w:rPr>
        <w:object>
          <v:shape id="_x0000_i1067" o:spt="75" type="#_x0000_t75" style="height:12pt;width:24pt;" o:ole="t" filled="f" o:preferrelative="t" stroked="f" coordsize="21600,21600">
            <v:path/>
            <v:fill on="f" focussize="0,0"/>
            <v:stroke on="f" joinstyle="miter"/>
            <v:imagedata r:id="rId101" o:title=""/>
            <o:lock v:ext="edit" aspectratio="t"/>
            <w10:wrap type="none"/>
            <w10:anchorlock/>
          </v:shape>
          <o:OLEObject Type="Embed" ProgID="Equation.DSMT4" ShapeID="_x0000_i1067" DrawAspect="Content" ObjectID="_1468075767" r:id="rId100">
            <o:LockedField>false</o:LockedField>
          </o:OLEObject>
        </w:object>
      </w:r>
      <w:r>
        <w:rPr>
          <w:rFonts w:hint="eastAsia" w:ascii="Times New Roman" w:hAnsi="Times New Roman"/>
        </w:rPr>
        <w:t>）；</w:t>
      </w:r>
    </w:p>
    <w:p>
      <w:pPr>
        <w:pStyle w:val="16"/>
        <w:spacing w:line="360" w:lineRule="auto"/>
        <w:ind w:firstLine="720" w:firstLineChars="300"/>
        <w:jc w:val="both"/>
        <w:rPr>
          <w:rFonts w:ascii="Times New Roman" w:hAnsi="Times New Roman"/>
        </w:rPr>
      </w:pPr>
      <w:r>
        <w:rPr>
          <w:rFonts w:ascii="Times New Roman" w:hAnsi="Times New Roman"/>
          <w:position w:val="-6"/>
        </w:rPr>
        <w:object>
          <v:shape id="_x0000_i1068" o:spt="75" type="#_x0000_t75" style="height:12pt;width:9.6pt;" o:ole="t" filled="f" o:preferrelative="t" stroked="f" coordsize="21600,21600">
            <v:path/>
            <v:fill on="f" focussize="0,0"/>
            <v:stroke on="f" joinstyle="miter"/>
            <v:imagedata r:id="rId103" o:title=""/>
            <o:lock v:ext="edit" aspectratio="t"/>
            <w10:wrap type="none"/>
            <w10:anchorlock/>
          </v:shape>
          <o:OLEObject Type="Embed" ProgID="Equation.DSMT4" ShapeID="_x0000_i1068" DrawAspect="Content" ObjectID="_1468075768" r:id="rId102">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泊松比。</w:t>
      </w:r>
    </w:p>
    <w:p>
      <w:pPr>
        <w:pStyle w:val="16"/>
        <w:numPr>
          <w:ilvl w:val="0"/>
          <w:numId w:val="15"/>
        </w:numPr>
        <w:spacing w:line="360" w:lineRule="auto"/>
        <w:ind w:firstLineChars="0"/>
        <w:rPr>
          <w:rFonts w:ascii="Times New Roman" w:hAnsi="Times New Roman"/>
        </w:rPr>
      </w:pPr>
      <w:r>
        <w:rPr>
          <w:rFonts w:hint="eastAsia" w:ascii="Times New Roman" w:hAnsi="Times New Roman"/>
        </w:rPr>
        <w:t>玻璃跨中挠度可按几何非线性有限元方法计算</w:t>
      </w:r>
      <w:r>
        <w:rPr>
          <w:rFonts w:ascii="Times New Roman" w:hAnsi="Times New Roman"/>
        </w:rPr>
        <w:t>，</w:t>
      </w:r>
      <w:r>
        <w:rPr>
          <w:rFonts w:ascii="Times New Roman" w:hAnsi="Times New Roman"/>
        </w:rPr>
        <w:t>也可按</w:t>
      </w:r>
      <w:r>
        <w:rPr>
          <w:rFonts w:hint="eastAsia" w:ascii="Times New Roman" w:hAnsi="Times New Roman"/>
        </w:rPr>
        <w:t>下式计算</w:t>
      </w:r>
      <w:r>
        <w:rPr>
          <w:rFonts w:hint="eastAsia" w:ascii="Times New Roman" w:hAnsi="Times New Roman"/>
          <w:lang w:eastAsia="zh-CN"/>
        </w:rPr>
        <w:t>：</w:t>
      </w:r>
    </w:p>
    <w:p>
      <w:pPr>
        <w:pStyle w:val="16"/>
        <w:spacing w:line="360" w:lineRule="auto"/>
        <w:ind w:firstLine="0" w:firstLineChars="0"/>
        <w:jc w:val="center"/>
        <w:rPr>
          <w:rFonts w:ascii="Times New Roman" w:hAnsi="Times New Roman"/>
        </w:rPr>
      </w:pPr>
      <w:r>
        <w:rPr>
          <w:rFonts w:ascii="Times New Roman" w:hAnsi="Times New Roman"/>
          <w:position w:val="-26"/>
        </w:rPr>
        <w:object>
          <v:shape id="_x0000_i1069" o:spt="75" type="#_x0000_t75" style="height:36.6pt;width:79.8pt;" o:ole="t" filled="f" o:preferrelative="t" stroked="f" coordsize="21600,21600">
            <v:path/>
            <v:fill on="f" focussize="0,0"/>
            <v:stroke on="f" joinstyle="miter"/>
            <v:imagedata r:id="rId105" o:title=""/>
            <o:lock v:ext="edit" aspectratio="t"/>
            <w10:wrap type="none"/>
            <w10:anchorlock/>
          </v:shape>
          <o:OLEObject Type="Embed" ProgID="Equation.DSMT4" ShapeID="_x0000_i1069" DrawAspect="Content" ObjectID="_1468075769" r:id="rId104">
            <o:LockedField>false</o:LockedField>
          </o:OLEObject>
        </w:object>
      </w:r>
    </w:p>
    <w:p>
      <w:pPr>
        <w:pStyle w:val="16"/>
        <w:spacing w:line="360" w:lineRule="auto"/>
        <w:ind w:firstLine="0" w:firstLineChars="0"/>
        <w:jc w:val="both"/>
        <w:rPr>
          <w:rFonts w:ascii="Times New Roman" w:hAnsi="Times New Roman"/>
        </w:rPr>
      </w:pPr>
      <w:r>
        <w:rPr>
          <w:rFonts w:hint="eastAsia" w:ascii="Times New Roman" w:hAnsi="Times New Roman"/>
        </w:rPr>
        <w:t>式中</w:t>
      </w:r>
      <w:r>
        <w:rPr>
          <w:rFonts w:ascii="Times New Roman" w:hAnsi="Times New Roman"/>
        </w:rPr>
        <w:t xml:space="preserve"> </w:t>
      </w:r>
      <w:r>
        <w:rPr>
          <w:rFonts w:ascii="Times New Roman" w:hAnsi="Times New Roman"/>
          <w:position w:val="-16"/>
        </w:rPr>
        <w:object>
          <v:shape id="_x0000_i1070" o:spt="75" type="#_x0000_t75" style="height:21pt;width:16.8pt;" o:ole="t" filled="f" o:preferrelative="t" stroked="f" coordsize="21600,21600">
            <v:path/>
            <v:fill on="f" focussize="0,0"/>
            <v:stroke on="f" joinstyle="miter"/>
            <v:imagedata r:id="rId107" o:title=""/>
            <o:lock v:ext="edit" aspectratio="t"/>
            <w10:wrap type="none"/>
            <w10:anchorlock/>
          </v:shape>
          <o:OLEObject Type="Embed" ProgID="Equation.DSMT4" ShapeID="_x0000_i1070" DrawAspect="Content" ObjectID="_1468075770" r:id="rId106">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风荷载标准值作用下挠度最大值（</w:t>
      </w:r>
      <w:r>
        <w:rPr>
          <w:rFonts w:ascii="Times New Roman" w:hAnsi="Times New Roman"/>
          <w:position w:val="-6"/>
        </w:rPr>
        <w:object>
          <v:shape id="_x0000_i1071" o:spt="75" type="#_x0000_t75" style="height:12pt;width:24pt;" o:ole="t" filled="f" o:preferrelative="t" stroked="f" coordsize="21600,21600">
            <v:path/>
            <v:fill on="f" focussize="0,0"/>
            <v:stroke on="f" joinstyle="miter"/>
            <v:imagedata r:id="rId34" o:title=""/>
            <o:lock v:ext="edit" aspectratio="t"/>
            <w10:wrap type="none"/>
            <w10:anchorlock/>
          </v:shape>
          <o:OLEObject Type="Embed" ProgID="Equation.DSMT4" ShapeID="_x0000_i1071" DrawAspect="Content" ObjectID="_1468075771" r:id="rId108">
            <o:LockedField>false</o:LockedField>
          </o:OLEObject>
        </w:object>
      </w:r>
      <w:r>
        <w:rPr>
          <w:rFonts w:hint="eastAsia" w:ascii="Times New Roman" w:hAnsi="Times New Roman"/>
        </w:rPr>
        <w:t>）；</w:t>
      </w:r>
    </w:p>
    <w:p>
      <w:pPr>
        <w:pStyle w:val="16"/>
        <w:spacing w:line="360" w:lineRule="auto"/>
        <w:jc w:val="both"/>
        <w:rPr>
          <w:rFonts w:ascii="Times New Roman" w:hAnsi="Times New Roman"/>
        </w:rPr>
      </w:pPr>
      <w:r>
        <w:rPr>
          <w:rFonts w:ascii="Times New Roman" w:hAnsi="Times New Roman"/>
          <w:position w:val="-12"/>
        </w:rPr>
        <w:object>
          <v:shape id="_x0000_i1072" o:spt="75" type="#_x0000_t75" style="height:19.2pt;width:16.8pt;" o:ole="t" filled="f" o:preferrelative="t" stroked="f" coordsize="21600,21600">
            <v:path/>
            <v:fill on="f" focussize="0,0"/>
            <v:stroke on="f" joinstyle="miter"/>
            <v:imagedata r:id="rId110" o:title=""/>
            <o:lock v:ext="edit" aspectratio="t"/>
            <w10:wrap type="none"/>
            <w10:anchorlock/>
          </v:shape>
          <o:OLEObject Type="Embed" ProgID="Equation.DSMT4" ShapeID="_x0000_i1072" DrawAspect="Content" ObjectID="_1468075772" r:id="rId109">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垂直于面板的风荷载标准值（</w:t>
      </w:r>
      <w:r>
        <w:rPr>
          <w:rFonts w:ascii="Times New Roman" w:hAnsi="Times New Roman"/>
          <w:position w:val="-6"/>
        </w:rPr>
        <w:object>
          <v:shape id="_x0000_i1073" o:spt="75" type="#_x0000_t75" style="height:18.6pt;width:49.8pt;" o:ole="t" filled="f" o:preferrelative="t" stroked="f" coordsize="21600,21600">
            <v:path/>
            <v:fill on="f" focussize="0,0"/>
            <v:stroke on="f" joinstyle="miter"/>
            <v:imagedata r:id="rId112" o:title=""/>
            <o:lock v:ext="edit" aspectratio="t"/>
            <w10:wrap type="none"/>
            <w10:anchorlock/>
          </v:shape>
          <o:OLEObject Type="Embed" ProgID="Equation.DSMT4" ShapeID="_x0000_i1073" DrawAspect="Content" ObjectID="_1468075773" r:id="rId111">
            <o:LockedField>false</o:LockedField>
          </o:OLEObject>
        </w:object>
      </w:r>
      <w:r>
        <w:rPr>
          <w:rFonts w:hint="eastAsia" w:ascii="Times New Roman" w:hAnsi="Times New Roman"/>
        </w:rPr>
        <w:t>）</w:t>
      </w:r>
      <w:r>
        <w:rPr>
          <w:rFonts w:hint="eastAsia" w:ascii="Times New Roman" w:hAnsi="Times New Roman"/>
          <w:lang w:eastAsia="zh-CN"/>
        </w:rPr>
        <w:t>；</w:t>
      </w:r>
    </w:p>
    <w:p>
      <w:pPr>
        <w:pStyle w:val="16"/>
        <w:spacing w:line="360" w:lineRule="auto"/>
        <w:jc w:val="both"/>
        <w:rPr>
          <w:rFonts w:ascii="Times New Roman" w:hAnsi="Times New Roman"/>
        </w:rPr>
      </w:pPr>
      <w:r>
        <w:rPr>
          <w:rFonts w:ascii="Times New Roman" w:hAnsi="Times New Roman"/>
          <w:position w:val="-10"/>
        </w:rPr>
        <w:object>
          <v:shape id="_x0000_i1074" o:spt="75" type="#_x0000_t75" style="height:13.8pt;width:13.2pt;" o:ole="t" filled="f" o:preferrelative="t" stroked="f" coordsize="21600,21600">
            <v:path/>
            <v:fill on="f" focussize="0,0"/>
            <v:stroke on="f" joinstyle="miter"/>
            <v:imagedata r:id="rId114" o:title=""/>
            <o:lock v:ext="edit" aspectratio="t"/>
            <w10:wrap type="none"/>
            <w10:anchorlock/>
          </v:shape>
          <o:OLEObject Type="Embed" ProgID="Equation.DSMT4" ShapeID="_x0000_i1074" DrawAspect="Content" ObjectID="_1468075774" r:id="rId113">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挠度系数，按表</w:t>
      </w:r>
      <w:r>
        <w:rPr>
          <w:rFonts w:ascii="Times New Roman" w:hAnsi="Times New Roman"/>
        </w:rPr>
        <w:t>5.2.1</w:t>
      </w:r>
      <w:r>
        <w:rPr>
          <w:rFonts w:hint="eastAsia" w:ascii="Times New Roman" w:hAnsi="Times New Roman"/>
        </w:rPr>
        <w:t>—</w:t>
      </w:r>
      <w:r>
        <w:rPr>
          <w:rFonts w:ascii="Times New Roman" w:hAnsi="Times New Roman"/>
        </w:rPr>
        <w:t>3</w:t>
      </w:r>
      <w:r>
        <w:rPr>
          <w:rFonts w:hint="eastAsia" w:ascii="Times New Roman" w:hAnsi="Times New Roman"/>
        </w:rPr>
        <w:t>采用；</w:t>
      </w:r>
    </w:p>
    <w:p>
      <w:pPr>
        <w:pStyle w:val="16"/>
        <w:spacing w:line="360" w:lineRule="auto"/>
        <w:jc w:val="both"/>
        <w:rPr>
          <w:rFonts w:ascii="Times New Roman" w:hAnsi="Times New Roman"/>
        </w:rPr>
      </w:pPr>
      <w:r>
        <w:rPr>
          <w:rFonts w:ascii="Times New Roman" w:hAnsi="Times New Roman"/>
          <w:position w:val="-10"/>
        </w:rPr>
        <w:object>
          <v:shape id="_x0000_i1075" o:spt="75" type="#_x0000_t75" style="height:13.8pt;width:11.4pt;" o:ole="t" filled="f" o:preferrelative="t" stroked="f" coordsize="21600,21600">
            <v:path/>
            <v:fill on="f" focussize="0,0"/>
            <v:stroke on="f" joinstyle="miter"/>
            <v:imagedata r:id="rId116" o:title=""/>
            <o:lock v:ext="edit" aspectratio="t"/>
            <w10:wrap type="none"/>
            <w10:anchorlock/>
          </v:shape>
          <o:OLEObject Type="Embed" ProgID="Equation.DSMT4" ShapeID="_x0000_i1075" DrawAspect="Content" ObjectID="_1468075775" r:id="rId115">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折减系数，按表</w:t>
      </w:r>
      <w:r>
        <w:rPr>
          <w:rFonts w:ascii="Times New Roman" w:hAnsi="Times New Roman"/>
        </w:rPr>
        <w:t>5.2.1</w:t>
      </w:r>
      <w:r>
        <w:rPr>
          <w:rFonts w:hint="eastAsia" w:ascii="Times New Roman" w:hAnsi="Times New Roman"/>
        </w:rPr>
        <w:t>—</w:t>
      </w:r>
      <w:r>
        <w:rPr>
          <w:rFonts w:ascii="Times New Roman" w:hAnsi="Times New Roman"/>
        </w:rPr>
        <w:t>2</w:t>
      </w:r>
      <w:r>
        <w:rPr>
          <w:rFonts w:hint="eastAsia" w:ascii="Times New Roman" w:hAnsi="Times New Roman"/>
        </w:rPr>
        <w:t>采用。</w:t>
      </w:r>
    </w:p>
    <w:p>
      <w:pPr>
        <w:spacing w:line="360" w:lineRule="auto"/>
        <w:ind w:firstLine="960" w:firstLineChars="400"/>
        <w:rPr>
          <w:rFonts w:ascii="Times New Roman" w:hAnsi="Times New Roman"/>
        </w:rPr>
      </w:pPr>
      <w:r>
        <w:rPr>
          <w:rFonts w:hint="eastAsia" w:ascii="Times New Roman" w:hAnsi="Times New Roman"/>
        </w:rPr>
        <w:t>玻璃的等效厚度</w:t>
      </w:r>
      <w:r>
        <w:rPr>
          <w:rFonts w:ascii="Times New Roman" w:hAnsi="Times New Roman"/>
          <w:position w:val="-12"/>
        </w:rPr>
        <w:object>
          <v:shape id="_x0000_i1076" o:spt="75" type="#_x0000_t75" style="height:18.6pt;width:9.6pt;" o:ole="t" filled="f" o:preferrelative="t" stroked="f" coordsize="21600,21600">
            <v:path/>
            <v:fill on="f" focussize="0,0"/>
            <v:stroke on="f" joinstyle="miter"/>
            <v:imagedata r:id="rId118" o:title=""/>
            <o:lock v:ext="edit" aspectratio="t"/>
            <w10:wrap type="none"/>
            <w10:anchorlock/>
          </v:shape>
          <o:OLEObject Type="Embed" ProgID="Equation.DSMT4" ShapeID="_x0000_i1076" DrawAspect="Content" ObjectID="_1468075776" r:id="rId117">
            <o:LockedField>false</o:LockedField>
          </o:OLEObject>
        </w:object>
      </w:r>
      <w:r>
        <w:rPr>
          <w:rFonts w:ascii="Times New Roman" w:hAnsi="Times New Roman"/>
        </w:rPr>
        <w:t xml:space="preserve"> </w:t>
      </w:r>
      <w:r>
        <w:rPr>
          <w:rFonts w:hint="eastAsia" w:ascii="Times New Roman" w:hAnsi="Times New Roman"/>
        </w:rPr>
        <w:t>可按下式计算：</w:t>
      </w:r>
    </w:p>
    <w:p>
      <w:pPr>
        <w:spacing w:line="360" w:lineRule="auto"/>
        <w:jc w:val="center"/>
        <w:rPr>
          <w:rFonts w:ascii="Times New Roman" w:hAnsi="Times New Roman"/>
        </w:rPr>
      </w:pPr>
      <w:r>
        <w:rPr>
          <w:rFonts w:ascii="Times New Roman" w:hAnsi="Times New Roman"/>
          <w:position w:val="-14"/>
        </w:rPr>
        <w:object>
          <v:shape id="_x0000_i1077" o:spt="75" type="#_x0000_t75" style="height:24.6pt;width:115.8pt;" o:ole="t" filled="f" o:preferrelative="t" stroked="f" coordsize="21600,21600">
            <v:path/>
            <v:fill on="f" focussize="0,0"/>
            <v:stroke on="f" joinstyle="miter"/>
            <v:imagedata r:id="rId120" o:title=""/>
            <o:lock v:ext="edit" aspectratio="t"/>
            <w10:wrap type="none"/>
            <w10:anchorlock/>
          </v:shape>
          <o:OLEObject Type="Embed" ProgID="Equation.DSMT4" ShapeID="_x0000_i1077" DrawAspect="Content" ObjectID="_1468075777" r:id="rId119">
            <o:LockedField>false</o:LockedField>
          </o:OLEObject>
        </w:object>
      </w:r>
    </w:p>
    <w:p>
      <w:pPr>
        <w:spacing w:line="360" w:lineRule="auto"/>
        <w:rPr>
          <w:rFonts w:ascii="Times New Roman" w:hAnsi="Times New Roman"/>
        </w:rPr>
      </w:pPr>
      <w:r>
        <w:rPr>
          <w:rFonts w:hint="eastAsia" w:ascii="Times New Roman" w:hAnsi="Times New Roman"/>
        </w:rPr>
        <w:t>式中</w:t>
      </w:r>
      <w:r>
        <w:rPr>
          <w:rFonts w:ascii="Times New Roman" w:hAnsi="Times New Roman"/>
        </w:rPr>
        <w:t xml:space="preserve">  </w:t>
      </w:r>
      <w:r>
        <w:rPr>
          <w:rFonts w:ascii="Times New Roman" w:hAnsi="Times New Roman"/>
          <w:position w:val="-12"/>
        </w:rPr>
        <w:object>
          <v:shape id="_x0000_i1078" o:spt="75" type="#_x0000_t75" style="height:18.6pt;width:9.6pt;" o:ole="t" filled="f" o:preferrelative="t" stroked="f" coordsize="21600,21600">
            <v:path/>
            <v:fill on="f" focussize="0,0"/>
            <v:stroke on="f" joinstyle="miter"/>
            <v:imagedata r:id="rId122" o:title=""/>
            <o:lock v:ext="edit" aspectratio="t"/>
            <w10:wrap type="none"/>
            <w10:anchorlock/>
          </v:shape>
          <o:OLEObject Type="Embed" ProgID="Equation.DSMT4" ShapeID="_x0000_i1078" DrawAspect="Content" ObjectID="_1468075778" r:id="rId121">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中空单面夹层玻璃的等效厚度（</w:t>
      </w:r>
      <w:r>
        <w:rPr>
          <w:rFonts w:ascii="Times New Roman" w:hAnsi="Times New Roman"/>
          <w:position w:val="-6"/>
        </w:rPr>
        <w:object>
          <v:shape id="_x0000_i1079" o:spt="75" type="#_x0000_t75" style="height:12pt;width:24pt;" o:ole="t" filled="f" o:preferrelative="t" stroked="f" coordsize="21600,21600">
            <v:path/>
            <v:fill on="f" focussize="0,0"/>
            <v:stroke on="f" joinstyle="miter"/>
            <v:imagedata r:id="rId34" o:title=""/>
            <o:lock v:ext="edit" aspectratio="t"/>
            <w10:wrap type="none"/>
            <w10:anchorlock/>
          </v:shape>
          <o:OLEObject Type="Embed" ProgID="Equation.DSMT4" ShapeID="_x0000_i1079" DrawAspect="Content" ObjectID="_1468075779" r:id="rId123">
            <o:LockedField>false</o:LockedField>
          </o:OLEObject>
        </w:object>
      </w:r>
      <w:r>
        <w:rPr>
          <w:rFonts w:hint="eastAsia" w:ascii="Times New Roman" w:hAnsi="Times New Roman"/>
        </w:rPr>
        <w:t>）；</w:t>
      </w:r>
    </w:p>
    <w:p>
      <w:pPr>
        <w:spacing w:line="360" w:lineRule="auto"/>
        <w:ind w:firstLine="720" w:firstLineChars="300"/>
        <w:rPr>
          <w:rFonts w:ascii="Times New Roman" w:hAnsi="Times New Roman"/>
        </w:rPr>
      </w:pPr>
      <w:r>
        <w:rPr>
          <w:rFonts w:ascii="Times New Roman" w:hAnsi="Times New Roman"/>
          <w:position w:val="-12"/>
        </w:rPr>
        <w:object>
          <v:shape id="_x0000_i1080" o:spt="75" type="#_x0000_t75" style="height:19.2pt;width:9.6pt;" o:ole="t" filled="f" o:preferrelative="t" stroked="f" coordsize="21600,21600">
            <v:path/>
            <v:fill on="f" focussize="0,0"/>
            <v:stroke on="f" joinstyle="miter"/>
            <v:imagedata r:id="rId125" o:title=""/>
            <o:lock v:ext="edit" aspectratio="t"/>
            <w10:wrap type="none"/>
            <w10:anchorlock/>
          </v:shape>
          <o:OLEObject Type="Embed" ProgID="Equation.DSMT4" ShapeID="_x0000_i1080" DrawAspect="Content" ObjectID="_1468075780" r:id="rId124">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中空玻璃单片玻璃厚度（</w:t>
      </w:r>
      <w:r>
        <w:rPr>
          <w:rFonts w:ascii="Times New Roman" w:hAnsi="Times New Roman"/>
          <w:position w:val="-6"/>
        </w:rPr>
        <w:object>
          <v:shape id="_x0000_i1081" o:spt="75" type="#_x0000_t75" style="height:12pt;width:24pt;" o:ole="t" filled="f" o:preferrelative="t" stroked="f" coordsize="21600,21600">
            <v:path/>
            <v:fill on="f" focussize="0,0"/>
            <v:stroke on="f" joinstyle="miter"/>
            <v:imagedata r:id="rId34" o:title=""/>
            <o:lock v:ext="edit" aspectratio="t"/>
            <w10:wrap type="none"/>
            <w10:anchorlock/>
          </v:shape>
          <o:OLEObject Type="Embed" ProgID="Equation.DSMT4" ShapeID="_x0000_i1081" DrawAspect="Content" ObjectID="_1468075781" r:id="rId126">
            <o:LockedField>false</o:LockedField>
          </o:OLEObject>
        </w:object>
      </w:r>
      <w:r>
        <w:rPr>
          <w:rFonts w:hint="eastAsia" w:ascii="Times New Roman" w:hAnsi="Times New Roman"/>
        </w:rPr>
        <w:t>）；</w:t>
      </w:r>
    </w:p>
    <w:p>
      <w:pPr>
        <w:spacing w:line="360" w:lineRule="auto"/>
        <w:ind w:firstLine="240" w:firstLineChars="100"/>
        <w:rPr>
          <w:rFonts w:ascii="Times New Roman" w:hAnsi="Times New Roman"/>
        </w:rPr>
      </w:pPr>
      <w:r>
        <w:rPr>
          <w:rFonts w:ascii="Times New Roman" w:hAnsi="Times New Roman"/>
          <w:position w:val="-12"/>
        </w:rPr>
        <w:object>
          <v:shape id="_x0000_i1082" o:spt="75" type="#_x0000_t75" style="height:19.2pt;width:9.6pt;" o:ole="t" filled="f" o:preferrelative="t" stroked="f" coordsize="21600,21600">
            <v:path/>
            <v:fill on="f" focussize="0,0"/>
            <v:stroke on="f" joinstyle="miter"/>
            <v:imagedata r:id="rId128" o:title=""/>
            <o:lock v:ext="edit" aspectratio="t"/>
            <w10:wrap type="none"/>
            <w10:anchorlock/>
          </v:shape>
          <o:OLEObject Type="Embed" ProgID="Equation.DSMT4" ShapeID="_x0000_i1082" DrawAspect="Content" ObjectID="_1468075782" r:id="rId127">
            <o:LockedField>false</o:LockedField>
          </o:OLEObject>
        </w:object>
      </w:r>
      <w:r>
        <w:rPr>
          <w:rFonts w:hint="eastAsia" w:ascii="Times New Roman" w:hAnsi="Times New Roman"/>
        </w:rPr>
        <w:t>、</w:t>
      </w:r>
      <w:r>
        <w:rPr>
          <w:rFonts w:ascii="Times New Roman" w:hAnsi="Times New Roman"/>
          <w:position w:val="-12"/>
        </w:rPr>
        <w:object>
          <v:shape id="_x0000_i1083" o:spt="75" type="#_x0000_t75" style="height:19.2pt;width:12pt;" o:ole="t" filled="f" o:preferrelative="t" stroked="f" coordsize="21600,21600">
            <v:path/>
            <v:fill on="f" focussize="0,0"/>
            <v:stroke on="f" joinstyle="miter"/>
            <v:imagedata r:id="rId130" o:title=""/>
            <o:lock v:ext="edit" aspectratio="t"/>
            <w10:wrap type="none"/>
            <w10:anchorlock/>
          </v:shape>
          <o:OLEObject Type="Embed" ProgID="Equation.DSMT4" ShapeID="_x0000_i1083" DrawAspect="Content" ObjectID="_1468075783" r:id="rId129">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夹层玻璃各单片玻璃的厚度（</w:t>
      </w:r>
      <w:r>
        <w:rPr>
          <w:rFonts w:ascii="Times New Roman" w:hAnsi="Times New Roman"/>
          <w:position w:val="-6"/>
        </w:rPr>
        <w:object>
          <v:shape id="_x0000_i1084" o:spt="75" type="#_x0000_t75" style="height:12pt;width:24pt;" o:ole="t" filled="f" o:preferrelative="t" stroked="f" coordsize="21600,21600">
            <v:path/>
            <v:fill on="f" focussize="0,0"/>
            <v:stroke on="f" joinstyle="miter"/>
            <v:imagedata r:id="rId34" o:title=""/>
            <o:lock v:ext="edit" aspectratio="t"/>
            <w10:wrap type="none"/>
            <w10:anchorlock/>
          </v:shape>
          <o:OLEObject Type="Embed" ProgID="Equation.DSMT4" ShapeID="_x0000_i1084" DrawAspect="Content" ObjectID="_1468075784" r:id="rId131">
            <o:LockedField>false</o:LockedField>
          </o:OLEObject>
        </w:object>
      </w:r>
      <w:r>
        <w:rPr>
          <w:rFonts w:hint="eastAsia" w:ascii="Times New Roman" w:hAnsi="Times New Roman"/>
        </w:rPr>
        <w:t>）。</w:t>
      </w:r>
    </w:p>
    <w:p>
      <w:pPr>
        <w:pStyle w:val="16"/>
        <w:spacing w:line="360" w:lineRule="auto"/>
        <w:ind w:firstLine="0" w:firstLineChars="0"/>
        <w:rPr>
          <w:rFonts w:ascii="Times New Roman" w:hAnsi="Times New Roman" w:cs="Times New Roman"/>
          <w:b/>
          <w:bCs/>
          <w:szCs w:val="21"/>
        </w:rPr>
      </w:pPr>
      <w:r>
        <w:rPr>
          <w:rFonts w:hint="eastAsia" w:ascii="Times New Roman" w:hAnsi="Times New Roman" w:cs="Times New Roman"/>
          <w:b/>
          <w:bCs/>
          <w:szCs w:val="21"/>
        </w:rPr>
        <w:t>5.</w:t>
      </w:r>
      <w:r>
        <w:rPr>
          <w:rFonts w:ascii="Times New Roman" w:hAnsi="Times New Roman" w:cs="Times New Roman"/>
          <w:b/>
          <w:bCs/>
          <w:szCs w:val="21"/>
        </w:rPr>
        <w:t>2.2</w:t>
      </w:r>
      <w:r>
        <w:rPr>
          <w:rFonts w:hint="eastAsia" w:ascii="Times New Roman" w:hAnsi="Times New Roman" w:cs="Times New Roman"/>
          <w:b/>
          <w:bCs/>
          <w:szCs w:val="21"/>
        </w:rPr>
        <w:t xml:space="preserve"> </w:t>
      </w:r>
      <w:r>
        <w:rPr>
          <w:rFonts w:hint="eastAsia" w:ascii="Times New Roman" w:hAnsi="Times New Roman" w:cs="Times New Roman"/>
          <w:szCs w:val="21"/>
        </w:rPr>
        <w:t>其它支撑</w:t>
      </w:r>
    </w:p>
    <w:p>
      <w:pPr>
        <w:spacing w:line="360" w:lineRule="auto"/>
        <w:ind w:firstLine="480" w:firstLineChars="200"/>
        <w:rPr>
          <w:rFonts w:ascii="Times New Roman" w:hAnsi="Times New Roman"/>
        </w:rPr>
      </w:pPr>
      <w:r>
        <w:rPr>
          <w:rFonts w:ascii="Times New Roman" w:hAnsi="Times New Roman"/>
        </w:rPr>
        <w:t xml:space="preserve">1 </w:t>
      </w:r>
      <w:r>
        <w:rPr>
          <w:rFonts w:hint="eastAsia" w:ascii="Times New Roman" w:hAnsi="Times New Roman"/>
        </w:rPr>
        <w:t>对边支撑及三边支撑的最大许用跨度计算可按《建筑玻璃应用技术规程》</w:t>
      </w:r>
      <w:r>
        <w:rPr>
          <w:rFonts w:ascii="Times New Roman" w:hAnsi="Times New Roman"/>
        </w:rPr>
        <w:t>JGJ 113</w:t>
      </w:r>
      <w:r>
        <w:rPr>
          <w:rFonts w:hint="eastAsia" w:ascii="Times New Roman" w:hAnsi="Times New Roman"/>
        </w:rPr>
        <w:t>执行；</w:t>
      </w:r>
    </w:p>
    <w:p>
      <w:pPr>
        <w:pStyle w:val="189"/>
        <w:ind w:firstLine="480" w:firstLineChars="200"/>
        <w:rPr>
          <w:szCs w:val="24"/>
        </w:rPr>
      </w:pPr>
      <w:r>
        <w:rPr>
          <w:rFonts w:hint="eastAsia"/>
          <w:szCs w:val="24"/>
        </w:rPr>
        <w:t>2</w:t>
      </w:r>
      <w:r>
        <w:rPr>
          <w:szCs w:val="24"/>
        </w:rPr>
        <w:t xml:space="preserve"> </w:t>
      </w:r>
      <w:r>
        <w:rPr>
          <w:rFonts w:hint="eastAsia"/>
          <w:szCs w:val="24"/>
        </w:rPr>
        <w:t>其它异形的面板抗风压设计可采用考虑几何非线性的有限元法进行计算，且最大应力设计值不应超过短期荷载作用下玻璃强度设计值。</w:t>
      </w:r>
    </w:p>
    <w:p>
      <w:pPr>
        <w:pStyle w:val="6"/>
        <w:rPr>
          <w:rFonts w:ascii="Times New Roman" w:hAnsi="Times New Roman"/>
        </w:rPr>
      </w:pPr>
      <w:bookmarkStart w:id="41" w:name="_Toc162996217"/>
      <w:r>
        <w:rPr>
          <w:rFonts w:ascii="Times New Roman" w:hAnsi="Times New Roman"/>
        </w:rPr>
        <w:t>5.3 点支承</w:t>
      </w:r>
      <w:bookmarkEnd w:id="41"/>
    </w:p>
    <w:p>
      <w:pPr>
        <w:spacing w:line="360" w:lineRule="auto"/>
        <w:rPr>
          <w:rFonts w:ascii="Times New Roman" w:hAnsi="Times New Roman"/>
        </w:rPr>
      </w:pPr>
      <w:r>
        <w:rPr>
          <w:rFonts w:hint="eastAsia" w:ascii="Times New Roman" w:hAnsi="Times New Roman" w:cs="Times New Roman"/>
          <w:b/>
          <w:bCs/>
          <w:szCs w:val="21"/>
        </w:rPr>
        <w:t xml:space="preserve">5.3.1 </w:t>
      </w:r>
      <w:r>
        <w:rPr>
          <w:rFonts w:hint="eastAsia" w:ascii="Times New Roman" w:hAnsi="Times New Roman"/>
        </w:rPr>
        <w:t>四点支承</w:t>
      </w:r>
    </w:p>
    <w:p>
      <w:pPr>
        <w:widowControl w:val="0"/>
        <w:spacing w:line="360" w:lineRule="auto"/>
        <w:ind w:firstLine="480" w:firstLineChars="200"/>
        <w:jc w:val="both"/>
        <w:rPr>
          <w:rFonts w:ascii="Times New Roman" w:hAnsi="Times New Roman"/>
        </w:rPr>
      </w:pPr>
      <w:r>
        <w:rPr>
          <w:rFonts w:ascii="Times New Roman" w:hAnsi="Times New Roman"/>
        </w:rPr>
        <w:t xml:space="preserve">1 </w:t>
      </w:r>
      <w:r>
        <w:rPr>
          <w:rFonts w:hint="eastAsia" w:ascii="Times New Roman" w:hAnsi="Times New Roman"/>
        </w:rPr>
        <w:t>在垂直于幕墙平面的风荷载和地震作用下，四点支撑玻璃面板的应力和挠度：</w:t>
      </w:r>
    </w:p>
    <w:p>
      <w:pPr>
        <w:spacing w:line="360" w:lineRule="auto"/>
        <w:ind w:firstLine="480" w:firstLineChars="200"/>
        <w:rPr>
          <w:rFonts w:ascii="Times New Roman" w:hAnsi="Times New Roman"/>
        </w:rPr>
      </w:pPr>
      <w:r>
        <w:rPr>
          <w:rFonts w:ascii="Times New Roman" w:hAnsi="Times New Roman"/>
        </w:rPr>
        <w:t>1</w:t>
      </w:r>
      <w:r>
        <w:rPr>
          <w:rFonts w:hint="eastAsia" w:ascii="Times New Roman" w:hAnsi="Times New Roman"/>
        </w:rPr>
        <w:t>）可采用非线性有限元方法计算跨中最大应力、孔边最大应力个跨中最大挠度。</w:t>
      </w:r>
    </w:p>
    <w:p>
      <w:pPr>
        <w:spacing w:line="360" w:lineRule="auto"/>
        <w:ind w:firstLine="480" w:firstLineChars="200"/>
        <w:rPr>
          <w:rFonts w:ascii="Times New Roman" w:hAnsi="Times New Roman"/>
        </w:rPr>
      </w:pPr>
      <w:r>
        <w:rPr>
          <w:rFonts w:ascii="Times New Roman" w:hAnsi="Times New Roman"/>
        </w:rPr>
        <w:t>2</w:t>
      </w:r>
      <w:r>
        <w:rPr>
          <w:rFonts w:hint="eastAsia" w:ascii="Times New Roman" w:hAnsi="Times New Roman"/>
        </w:rPr>
        <w:t>）也可按《玻璃幕墙工程技术规范》</w:t>
      </w:r>
      <w:r>
        <w:rPr>
          <w:rFonts w:ascii="Times New Roman" w:hAnsi="Times New Roman"/>
        </w:rPr>
        <w:t>JGJ 102</w:t>
      </w:r>
      <w:r>
        <w:rPr>
          <w:rFonts w:hint="eastAsia" w:ascii="Times New Roman" w:hAnsi="Times New Roman"/>
        </w:rPr>
        <w:t>执行，但此处应注意：</w:t>
      </w:r>
    </w:p>
    <w:p>
      <w:pPr>
        <w:spacing w:line="360" w:lineRule="auto"/>
        <w:rPr>
          <w:rFonts w:ascii="Times New Roman" w:hAnsi="Times New Roman"/>
        </w:rPr>
      </w:pPr>
      <w:r>
        <w:rPr>
          <w:rFonts w:hint="eastAsia" w:ascii="Times New Roman" w:hAnsi="Times New Roman"/>
        </w:rPr>
        <w:t>式中</w:t>
      </w:r>
      <w:r>
        <w:rPr>
          <w:rFonts w:ascii="Times New Roman" w:hAnsi="Times New Roman"/>
        </w:rPr>
        <w:t xml:space="preserve"> </w:t>
      </w:r>
      <w:r>
        <w:rPr>
          <w:rFonts w:ascii="Times New Roman" w:hAnsi="Times New Roman"/>
          <w:position w:val="-6"/>
        </w:rPr>
        <w:object>
          <v:shape id="_x0000_i1085" o:spt="75" type="#_x0000_t75" style="height:12pt;width:11.4pt;" o:ole="t" filled="f" o:preferrelative="t" stroked="f" coordsize="21600,21600">
            <v:path/>
            <v:fill on="f" focussize="0,0"/>
            <v:stroke on="f" joinstyle="miter"/>
            <v:imagedata r:id="rId133" o:title=""/>
            <o:lock v:ext="edit" aspectratio="t"/>
            <w10:wrap type="none"/>
            <w10:anchorlock/>
          </v:shape>
          <o:OLEObject Type="Embed" ProgID="Equation.DSMT4" ShapeID="_x0000_i1085" DrawAspect="Content" ObjectID="_1468075785" r:id="rId132">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支撑点间玻璃面板长边边长（</w:t>
      </w:r>
      <w:r>
        <w:rPr>
          <w:rFonts w:ascii="Times New Roman" w:hAnsi="Times New Roman"/>
          <w:position w:val="-6"/>
        </w:rPr>
        <w:object>
          <v:shape id="_x0000_i1086" o:spt="75" type="#_x0000_t75" style="height:12pt;width:24pt;" o:ole="t" filled="f" o:preferrelative="t" stroked="f" coordsize="21600,21600">
            <v:path/>
            <v:fill on="f" focussize="0,0"/>
            <v:stroke on="f" joinstyle="miter"/>
            <v:imagedata r:id="rId34" o:title=""/>
            <o:lock v:ext="edit" aspectratio="t"/>
            <w10:wrap type="none"/>
            <w10:anchorlock/>
          </v:shape>
          <o:OLEObject Type="Embed" ProgID="Equation.DSMT4" ShapeID="_x0000_i1086" DrawAspect="Content" ObjectID="_1468075786" r:id="rId134">
            <o:LockedField>false</o:LockedField>
          </o:OLEObject>
        </w:object>
      </w:r>
      <w:r>
        <w:rPr>
          <w:rFonts w:hint="eastAsia" w:ascii="Times New Roman" w:hAnsi="Times New Roman"/>
        </w:rPr>
        <w:t>）；</w:t>
      </w:r>
    </w:p>
    <w:p>
      <w:pPr>
        <w:spacing w:line="360" w:lineRule="auto"/>
        <w:ind w:firstLine="480" w:firstLineChars="200"/>
        <w:rPr>
          <w:rFonts w:ascii="Times New Roman" w:hAnsi="Times New Roman"/>
        </w:rPr>
      </w:pPr>
      <w:r>
        <w:rPr>
          <w:rFonts w:ascii="Times New Roman" w:hAnsi="Times New Roman"/>
          <w:position w:val="-6"/>
        </w:rPr>
        <w:object>
          <v:shape id="_x0000_i1087" o:spt="75" type="#_x0000_t75" style="height:12pt;width:13.8pt;" o:ole="t" filled="f" o:preferrelative="t" stroked="f" coordsize="21600,21600">
            <v:path/>
            <v:fill on="f" focussize="0,0"/>
            <v:stroke on="f" joinstyle="miter"/>
            <v:imagedata r:id="rId136" o:title=""/>
            <o:lock v:ext="edit" aspectratio="t"/>
            <w10:wrap type="none"/>
            <w10:anchorlock/>
          </v:shape>
          <o:OLEObject Type="Embed" ProgID="Equation.DSMT4" ShapeID="_x0000_i1087" DrawAspect="Content" ObjectID="_1468075787" r:id="rId135">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弯矩系数，</w:t>
      </w:r>
      <w:bookmarkStart w:id="42" w:name="_Hlk159504642"/>
      <w:r>
        <w:rPr>
          <w:rFonts w:hint="eastAsia" w:ascii="Times New Roman" w:hAnsi="Times New Roman"/>
        </w:rPr>
        <w:t>按表</w:t>
      </w:r>
      <w:r>
        <w:rPr>
          <w:rFonts w:ascii="Times New Roman" w:hAnsi="Times New Roman"/>
        </w:rPr>
        <w:t>5.3.1</w:t>
      </w:r>
      <w:r>
        <w:rPr>
          <w:rFonts w:hint="eastAsia" w:ascii="Times New Roman" w:hAnsi="Times New Roman"/>
        </w:rPr>
        <w:t>—</w:t>
      </w:r>
      <w:r>
        <w:rPr>
          <w:rFonts w:ascii="Times New Roman" w:hAnsi="Times New Roman"/>
        </w:rPr>
        <w:t>1</w:t>
      </w:r>
      <w:r>
        <w:rPr>
          <w:rFonts w:hint="eastAsia" w:ascii="Times New Roman" w:hAnsi="Times New Roman"/>
        </w:rPr>
        <w:t>采用；</w:t>
      </w:r>
      <w:bookmarkEnd w:id="42"/>
    </w:p>
    <w:p>
      <w:pPr>
        <w:spacing w:line="360" w:lineRule="auto"/>
        <w:ind w:firstLine="480" w:firstLineChars="200"/>
        <w:rPr>
          <w:rFonts w:ascii="Times New Roman" w:hAnsi="Times New Roman"/>
        </w:rPr>
      </w:pPr>
      <w:r>
        <w:rPr>
          <w:rFonts w:ascii="Times New Roman" w:hAnsi="Times New Roman"/>
          <w:position w:val="-10"/>
        </w:rPr>
        <w:object>
          <v:shape id="_x0000_i1088" o:spt="75" type="#_x0000_t75" style="height:13.8pt;width:13.2pt;" o:ole="t" filled="f" o:preferrelative="t" stroked="f" coordsize="21600,21600">
            <v:path/>
            <v:fill on="f" focussize="0,0"/>
            <v:stroke on="f" joinstyle="miter"/>
            <v:imagedata r:id="rId138" o:title=""/>
            <o:lock v:ext="edit" aspectratio="t"/>
            <w10:wrap type="none"/>
            <w10:anchorlock/>
          </v:shape>
          <o:OLEObject Type="Embed" ProgID="Equation.DSMT4" ShapeID="_x0000_i1088" DrawAspect="Content" ObjectID="_1468075788" r:id="rId137">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挠度系数，按表</w:t>
      </w:r>
      <w:r>
        <w:rPr>
          <w:rFonts w:ascii="Times New Roman" w:hAnsi="Times New Roman"/>
        </w:rPr>
        <w:t>5.3.1</w:t>
      </w:r>
      <w:r>
        <w:rPr>
          <w:rFonts w:hint="eastAsia" w:ascii="Times New Roman" w:hAnsi="Times New Roman"/>
        </w:rPr>
        <w:t>—</w:t>
      </w:r>
      <w:r>
        <w:rPr>
          <w:rFonts w:ascii="Times New Roman" w:hAnsi="Times New Roman"/>
        </w:rPr>
        <w:t>2</w:t>
      </w:r>
      <w:r>
        <w:rPr>
          <w:rFonts w:hint="eastAsia" w:ascii="Times New Roman" w:hAnsi="Times New Roman"/>
        </w:rPr>
        <w:t>采用；</w:t>
      </w:r>
    </w:p>
    <w:p>
      <w:pPr>
        <w:spacing w:line="360" w:lineRule="auto"/>
        <w:ind w:firstLine="480" w:firstLineChars="200"/>
        <w:rPr>
          <w:rFonts w:ascii="Times New Roman" w:hAnsi="Times New Roman"/>
        </w:rPr>
      </w:pPr>
      <w:r>
        <w:rPr>
          <w:rFonts w:ascii="Times New Roman" w:hAnsi="Times New Roman"/>
          <w:position w:val="-10"/>
        </w:rPr>
        <w:object>
          <v:shape id="_x0000_i1089" o:spt="75" type="#_x0000_t75" style="height:13.8pt;width:11.4pt;" o:ole="t" filled="f" o:preferrelative="t" stroked="f" coordsize="21600,21600">
            <v:path/>
            <v:fill on="f" focussize="0,0"/>
            <v:stroke on="f" joinstyle="miter"/>
            <v:imagedata r:id="rId140" o:title=""/>
            <o:lock v:ext="edit" aspectratio="t"/>
            <w10:wrap type="none"/>
            <w10:anchorlock/>
          </v:shape>
          <o:OLEObject Type="Embed" ProgID="Equation.DSMT4" ShapeID="_x0000_i1089" DrawAspect="Content" ObjectID="_1468075789" r:id="rId139">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折减系数，按本规范表</w:t>
      </w:r>
      <w:r>
        <w:rPr>
          <w:rFonts w:ascii="Times New Roman" w:hAnsi="Times New Roman"/>
        </w:rPr>
        <w:t>5.2.1</w:t>
      </w:r>
      <w:r>
        <w:rPr>
          <w:rFonts w:hint="eastAsia" w:ascii="Times New Roman" w:hAnsi="Times New Roman"/>
        </w:rPr>
        <w:t>—</w:t>
      </w:r>
      <w:r>
        <w:rPr>
          <w:rFonts w:ascii="Times New Roman" w:hAnsi="Times New Roman"/>
        </w:rPr>
        <w:t>2</w:t>
      </w:r>
      <w:r>
        <w:rPr>
          <w:rFonts w:hint="eastAsia" w:ascii="Times New Roman" w:hAnsi="Times New Roman"/>
        </w:rPr>
        <w:t>采用，计算</w:t>
      </w:r>
      <w:r>
        <w:rPr>
          <w:rFonts w:ascii="Times New Roman" w:hAnsi="Times New Roman"/>
          <w:position w:val="-6"/>
        </w:rPr>
        <w:object>
          <v:shape id="_x0000_i1090" o:spt="75" type="#_x0000_t75" style="height:13.8pt;width:9.6pt;" o:ole="t" filled="f" o:preferrelative="t" stroked="f" coordsize="21600,21600">
            <v:path/>
            <v:fill on="f" focussize="0,0"/>
            <v:stroke on="f" joinstyle="miter"/>
            <v:imagedata r:id="rId142" o:title=""/>
            <o:lock v:ext="edit" aspectratio="t"/>
            <w10:wrap type="none"/>
            <w10:anchorlock/>
          </v:shape>
          <o:OLEObject Type="Embed" ProgID="Equation.DSMT4" ShapeID="_x0000_i1090" DrawAspect="Content" ObjectID="_1468075790" r:id="rId141">
            <o:LockedField>false</o:LockedField>
          </o:OLEObject>
        </w:object>
      </w:r>
      <w:r>
        <w:rPr>
          <w:rFonts w:ascii="Times New Roman" w:hAnsi="Times New Roman"/>
        </w:rPr>
        <w:t xml:space="preserve"> </w:t>
      </w:r>
      <w:r>
        <w:rPr>
          <w:rFonts w:hint="eastAsia" w:ascii="Times New Roman" w:hAnsi="Times New Roman"/>
        </w:rPr>
        <w:t>时，此处公式中</w:t>
      </w:r>
      <w:r>
        <w:rPr>
          <w:rFonts w:ascii="Times New Roman" w:hAnsi="Times New Roman"/>
          <w:position w:val="-6"/>
        </w:rPr>
        <w:object>
          <v:shape id="_x0000_i1091" o:spt="75" type="#_x0000_t75" style="height:11.4pt;width:9.6pt;" o:ole="t" filled="f" o:preferrelative="t" stroked="f" coordsize="21600,21600">
            <v:path/>
            <v:fill on="f" focussize="0,0"/>
            <v:stroke on="f" joinstyle="miter"/>
            <v:imagedata r:id="rId144" o:title=""/>
            <o:lock v:ext="edit" aspectratio="t"/>
            <w10:wrap type="none"/>
            <w10:anchorlock/>
          </v:shape>
          <o:OLEObject Type="Embed" ProgID="Equation.DSMT4" ShapeID="_x0000_i1091" DrawAspect="Content" ObjectID="_1468075791" r:id="rId143">
            <o:LockedField>false</o:LockedField>
          </o:OLEObject>
        </w:object>
      </w:r>
      <w:r>
        <w:rPr>
          <w:rFonts w:ascii="Times New Roman" w:hAnsi="Times New Roman"/>
        </w:rPr>
        <w:t xml:space="preserve"> </w:t>
      </w:r>
      <w:r>
        <w:rPr>
          <w:rFonts w:hint="eastAsia" w:ascii="Times New Roman" w:hAnsi="Times New Roman"/>
        </w:rPr>
        <w:t>取长边边长；</w:t>
      </w:r>
    </w:p>
    <w:p>
      <w:pPr>
        <w:spacing w:line="360" w:lineRule="auto"/>
        <w:ind w:firstLine="480" w:firstLineChars="200"/>
        <w:rPr>
          <w:rFonts w:ascii="Times New Roman" w:hAnsi="Times New Roman"/>
        </w:rPr>
      </w:pPr>
      <w:r>
        <w:rPr>
          <w:rFonts w:ascii="Times New Roman" w:hAnsi="Times New Roman"/>
          <w:position w:val="-4"/>
        </w:rPr>
        <w:object>
          <v:shape id="_x0000_i1092" o:spt="75" type="#_x0000_t75" style="height:13.8pt;width:15pt;" o:ole="t" filled="f" o:preferrelative="t" stroked="f" coordsize="21600,21600">
            <v:path/>
            <v:fill on="f" focussize="0,0"/>
            <v:stroke on="f" joinstyle="miter"/>
            <v:imagedata r:id="rId146" o:title=""/>
            <o:lock v:ext="edit" aspectratio="t"/>
            <w10:wrap type="none"/>
            <w10:anchorlock/>
          </v:shape>
          <o:OLEObject Type="Embed" ProgID="Equation.DSMT4" ShapeID="_x0000_i1092" DrawAspect="Content" ObjectID="_1468075792" r:id="rId145">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按照玻璃等效厚度计算玻璃面板刚度。</w:t>
      </w:r>
    </w:p>
    <w:p>
      <w:pPr>
        <w:spacing w:line="360" w:lineRule="auto"/>
        <w:ind w:firstLine="480" w:firstLineChars="200"/>
        <w:rPr>
          <w:rFonts w:ascii="Times New Roman" w:hAnsi="Times New Roman"/>
        </w:rPr>
      </w:pPr>
      <w:r>
        <w:rPr>
          <w:rFonts w:ascii="Times New Roman" w:hAnsi="Times New Roman"/>
        </w:rPr>
        <w:t>3</w:t>
      </w:r>
      <w:r>
        <w:rPr>
          <w:rFonts w:hint="eastAsia" w:ascii="Times New Roman" w:hAnsi="Times New Roman"/>
        </w:rPr>
        <w:t>）孔边最大应力设计值不应超过玻璃边缘强度设计值，跨中最大应力设计值应不超过玻璃中部强度设计值，挠度不超过表</w:t>
      </w:r>
      <w:r>
        <w:rPr>
          <w:rFonts w:ascii="Times New Roman" w:hAnsi="Times New Roman"/>
        </w:rPr>
        <w:t>5.1.5</w:t>
      </w:r>
      <w:r>
        <w:rPr>
          <w:rFonts w:hint="eastAsia" w:ascii="Times New Roman" w:hAnsi="Times New Roman"/>
        </w:rPr>
        <w:t>的限值。</w:t>
      </w:r>
    </w:p>
    <w:p>
      <w:pPr>
        <w:jc w:val="center"/>
        <w:rPr>
          <w:rFonts w:ascii="Times New Roman" w:hAnsi="Times New Roman"/>
          <w:b/>
          <w:bCs/>
        </w:rPr>
      </w:pPr>
      <w:r>
        <w:rPr>
          <w:rFonts w:hint="eastAsia" w:ascii="Times New Roman" w:hAnsi="Times New Roman"/>
          <w:b/>
          <w:bCs/>
        </w:rPr>
        <w:t>表</w:t>
      </w:r>
      <w:r>
        <w:rPr>
          <w:rFonts w:ascii="Times New Roman" w:hAnsi="Times New Roman"/>
          <w:b/>
          <w:bCs/>
        </w:rPr>
        <w:t>5.3.1</w:t>
      </w:r>
      <w:r>
        <w:rPr>
          <w:rFonts w:hint="eastAsia" w:ascii="Times New Roman" w:hAnsi="Times New Roman"/>
          <w:b/>
          <w:bCs/>
        </w:rPr>
        <w:t>—</w:t>
      </w:r>
      <w:r>
        <w:rPr>
          <w:rFonts w:ascii="Times New Roman" w:hAnsi="Times New Roman"/>
          <w:b/>
          <w:bCs/>
        </w:rPr>
        <w:t xml:space="preserve">1 </w:t>
      </w:r>
      <w:r>
        <w:rPr>
          <w:rFonts w:hint="eastAsia" w:ascii="Times New Roman" w:hAnsi="Times New Roman"/>
          <w:b/>
          <w:bCs/>
        </w:rPr>
        <w:t>四点支撑玻璃板的弯矩系数</w:t>
      </w:r>
      <w:r>
        <w:rPr>
          <w:rFonts w:ascii="Times New Roman" w:hAnsi="Times New Roman"/>
          <w:b/>
          <w:bCs/>
          <w:position w:val="-6"/>
        </w:rPr>
        <w:object>
          <v:shape id="_x0000_i1093" o:spt="75" type="#_x0000_t75" style="height:12pt;width:13.8pt;" o:ole="t" filled="f" o:preferrelative="t" stroked="f" coordsize="21600,21600">
            <v:path/>
            <v:fill on="f" focussize="0,0"/>
            <v:stroke on="f" joinstyle="miter"/>
            <v:imagedata r:id="rId148" o:title=""/>
            <o:lock v:ext="edit" aspectratio="t"/>
            <w10:wrap type="none"/>
            <w10:anchorlock/>
          </v:shape>
          <o:OLEObject Type="Embed" ProgID="Equation.DSMT4" ShapeID="_x0000_i1093" DrawAspect="Content" ObjectID="_1468075793" r:id="rId147">
            <o:LockedField>false</o:LockedField>
          </o:OLEObject>
        </w:object>
      </w:r>
      <w:r>
        <w:rPr>
          <w:rFonts w:ascii="Times New Roman" w:hAnsi="Times New Roman"/>
          <w:b/>
          <w:bCs/>
        </w:rPr>
        <w:t xml:space="preserve"> </w: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1"/>
        <w:gridCol w:w="921"/>
        <w:gridCol w:w="922"/>
        <w:gridCol w:w="922"/>
        <w:gridCol w:w="922"/>
        <w:gridCol w:w="922"/>
        <w:gridCol w:w="922"/>
        <w:gridCol w:w="922"/>
        <w:gridCol w:w="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921" w:type="dxa"/>
            <w:vAlign w:val="center"/>
          </w:tcPr>
          <w:p>
            <w:pPr>
              <w:rPr>
                <w:rFonts w:ascii="Times New Roman" w:hAnsi="Times New Roman"/>
                <w:sz w:val="21"/>
                <w:szCs w:val="21"/>
              </w:rPr>
            </w:pPr>
            <w:r>
              <w:rPr>
                <w:rFonts w:ascii="Times New Roman" w:hAnsi="Times New Roman" w:eastAsiaTheme="minorEastAsia" w:cstheme="minorBidi"/>
                <w:kern w:val="2"/>
                <w:position w:val="-10"/>
                <w:sz w:val="21"/>
                <w:szCs w:val="21"/>
              </w:rPr>
              <w:object>
                <v:shape id="_x0000_i1094" o:spt="75" type="#_x0000_t75" style="height:16.8pt;width:11.4pt;" o:ole="t" filled="f" o:preferrelative="t" stroked="f" coordsize="21600,21600">
                  <v:path/>
                  <v:fill on="f" focussize="0,0"/>
                  <v:stroke on="f" joinstyle="miter"/>
                  <v:imagedata r:id="rId150" o:title=""/>
                  <o:lock v:ext="edit" aspectratio="t"/>
                  <w10:wrap type="none"/>
                  <w10:anchorlock/>
                </v:shape>
                <o:OLEObject Type="Embed" ProgID="Equation.DSMT4" ShapeID="_x0000_i1094" DrawAspect="Content" ObjectID="_1468075794" r:id="rId149">
                  <o:LockedField>false</o:LockedField>
                </o:OLEObject>
              </w:object>
            </w:r>
            <w:r>
              <w:rPr>
                <w:rFonts w:ascii="Times New Roman" w:hAnsi="Times New Roman"/>
                <w:sz w:val="21"/>
                <w:szCs w:val="21"/>
              </w:rPr>
              <w:t xml:space="preserve"> </w:t>
            </w:r>
          </w:p>
        </w:tc>
        <w:tc>
          <w:tcPr>
            <w:tcW w:w="921" w:type="dxa"/>
            <w:vAlign w:val="center"/>
          </w:tcPr>
          <w:p>
            <w:pPr>
              <w:rPr>
                <w:rFonts w:ascii="Times New Roman" w:hAnsi="Times New Roman"/>
                <w:sz w:val="21"/>
                <w:szCs w:val="21"/>
              </w:rPr>
            </w:pPr>
            <w:r>
              <w:rPr>
                <w:rFonts w:ascii="Times New Roman" w:hAnsi="Times New Roman"/>
                <w:sz w:val="21"/>
                <w:szCs w:val="21"/>
              </w:rPr>
              <w:t>0.01</w:t>
            </w:r>
          </w:p>
        </w:tc>
        <w:tc>
          <w:tcPr>
            <w:tcW w:w="922" w:type="dxa"/>
            <w:vAlign w:val="center"/>
          </w:tcPr>
          <w:p>
            <w:pPr>
              <w:rPr>
                <w:rFonts w:ascii="Times New Roman" w:hAnsi="Times New Roman"/>
                <w:sz w:val="21"/>
                <w:szCs w:val="21"/>
              </w:rPr>
            </w:pPr>
            <w:r>
              <w:rPr>
                <w:rFonts w:ascii="Times New Roman" w:hAnsi="Times New Roman"/>
                <w:sz w:val="21"/>
                <w:szCs w:val="21"/>
              </w:rPr>
              <w:t>0.20</w:t>
            </w:r>
          </w:p>
        </w:tc>
        <w:tc>
          <w:tcPr>
            <w:tcW w:w="922" w:type="dxa"/>
            <w:vAlign w:val="center"/>
          </w:tcPr>
          <w:p>
            <w:pPr>
              <w:rPr>
                <w:rFonts w:ascii="Times New Roman" w:hAnsi="Times New Roman"/>
                <w:sz w:val="21"/>
                <w:szCs w:val="21"/>
              </w:rPr>
            </w:pPr>
            <w:r>
              <w:rPr>
                <w:rFonts w:ascii="Times New Roman" w:hAnsi="Times New Roman"/>
                <w:sz w:val="21"/>
                <w:szCs w:val="21"/>
              </w:rPr>
              <w:t>0.30</w:t>
            </w:r>
          </w:p>
        </w:tc>
        <w:tc>
          <w:tcPr>
            <w:tcW w:w="922" w:type="dxa"/>
            <w:vAlign w:val="center"/>
          </w:tcPr>
          <w:p>
            <w:pPr>
              <w:rPr>
                <w:rFonts w:ascii="Times New Roman" w:hAnsi="Times New Roman"/>
                <w:sz w:val="21"/>
                <w:szCs w:val="21"/>
              </w:rPr>
            </w:pPr>
            <w:r>
              <w:rPr>
                <w:rFonts w:ascii="Times New Roman" w:hAnsi="Times New Roman"/>
                <w:sz w:val="21"/>
                <w:szCs w:val="21"/>
              </w:rPr>
              <w:t>0.40</w:t>
            </w:r>
          </w:p>
        </w:tc>
        <w:tc>
          <w:tcPr>
            <w:tcW w:w="922" w:type="dxa"/>
            <w:vAlign w:val="center"/>
          </w:tcPr>
          <w:p>
            <w:pPr>
              <w:rPr>
                <w:rFonts w:ascii="Times New Roman" w:hAnsi="Times New Roman"/>
                <w:sz w:val="21"/>
                <w:szCs w:val="21"/>
              </w:rPr>
            </w:pPr>
            <w:r>
              <w:rPr>
                <w:rFonts w:ascii="Times New Roman" w:hAnsi="Times New Roman"/>
                <w:sz w:val="21"/>
                <w:szCs w:val="21"/>
              </w:rPr>
              <w:t>0.50</w:t>
            </w:r>
          </w:p>
        </w:tc>
        <w:tc>
          <w:tcPr>
            <w:tcW w:w="922" w:type="dxa"/>
            <w:vAlign w:val="center"/>
          </w:tcPr>
          <w:p>
            <w:pPr>
              <w:rPr>
                <w:rFonts w:ascii="Times New Roman" w:hAnsi="Times New Roman"/>
                <w:sz w:val="21"/>
                <w:szCs w:val="21"/>
              </w:rPr>
            </w:pPr>
            <w:r>
              <w:rPr>
                <w:rFonts w:ascii="Times New Roman" w:hAnsi="Times New Roman"/>
                <w:sz w:val="21"/>
                <w:szCs w:val="21"/>
              </w:rPr>
              <w:t>0.55</w:t>
            </w:r>
          </w:p>
        </w:tc>
        <w:tc>
          <w:tcPr>
            <w:tcW w:w="922" w:type="dxa"/>
            <w:vAlign w:val="center"/>
          </w:tcPr>
          <w:p>
            <w:pPr>
              <w:rPr>
                <w:rFonts w:ascii="Times New Roman" w:hAnsi="Times New Roman"/>
                <w:sz w:val="21"/>
                <w:szCs w:val="21"/>
              </w:rPr>
            </w:pPr>
            <w:r>
              <w:rPr>
                <w:rFonts w:ascii="Times New Roman" w:hAnsi="Times New Roman"/>
                <w:sz w:val="21"/>
                <w:szCs w:val="21"/>
              </w:rPr>
              <w:t>0.60</w:t>
            </w:r>
          </w:p>
        </w:tc>
        <w:tc>
          <w:tcPr>
            <w:tcW w:w="922" w:type="dxa"/>
            <w:vAlign w:val="center"/>
          </w:tcPr>
          <w:p>
            <w:pPr>
              <w:rPr>
                <w:rFonts w:ascii="Times New Roman" w:hAnsi="Times New Roman"/>
                <w:sz w:val="21"/>
                <w:szCs w:val="21"/>
              </w:rPr>
            </w:pPr>
            <w:r>
              <w:rPr>
                <w:rFonts w:ascii="Times New Roman" w:hAnsi="Times New Roman"/>
                <w:sz w:val="21"/>
                <w:szCs w:val="21"/>
              </w:rPr>
              <w:t>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921" w:type="dxa"/>
            <w:vAlign w:val="center"/>
          </w:tcPr>
          <w:p>
            <w:pPr>
              <w:rPr>
                <w:rFonts w:ascii="Times New Roman" w:hAnsi="Times New Roman"/>
                <w:sz w:val="21"/>
                <w:szCs w:val="21"/>
              </w:rPr>
            </w:pPr>
            <w:r>
              <w:rPr>
                <w:rFonts w:ascii="Times New Roman" w:hAnsi="Times New Roman" w:eastAsiaTheme="minorEastAsia" w:cstheme="minorBidi"/>
                <w:kern w:val="2"/>
                <w:position w:val="-6"/>
                <w:sz w:val="21"/>
                <w:szCs w:val="21"/>
              </w:rPr>
              <w:object>
                <v:shape id="_x0000_i1095" o:spt="75" type="#_x0000_t75" style="height:12pt;width:13.8pt;" o:ole="t" filled="f" o:preferrelative="t" stroked="f" coordsize="21600,21600">
                  <v:path/>
                  <v:fill on="f" focussize="0,0"/>
                  <v:stroke on="f" joinstyle="miter"/>
                  <v:imagedata r:id="rId152" o:title=""/>
                  <o:lock v:ext="edit" aspectratio="t"/>
                  <w10:wrap type="none"/>
                  <w10:anchorlock/>
                </v:shape>
                <o:OLEObject Type="Embed" ProgID="Equation.DSMT4" ShapeID="_x0000_i1095" DrawAspect="Content" ObjectID="_1468075795" r:id="rId151">
                  <o:LockedField>false</o:LockedField>
                </o:OLEObject>
              </w:object>
            </w:r>
            <w:r>
              <w:rPr>
                <w:rFonts w:ascii="Times New Roman" w:hAnsi="Times New Roman"/>
                <w:sz w:val="21"/>
                <w:szCs w:val="21"/>
              </w:rPr>
              <w:t xml:space="preserve"> </w:t>
            </w:r>
          </w:p>
        </w:tc>
        <w:tc>
          <w:tcPr>
            <w:tcW w:w="921" w:type="dxa"/>
            <w:vAlign w:val="center"/>
          </w:tcPr>
          <w:p>
            <w:pPr>
              <w:rPr>
                <w:rFonts w:ascii="Times New Roman" w:hAnsi="Times New Roman"/>
                <w:sz w:val="21"/>
                <w:szCs w:val="21"/>
              </w:rPr>
            </w:pPr>
            <w:r>
              <w:rPr>
                <w:rFonts w:ascii="Times New Roman" w:hAnsi="Times New Roman"/>
                <w:sz w:val="21"/>
                <w:szCs w:val="21"/>
              </w:rPr>
              <w:t>0.125</w:t>
            </w:r>
          </w:p>
        </w:tc>
        <w:tc>
          <w:tcPr>
            <w:tcW w:w="922" w:type="dxa"/>
            <w:vAlign w:val="center"/>
          </w:tcPr>
          <w:p>
            <w:pPr>
              <w:rPr>
                <w:rFonts w:ascii="Times New Roman" w:hAnsi="Times New Roman"/>
                <w:sz w:val="21"/>
                <w:szCs w:val="21"/>
              </w:rPr>
            </w:pPr>
            <w:r>
              <w:rPr>
                <w:rFonts w:ascii="Times New Roman" w:hAnsi="Times New Roman"/>
                <w:sz w:val="21"/>
                <w:szCs w:val="21"/>
              </w:rPr>
              <w:t>0.126</w:t>
            </w:r>
          </w:p>
        </w:tc>
        <w:tc>
          <w:tcPr>
            <w:tcW w:w="922" w:type="dxa"/>
            <w:vAlign w:val="center"/>
          </w:tcPr>
          <w:p>
            <w:pPr>
              <w:rPr>
                <w:rFonts w:ascii="Times New Roman" w:hAnsi="Times New Roman"/>
                <w:sz w:val="21"/>
                <w:szCs w:val="21"/>
              </w:rPr>
            </w:pPr>
            <w:r>
              <w:rPr>
                <w:rFonts w:ascii="Times New Roman" w:hAnsi="Times New Roman"/>
                <w:sz w:val="21"/>
                <w:szCs w:val="21"/>
              </w:rPr>
              <w:t>0.127</w:t>
            </w:r>
          </w:p>
        </w:tc>
        <w:tc>
          <w:tcPr>
            <w:tcW w:w="922" w:type="dxa"/>
            <w:vAlign w:val="center"/>
          </w:tcPr>
          <w:p>
            <w:pPr>
              <w:rPr>
                <w:rFonts w:ascii="Times New Roman" w:hAnsi="Times New Roman"/>
                <w:sz w:val="21"/>
                <w:szCs w:val="21"/>
              </w:rPr>
            </w:pPr>
            <w:r>
              <w:rPr>
                <w:rFonts w:ascii="Times New Roman" w:hAnsi="Times New Roman"/>
                <w:sz w:val="21"/>
                <w:szCs w:val="21"/>
              </w:rPr>
              <w:t>0.129</w:t>
            </w:r>
          </w:p>
        </w:tc>
        <w:tc>
          <w:tcPr>
            <w:tcW w:w="922" w:type="dxa"/>
            <w:vAlign w:val="center"/>
          </w:tcPr>
          <w:p>
            <w:pPr>
              <w:rPr>
                <w:rFonts w:ascii="Times New Roman" w:hAnsi="Times New Roman"/>
                <w:sz w:val="21"/>
                <w:szCs w:val="21"/>
              </w:rPr>
            </w:pPr>
            <w:r>
              <w:rPr>
                <w:rFonts w:ascii="Times New Roman" w:hAnsi="Times New Roman"/>
                <w:sz w:val="21"/>
                <w:szCs w:val="21"/>
              </w:rPr>
              <w:t>0.130</w:t>
            </w:r>
          </w:p>
        </w:tc>
        <w:tc>
          <w:tcPr>
            <w:tcW w:w="922" w:type="dxa"/>
            <w:vAlign w:val="center"/>
          </w:tcPr>
          <w:p>
            <w:pPr>
              <w:rPr>
                <w:rFonts w:ascii="Times New Roman" w:hAnsi="Times New Roman"/>
                <w:sz w:val="21"/>
                <w:szCs w:val="21"/>
              </w:rPr>
            </w:pPr>
            <w:r>
              <w:rPr>
                <w:rFonts w:ascii="Times New Roman" w:hAnsi="Times New Roman"/>
                <w:sz w:val="21"/>
                <w:szCs w:val="21"/>
              </w:rPr>
              <w:t>0.132</w:t>
            </w:r>
          </w:p>
        </w:tc>
        <w:tc>
          <w:tcPr>
            <w:tcW w:w="922" w:type="dxa"/>
            <w:vAlign w:val="center"/>
          </w:tcPr>
          <w:p>
            <w:pPr>
              <w:rPr>
                <w:rFonts w:ascii="Times New Roman" w:hAnsi="Times New Roman"/>
                <w:sz w:val="21"/>
                <w:szCs w:val="21"/>
              </w:rPr>
            </w:pPr>
            <w:r>
              <w:rPr>
                <w:rFonts w:ascii="Times New Roman" w:hAnsi="Times New Roman"/>
                <w:sz w:val="21"/>
                <w:szCs w:val="21"/>
              </w:rPr>
              <w:t>0.134</w:t>
            </w:r>
          </w:p>
        </w:tc>
        <w:tc>
          <w:tcPr>
            <w:tcW w:w="922" w:type="dxa"/>
            <w:vAlign w:val="center"/>
          </w:tcPr>
          <w:p>
            <w:pPr>
              <w:rPr>
                <w:rFonts w:ascii="Times New Roman" w:hAnsi="Times New Roman"/>
                <w:sz w:val="21"/>
                <w:szCs w:val="21"/>
              </w:rPr>
            </w:pPr>
            <w:r>
              <w:rPr>
                <w:rFonts w:ascii="Times New Roman" w:hAnsi="Times New Roman"/>
                <w:sz w:val="21"/>
                <w:szCs w:val="21"/>
              </w:rPr>
              <w:t>0.136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921" w:type="dxa"/>
            <w:vAlign w:val="center"/>
          </w:tcPr>
          <w:p>
            <w:pPr>
              <w:rPr>
                <w:rFonts w:ascii="Times New Roman" w:hAnsi="Times New Roman"/>
                <w:sz w:val="21"/>
                <w:szCs w:val="21"/>
              </w:rPr>
            </w:pPr>
            <w:r>
              <w:rPr>
                <w:rFonts w:ascii="Times New Roman" w:hAnsi="Times New Roman" w:eastAsiaTheme="minorEastAsia" w:cstheme="minorBidi"/>
                <w:kern w:val="2"/>
                <w:position w:val="-10"/>
                <w:sz w:val="21"/>
                <w:szCs w:val="21"/>
              </w:rPr>
              <w:object>
                <v:shape id="_x0000_i1096" o:spt="75" type="#_x0000_t75" style="height:16.8pt;width:11.4pt;" o:ole="t" filled="f" o:preferrelative="t" stroked="f" coordsize="21600,21600">
                  <v:path/>
                  <v:fill on="f" focussize="0,0"/>
                  <v:stroke on="f" joinstyle="miter"/>
                  <v:imagedata r:id="rId154" o:title=""/>
                  <o:lock v:ext="edit" aspectratio="t"/>
                  <w10:wrap type="none"/>
                  <w10:anchorlock/>
                </v:shape>
                <o:OLEObject Type="Embed" ProgID="Equation.DSMT4" ShapeID="_x0000_i1096" DrawAspect="Content" ObjectID="_1468075796" r:id="rId153">
                  <o:LockedField>false</o:LockedField>
                </o:OLEObject>
              </w:object>
            </w:r>
            <w:r>
              <w:rPr>
                <w:rFonts w:ascii="Times New Roman" w:hAnsi="Times New Roman"/>
                <w:sz w:val="21"/>
                <w:szCs w:val="21"/>
              </w:rPr>
              <w:t xml:space="preserve"> </w:t>
            </w:r>
          </w:p>
        </w:tc>
        <w:tc>
          <w:tcPr>
            <w:tcW w:w="921" w:type="dxa"/>
            <w:vAlign w:val="center"/>
          </w:tcPr>
          <w:p>
            <w:pPr>
              <w:rPr>
                <w:rFonts w:ascii="Times New Roman" w:hAnsi="Times New Roman"/>
                <w:sz w:val="21"/>
                <w:szCs w:val="21"/>
              </w:rPr>
            </w:pPr>
            <w:r>
              <w:rPr>
                <w:rFonts w:ascii="Times New Roman" w:hAnsi="Times New Roman"/>
                <w:sz w:val="21"/>
                <w:szCs w:val="21"/>
              </w:rPr>
              <w:t>0.70</w:t>
            </w:r>
          </w:p>
        </w:tc>
        <w:tc>
          <w:tcPr>
            <w:tcW w:w="922" w:type="dxa"/>
            <w:vAlign w:val="center"/>
          </w:tcPr>
          <w:p>
            <w:pPr>
              <w:rPr>
                <w:rFonts w:ascii="Times New Roman" w:hAnsi="Times New Roman"/>
                <w:sz w:val="21"/>
                <w:szCs w:val="21"/>
              </w:rPr>
            </w:pPr>
            <w:r>
              <w:rPr>
                <w:rFonts w:ascii="Times New Roman" w:hAnsi="Times New Roman"/>
                <w:sz w:val="21"/>
                <w:szCs w:val="21"/>
              </w:rPr>
              <w:t>0.75</w:t>
            </w:r>
          </w:p>
        </w:tc>
        <w:tc>
          <w:tcPr>
            <w:tcW w:w="922" w:type="dxa"/>
            <w:vAlign w:val="center"/>
          </w:tcPr>
          <w:p>
            <w:pPr>
              <w:rPr>
                <w:rFonts w:ascii="Times New Roman" w:hAnsi="Times New Roman"/>
                <w:sz w:val="21"/>
                <w:szCs w:val="21"/>
              </w:rPr>
            </w:pPr>
            <w:r>
              <w:rPr>
                <w:rFonts w:ascii="Times New Roman" w:hAnsi="Times New Roman"/>
                <w:sz w:val="21"/>
                <w:szCs w:val="21"/>
              </w:rPr>
              <w:t>0.80</w:t>
            </w:r>
          </w:p>
        </w:tc>
        <w:tc>
          <w:tcPr>
            <w:tcW w:w="922" w:type="dxa"/>
            <w:vAlign w:val="center"/>
          </w:tcPr>
          <w:p>
            <w:pPr>
              <w:rPr>
                <w:rFonts w:ascii="Times New Roman" w:hAnsi="Times New Roman"/>
                <w:sz w:val="21"/>
                <w:szCs w:val="21"/>
              </w:rPr>
            </w:pPr>
            <w:r>
              <w:rPr>
                <w:rFonts w:ascii="Times New Roman" w:hAnsi="Times New Roman"/>
                <w:sz w:val="21"/>
                <w:szCs w:val="21"/>
              </w:rPr>
              <w:t>0.85</w:t>
            </w:r>
          </w:p>
        </w:tc>
        <w:tc>
          <w:tcPr>
            <w:tcW w:w="922" w:type="dxa"/>
            <w:vAlign w:val="center"/>
          </w:tcPr>
          <w:p>
            <w:pPr>
              <w:rPr>
                <w:rFonts w:ascii="Times New Roman" w:hAnsi="Times New Roman"/>
                <w:sz w:val="21"/>
                <w:szCs w:val="21"/>
              </w:rPr>
            </w:pPr>
            <w:r>
              <w:rPr>
                <w:rFonts w:ascii="Times New Roman" w:hAnsi="Times New Roman"/>
                <w:sz w:val="21"/>
                <w:szCs w:val="21"/>
              </w:rPr>
              <w:t>0.90</w:t>
            </w:r>
          </w:p>
        </w:tc>
        <w:tc>
          <w:tcPr>
            <w:tcW w:w="922" w:type="dxa"/>
            <w:vAlign w:val="center"/>
          </w:tcPr>
          <w:p>
            <w:pPr>
              <w:rPr>
                <w:rFonts w:ascii="Times New Roman" w:hAnsi="Times New Roman"/>
                <w:sz w:val="21"/>
                <w:szCs w:val="21"/>
              </w:rPr>
            </w:pPr>
            <w:r>
              <w:rPr>
                <w:rFonts w:ascii="Times New Roman" w:hAnsi="Times New Roman"/>
                <w:sz w:val="21"/>
                <w:szCs w:val="21"/>
              </w:rPr>
              <w:t>0.95</w:t>
            </w:r>
          </w:p>
        </w:tc>
        <w:tc>
          <w:tcPr>
            <w:tcW w:w="922" w:type="dxa"/>
            <w:vAlign w:val="center"/>
          </w:tcPr>
          <w:p>
            <w:pPr>
              <w:rPr>
                <w:rFonts w:ascii="Times New Roman" w:hAnsi="Times New Roman"/>
                <w:sz w:val="21"/>
                <w:szCs w:val="21"/>
              </w:rPr>
            </w:pPr>
            <w:r>
              <w:rPr>
                <w:rFonts w:ascii="Times New Roman" w:hAnsi="Times New Roman"/>
                <w:sz w:val="21"/>
                <w:szCs w:val="21"/>
              </w:rPr>
              <w:t>1.00</w:t>
            </w:r>
          </w:p>
        </w:tc>
        <w:tc>
          <w:tcPr>
            <w:tcW w:w="922" w:type="dxa"/>
            <w:vAlign w:val="center"/>
          </w:tcPr>
          <w:p>
            <w:pPr>
              <w:rPr>
                <w:rFonts w:ascii="Times New Roman" w:hAnsi="Times New Roman"/>
                <w:sz w:val="21"/>
                <w:szCs w:val="21"/>
              </w:rPr>
            </w:pPr>
            <w:r>
              <w:rPr>
                <w:rFonts w:hint="eastAsia"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921" w:type="dxa"/>
            <w:vAlign w:val="center"/>
          </w:tcPr>
          <w:p>
            <w:pPr>
              <w:rPr>
                <w:rFonts w:ascii="Times New Roman" w:hAnsi="Times New Roman"/>
                <w:sz w:val="21"/>
                <w:szCs w:val="21"/>
              </w:rPr>
            </w:pPr>
            <w:r>
              <w:rPr>
                <w:rFonts w:ascii="Times New Roman" w:hAnsi="Times New Roman" w:eastAsiaTheme="minorEastAsia" w:cstheme="minorBidi"/>
                <w:kern w:val="2"/>
                <w:position w:val="-6"/>
                <w:sz w:val="21"/>
                <w:szCs w:val="21"/>
              </w:rPr>
              <w:object>
                <v:shape id="_x0000_i1097" o:spt="75" type="#_x0000_t75" style="height:12pt;width:13.8pt;" o:ole="t" filled="f" o:preferrelative="t" stroked="f" coordsize="21600,21600">
                  <v:path/>
                  <v:fill on="f" focussize="0,0"/>
                  <v:stroke on="f" joinstyle="miter"/>
                  <v:imagedata r:id="rId156" o:title=""/>
                  <o:lock v:ext="edit" aspectratio="t"/>
                  <w10:wrap type="none"/>
                  <w10:anchorlock/>
                </v:shape>
                <o:OLEObject Type="Embed" ProgID="Equation.DSMT4" ShapeID="_x0000_i1097" DrawAspect="Content" ObjectID="_1468075797" r:id="rId155">
                  <o:LockedField>false</o:LockedField>
                </o:OLEObject>
              </w:object>
            </w:r>
            <w:r>
              <w:rPr>
                <w:rFonts w:ascii="Times New Roman" w:hAnsi="Times New Roman"/>
                <w:sz w:val="21"/>
                <w:szCs w:val="21"/>
              </w:rPr>
              <w:t xml:space="preserve"> </w:t>
            </w:r>
          </w:p>
        </w:tc>
        <w:tc>
          <w:tcPr>
            <w:tcW w:w="921" w:type="dxa"/>
            <w:vAlign w:val="center"/>
          </w:tcPr>
          <w:p>
            <w:pPr>
              <w:rPr>
                <w:rFonts w:ascii="Times New Roman" w:hAnsi="Times New Roman"/>
                <w:sz w:val="21"/>
                <w:szCs w:val="21"/>
              </w:rPr>
            </w:pPr>
            <w:r>
              <w:rPr>
                <w:rFonts w:ascii="Times New Roman" w:hAnsi="Times New Roman"/>
                <w:sz w:val="21"/>
                <w:szCs w:val="21"/>
              </w:rPr>
              <w:t>0.138</w:t>
            </w:r>
          </w:p>
        </w:tc>
        <w:tc>
          <w:tcPr>
            <w:tcW w:w="922" w:type="dxa"/>
            <w:vAlign w:val="center"/>
          </w:tcPr>
          <w:p>
            <w:pPr>
              <w:rPr>
                <w:rFonts w:ascii="Times New Roman" w:hAnsi="Times New Roman"/>
                <w:sz w:val="21"/>
                <w:szCs w:val="21"/>
              </w:rPr>
            </w:pPr>
            <w:r>
              <w:rPr>
                <w:rFonts w:ascii="Times New Roman" w:hAnsi="Times New Roman"/>
                <w:sz w:val="21"/>
                <w:szCs w:val="21"/>
              </w:rPr>
              <w:t>0.140</w:t>
            </w:r>
          </w:p>
        </w:tc>
        <w:tc>
          <w:tcPr>
            <w:tcW w:w="922" w:type="dxa"/>
            <w:vAlign w:val="center"/>
          </w:tcPr>
          <w:p>
            <w:pPr>
              <w:rPr>
                <w:rFonts w:ascii="Times New Roman" w:hAnsi="Times New Roman"/>
                <w:sz w:val="21"/>
                <w:szCs w:val="21"/>
              </w:rPr>
            </w:pPr>
            <w:r>
              <w:rPr>
                <w:rFonts w:ascii="Times New Roman" w:hAnsi="Times New Roman"/>
                <w:sz w:val="21"/>
                <w:szCs w:val="21"/>
              </w:rPr>
              <w:t>0.142</w:t>
            </w:r>
          </w:p>
        </w:tc>
        <w:tc>
          <w:tcPr>
            <w:tcW w:w="922" w:type="dxa"/>
            <w:vAlign w:val="center"/>
          </w:tcPr>
          <w:p>
            <w:pPr>
              <w:rPr>
                <w:rFonts w:ascii="Times New Roman" w:hAnsi="Times New Roman"/>
                <w:sz w:val="21"/>
                <w:szCs w:val="21"/>
              </w:rPr>
            </w:pPr>
            <w:r>
              <w:rPr>
                <w:rFonts w:ascii="Times New Roman" w:hAnsi="Times New Roman"/>
                <w:sz w:val="21"/>
                <w:szCs w:val="21"/>
              </w:rPr>
              <w:t>0.145</w:t>
            </w:r>
          </w:p>
        </w:tc>
        <w:tc>
          <w:tcPr>
            <w:tcW w:w="922" w:type="dxa"/>
            <w:vAlign w:val="center"/>
          </w:tcPr>
          <w:p>
            <w:pPr>
              <w:rPr>
                <w:rFonts w:ascii="Times New Roman" w:hAnsi="Times New Roman"/>
                <w:sz w:val="21"/>
                <w:szCs w:val="21"/>
              </w:rPr>
            </w:pPr>
            <w:r>
              <w:rPr>
                <w:rFonts w:ascii="Times New Roman" w:hAnsi="Times New Roman"/>
                <w:sz w:val="21"/>
                <w:szCs w:val="21"/>
              </w:rPr>
              <w:t>0.148</w:t>
            </w:r>
          </w:p>
        </w:tc>
        <w:tc>
          <w:tcPr>
            <w:tcW w:w="922" w:type="dxa"/>
            <w:vAlign w:val="center"/>
          </w:tcPr>
          <w:p>
            <w:pPr>
              <w:rPr>
                <w:rFonts w:ascii="Times New Roman" w:hAnsi="Times New Roman"/>
                <w:sz w:val="21"/>
                <w:szCs w:val="21"/>
              </w:rPr>
            </w:pPr>
            <w:r>
              <w:rPr>
                <w:rFonts w:ascii="Times New Roman" w:hAnsi="Times New Roman"/>
                <w:sz w:val="21"/>
                <w:szCs w:val="21"/>
              </w:rPr>
              <w:t>0.151</w:t>
            </w:r>
          </w:p>
        </w:tc>
        <w:tc>
          <w:tcPr>
            <w:tcW w:w="922" w:type="dxa"/>
            <w:vAlign w:val="center"/>
          </w:tcPr>
          <w:p>
            <w:pPr>
              <w:rPr>
                <w:rFonts w:ascii="Times New Roman" w:hAnsi="Times New Roman"/>
                <w:sz w:val="21"/>
                <w:szCs w:val="21"/>
              </w:rPr>
            </w:pPr>
            <w:r>
              <w:rPr>
                <w:rFonts w:ascii="Times New Roman" w:hAnsi="Times New Roman"/>
                <w:sz w:val="21"/>
                <w:szCs w:val="21"/>
              </w:rPr>
              <w:t>0.154</w:t>
            </w:r>
          </w:p>
        </w:tc>
        <w:tc>
          <w:tcPr>
            <w:tcW w:w="922" w:type="dxa"/>
            <w:vAlign w:val="center"/>
          </w:tcPr>
          <w:p>
            <w:pPr>
              <w:rPr>
                <w:rFonts w:ascii="Times New Roman" w:hAnsi="Times New Roman"/>
                <w:sz w:val="21"/>
                <w:szCs w:val="21"/>
              </w:rPr>
            </w:pPr>
            <w:r>
              <w:rPr>
                <w:rFonts w:hint="eastAsia" w:ascii="Times New Roman" w:hAnsi="Times New Roman"/>
                <w:sz w:val="21"/>
                <w:szCs w:val="21"/>
              </w:rPr>
              <w:t>—</w:t>
            </w:r>
          </w:p>
        </w:tc>
      </w:tr>
    </w:tbl>
    <w:p>
      <w:pPr>
        <w:jc w:val="center"/>
        <w:rPr>
          <w:rFonts w:ascii="Times New Roman" w:hAnsi="Times New Roman"/>
          <w:b/>
          <w:bCs/>
        </w:rPr>
      </w:pPr>
      <w:r>
        <w:rPr>
          <w:rFonts w:hint="eastAsia" w:ascii="Times New Roman" w:hAnsi="Times New Roman"/>
          <w:b/>
          <w:bCs/>
        </w:rPr>
        <w:t>表</w:t>
      </w:r>
      <w:r>
        <w:rPr>
          <w:rFonts w:ascii="Times New Roman" w:hAnsi="Times New Roman"/>
          <w:b/>
          <w:bCs/>
        </w:rPr>
        <w:t>5.3.1</w:t>
      </w:r>
      <w:r>
        <w:rPr>
          <w:rFonts w:hint="eastAsia" w:ascii="Times New Roman" w:hAnsi="Times New Roman"/>
          <w:b/>
          <w:bCs/>
        </w:rPr>
        <w:t>—</w:t>
      </w:r>
      <w:r>
        <w:rPr>
          <w:rFonts w:ascii="Times New Roman" w:hAnsi="Times New Roman"/>
          <w:b/>
          <w:bCs/>
        </w:rPr>
        <w:t xml:space="preserve">2 </w:t>
      </w:r>
      <w:r>
        <w:rPr>
          <w:rFonts w:hint="eastAsia" w:ascii="Times New Roman" w:hAnsi="Times New Roman"/>
          <w:b/>
          <w:bCs/>
        </w:rPr>
        <w:t>四点支撑玻璃板的挠度系数</w:t>
      </w:r>
      <w:r>
        <w:rPr>
          <w:rFonts w:ascii="Times New Roman" w:hAnsi="Times New Roman"/>
          <w:b/>
          <w:bCs/>
          <w:position w:val="-10"/>
        </w:rPr>
        <w:object>
          <v:shape id="_x0000_i1098" o:spt="75" type="#_x0000_t75" style="height:13.8pt;width:13.2pt;" o:ole="t" filled="f" o:preferrelative="t" stroked="f" coordsize="21600,21600">
            <v:path/>
            <v:fill on="f" focussize="0,0"/>
            <v:stroke on="f" joinstyle="miter"/>
            <v:imagedata r:id="rId158" o:title=""/>
            <o:lock v:ext="edit" aspectratio="t"/>
            <w10:wrap type="none"/>
            <w10:anchorlock/>
          </v:shape>
          <o:OLEObject Type="Embed" ProgID="Equation.DSMT4" ShapeID="_x0000_i1098" DrawAspect="Content" ObjectID="_1468075798" r:id="rId157">
            <o:LockedField>false</o:LockedField>
          </o:OLEObject>
        </w:objec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0"/>
        <w:gridCol w:w="899"/>
        <w:gridCol w:w="899"/>
        <w:gridCol w:w="899"/>
        <w:gridCol w:w="899"/>
        <w:gridCol w:w="899"/>
        <w:gridCol w:w="899"/>
        <w:gridCol w:w="1004"/>
        <w:gridCol w:w="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0" w:type="auto"/>
            <w:vAlign w:val="center"/>
          </w:tcPr>
          <w:p>
            <w:pPr>
              <w:rPr>
                <w:rFonts w:ascii="Times New Roman" w:hAnsi="Times New Roman"/>
                <w:sz w:val="21"/>
                <w:szCs w:val="21"/>
              </w:rPr>
            </w:pPr>
            <w:r>
              <w:rPr>
                <w:rFonts w:ascii="Times New Roman" w:hAnsi="Times New Roman" w:eastAsiaTheme="minorEastAsia" w:cstheme="minorBidi"/>
                <w:kern w:val="2"/>
                <w:position w:val="-10"/>
                <w:sz w:val="21"/>
                <w:szCs w:val="21"/>
              </w:rPr>
              <w:object>
                <v:shape id="_x0000_i1099" o:spt="75" type="#_x0000_t75" style="height:16.8pt;width:11.4pt;" o:ole="t" filled="f" o:preferrelative="t" stroked="f" coordsize="21600,21600">
                  <v:path/>
                  <v:fill on="f" focussize="0,0"/>
                  <v:stroke on="f" joinstyle="miter"/>
                  <v:imagedata r:id="rId150" o:title=""/>
                  <o:lock v:ext="edit" aspectratio="t"/>
                  <w10:wrap type="none"/>
                  <w10:anchorlock/>
                </v:shape>
                <o:OLEObject Type="Embed" ProgID="Equation.DSMT4" ShapeID="_x0000_i1099" DrawAspect="Content" ObjectID="_1468075799" r:id="rId159">
                  <o:LockedField>false</o:LockedField>
                </o:OLEObject>
              </w:object>
            </w:r>
            <w:r>
              <w:rPr>
                <w:rFonts w:ascii="Times New Roman" w:hAnsi="Times New Roman"/>
                <w:sz w:val="21"/>
                <w:szCs w:val="21"/>
              </w:rPr>
              <w:t xml:space="preserve"> </w:t>
            </w:r>
          </w:p>
        </w:tc>
        <w:tc>
          <w:tcPr>
            <w:tcW w:w="0" w:type="auto"/>
            <w:vAlign w:val="center"/>
          </w:tcPr>
          <w:p>
            <w:pPr>
              <w:rPr>
                <w:rFonts w:ascii="Times New Roman" w:hAnsi="Times New Roman"/>
                <w:sz w:val="21"/>
                <w:szCs w:val="21"/>
              </w:rPr>
            </w:pPr>
            <w:r>
              <w:rPr>
                <w:rFonts w:ascii="Times New Roman" w:hAnsi="Times New Roman"/>
                <w:sz w:val="21"/>
                <w:szCs w:val="21"/>
              </w:rPr>
              <w:t>0.01</w:t>
            </w:r>
          </w:p>
        </w:tc>
        <w:tc>
          <w:tcPr>
            <w:tcW w:w="0" w:type="auto"/>
            <w:vAlign w:val="center"/>
          </w:tcPr>
          <w:p>
            <w:pPr>
              <w:rPr>
                <w:rFonts w:ascii="Times New Roman" w:hAnsi="Times New Roman"/>
                <w:sz w:val="21"/>
                <w:szCs w:val="21"/>
              </w:rPr>
            </w:pPr>
            <w:r>
              <w:rPr>
                <w:rFonts w:ascii="Times New Roman" w:hAnsi="Times New Roman"/>
                <w:sz w:val="21"/>
                <w:szCs w:val="21"/>
              </w:rPr>
              <w:t>0.20</w:t>
            </w:r>
          </w:p>
        </w:tc>
        <w:tc>
          <w:tcPr>
            <w:tcW w:w="0" w:type="auto"/>
            <w:vAlign w:val="center"/>
          </w:tcPr>
          <w:p>
            <w:pPr>
              <w:rPr>
                <w:rFonts w:ascii="Times New Roman" w:hAnsi="Times New Roman"/>
                <w:sz w:val="21"/>
                <w:szCs w:val="21"/>
              </w:rPr>
            </w:pPr>
            <w:r>
              <w:rPr>
                <w:rFonts w:ascii="Times New Roman" w:hAnsi="Times New Roman"/>
                <w:sz w:val="21"/>
                <w:szCs w:val="21"/>
              </w:rPr>
              <w:t>0.30</w:t>
            </w:r>
          </w:p>
        </w:tc>
        <w:tc>
          <w:tcPr>
            <w:tcW w:w="0" w:type="auto"/>
            <w:vAlign w:val="center"/>
          </w:tcPr>
          <w:p>
            <w:pPr>
              <w:rPr>
                <w:rFonts w:ascii="Times New Roman" w:hAnsi="Times New Roman"/>
                <w:sz w:val="21"/>
                <w:szCs w:val="21"/>
              </w:rPr>
            </w:pPr>
            <w:r>
              <w:rPr>
                <w:rFonts w:ascii="Times New Roman" w:hAnsi="Times New Roman"/>
                <w:sz w:val="21"/>
                <w:szCs w:val="21"/>
              </w:rPr>
              <w:t>0.40</w:t>
            </w:r>
          </w:p>
        </w:tc>
        <w:tc>
          <w:tcPr>
            <w:tcW w:w="0" w:type="auto"/>
            <w:vAlign w:val="center"/>
          </w:tcPr>
          <w:p>
            <w:pPr>
              <w:rPr>
                <w:rFonts w:ascii="Times New Roman" w:hAnsi="Times New Roman"/>
                <w:sz w:val="21"/>
                <w:szCs w:val="21"/>
              </w:rPr>
            </w:pPr>
            <w:r>
              <w:rPr>
                <w:rFonts w:ascii="Times New Roman" w:hAnsi="Times New Roman"/>
                <w:sz w:val="21"/>
                <w:szCs w:val="21"/>
              </w:rPr>
              <w:t>0.50</w:t>
            </w:r>
          </w:p>
        </w:tc>
        <w:tc>
          <w:tcPr>
            <w:tcW w:w="0" w:type="auto"/>
            <w:vAlign w:val="center"/>
          </w:tcPr>
          <w:p>
            <w:pPr>
              <w:rPr>
                <w:rFonts w:ascii="Times New Roman" w:hAnsi="Times New Roman"/>
                <w:sz w:val="21"/>
                <w:szCs w:val="21"/>
              </w:rPr>
            </w:pPr>
            <w:r>
              <w:rPr>
                <w:rFonts w:ascii="Times New Roman" w:hAnsi="Times New Roman"/>
                <w:sz w:val="21"/>
                <w:szCs w:val="21"/>
              </w:rPr>
              <w:t>0.55</w:t>
            </w:r>
          </w:p>
        </w:tc>
        <w:tc>
          <w:tcPr>
            <w:tcW w:w="0" w:type="auto"/>
            <w:vAlign w:val="center"/>
          </w:tcPr>
          <w:p>
            <w:pPr>
              <w:rPr>
                <w:rFonts w:ascii="Times New Roman" w:hAnsi="Times New Roman"/>
                <w:sz w:val="21"/>
                <w:szCs w:val="21"/>
              </w:rPr>
            </w:pPr>
            <w:r>
              <w:rPr>
                <w:rFonts w:ascii="Times New Roman" w:hAnsi="Times New Roman"/>
                <w:sz w:val="21"/>
                <w:szCs w:val="21"/>
              </w:rPr>
              <w:t>0.60</w:t>
            </w:r>
          </w:p>
        </w:tc>
        <w:tc>
          <w:tcPr>
            <w:tcW w:w="0" w:type="auto"/>
            <w:vAlign w:val="center"/>
          </w:tcPr>
          <w:p>
            <w:pPr>
              <w:rPr>
                <w:rFonts w:ascii="Times New Roman" w:hAnsi="Times New Roman"/>
                <w:sz w:val="21"/>
                <w:szCs w:val="21"/>
              </w:rPr>
            </w:pPr>
            <w:r>
              <w:rPr>
                <w:rFonts w:ascii="Times New Roman" w:hAnsi="Times New Roman"/>
                <w:sz w:val="21"/>
                <w:szCs w:val="21"/>
              </w:rPr>
              <w:t>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0" w:type="auto"/>
            <w:vAlign w:val="center"/>
          </w:tcPr>
          <w:p>
            <w:pPr>
              <w:rPr>
                <w:rFonts w:ascii="Times New Roman" w:hAnsi="Times New Roman"/>
                <w:sz w:val="21"/>
                <w:szCs w:val="21"/>
              </w:rPr>
            </w:pPr>
            <w:r>
              <w:rPr>
                <w:rFonts w:ascii="Times New Roman" w:hAnsi="Times New Roman" w:eastAsiaTheme="minorEastAsia" w:cstheme="minorBidi"/>
                <w:kern w:val="2"/>
                <w:position w:val="-10"/>
                <w:sz w:val="21"/>
                <w:szCs w:val="21"/>
              </w:rPr>
              <w:object>
                <v:shape id="_x0000_i1100" o:spt="75" type="#_x0000_t75" style="height:13.8pt;width:13.2pt;" o:ole="t" filled="f" o:preferrelative="t" stroked="f" coordsize="21600,21600">
                  <v:path/>
                  <v:fill on="f" focussize="0,0"/>
                  <v:stroke on="f" joinstyle="miter"/>
                  <v:imagedata r:id="rId161" o:title=""/>
                  <o:lock v:ext="edit" aspectratio="t"/>
                  <w10:wrap type="none"/>
                  <w10:anchorlock/>
                </v:shape>
                <o:OLEObject Type="Embed" ProgID="Equation.DSMT4" ShapeID="_x0000_i1100" DrawAspect="Content" ObjectID="_1468075800" r:id="rId160">
                  <o:LockedField>false</o:LockedField>
                </o:OLEObject>
              </w:object>
            </w:r>
            <w:r>
              <w:rPr>
                <w:rFonts w:ascii="Times New Roman" w:hAnsi="Times New Roman"/>
                <w:sz w:val="21"/>
                <w:szCs w:val="21"/>
              </w:rPr>
              <w:t xml:space="preserve"> </w:t>
            </w:r>
          </w:p>
        </w:tc>
        <w:tc>
          <w:tcPr>
            <w:tcW w:w="0" w:type="auto"/>
            <w:vAlign w:val="center"/>
          </w:tcPr>
          <w:p>
            <w:pPr>
              <w:rPr>
                <w:rFonts w:ascii="Times New Roman" w:hAnsi="Times New Roman"/>
                <w:sz w:val="21"/>
                <w:szCs w:val="21"/>
              </w:rPr>
            </w:pPr>
            <w:r>
              <w:rPr>
                <w:rFonts w:ascii="Times New Roman" w:hAnsi="Times New Roman"/>
                <w:sz w:val="21"/>
                <w:szCs w:val="21"/>
              </w:rPr>
              <w:t>0.01303</w:t>
            </w:r>
          </w:p>
        </w:tc>
        <w:tc>
          <w:tcPr>
            <w:tcW w:w="0" w:type="auto"/>
            <w:vAlign w:val="center"/>
          </w:tcPr>
          <w:p>
            <w:pPr>
              <w:rPr>
                <w:rFonts w:ascii="Times New Roman" w:hAnsi="Times New Roman"/>
                <w:sz w:val="21"/>
                <w:szCs w:val="21"/>
              </w:rPr>
            </w:pPr>
            <w:r>
              <w:rPr>
                <w:rFonts w:ascii="Times New Roman" w:hAnsi="Times New Roman"/>
                <w:sz w:val="21"/>
                <w:szCs w:val="21"/>
              </w:rPr>
              <w:t>0.01317</w:t>
            </w:r>
          </w:p>
        </w:tc>
        <w:tc>
          <w:tcPr>
            <w:tcW w:w="0" w:type="auto"/>
            <w:vAlign w:val="center"/>
          </w:tcPr>
          <w:p>
            <w:pPr>
              <w:rPr>
                <w:rFonts w:ascii="Times New Roman" w:hAnsi="Times New Roman"/>
                <w:sz w:val="21"/>
                <w:szCs w:val="21"/>
              </w:rPr>
            </w:pPr>
            <w:r>
              <w:rPr>
                <w:rFonts w:ascii="Times New Roman" w:hAnsi="Times New Roman"/>
                <w:sz w:val="21"/>
                <w:szCs w:val="21"/>
              </w:rPr>
              <w:t>0.01335</w:t>
            </w:r>
          </w:p>
        </w:tc>
        <w:tc>
          <w:tcPr>
            <w:tcW w:w="0" w:type="auto"/>
            <w:vAlign w:val="center"/>
          </w:tcPr>
          <w:p>
            <w:pPr>
              <w:rPr>
                <w:rFonts w:ascii="Times New Roman" w:hAnsi="Times New Roman"/>
                <w:sz w:val="21"/>
                <w:szCs w:val="21"/>
              </w:rPr>
            </w:pPr>
            <w:r>
              <w:rPr>
                <w:rFonts w:ascii="Times New Roman" w:hAnsi="Times New Roman"/>
                <w:sz w:val="21"/>
                <w:szCs w:val="21"/>
              </w:rPr>
              <w:t>0.01367</w:t>
            </w:r>
          </w:p>
        </w:tc>
        <w:tc>
          <w:tcPr>
            <w:tcW w:w="0" w:type="auto"/>
            <w:vAlign w:val="center"/>
          </w:tcPr>
          <w:p>
            <w:pPr>
              <w:rPr>
                <w:rFonts w:ascii="Times New Roman" w:hAnsi="Times New Roman"/>
                <w:sz w:val="21"/>
                <w:szCs w:val="21"/>
              </w:rPr>
            </w:pPr>
            <w:r>
              <w:rPr>
                <w:rFonts w:ascii="Times New Roman" w:hAnsi="Times New Roman"/>
                <w:sz w:val="21"/>
                <w:szCs w:val="21"/>
              </w:rPr>
              <w:t>0.01417</w:t>
            </w:r>
          </w:p>
        </w:tc>
        <w:tc>
          <w:tcPr>
            <w:tcW w:w="0" w:type="auto"/>
            <w:vAlign w:val="center"/>
          </w:tcPr>
          <w:p>
            <w:pPr>
              <w:rPr>
                <w:rFonts w:ascii="Times New Roman" w:hAnsi="Times New Roman"/>
                <w:sz w:val="21"/>
                <w:szCs w:val="21"/>
              </w:rPr>
            </w:pPr>
            <w:r>
              <w:rPr>
                <w:rFonts w:ascii="Times New Roman" w:hAnsi="Times New Roman"/>
                <w:sz w:val="21"/>
                <w:szCs w:val="21"/>
              </w:rPr>
              <w:t>0.01451</w:t>
            </w:r>
          </w:p>
        </w:tc>
        <w:tc>
          <w:tcPr>
            <w:tcW w:w="0" w:type="auto"/>
            <w:vAlign w:val="center"/>
          </w:tcPr>
          <w:p>
            <w:pPr>
              <w:rPr>
                <w:rFonts w:ascii="Times New Roman" w:hAnsi="Times New Roman"/>
                <w:sz w:val="21"/>
                <w:szCs w:val="21"/>
              </w:rPr>
            </w:pPr>
            <w:r>
              <w:rPr>
                <w:rFonts w:ascii="Times New Roman" w:hAnsi="Times New Roman"/>
                <w:sz w:val="21"/>
                <w:szCs w:val="21"/>
              </w:rPr>
              <w:t>0.01496</w:t>
            </w:r>
          </w:p>
        </w:tc>
        <w:tc>
          <w:tcPr>
            <w:tcW w:w="0" w:type="auto"/>
            <w:vAlign w:val="center"/>
          </w:tcPr>
          <w:p>
            <w:pPr>
              <w:rPr>
                <w:rFonts w:ascii="Times New Roman" w:hAnsi="Times New Roman"/>
                <w:sz w:val="21"/>
                <w:szCs w:val="21"/>
              </w:rPr>
            </w:pPr>
            <w:r>
              <w:rPr>
                <w:rFonts w:ascii="Times New Roman" w:hAnsi="Times New Roman"/>
                <w:sz w:val="21"/>
                <w:szCs w:val="21"/>
              </w:rPr>
              <w:t>0.01555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0" w:type="auto"/>
            <w:vAlign w:val="center"/>
          </w:tcPr>
          <w:p>
            <w:pPr>
              <w:rPr>
                <w:rFonts w:ascii="Times New Roman" w:hAnsi="Times New Roman"/>
                <w:sz w:val="21"/>
                <w:szCs w:val="21"/>
              </w:rPr>
            </w:pPr>
            <w:r>
              <w:rPr>
                <w:rFonts w:ascii="Times New Roman" w:hAnsi="Times New Roman" w:eastAsiaTheme="minorEastAsia" w:cstheme="minorBidi"/>
                <w:kern w:val="2"/>
                <w:position w:val="-10"/>
                <w:sz w:val="21"/>
                <w:szCs w:val="21"/>
              </w:rPr>
              <w:object>
                <v:shape id="_x0000_i1101" o:spt="75" type="#_x0000_t75" style="height:16.8pt;width:11.4pt;" o:ole="t" filled="f" o:preferrelative="t" stroked="f" coordsize="21600,21600">
                  <v:path/>
                  <v:fill on="f" focussize="0,0"/>
                  <v:stroke on="f" joinstyle="miter"/>
                  <v:imagedata r:id="rId154" o:title=""/>
                  <o:lock v:ext="edit" aspectratio="t"/>
                  <w10:wrap type="none"/>
                  <w10:anchorlock/>
                </v:shape>
                <o:OLEObject Type="Embed" ProgID="Equation.DSMT4" ShapeID="_x0000_i1101" DrawAspect="Content" ObjectID="_1468075801" r:id="rId162">
                  <o:LockedField>false</o:LockedField>
                </o:OLEObject>
              </w:object>
            </w:r>
            <w:r>
              <w:rPr>
                <w:rFonts w:ascii="Times New Roman" w:hAnsi="Times New Roman"/>
                <w:sz w:val="21"/>
                <w:szCs w:val="21"/>
              </w:rPr>
              <w:t xml:space="preserve"> </w:t>
            </w:r>
          </w:p>
        </w:tc>
        <w:tc>
          <w:tcPr>
            <w:tcW w:w="0" w:type="auto"/>
            <w:vAlign w:val="center"/>
          </w:tcPr>
          <w:p>
            <w:pPr>
              <w:rPr>
                <w:rFonts w:ascii="Times New Roman" w:hAnsi="Times New Roman"/>
                <w:sz w:val="21"/>
                <w:szCs w:val="21"/>
              </w:rPr>
            </w:pPr>
            <w:r>
              <w:rPr>
                <w:rFonts w:ascii="Times New Roman" w:hAnsi="Times New Roman"/>
                <w:sz w:val="21"/>
                <w:szCs w:val="21"/>
              </w:rPr>
              <w:t>0.70</w:t>
            </w:r>
          </w:p>
        </w:tc>
        <w:tc>
          <w:tcPr>
            <w:tcW w:w="0" w:type="auto"/>
            <w:vAlign w:val="center"/>
          </w:tcPr>
          <w:p>
            <w:pPr>
              <w:rPr>
                <w:rFonts w:ascii="Times New Roman" w:hAnsi="Times New Roman"/>
                <w:sz w:val="21"/>
                <w:szCs w:val="21"/>
              </w:rPr>
            </w:pPr>
            <w:r>
              <w:rPr>
                <w:rFonts w:ascii="Times New Roman" w:hAnsi="Times New Roman"/>
                <w:sz w:val="21"/>
                <w:szCs w:val="21"/>
              </w:rPr>
              <w:t>0.75</w:t>
            </w:r>
          </w:p>
        </w:tc>
        <w:tc>
          <w:tcPr>
            <w:tcW w:w="0" w:type="auto"/>
            <w:vAlign w:val="center"/>
          </w:tcPr>
          <w:p>
            <w:pPr>
              <w:rPr>
                <w:rFonts w:ascii="Times New Roman" w:hAnsi="Times New Roman"/>
                <w:sz w:val="21"/>
                <w:szCs w:val="21"/>
              </w:rPr>
            </w:pPr>
            <w:r>
              <w:rPr>
                <w:rFonts w:ascii="Times New Roman" w:hAnsi="Times New Roman"/>
                <w:sz w:val="21"/>
                <w:szCs w:val="21"/>
              </w:rPr>
              <w:t>0.80</w:t>
            </w:r>
          </w:p>
        </w:tc>
        <w:tc>
          <w:tcPr>
            <w:tcW w:w="0" w:type="auto"/>
            <w:vAlign w:val="center"/>
          </w:tcPr>
          <w:p>
            <w:pPr>
              <w:rPr>
                <w:rFonts w:ascii="Times New Roman" w:hAnsi="Times New Roman"/>
                <w:sz w:val="21"/>
                <w:szCs w:val="21"/>
              </w:rPr>
            </w:pPr>
            <w:r>
              <w:rPr>
                <w:rFonts w:ascii="Times New Roman" w:hAnsi="Times New Roman"/>
                <w:sz w:val="21"/>
                <w:szCs w:val="21"/>
              </w:rPr>
              <w:t>0.85</w:t>
            </w:r>
          </w:p>
        </w:tc>
        <w:tc>
          <w:tcPr>
            <w:tcW w:w="0" w:type="auto"/>
            <w:vAlign w:val="center"/>
          </w:tcPr>
          <w:p>
            <w:pPr>
              <w:rPr>
                <w:rFonts w:ascii="Times New Roman" w:hAnsi="Times New Roman"/>
                <w:sz w:val="21"/>
                <w:szCs w:val="21"/>
              </w:rPr>
            </w:pPr>
            <w:r>
              <w:rPr>
                <w:rFonts w:ascii="Times New Roman" w:hAnsi="Times New Roman"/>
                <w:sz w:val="21"/>
                <w:szCs w:val="21"/>
              </w:rPr>
              <w:t>0.90</w:t>
            </w:r>
          </w:p>
        </w:tc>
        <w:tc>
          <w:tcPr>
            <w:tcW w:w="0" w:type="auto"/>
            <w:vAlign w:val="center"/>
          </w:tcPr>
          <w:p>
            <w:pPr>
              <w:rPr>
                <w:rFonts w:ascii="Times New Roman" w:hAnsi="Times New Roman"/>
                <w:sz w:val="21"/>
                <w:szCs w:val="21"/>
              </w:rPr>
            </w:pPr>
            <w:r>
              <w:rPr>
                <w:rFonts w:ascii="Times New Roman" w:hAnsi="Times New Roman"/>
                <w:sz w:val="21"/>
                <w:szCs w:val="21"/>
              </w:rPr>
              <w:t>0.95</w:t>
            </w:r>
          </w:p>
        </w:tc>
        <w:tc>
          <w:tcPr>
            <w:tcW w:w="0" w:type="auto"/>
            <w:vAlign w:val="center"/>
          </w:tcPr>
          <w:p>
            <w:pPr>
              <w:rPr>
                <w:rFonts w:ascii="Times New Roman" w:hAnsi="Times New Roman"/>
                <w:sz w:val="21"/>
                <w:szCs w:val="21"/>
              </w:rPr>
            </w:pPr>
            <w:r>
              <w:rPr>
                <w:rFonts w:ascii="Times New Roman" w:hAnsi="Times New Roman"/>
                <w:sz w:val="21"/>
                <w:szCs w:val="21"/>
              </w:rPr>
              <w:t>1.00</w:t>
            </w:r>
          </w:p>
        </w:tc>
        <w:tc>
          <w:tcPr>
            <w:tcW w:w="0" w:type="auto"/>
            <w:vAlign w:val="center"/>
          </w:tcPr>
          <w:p>
            <w:pP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0" w:type="auto"/>
            <w:vAlign w:val="center"/>
          </w:tcPr>
          <w:p>
            <w:pPr>
              <w:rPr>
                <w:rFonts w:ascii="Times New Roman" w:hAnsi="Times New Roman"/>
                <w:sz w:val="21"/>
                <w:szCs w:val="21"/>
              </w:rPr>
            </w:pPr>
            <w:r>
              <w:rPr>
                <w:rFonts w:ascii="Times New Roman" w:hAnsi="Times New Roman" w:eastAsiaTheme="minorEastAsia" w:cstheme="minorBidi"/>
                <w:kern w:val="2"/>
                <w:position w:val="-10"/>
                <w:sz w:val="21"/>
                <w:szCs w:val="21"/>
              </w:rPr>
              <w:object>
                <v:shape id="_x0000_i1102" o:spt="75" type="#_x0000_t75" style="height:13.8pt;width:13.2pt;" o:ole="t" filled="f" o:preferrelative="t" stroked="f" coordsize="21600,21600">
                  <v:path/>
                  <v:fill on="f" focussize="0,0"/>
                  <v:stroke on="f" joinstyle="miter"/>
                  <v:imagedata r:id="rId164" o:title=""/>
                  <o:lock v:ext="edit" aspectratio="t"/>
                  <w10:wrap type="none"/>
                  <w10:anchorlock/>
                </v:shape>
                <o:OLEObject Type="Embed" ProgID="Equation.DSMT4" ShapeID="_x0000_i1102" DrawAspect="Content" ObjectID="_1468075802" r:id="rId163">
                  <o:LockedField>false</o:LockedField>
                </o:OLEObject>
              </w:object>
            </w:r>
            <w:r>
              <w:rPr>
                <w:rFonts w:ascii="Times New Roman" w:hAnsi="Times New Roman"/>
                <w:sz w:val="21"/>
                <w:szCs w:val="21"/>
              </w:rPr>
              <w:t xml:space="preserve"> </w:t>
            </w:r>
          </w:p>
        </w:tc>
        <w:tc>
          <w:tcPr>
            <w:tcW w:w="0" w:type="auto"/>
            <w:vAlign w:val="center"/>
          </w:tcPr>
          <w:p>
            <w:pPr>
              <w:rPr>
                <w:rFonts w:ascii="Times New Roman" w:hAnsi="Times New Roman"/>
                <w:sz w:val="21"/>
                <w:szCs w:val="21"/>
              </w:rPr>
            </w:pPr>
            <w:r>
              <w:rPr>
                <w:rFonts w:ascii="Times New Roman" w:hAnsi="Times New Roman"/>
                <w:sz w:val="21"/>
                <w:szCs w:val="21"/>
              </w:rPr>
              <w:t>0.01630</w:t>
            </w:r>
          </w:p>
        </w:tc>
        <w:tc>
          <w:tcPr>
            <w:tcW w:w="0" w:type="auto"/>
            <w:vAlign w:val="center"/>
          </w:tcPr>
          <w:p>
            <w:pPr>
              <w:rPr>
                <w:rFonts w:ascii="Times New Roman" w:hAnsi="Times New Roman"/>
                <w:sz w:val="21"/>
                <w:szCs w:val="21"/>
              </w:rPr>
            </w:pPr>
            <w:r>
              <w:rPr>
                <w:rFonts w:ascii="Times New Roman" w:hAnsi="Times New Roman"/>
                <w:sz w:val="21"/>
                <w:szCs w:val="21"/>
              </w:rPr>
              <w:t>0.01725</w:t>
            </w:r>
          </w:p>
        </w:tc>
        <w:tc>
          <w:tcPr>
            <w:tcW w:w="0" w:type="auto"/>
            <w:vAlign w:val="center"/>
          </w:tcPr>
          <w:p>
            <w:pPr>
              <w:rPr>
                <w:rFonts w:ascii="Times New Roman" w:hAnsi="Times New Roman"/>
                <w:sz w:val="21"/>
                <w:szCs w:val="21"/>
              </w:rPr>
            </w:pPr>
            <w:r>
              <w:rPr>
                <w:rFonts w:ascii="Times New Roman" w:hAnsi="Times New Roman"/>
                <w:sz w:val="21"/>
                <w:szCs w:val="21"/>
              </w:rPr>
              <w:t>0.01842</w:t>
            </w:r>
          </w:p>
        </w:tc>
        <w:tc>
          <w:tcPr>
            <w:tcW w:w="0" w:type="auto"/>
            <w:vAlign w:val="center"/>
          </w:tcPr>
          <w:p>
            <w:pPr>
              <w:rPr>
                <w:rFonts w:ascii="Times New Roman" w:hAnsi="Times New Roman"/>
                <w:sz w:val="21"/>
                <w:szCs w:val="21"/>
              </w:rPr>
            </w:pPr>
            <w:r>
              <w:rPr>
                <w:rFonts w:ascii="Times New Roman" w:hAnsi="Times New Roman"/>
                <w:sz w:val="21"/>
                <w:szCs w:val="21"/>
              </w:rPr>
              <w:t>0.01984</w:t>
            </w:r>
          </w:p>
        </w:tc>
        <w:tc>
          <w:tcPr>
            <w:tcW w:w="0" w:type="auto"/>
            <w:vAlign w:val="center"/>
          </w:tcPr>
          <w:p>
            <w:pPr>
              <w:rPr>
                <w:rFonts w:ascii="Times New Roman" w:hAnsi="Times New Roman"/>
                <w:sz w:val="21"/>
                <w:szCs w:val="21"/>
              </w:rPr>
            </w:pPr>
            <w:r>
              <w:rPr>
                <w:rFonts w:ascii="Times New Roman" w:hAnsi="Times New Roman"/>
                <w:sz w:val="21"/>
                <w:szCs w:val="21"/>
              </w:rPr>
              <w:t>0.02157</w:t>
            </w:r>
          </w:p>
        </w:tc>
        <w:tc>
          <w:tcPr>
            <w:tcW w:w="0" w:type="auto"/>
            <w:vAlign w:val="center"/>
          </w:tcPr>
          <w:p>
            <w:pPr>
              <w:rPr>
                <w:rFonts w:ascii="Times New Roman" w:hAnsi="Times New Roman"/>
                <w:sz w:val="21"/>
                <w:szCs w:val="21"/>
              </w:rPr>
            </w:pPr>
            <w:r>
              <w:rPr>
                <w:rFonts w:ascii="Times New Roman" w:hAnsi="Times New Roman"/>
                <w:sz w:val="21"/>
                <w:szCs w:val="21"/>
              </w:rPr>
              <w:t>0.02363</w:t>
            </w:r>
          </w:p>
        </w:tc>
        <w:tc>
          <w:tcPr>
            <w:tcW w:w="0" w:type="auto"/>
            <w:vAlign w:val="center"/>
          </w:tcPr>
          <w:p>
            <w:pPr>
              <w:rPr>
                <w:rFonts w:ascii="Times New Roman" w:hAnsi="Times New Roman"/>
                <w:sz w:val="21"/>
                <w:szCs w:val="21"/>
              </w:rPr>
            </w:pPr>
            <w:r>
              <w:rPr>
                <w:rFonts w:ascii="Times New Roman" w:hAnsi="Times New Roman"/>
                <w:sz w:val="21"/>
                <w:szCs w:val="21"/>
              </w:rPr>
              <w:t>0.026603</w:t>
            </w:r>
          </w:p>
        </w:tc>
        <w:tc>
          <w:tcPr>
            <w:tcW w:w="0" w:type="auto"/>
            <w:vAlign w:val="center"/>
          </w:tcPr>
          <w:p>
            <w:pPr>
              <w:rPr>
                <w:rFonts w:ascii="Times New Roman" w:hAnsi="Times New Roman"/>
                <w:sz w:val="21"/>
                <w:szCs w:val="21"/>
              </w:rPr>
            </w:pPr>
            <w:r>
              <w:rPr>
                <w:rFonts w:ascii="Times New Roman" w:hAnsi="Times New Roman"/>
                <w:sz w:val="21"/>
                <w:szCs w:val="21"/>
              </w:rPr>
              <w:t>-</w:t>
            </w:r>
          </w:p>
        </w:tc>
      </w:tr>
    </w:tbl>
    <w:p>
      <w:pPr>
        <w:spacing w:line="360" w:lineRule="auto"/>
        <w:rPr>
          <w:rFonts w:ascii="Times New Roman" w:hAnsi="Times New Roman"/>
        </w:rPr>
      </w:pPr>
    </w:p>
    <w:p>
      <w:pPr>
        <w:spacing w:line="360" w:lineRule="auto"/>
        <w:rPr>
          <w:rFonts w:ascii="Times New Roman" w:hAnsi="Times New Roman"/>
        </w:rPr>
      </w:pPr>
      <w:r>
        <w:rPr>
          <w:rFonts w:hint="eastAsia" w:ascii="Times New Roman" w:hAnsi="Times New Roman" w:cs="Times New Roman"/>
          <w:b/>
          <w:bCs/>
          <w:szCs w:val="21"/>
        </w:rPr>
        <w:t>5</w:t>
      </w:r>
      <w:r>
        <w:rPr>
          <w:rFonts w:ascii="Times New Roman" w:hAnsi="Times New Roman" w:cs="Times New Roman"/>
          <w:b/>
          <w:bCs/>
          <w:szCs w:val="21"/>
        </w:rPr>
        <w:t>.3.2</w:t>
      </w:r>
      <w:r>
        <w:rPr>
          <w:rFonts w:hint="eastAsia" w:ascii="Times New Roman" w:hAnsi="Times New Roman" w:cs="Times New Roman"/>
          <w:b/>
          <w:bCs/>
          <w:szCs w:val="21"/>
        </w:rPr>
        <w:t xml:space="preserve"> </w:t>
      </w:r>
      <w:r>
        <w:rPr>
          <w:rFonts w:hint="eastAsia" w:ascii="Times New Roman" w:hAnsi="Times New Roman"/>
        </w:rPr>
        <w:t>其它点支撑</w:t>
      </w:r>
    </w:p>
    <w:p>
      <w:pPr>
        <w:spacing w:line="360" w:lineRule="auto"/>
        <w:ind w:firstLine="480" w:firstLineChars="200"/>
        <w:rPr>
          <w:rFonts w:ascii="Times New Roman" w:hAnsi="Times New Roman"/>
        </w:rPr>
      </w:pPr>
      <w:r>
        <w:rPr>
          <w:rFonts w:ascii="Times New Roman" w:hAnsi="Times New Roman"/>
        </w:rPr>
        <w:t xml:space="preserve">1 </w:t>
      </w:r>
      <w:r>
        <w:rPr>
          <w:rFonts w:hint="eastAsia" w:ascii="Times New Roman" w:hAnsi="Times New Roman"/>
        </w:rPr>
        <w:t>其它支撑的点支承玻璃面板，其抗风压及挠度可采用非线性有限元方法分析计算。</w:t>
      </w:r>
    </w:p>
    <w:p>
      <w:pPr>
        <w:spacing w:line="360" w:lineRule="auto"/>
        <w:ind w:firstLine="480" w:firstLineChars="200"/>
        <w:rPr>
          <w:rFonts w:ascii="Times New Roman" w:hAnsi="Times New Roman"/>
        </w:rPr>
      </w:pPr>
      <w:r>
        <w:rPr>
          <w:rFonts w:ascii="Times New Roman" w:hAnsi="Times New Roman"/>
        </w:rPr>
        <w:t xml:space="preserve">2 </w:t>
      </w:r>
      <w:r>
        <w:rPr>
          <w:rFonts w:hint="eastAsia" w:ascii="Times New Roman" w:hAnsi="Times New Roman"/>
        </w:rPr>
        <w:t>其它支撑的点支承非玻璃面板，其抗风压可采用非线性有限元方法分析计算。</w:t>
      </w:r>
    </w:p>
    <w:p>
      <w:pPr>
        <w:spacing w:line="360" w:lineRule="auto"/>
        <w:rPr>
          <w:rFonts w:ascii="Times New Roman" w:hAnsi="Times New Roman"/>
        </w:rPr>
      </w:pPr>
      <w:r>
        <w:rPr>
          <w:rFonts w:hint="eastAsia" w:ascii="Times New Roman" w:hAnsi="Times New Roman" w:cs="Times New Roman"/>
          <w:b/>
          <w:bCs/>
          <w:szCs w:val="21"/>
        </w:rPr>
        <w:t>5</w:t>
      </w:r>
      <w:r>
        <w:rPr>
          <w:rFonts w:ascii="Times New Roman" w:hAnsi="Times New Roman" w:cs="Times New Roman"/>
          <w:b/>
          <w:bCs/>
          <w:szCs w:val="21"/>
        </w:rPr>
        <w:t>.3.3</w:t>
      </w:r>
      <w:r>
        <w:rPr>
          <w:rFonts w:ascii="Times New Roman" w:hAnsi="Times New Roman"/>
        </w:rPr>
        <w:t xml:space="preserve"> </w:t>
      </w:r>
      <w:r>
        <w:rPr>
          <w:rFonts w:hint="eastAsia" w:ascii="Times New Roman" w:hAnsi="Times New Roman"/>
        </w:rPr>
        <w:t>肋支撑</w:t>
      </w:r>
    </w:p>
    <w:p>
      <w:pPr>
        <w:spacing w:line="360" w:lineRule="auto"/>
        <w:ind w:firstLine="480" w:firstLineChars="200"/>
        <w:rPr>
          <w:rFonts w:ascii="Times New Roman" w:hAnsi="Times New Roman"/>
        </w:rPr>
      </w:pPr>
      <w:r>
        <w:rPr>
          <w:rFonts w:ascii="Times New Roman" w:hAnsi="Times New Roman"/>
        </w:rPr>
        <w:t xml:space="preserve">1 </w:t>
      </w:r>
      <w:r>
        <w:rPr>
          <w:rFonts w:hint="eastAsia" w:ascii="Times New Roman" w:hAnsi="Times New Roman"/>
        </w:rPr>
        <w:t>全玻璃幕墙玻璃肋的高度</w:t>
      </w:r>
      <w:r>
        <w:rPr>
          <w:rFonts w:ascii="Times New Roman" w:hAnsi="Times New Roman"/>
        </w:rPr>
        <w:t>可按下列公式计算：</w:t>
      </w:r>
    </w:p>
    <w:p>
      <w:pPr>
        <w:spacing w:line="360" w:lineRule="auto"/>
        <w:jc w:val="center"/>
        <w:rPr>
          <w:rFonts w:ascii="Times New Roman" w:hAnsi="Times New Roman"/>
        </w:rPr>
      </w:pPr>
      <w:r>
        <w:rPr>
          <w:rFonts w:ascii="Times New Roman" w:hAnsi="Times New Roman"/>
          <w:position w:val="-40"/>
        </w:rPr>
        <w:object>
          <v:shape id="_x0000_i1103" o:spt="75" type="#_x0000_t75" style="height:47.4pt;width:72.6pt;" o:ole="t" filled="f" o:preferrelative="t" stroked="f" coordsize="21600,21600">
            <v:path/>
            <v:fill on="f" focussize="0,0"/>
            <v:stroke on="f" joinstyle="miter"/>
            <v:imagedata r:id="rId166" o:title=""/>
            <o:lock v:ext="edit" aspectratio="t"/>
            <w10:wrap type="none"/>
            <w10:anchorlock/>
          </v:shape>
          <o:OLEObject Type="Embed" ProgID="Equation.DSMT4" ShapeID="_x0000_i1103" DrawAspect="Content" ObjectID="_1468075803" r:id="rId165">
            <o:LockedField>false</o:LockedField>
          </o:OLEObject>
        </w:object>
      </w:r>
      <w:r>
        <w:rPr>
          <w:rFonts w:hint="eastAsia" w:ascii="Times New Roman" w:hAnsi="Times New Roman"/>
        </w:rPr>
        <w:t>（双肋）</w:t>
      </w:r>
    </w:p>
    <w:p>
      <w:pPr>
        <w:spacing w:line="360" w:lineRule="auto"/>
        <w:jc w:val="center"/>
        <w:rPr>
          <w:rFonts w:ascii="Times New Roman" w:hAnsi="Times New Roman"/>
        </w:rPr>
      </w:pPr>
      <w:r>
        <w:rPr>
          <w:rFonts w:ascii="Times New Roman" w:hAnsi="Times New Roman"/>
          <w:position w:val="-40"/>
        </w:rPr>
        <w:object>
          <v:shape id="_x0000_i1104" o:spt="75" type="#_x0000_t75" style="height:47.4pt;width:72.6pt;" o:ole="t" filled="f" o:preferrelative="t" stroked="f" coordsize="21600,21600">
            <v:path/>
            <v:fill on="f" focussize="0,0"/>
            <v:stroke on="f" joinstyle="miter"/>
            <v:imagedata r:id="rId168" o:title=""/>
            <o:lock v:ext="edit" aspectratio="t"/>
            <w10:wrap type="none"/>
            <w10:anchorlock/>
          </v:shape>
          <o:OLEObject Type="Embed" ProgID="Equation.DSMT4" ShapeID="_x0000_i1104" DrawAspect="Content" ObjectID="_1468075804" r:id="rId167">
            <o:LockedField>false</o:LockedField>
          </o:OLEObject>
        </w:object>
      </w:r>
      <w:r>
        <w:rPr>
          <w:rFonts w:hint="eastAsia" w:ascii="Times New Roman" w:hAnsi="Times New Roman"/>
        </w:rPr>
        <w:t>（单肋）</w:t>
      </w:r>
    </w:p>
    <w:p>
      <w:pPr>
        <w:spacing w:line="360" w:lineRule="auto"/>
        <w:rPr>
          <w:rFonts w:ascii="Times New Roman" w:hAnsi="Times New Roman"/>
        </w:rPr>
      </w:pPr>
      <w:r>
        <w:rPr>
          <w:rFonts w:hint="eastAsia" w:ascii="Times New Roman" w:hAnsi="Times New Roman"/>
        </w:rPr>
        <w:t>式中</w:t>
      </w:r>
      <w:r>
        <w:rPr>
          <w:rFonts w:ascii="Times New Roman" w:hAnsi="Times New Roman"/>
        </w:rPr>
        <w:t xml:space="preserve"> </w:t>
      </w:r>
      <w:r>
        <w:rPr>
          <w:rFonts w:ascii="Times New Roman" w:hAnsi="Times New Roman"/>
          <w:position w:val="-12"/>
        </w:rPr>
        <w:object>
          <v:shape id="_x0000_i1105" o:spt="75" type="#_x0000_t75" style="height:19.2pt;width:14.4pt;" o:ole="t" filled="f" o:preferrelative="t" stroked="f" coordsize="21600,21600">
            <v:path/>
            <v:fill on="f" focussize="0,0"/>
            <v:stroke on="f" joinstyle="miter"/>
            <v:imagedata r:id="rId170" o:title=""/>
            <o:lock v:ext="edit" aspectratio="t"/>
            <w10:wrap type="none"/>
            <w10:anchorlock/>
          </v:shape>
          <o:OLEObject Type="Embed" ProgID="Equation.DSMT4" ShapeID="_x0000_i1105" DrawAspect="Content" ObjectID="_1468075805" r:id="rId169">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玻璃肋截面高度（</w:t>
      </w:r>
      <w:r>
        <w:rPr>
          <w:rFonts w:ascii="Times New Roman" w:hAnsi="Times New Roman"/>
          <w:position w:val="-6"/>
        </w:rPr>
        <w:object>
          <v:shape id="_x0000_i1106" o:spt="75" type="#_x0000_t75" style="height:12pt;width:24pt;" o:ole="t" filled="f" o:preferrelative="t" stroked="f" coordsize="21600,21600">
            <v:path/>
            <v:fill on="f" focussize="0,0"/>
            <v:stroke on="f" joinstyle="miter"/>
            <v:imagedata r:id="rId34" o:title=""/>
            <o:lock v:ext="edit" aspectratio="t"/>
            <w10:wrap type="none"/>
            <w10:anchorlock/>
          </v:shape>
          <o:OLEObject Type="Embed" ProgID="Equation.DSMT4" ShapeID="_x0000_i1106" DrawAspect="Content" ObjectID="_1468075806" r:id="rId171">
            <o:LockedField>false</o:LockedField>
          </o:OLEObject>
        </w:object>
      </w:r>
      <w:r>
        <w:rPr>
          <w:rFonts w:hint="eastAsia" w:ascii="Times New Roman" w:hAnsi="Times New Roman"/>
        </w:rPr>
        <w:t>）；</w:t>
      </w:r>
    </w:p>
    <w:p>
      <w:pPr>
        <w:spacing w:line="360" w:lineRule="auto"/>
        <w:ind w:firstLine="480" w:firstLineChars="200"/>
        <w:rPr>
          <w:rFonts w:ascii="Times New Roman" w:hAnsi="Times New Roman"/>
        </w:rPr>
      </w:pPr>
      <w:r>
        <w:rPr>
          <w:rFonts w:ascii="Times New Roman" w:hAnsi="Times New Roman"/>
          <w:position w:val="-6"/>
        </w:rPr>
        <w:object>
          <v:shape id="_x0000_i1107" o:spt="75" type="#_x0000_t75" style="height:12pt;width:13.2pt;" o:ole="t" filled="f" o:preferrelative="t" stroked="f" coordsize="21600,21600">
            <v:path/>
            <v:fill on="f" focussize="0,0"/>
            <v:stroke on="f" joinstyle="miter"/>
            <v:imagedata r:id="rId173" o:title=""/>
            <o:lock v:ext="edit" aspectratio="t"/>
            <w10:wrap type="none"/>
            <w10:anchorlock/>
          </v:shape>
          <o:OLEObject Type="Embed" ProgID="Equation.DSMT4" ShapeID="_x0000_i1107" DrawAspect="Content" ObjectID="_1468075807" r:id="rId172">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风荷载设计值（</w:t>
      </w:r>
      <w:r>
        <w:rPr>
          <w:rFonts w:ascii="Times New Roman" w:hAnsi="Times New Roman"/>
          <w:position w:val="-6"/>
        </w:rPr>
        <w:object>
          <v:shape id="_x0000_i1108" o:spt="75" type="#_x0000_t75" style="height:15.6pt;width:43.8pt;" o:ole="t" filled="f" o:preferrelative="t" stroked="f" coordsize="21600,21600">
            <v:path/>
            <v:fill on="f" focussize="0,0"/>
            <v:stroke on="f" joinstyle="miter"/>
            <v:imagedata r:id="rId175" o:title=""/>
            <o:lock v:ext="edit" aspectratio="t"/>
            <w10:wrap type="none"/>
            <w10:anchorlock/>
          </v:shape>
          <o:OLEObject Type="Embed" ProgID="Equation.DSMT4" ShapeID="_x0000_i1108" DrawAspect="Content" ObjectID="_1468075808" r:id="rId174">
            <o:LockedField>false</o:LockedField>
          </o:OLEObject>
        </w:object>
      </w:r>
      <w:r>
        <w:rPr>
          <w:rFonts w:hint="eastAsia" w:ascii="Times New Roman" w:hAnsi="Times New Roman"/>
        </w:rPr>
        <w:t>）；</w:t>
      </w:r>
    </w:p>
    <w:p>
      <w:pPr>
        <w:spacing w:line="360" w:lineRule="auto"/>
        <w:ind w:firstLine="480" w:firstLineChars="200"/>
        <w:rPr>
          <w:rFonts w:ascii="Times New Roman" w:hAnsi="Times New Roman"/>
        </w:rPr>
      </w:pPr>
      <w:r>
        <w:rPr>
          <w:rFonts w:ascii="Times New Roman" w:hAnsi="Times New Roman"/>
          <w:position w:val="-6"/>
        </w:rPr>
        <w:object>
          <v:shape id="_x0000_i1109" o:spt="75" type="#_x0000_t75" style="height:15pt;width:8.4pt;" o:ole="t" filled="f" o:preferrelative="t" stroked="f" coordsize="21600,21600">
            <v:path/>
            <v:fill on="f" focussize="0,0"/>
            <v:stroke on="f" joinstyle="miter"/>
            <v:imagedata r:id="rId177" o:title=""/>
            <o:lock v:ext="edit" aspectratio="t"/>
            <w10:wrap type="none"/>
            <w10:anchorlock/>
          </v:shape>
          <o:OLEObject Type="Embed" ProgID="Equation.DSMT4" ShapeID="_x0000_i1109" DrawAspect="Content" ObjectID="_1468075809" r:id="rId176">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两肋之间的玻璃面板跨度（</w:t>
      </w:r>
      <w:bookmarkStart w:id="43" w:name="_Hlk159515555"/>
      <w:r>
        <w:rPr>
          <w:rFonts w:ascii="Times New Roman" w:hAnsi="Times New Roman"/>
          <w:position w:val="-6"/>
        </w:rPr>
        <w:object>
          <v:shape id="_x0000_i1110" o:spt="75" type="#_x0000_t75" style="height:12pt;width:24pt;" o:ole="t" filled="f" o:preferrelative="t" stroked="f" coordsize="21600,21600">
            <v:path/>
            <v:fill on="f" focussize="0,0"/>
            <v:stroke on="f" joinstyle="miter"/>
            <v:imagedata r:id="rId34" o:title=""/>
            <o:lock v:ext="edit" aspectratio="t"/>
            <w10:wrap type="none"/>
            <w10:anchorlock/>
          </v:shape>
          <o:OLEObject Type="Embed" ProgID="Equation.DSMT4" ShapeID="_x0000_i1110" DrawAspect="Content" ObjectID="_1468075810" r:id="rId178">
            <o:LockedField>false</o:LockedField>
          </o:OLEObject>
        </w:object>
      </w:r>
      <w:bookmarkEnd w:id="43"/>
      <w:r>
        <w:rPr>
          <w:rFonts w:hint="eastAsia" w:ascii="Times New Roman" w:hAnsi="Times New Roman"/>
        </w:rPr>
        <w:t>）；</w:t>
      </w:r>
    </w:p>
    <w:p>
      <w:pPr>
        <w:spacing w:line="360" w:lineRule="auto"/>
        <w:ind w:firstLine="480" w:firstLineChars="200"/>
        <w:rPr>
          <w:rFonts w:ascii="Times New Roman" w:hAnsi="Times New Roman"/>
        </w:rPr>
      </w:pPr>
      <w:r>
        <w:rPr>
          <w:rFonts w:ascii="Times New Roman" w:hAnsi="Times New Roman"/>
          <w:position w:val="-14"/>
        </w:rPr>
        <w:object>
          <v:shape id="_x0000_i1111" o:spt="75" type="#_x0000_t75" style="height:19.2pt;width:13.8pt;" o:ole="t" filled="f" o:preferrelative="t" stroked="f" coordsize="21600,21600">
            <v:path/>
            <v:fill on="f" focussize="0,0"/>
            <v:stroke on="f" joinstyle="miter"/>
            <v:imagedata r:id="rId180" o:title=""/>
            <o:lock v:ext="edit" aspectratio="t"/>
            <w10:wrap type="none"/>
            <w10:anchorlock/>
          </v:shape>
          <o:OLEObject Type="Embed" ProgID="Equation.DSMT4" ShapeID="_x0000_i1111" DrawAspect="Content" ObjectID="_1468075811" r:id="rId179">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玻璃端面强度设计值（</w:t>
      </w:r>
      <w:r>
        <w:rPr>
          <w:rFonts w:ascii="Times New Roman" w:hAnsi="Times New Roman"/>
          <w:position w:val="-6"/>
        </w:rPr>
        <w:object>
          <v:shape id="_x0000_i1112" o:spt="75" type="#_x0000_t75" style="height:15.6pt;width:43.8pt;" o:ole="t" filled="f" o:preferrelative="t" stroked="f" coordsize="21600,21600">
            <v:path/>
            <v:fill on="f" focussize="0,0"/>
            <v:stroke on="f" joinstyle="miter"/>
            <v:imagedata r:id="rId175" o:title=""/>
            <o:lock v:ext="edit" aspectratio="t"/>
            <w10:wrap type="none"/>
            <w10:anchorlock/>
          </v:shape>
          <o:OLEObject Type="Embed" ProgID="Equation.DSMT4" ShapeID="_x0000_i1112" DrawAspect="Content" ObjectID="_1468075812" r:id="rId181">
            <o:LockedField>false</o:LockedField>
          </o:OLEObject>
        </w:object>
      </w:r>
      <w:r>
        <w:rPr>
          <w:rFonts w:hint="eastAsia" w:ascii="Times New Roman" w:hAnsi="Times New Roman"/>
        </w:rPr>
        <w:t>）</w:t>
      </w:r>
      <w:r>
        <w:rPr>
          <w:rFonts w:hint="eastAsia" w:ascii="Times New Roman" w:hAnsi="Times New Roman"/>
          <w:lang w:eastAsia="zh-CN"/>
        </w:rPr>
        <w:t>；</w:t>
      </w:r>
    </w:p>
    <w:p>
      <w:pPr>
        <w:spacing w:line="360" w:lineRule="auto"/>
        <w:ind w:firstLine="480" w:firstLineChars="200"/>
        <w:rPr>
          <w:rFonts w:ascii="Times New Roman" w:hAnsi="Times New Roman"/>
        </w:rPr>
      </w:pPr>
      <w:r>
        <w:rPr>
          <w:rFonts w:ascii="Times New Roman" w:hAnsi="Times New Roman"/>
          <w:position w:val="-6"/>
        </w:rPr>
        <w:object>
          <v:shape id="_x0000_i1113" o:spt="75" type="#_x0000_t75" style="height:13.2pt;width:8.4pt;" o:ole="t" filled="f" o:preferrelative="t" stroked="f" coordsize="21600,21600">
            <v:path/>
            <v:fill on="f" focussize="0,0"/>
            <v:stroke on="f" joinstyle="miter"/>
            <v:imagedata r:id="rId183" o:title=""/>
            <o:lock v:ext="edit" aspectratio="t"/>
            <w10:wrap type="none"/>
            <w10:anchorlock/>
          </v:shape>
          <o:OLEObject Type="Embed" ProgID="Equation.DSMT4" ShapeID="_x0000_i1113" DrawAspect="Content" ObjectID="_1468075813" r:id="rId182">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玻璃肋截面厚度（</w:t>
      </w:r>
      <w:r>
        <w:rPr>
          <w:rFonts w:ascii="Times New Roman" w:hAnsi="Times New Roman"/>
          <w:position w:val="-6"/>
        </w:rPr>
        <w:object>
          <v:shape id="_x0000_i1114" o:spt="75" type="#_x0000_t75" style="height:12pt;width:24pt;" o:ole="t" filled="f" o:preferrelative="t" stroked="f" coordsize="21600,21600">
            <v:path/>
            <v:fill on="f" focussize="0,0"/>
            <v:stroke on="f" joinstyle="miter"/>
            <v:imagedata r:id="rId34" o:title=""/>
            <o:lock v:ext="edit" aspectratio="t"/>
            <w10:wrap type="none"/>
            <w10:anchorlock/>
          </v:shape>
          <o:OLEObject Type="Embed" ProgID="Equation.DSMT4" ShapeID="_x0000_i1114" DrawAspect="Content" ObjectID="_1468075814" r:id="rId184">
            <o:LockedField>false</o:LockedField>
          </o:OLEObject>
        </w:object>
      </w:r>
      <w:r>
        <w:rPr>
          <w:rFonts w:hint="eastAsia" w:ascii="Times New Roman" w:hAnsi="Times New Roman"/>
        </w:rPr>
        <w:t>）；</w:t>
      </w:r>
    </w:p>
    <w:p>
      <w:pPr>
        <w:spacing w:line="360" w:lineRule="auto"/>
        <w:ind w:firstLine="480" w:firstLineChars="200"/>
        <w:rPr>
          <w:rFonts w:ascii="Times New Roman" w:hAnsi="Times New Roman"/>
        </w:rPr>
      </w:pPr>
      <w:r>
        <w:rPr>
          <w:rFonts w:ascii="Times New Roman" w:hAnsi="Times New Roman"/>
          <w:position w:val="-6"/>
        </w:rPr>
        <w:object>
          <v:shape id="_x0000_i1115" o:spt="75" type="#_x0000_t75" style="height:15pt;width:12pt;" o:ole="t" filled="f" o:preferrelative="t" stroked="f" coordsize="21600,21600">
            <v:path/>
            <v:fill on="f" focussize="0,0"/>
            <v:stroke on="f" joinstyle="miter"/>
            <v:imagedata r:id="rId186" o:title=""/>
            <o:lock v:ext="edit" aspectratio="t"/>
            <w10:wrap type="none"/>
            <w10:anchorlock/>
          </v:shape>
          <o:OLEObject Type="Embed" ProgID="Equation.DSMT4" ShapeID="_x0000_i1115" DrawAspect="Content" ObjectID="_1468075815" r:id="rId185">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玻璃肋上下支点的距离，即计算跨度（</w:t>
      </w:r>
      <w:r>
        <w:rPr>
          <w:rFonts w:ascii="Times New Roman" w:hAnsi="Times New Roman"/>
          <w:position w:val="-6"/>
        </w:rPr>
        <w:object>
          <v:shape id="_x0000_i1116" o:spt="75" type="#_x0000_t75" style="height:12pt;width:24pt;" o:ole="t" filled="f" o:preferrelative="t" stroked="f" coordsize="21600,21600">
            <v:path/>
            <v:fill on="f" focussize="0,0"/>
            <v:stroke on="f" joinstyle="miter"/>
            <v:imagedata r:id="rId34" o:title=""/>
            <o:lock v:ext="edit" aspectratio="t"/>
            <w10:wrap type="none"/>
            <w10:anchorlock/>
          </v:shape>
          <o:OLEObject Type="Embed" ProgID="Equation.DSMT4" ShapeID="_x0000_i1116" DrawAspect="Content" ObjectID="_1468075816" r:id="rId187">
            <o:LockedField>false</o:LockedField>
          </o:OLEObject>
        </w:object>
      </w:r>
      <w:r>
        <w:rPr>
          <w:rFonts w:hint="eastAsia" w:ascii="Times New Roman" w:hAnsi="Times New Roman"/>
        </w:rPr>
        <w:t>）。</w:t>
      </w:r>
    </w:p>
    <w:p>
      <w:pPr>
        <w:widowControl w:val="0"/>
        <w:spacing w:line="360" w:lineRule="auto"/>
        <w:ind w:firstLine="480" w:firstLineChars="200"/>
        <w:jc w:val="both"/>
        <w:rPr>
          <w:rFonts w:ascii="Times New Roman" w:hAnsi="Times New Roman"/>
        </w:rPr>
      </w:pPr>
      <w:r>
        <w:rPr>
          <w:rFonts w:ascii="Times New Roman" w:hAnsi="Times New Roman"/>
        </w:rPr>
        <w:t xml:space="preserve">2 </w:t>
      </w:r>
      <w:r>
        <w:rPr>
          <w:rFonts w:hint="eastAsia" w:ascii="Times New Roman" w:hAnsi="Times New Roman"/>
        </w:rPr>
        <w:t>全玻璃幕墙玻璃肋在风荷载标准值作用下的挠度</w:t>
      </w:r>
      <w:r>
        <w:rPr>
          <w:rFonts w:ascii="Times New Roman" w:hAnsi="Times New Roman"/>
          <w:position w:val="-16"/>
        </w:rPr>
        <w:object>
          <v:shape id="_x0000_i1117" o:spt="75" type="#_x0000_t75" style="height:21pt;width:16.8pt;" o:ole="t" filled="f" o:preferrelative="t" stroked="f" coordsize="21600,21600">
            <v:path/>
            <v:fill on="f" focussize="0,0"/>
            <v:stroke on="f" joinstyle="miter"/>
            <v:imagedata r:id="rId189" o:title=""/>
            <o:lock v:ext="edit" aspectratio="t"/>
            <w10:wrap type="none"/>
            <w10:anchorlock/>
          </v:shape>
          <o:OLEObject Type="Embed" ProgID="Equation.DSMT4" ShapeID="_x0000_i1117" DrawAspect="Content" ObjectID="_1468075817" r:id="rId188">
            <o:LockedField>false</o:LockedField>
          </o:OLEObject>
        </w:object>
      </w:r>
      <w:r>
        <w:rPr>
          <w:rFonts w:hint="eastAsia" w:ascii="Times New Roman" w:hAnsi="Times New Roman"/>
        </w:rPr>
        <w:t>可按下式计算：</w:t>
      </w:r>
    </w:p>
    <w:p>
      <w:pPr>
        <w:spacing w:line="360" w:lineRule="auto"/>
        <w:jc w:val="center"/>
        <w:rPr>
          <w:rFonts w:ascii="Times New Roman" w:hAnsi="Times New Roman"/>
        </w:rPr>
      </w:pPr>
      <w:r>
        <w:rPr>
          <w:rFonts w:ascii="Times New Roman" w:hAnsi="Times New Roman"/>
          <w:position w:val="-34"/>
        </w:rPr>
        <w:object>
          <v:shape id="_x0000_i1118" o:spt="75" type="#_x0000_t75" style="height:41.4pt;width:92.4pt;" o:ole="t" filled="f" o:preferrelative="t" stroked="f" coordsize="21600,21600">
            <v:path/>
            <v:fill on="f" focussize="0,0"/>
            <v:stroke on="f" joinstyle="miter"/>
            <v:imagedata r:id="rId191" o:title=""/>
            <o:lock v:ext="edit" aspectratio="t"/>
            <w10:wrap type="none"/>
            <w10:anchorlock/>
          </v:shape>
          <o:OLEObject Type="Embed" ProgID="Equation.DSMT4" ShapeID="_x0000_i1118" DrawAspect="Content" ObjectID="_1468075818" r:id="rId190">
            <o:LockedField>false</o:LockedField>
          </o:OLEObject>
        </w:object>
      </w:r>
      <w:r>
        <w:rPr>
          <w:rFonts w:hint="eastAsia" w:ascii="Times New Roman" w:hAnsi="Times New Roman"/>
        </w:rPr>
        <w:t>（双肋）</w:t>
      </w:r>
    </w:p>
    <w:p>
      <w:pPr>
        <w:spacing w:line="360" w:lineRule="auto"/>
        <w:jc w:val="center"/>
        <w:rPr>
          <w:rFonts w:ascii="Times New Roman" w:hAnsi="Times New Roman"/>
        </w:rPr>
      </w:pPr>
      <w:r>
        <w:rPr>
          <w:rFonts w:ascii="Times New Roman" w:hAnsi="Times New Roman"/>
          <w:position w:val="-34"/>
        </w:rPr>
        <w:object>
          <v:shape id="_x0000_i1119" o:spt="75" type="#_x0000_t75" style="height:41.4pt;width:92.4pt;" o:ole="t" filled="f" o:preferrelative="t" stroked="f" coordsize="21600,21600">
            <v:path/>
            <v:fill on="f" focussize="0,0"/>
            <v:stroke on="f" joinstyle="miter"/>
            <v:imagedata r:id="rId193" o:title=""/>
            <o:lock v:ext="edit" aspectratio="t"/>
            <w10:wrap type="none"/>
            <w10:anchorlock/>
          </v:shape>
          <o:OLEObject Type="Embed" ProgID="Equation.DSMT4" ShapeID="_x0000_i1119" DrawAspect="Content" ObjectID="_1468075819" r:id="rId192">
            <o:LockedField>false</o:LockedField>
          </o:OLEObject>
        </w:object>
      </w:r>
      <w:r>
        <w:rPr>
          <w:rFonts w:hint="eastAsia" w:ascii="Times New Roman" w:hAnsi="Times New Roman"/>
        </w:rPr>
        <w:t>（单肋）</w:t>
      </w:r>
    </w:p>
    <w:p>
      <w:pPr>
        <w:spacing w:line="360" w:lineRule="auto"/>
        <w:rPr>
          <w:rFonts w:ascii="Times New Roman" w:hAnsi="Times New Roman"/>
        </w:rPr>
      </w:pPr>
      <w:r>
        <w:rPr>
          <w:rFonts w:hint="eastAsia" w:ascii="Times New Roman" w:hAnsi="Times New Roman"/>
        </w:rPr>
        <w:t>式中</w:t>
      </w:r>
      <w:r>
        <w:rPr>
          <w:rFonts w:ascii="Times New Roman" w:hAnsi="Times New Roman"/>
        </w:rPr>
        <w:t xml:space="preserve"> </w:t>
      </w:r>
      <w:r>
        <w:rPr>
          <w:rFonts w:ascii="Times New Roman" w:hAnsi="Times New Roman"/>
          <w:position w:val="-12"/>
        </w:rPr>
        <w:object>
          <v:shape id="_x0000_i1120" o:spt="75" type="#_x0000_t75" style="height:19.2pt;width:16.8pt;" o:ole="t" filled="f" o:preferrelative="t" stroked="f" coordsize="21600,21600">
            <v:path/>
            <v:fill on="f" focussize="0,0"/>
            <v:stroke on="f" joinstyle="miter"/>
            <v:imagedata r:id="rId195" o:title=""/>
            <o:lock v:ext="edit" aspectratio="t"/>
            <w10:wrap type="none"/>
            <w10:anchorlock/>
          </v:shape>
          <o:OLEObject Type="Embed" ProgID="Equation.DSMT4" ShapeID="_x0000_i1120" DrawAspect="Content" ObjectID="_1468075820" r:id="rId194">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风荷载标准值（</w:t>
      </w:r>
      <w:r>
        <w:rPr>
          <w:rFonts w:ascii="Times New Roman" w:hAnsi="Times New Roman"/>
          <w:position w:val="-6"/>
        </w:rPr>
        <w:object>
          <v:shape id="_x0000_i1121" o:spt="75" type="#_x0000_t75" style="height:18.6pt;width:49.8pt;" o:ole="t" filled="f" o:preferrelative="t" stroked="f" coordsize="21600,21600">
            <v:path/>
            <v:fill on="f" focussize="0,0"/>
            <v:stroke on="f" joinstyle="miter"/>
            <v:imagedata r:id="rId197" o:title=""/>
            <o:lock v:ext="edit" aspectratio="t"/>
            <w10:wrap type="none"/>
            <w10:anchorlock/>
          </v:shape>
          <o:OLEObject Type="Embed" ProgID="Equation.DSMT4" ShapeID="_x0000_i1121" DrawAspect="Content" ObjectID="_1468075821" r:id="rId196">
            <o:LockedField>false</o:LockedField>
          </o:OLEObject>
        </w:object>
      </w:r>
      <w:r>
        <w:rPr>
          <w:rFonts w:hint="eastAsia" w:ascii="Times New Roman" w:hAnsi="Times New Roman"/>
        </w:rPr>
        <w:t>）</w:t>
      </w:r>
      <w:r>
        <w:rPr>
          <w:rFonts w:hint="eastAsia" w:ascii="Times New Roman" w:hAnsi="Times New Roman"/>
          <w:lang w:eastAsia="zh-CN"/>
        </w:rPr>
        <w:t>；</w:t>
      </w:r>
    </w:p>
    <w:p>
      <w:pPr>
        <w:spacing w:line="360" w:lineRule="auto"/>
        <w:ind w:firstLine="720" w:firstLineChars="300"/>
        <w:rPr>
          <w:rFonts w:ascii="Times New Roman" w:hAnsi="Times New Roman"/>
        </w:rPr>
      </w:pPr>
      <w:r>
        <w:rPr>
          <w:rFonts w:ascii="Times New Roman" w:hAnsi="Times New Roman"/>
          <w:position w:val="-4"/>
        </w:rPr>
        <w:object>
          <v:shape id="_x0000_i1122" o:spt="75" type="#_x0000_t75" style="height:13.8pt;width:13.2pt;" o:ole="t" filled="f" o:preferrelative="t" stroked="f" coordsize="21600,21600">
            <v:path/>
            <v:fill on="f" focussize="0,0"/>
            <v:stroke on="f" joinstyle="miter"/>
            <v:imagedata r:id="rId199" o:title=""/>
            <o:lock v:ext="edit" aspectratio="t"/>
            <w10:wrap type="none"/>
            <w10:anchorlock/>
          </v:shape>
          <o:OLEObject Type="Embed" ProgID="Equation.DSMT4" ShapeID="_x0000_i1122" DrawAspect="Content" ObjectID="_1468075822" r:id="rId198">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玻璃弹性模量（</w:t>
      </w:r>
      <w:r>
        <w:rPr>
          <w:rFonts w:ascii="Times New Roman" w:hAnsi="Times New Roman"/>
          <w:position w:val="-6"/>
        </w:rPr>
        <w:object>
          <v:shape id="_x0000_i1123" o:spt="75" type="#_x0000_t75" style="height:18.6pt;width:49.8pt;" o:ole="t" filled="f" o:preferrelative="t" stroked="f" coordsize="21600,21600">
            <v:path/>
            <v:fill on="f" focussize="0,0"/>
            <v:stroke on="f" joinstyle="miter"/>
            <v:imagedata r:id="rId197" o:title=""/>
            <o:lock v:ext="edit" aspectratio="t"/>
            <w10:wrap type="none"/>
            <w10:anchorlock/>
          </v:shape>
          <o:OLEObject Type="Embed" ProgID="Equation.DSMT4" ShapeID="_x0000_i1123" DrawAspect="Content" ObjectID="_1468075823" r:id="rId200">
            <o:LockedField>false</o:LockedField>
          </o:OLEObject>
        </w:object>
      </w:r>
      <w:r>
        <w:rPr>
          <w:rFonts w:hint="eastAsia" w:ascii="Times New Roman" w:hAnsi="Times New Roman"/>
        </w:rPr>
        <w:t>）</w:t>
      </w:r>
    </w:p>
    <w:p>
      <w:pPr>
        <w:pStyle w:val="6"/>
        <w:rPr>
          <w:rFonts w:ascii="Times New Roman" w:hAnsi="Times New Roman"/>
        </w:rPr>
      </w:pPr>
      <w:bookmarkStart w:id="44" w:name="_Toc162996218"/>
      <w:r>
        <w:rPr>
          <w:rFonts w:ascii="Times New Roman" w:hAnsi="Times New Roman"/>
        </w:rPr>
        <w:t>5.4 混合支承</w:t>
      </w:r>
      <w:bookmarkEnd w:id="44"/>
    </w:p>
    <w:p>
      <w:pPr>
        <w:spacing w:line="360" w:lineRule="auto"/>
        <w:rPr>
          <w:rFonts w:ascii="Times New Roman" w:hAnsi="Times New Roman"/>
        </w:rPr>
      </w:pPr>
      <w:r>
        <w:rPr>
          <w:rFonts w:hint="eastAsia" w:ascii="Times New Roman" w:hAnsi="Times New Roman" w:cs="Times New Roman"/>
          <w:b/>
          <w:bCs/>
          <w:szCs w:val="21"/>
        </w:rPr>
        <w:t>5</w:t>
      </w:r>
      <w:r>
        <w:rPr>
          <w:rFonts w:ascii="Times New Roman" w:hAnsi="Times New Roman" w:cs="Times New Roman"/>
          <w:b/>
          <w:bCs/>
          <w:szCs w:val="21"/>
        </w:rPr>
        <w:t>.4.1</w:t>
      </w:r>
      <w:r>
        <w:rPr>
          <w:rFonts w:ascii="Times New Roman" w:hAnsi="Times New Roman"/>
        </w:rPr>
        <w:t xml:space="preserve"> </w:t>
      </w:r>
      <w:r>
        <w:rPr>
          <w:rFonts w:hint="eastAsia" w:ascii="Times New Roman" w:hAnsi="Times New Roman"/>
        </w:rPr>
        <w:t>混合支撑包括：三边简支和一边固定，两边简支和两边固定，两临边简支和两临边固定等。</w:t>
      </w:r>
    </w:p>
    <w:p>
      <w:pPr>
        <w:spacing w:line="360" w:lineRule="auto"/>
        <w:rPr>
          <w:rFonts w:ascii="Times New Roman" w:hAnsi="Times New Roman"/>
        </w:rPr>
      </w:pPr>
      <w:r>
        <w:rPr>
          <w:rFonts w:hint="eastAsia" w:ascii="Times New Roman" w:hAnsi="Times New Roman" w:cs="Times New Roman"/>
          <w:b/>
          <w:bCs/>
          <w:szCs w:val="21"/>
        </w:rPr>
        <w:t>5</w:t>
      </w:r>
      <w:r>
        <w:rPr>
          <w:rFonts w:ascii="Times New Roman" w:hAnsi="Times New Roman" w:cs="Times New Roman"/>
          <w:b/>
          <w:bCs/>
          <w:szCs w:val="21"/>
        </w:rPr>
        <w:t>.4.2</w:t>
      </w:r>
      <w:r>
        <w:rPr>
          <w:rFonts w:ascii="Times New Roman" w:hAnsi="Times New Roman"/>
        </w:rPr>
        <w:t xml:space="preserve"> </w:t>
      </w:r>
      <w:r>
        <w:rPr>
          <w:rFonts w:hint="eastAsia" w:ascii="Times New Roman" w:hAnsi="Times New Roman"/>
        </w:rPr>
        <w:t>混合支承的单层面板弯曲应力按下列公式计算，取</w:t>
      </w:r>
      <w:r>
        <w:rPr>
          <w:rFonts w:ascii="Times New Roman" w:hAnsi="Times New Roman"/>
          <w:position w:val="-12"/>
        </w:rPr>
        <w:object>
          <v:shape id="_x0000_i1124" o:spt="75" type="#_x0000_t75" style="height:19.2pt;width:16.8pt;" o:ole="t" filled="f" o:preferrelative="t" stroked="f" coordsize="21600,21600">
            <v:path/>
            <v:fill on="f" focussize="0,0"/>
            <v:stroke on="f" joinstyle="miter"/>
            <v:imagedata r:id="rId202" o:title=""/>
            <o:lock v:ext="edit" aspectratio="t"/>
            <w10:wrap type="none"/>
            <w10:anchorlock/>
          </v:shape>
          <o:OLEObject Type="Embed" ProgID="Equation.DSMT4" ShapeID="_x0000_i1124" DrawAspect="Content" ObjectID="_1468075824" r:id="rId201">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position w:val="-16"/>
        </w:rPr>
        <w:object>
          <v:shape id="_x0000_i1125" o:spt="75" type="#_x0000_t75" style="height:21pt;width:16.8pt;" o:ole="t" filled="f" o:preferrelative="t" stroked="f" coordsize="21600,21600">
            <v:path/>
            <v:fill on="f" focussize="0,0"/>
            <v:stroke on="f" joinstyle="miter"/>
            <v:imagedata r:id="rId204" o:title=""/>
            <o:lock v:ext="edit" aspectratio="t"/>
            <w10:wrap type="none"/>
            <w10:anchorlock/>
          </v:shape>
          <o:OLEObject Type="Embed" ProgID="Equation.DSMT4" ShapeID="_x0000_i1125" DrawAspect="Content" ObjectID="_1468075825" r:id="rId203">
            <o:LockedField>false</o:LockedField>
          </o:OLEObject>
        </w:object>
      </w:r>
      <w:r>
        <w:rPr>
          <w:rFonts w:ascii="Times New Roman" w:hAnsi="Times New Roman"/>
        </w:rPr>
        <w:t xml:space="preserve"> </w:t>
      </w:r>
      <w:r>
        <w:rPr>
          <w:rFonts w:hint="eastAsia" w:ascii="Times New Roman" w:hAnsi="Times New Roman"/>
        </w:rPr>
        <w:t>较大者：</w:t>
      </w:r>
    </w:p>
    <w:p>
      <w:pPr>
        <w:spacing w:line="360" w:lineRule="auto"/>
        <w:jc w:val="center"/>
        <w:rPr>
          <w:rFonts w:ascii="Times New Roman" w:hAnsi="Times New Roman"/>
        </w:rPr>
      </w:pPr>
      <w:r>
        <w:rPr>
          <w:rFonts w:ascii="Times New Roman" w:hAnsi="Times New Roman"/>
          <w:position w:val="-28"/>
        </w:rPr>
        <w:object>
          <v:shape id="_x0000_i1126" o:spt="75" type="#_x0000_t75" style="height:36pt;width:75pt;" o:ole="t" filled="f" o:preferrelative="t" stroked="f" coordsize="21600,21600">
            <v:path/>
            <v:fill on="f" focussize="0,0"/>
            <v:stroke on="f" joinstyle="miter"/>
            <v:imagedata r:id="rId206" o:title=""/>
            <o:lock v:ext="edit" aspectratio="t"/>
            <w10:wrap type="none"/>
            <w10:anchorlock/>
          </v:shape>
          <o:OLEObject Type="Embed" ProgID="Equation.DSMT4" ShapeID="_x0000_i1126" DrawAspect="Content" ObjectID="_1468075826" r:id="rId205">
            <o:LockedField>false</o:LockedField>
          </o:OLEObject>
        </w:object>
      </w:r>
    </w:p>
    <w:p>
      <w:pPr>
        <w:spacing w:line="360" w:lineRule="auto"/>
        <w:jc w:val="center"/>
        <w:rPr>
          <w:rFonts w:ascii="Times New Roman" w:hAnsi="Times New Roman"/>
        </w:rPr>
      </w:pPr>
      <w:r>
        <w:rPr>
          <w:rFonts w:ascii="Times New Roman" w:hAnsi="Times New Roman"/>
          <w:position w:val="-28"/>
        </w:rPr>
        <w:object>
          <v:shape id="_x0000_i1127" o:spt="75" type="#_x0000_t75" style="height:37.8pt;width:75pt;" o:ole="t" filled="f" o:preferrelative="t" stroked="f" coordsize="21600,21600">
            <v:path/>
            <v:fill on="f" focussize="0,0"/>
            <v:stroke on="f" joinstyle="miter"/>
            <v:imagedata r:id="rId208" o:title=""/>
            <o:lock v:ext="edit" aspectratio="t"/>
            <w10:wrap type="none"/>
            <w10:anchorlock/>
          </v:shape>
          <o:OLEObject Type="Embed" ProgID="Equation.DSMT4" ShapeID="_x0000_i1127" DrawAspect="Content" ObjectID="_1468075827" r:id="rId207">
            <o:LockedField>false</o:LockedField>
          </o:OLEObject>
        </w:object>
      </w:r>
    </w:p>
    <w:p>
      <w:pPr>
        <w:spacing w:line="360" w:lineRule="auto"/>
        <w:rPr>
          <w:rFonts w:ascii="Times New Roman" w:hAnsi="Times New Roman"/>
        </w:rPr>
      </w:pPr>
      <w:r>
        <w:rPr>
          <w:rFonts w:hint="eastAsia" w:ascii="Times New Roman" w:hAnsi="Times New Roman"/>
        </w:rPr>
        <w:t>式中</w:t>
      </w:r>
      <w:r>
        <w:rPr>
          <w:rFonts w:ascii="Times New Roman" w:hAnsi="Times New Roman"/>
        </w:rPr>
        <w:t xml:space="preserve">  </w:t>
      </w:r>
      <w:r>
        <w:rPr>
          <w:rFonts w:ascii="Times New Roman" w:hAnsi="Times New Roman"/>
          <w:position w:val="-12"/>
        </w:rPr>
        <w:object>
          <v:shape id="_x0000_i1128" o:spt="75" type="#_x0000_t75" style="height:19.2pt;width:16.8pt;" o:ole="t" filled="f" o:preferrelative="t" stroked="f" coordsize="21600,21600">
            <v:path/>
            <v:fill on="f" focussize="0,0"/>
            <v:stroke on="f" joinstyle="miter"/>
            <v:imagedata r:id="rId210" o:title=""/>
            <o:lock v:ext="edit" aspectratio="t"/>
            <w10:wrap type="none"/>
            <w10:anchorlock/>
          </v:shape>
          <o:OLEObject Type="Embed" ProgID="Equation.DSMT4" ShapeID="_x0000_i1128" DrawAspect="Content" ObjectID="_1468075828" r:id="rId209">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平行于</w:t>
      </w:r>
      <w:r>
        <w:rPr>
          <w:rFonts w:ascii="Times New Roman" w:hAnsi="Times New Roman"/>
          <w:position w:val="-12"/>
        </w:rPr>
        <w:object>
          <v:shape id="_x0000_i1129" o:spt="75" type="#_x0000_t75" style="height:19.2pt;width:11.4pt;" o:ole="t" filled="f" o:preferrelative="t" stroked="f" coordsize="21600,21600">
            <v:path/>
            <v:fill on="f" focussize="0,0"/>
            <v:stroke on="f" joinstyle="miter"/>
            <v:imagedata r:id="rId212" o:title=""/>
            <o:lock v:ext="edit" aspectratio="t"/>
            <w10:wrap type="none"/>
            <w10:anchorlock/>
          </v:shape>
          <o:OLEObject Type="Embed" ProgID="Equation.DSMT4" ShapeID="_x0000_i1129" DrawAspect="Content" ObjectID="_1468075829" r:id="rId211">
            <o:LockedField>false</o:LockedField>
          </o:OLEObject>
        </w:object>
      </w:r>
      <w:r>
        <w:rPr>
          <w:rFonts w:ascii="Times New Roman" w:hAnsi="Times New Roman"/>
        </w:rPr>
        <w:t xml:space="preserve"> </w:t>
      </w:r>
      <w:r>
        <w:rPr>
          <w:rFonts w:hint="eastAsia" w:ascii="Times New Roman" w:hAnsi="Times New Roman"/>
        </w:rPr>
        <w:t>方向面板的应力（</w:t>
      </w:r>
      <w:r>
        <w:rPr>
          <w:rFonts w:ascii="Times New Roman" w:hAnsi="Times New Roman"/>
          <w:position w:val="-6"/>
        </w:rPr>
        <w:object>
          <v:shape id="_x0000_i1130" o:spt="75" type="#_x0000_t75" style="height:18.6pt;width:49.8pt;" o:ole="t" filled="f" o:preferrelative="t" stroked="f" coordsize="21600,21600">
            <v:path/>
            <v:fill on="f" focussize="0,0"/>
            <v:stroke on="f" joinstyle="miter"/>
            <v:imagedata r:id="rId214" o:title=""/>
            <o:lock v:ext="edit" aspectratio="t"/>
            <w10:wrap type="none"/>
            <w10:anchorlock/>
          </v:shape>
          <o:OLEObject Type="Embed" ProgID="Equation.DSMT4" ShapeID="_x0000_i1130" DrawAspect="Content" ObjectID="_1468075830" r:id="rId213">
            <o:LockedField>false</o:LockedField>
          </o:OLEObject>
        </w:object>
      </w:r>
      <w:r>
        <w:rPr>
          <w:rFonts w:hint="eastAsia" w:ascii="Times New Roman" w:hAnsi="Times New Roman"/>
        </w:rPr>
        <w:t>）；</w:t>
      </w:r>
    </w:p>
    <w:p>
      <w:pPr>
        <w:spacing w:line="360" w:lineRule="auto"/>
        <w:ind w:firstLine="720" w:firstLineChars="300"/>
        <w:rPr>
          <w:rFonts w:ascii="Times New Roman" w:hAnsi="Times New Roman"/>
        </w:rPr>
      </w:pPr>
      <w:r>
        <w:rPr>
          <w:rFonts w:ascii="Times New Roman" w:hAnsi="Times New Roman"/>
          <w:position w:val="-12"/>
        </w:rPr>
        <w:object>
          <v:shape id="_x0000_i1131" o:spt="75" type="#_x0000_t75" style="height:19.2pt;width:21pt;" o:ole="t" filled="f" o:preferrelative="t" stroked="f" coordsize="21600,21600">
            <v:path/>
            <v:fill on="f" focussize="0,0"/>
            <v:stroke on="f" joinstyle="miter"/>
            <v:imagedata r:id="rId216" o:title=""/>
            <o:lock v:ext="edit" aspectratio="t"/>
            <w10:wrap type="none"/>
            <w10:anchorlock/>
          </v:shape>
          <o:OLEObject Type="Embed" ProgID="Equation.DSMT4" ShapeID="_x0000_i1131" DrawAspect="Content" ObjectID="_1468075831" r:id="rId215">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平行于</w:t>
      </w:r>
      <w:r>
        <w:rPr>
          <w:rFonts w:ascii="Times New Roman" w:hAnsi="Times New Roman"/>
          <w:position w:val="-12"/>
        </w:rPr>
        <w:object>
          <v:shape id="_x0000_i1132" o:spt="75" type="#_x0000_t75" style="height:19.2pt;width:11.4pt;" o:ole="t" filled="f" o:preferrelative="t" stroked="f" coordsize="21600,21600">
            <v:path/>
            <v:fill on="f" focussize="0,0"/>
            <v:stroke on="f" joinstyle="miter"/>
            <v:imagedata r:id="rId212" o:title=""/>
            <o:lock v:ext="edit" aspectratio="t"/>
            <w10:wrap type="none"/>
            <w10:anchorlock/>
          </v:shape>
          <o:OLEObject Type="Embed" ProgID="Equation.DSMT4" ShapeID="_x0000_i1132" DrawAspect="Content" ObjectID="_1468075832" r:id="rId217">
            <o:LockedField>false</o:LockedField>
          </o:OLEObject>
        </w:object>
      </w:r>
      <w:r>
        <w:rPr>
          <w:rFonts w:ascii="Times New Roman" w:hAnsi="Times New Roman"/>
        </w:rPr>
        <w:t xml:space="preserve"> </w:t>
      </w:r>
      <w:r>
        <w:rPr>
          <w:rFonts w:hint="eastAsia" w:ascii="Times New Roman" w:hAnsi="Times New Roman"/>
        </w:rPr>
        <w:t>方向面板中心点的弯矩（</w:t>
      </w:r>
      <w:r>
        <w:rPr>
          <w:rFonts w:ascii="Times New Roman" w:hAnsi="Times New Roman"/>
          <w:position w:val="-6"/>
        </w:rPr>
        <w:object>
          <v:shape id="_x0000_i1133" o:spt="75" type="#_x0000_t75" style="height:15pt;width:43.8pt;" o:ole="t" filled="f" o:preferrelative="t" stroked="f" coordsize="21600,21600">
            <v:path/>
            <v:fill on="f" focussize="0,0"/>
            <v:stroke on="f" joinstyle="miter"/>
            <v:imagedata r:id="rId219" o:title=""/>
            <o:lock v:ext="edit" aspectratio="t"/>
            <w10:wrap type="none"/>
            <w10:anchorlock/>
          </v:shape>
          <o:OLEObject Type="Embed" ProgID="Equation.DSMT4" ShapeID="_x0000_i1133" DrawAspect="Content" ObjectID="_1468075833" r:id="rId218">
            <o:LockedField>false</o:LockedField>
          </o:OLEObject>
        </w:object>
      </w:r>
      <w:r>
        <w:rPr>
          <w:rFonts w:hint="eastAsia" w:ascii="Times New Roman" w:hAnsi="Times New Roman"/>
        </w:rPr>
        <w:t>），按本标准表</w:t>
      </w:r>
      <w:r>
        <w:rPr>
          <w:rFonts w:ascii="Times New Roman" w:hAnsi="Times New Roman"/>
        </w:rPr>
        <w:t>5.4.2</w:t>
      </w:r>
      <w:r>
        <w:rPr>
          <w:rFonts w:hint="eastAsia" w:ascii="Times New Roman" w:hAnsi="Times New Roman"/>
        </w:rPr>
        <w:t>采用；</w:t>
      </w:r>
    </w:p>
    <w:p>
      <w:pPr>
        <w:spacing w:line="360" w:lineRule="auto"/>
        <w:ind w:firstLine="720" w:firstLineChars="300"/>
        <w:rPr>
          <w:rFonts w:ascii="Times New Roman" w:hAnsi="Times New Roman"/>
        </w:rPr>
      </w:pPr>
      <w:r>
        <w:rPr>
          <w:rFonts w:ascii="Times New Roman" w:hAnsi="Times New Roman"/>
          <w:position w:val="-6"/>
        </w:rPr>
        <w:object>
          <v:shape id="_x0000_i1134" o:spt="75" type="#_x0000_t75" style="height:15pt;width:12pt;" o:ole="t" filled="f" o:preferrelative="t" stroked="f" coordsize="21600,21600">
            <v:path/>
            <v:fill on="f" focussize="0,0"/>
            <v:stroke on="f" joinstyle="miter"/>
            <v:imagedata r:id="rId221" o:title=""/>
            <o:lock v:ext="edit" aspectratio="t"/>
            <w10:wrap type="none"/>
            <w10:anchorlock/>
          </v:shape>
          <o:OLEObject Type="Embed" ProgID="Equation.DSMT4" ShapeID="_x0000_i1134" DrawAspect="Content" ObjectID="_1468075834" r:id="rId220">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面板厚度（</w:t>
      </w:r>
      <w:r>
        <w:rPr>
          <w:rFonts w:ascii="Times New Roman" w:hAnsi="Times New Roman"/>
          <w:position w:val="-6"/>
        </w:rPr>
        <w:object>
          <v:shape id="_x0000_i1135" o:spt="75" type="#_x0000_t75" style="height:12pt;width:24pt;" o:ole="t" filled="f" o:preferrelative="t" stroked="f" coordsize="21600,21600">
            <v:path/>
            <v:fill on="f" focussize="0,0"/>
            <v:stroke on="f" joinstyle="miter"/>
            <v:imagedata r:id="rId223" o:title=""/>
            <o:lock v:ext="edit" aspectratio="t"/>
            <w10:wrap type="none"/>
            <w10:anchorlock/>
          </v:shape>
          <o:OLEObject Type="Embed" ProgID="Equation.DSMT4" ShapeID="_x0000_i1135" DrawAspect="Content" ObjectID="_1468075835" r:id="rId222">
            <o:LockedField>false</o:LockedField>
          </o:OLEObject>
        </w:object>
      </w:r>
      <w:r>
        <w:rPr>
          <w:rFonts w:hint="eastAsia" w:ascii="Times New Roman" w:hAnsi="Times New Roman"/>
        </w:rPr>
        <w:t>）；</w:t>
      </w:r>
    </w:p>
    <w:p>
      <w:pPr>
        <w:spacing w:line="360" w:lineRule="auto"/>
        <w:ind w:firstLine="720" w:firstLineChars="300"/>
        <w:rPr>
          <w:rFonts w:ascii="Times New Roman" w:hAnsi="Times New Roman"/>
        </w:rPr>
      </w:pPr>
      <w:r>
        <w:rPr>
          <w:rFonts w:ascii="Times New Roman" w:hAnsi="Times New Roman"/>
          <w:position w:val="-16"/>
        </w:rPr>
        <w:object>
          <v:shape id="_x0000_i1136" o:spt="75" type="#_x0000_t75" style="height:21pt;width:16.8pt;" o:ole="t" filled="f" o:preferrelative="t" stroked="f" coordsize="21600,21600">
            <v:path/>
            <v:fill on="f" focussize="0,0"/>
            <v:stroke on="f" joinstyle="miter"/>
            <v:imagedata r:id="rId225" o:title=""/>
            <o:lock v:ext="edit" aspectratio="t"/>
            <w10:wrap type="none"/>
            <w10:anchorlock/>
          </v:shape>
          <o:OLEObject Type="Embed" ProgID="Equation.DSMT4" ShapeID="_x0000_i1136" DrawAspect="Content" ObjectID="_1468075836" r:id="rId224">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平行于</w:t>
      </w:r>
      <w:r>
        <w:rPr>
          <w:rFonts w:ascii="Times New Roman" w:hAnsi="Times New Roman"/>
          <w:position w:val="-16"/>
        </w:rPr>
        <w:object>
          <v:shape id="_x0000_i1137" o:spt="75" type="#_x0000_t75" style="height:21pt;width:12pt;" o:ole="t" filled="f" o:preferrelative="t" stroked="f" coordsize="21600,21600">
            <v:path/>
            <v:fill on="f" focussize="0,0"/>
            <v:stroke on="f" joinstyle="miter"/>
            <v:imagedata r:id="rId227" o:title=""/>
            <o:lock v:ext="edit" aspectratio="t"/>
            <w10:wrap type="none"/>
            <w10:anchorlock/>
          </v:shape>
          <o:OLEObject Type="Embed" ProgID="Equation.DSMT4" ShapeID="_x0000_i1137" DrawAspect="Content" ObjectID="_1468075837" r:id="rId226">
            <o:LockedField>false</o:LockedField>
          </o:OLEObject>
        </w:object>
      </w:r>
      <w:r>
        <w:rPr>
          <w:rFonts w:ascii="Times New Roman" w:hAnsi="Times New Roman"/>
        </w:rPr>
        <w:t xml:space="preserve"> </w:t>
      </w:r>
      <w:r>
        <w:rPr>
          <w:rFonts w:hint="eastAsia" w:ascii="Times New Roman" w:hAnsi="Times New Roman"/>
        </w:rPr>
        <w:t>方向面板的应力（</w:t>
      </w:r>
      <w:r>
        <w:rPr>
          <w:rFonts w:ascii="Times New Roman" w:hAnsi="Times New Roman"/>
          <w:position w:val="-6"/>
        </w:rPr>
        <w:object>
          <v:shape id="_x0000_i1138" o:spt="75" type="#_x0000_t75" style="height:18.6pt;width:49.8pt;" o:ole="t" filled="f" o:preferrelative="t" stroked="f" coordsize="21600,21600">
            <v:path/>
            <v:fill on="f" focussize="0,0"/>
            <v:stroke on="f" joinstyle="miter"/>
            <v:imagedata r:id="rId214" o:title=""/>
            <o:lock v:ext="edit" aspectratio="t"/>
            <w10:wrap type="none"/>
            <w10:anchorlock/>
          </v:shape>
          <o:OLEObject Type="Embed" ProgID="Equation.DSMT4" ShapeID="_x0000_i1138" DrawAspect="Content" ObjectID="_1468075838" r:id="rId228">
            <o:LockedField>false</o:LockedField>
          </o:OLEObject>
        </w:object>
      </w:r>
      <w:r>
        <w:rPr>
          <w:rFonts w:hint="eastAsia" w:ascii="Times New Roman" w:hAnsi="Times New Roman"/>
        </w:rPr>
        <w:t>）；</w:t>
      </w:r>
    </w:p>
    <w:p>
      <w:pPr>
        <w:spacing w:line="360" w:lineRule="auto"/>
        <w:ind w:firstLine="720" w:firstLineChars="300"/>
        <w:rPr>
          <w:rFonts w:ascii="Times New Roman" w:hAnsi="Times New Roman"/>
        </w:rPr>
      </w:pPr>
      <w:r>
        <w:rPr>
          <w:rFonts w:ascii="Times New Roman" w:hAnsi="Times New Roman"/>
          <w:position w:val="-16"/>
        </w:rPr>
        <w:object>
          <v:shape id="_x0000_i1139" o:spt="75" type="#_x0000_t75" style="height:21pt;width:22.8pt;" o:ole="t" filled="f" o:preferrelative="t" stroked="f" coordsize="21600,21600">
            <v:path/>
            <v:fill on="f" focussize="0,0"/>
            <v:stroke on="f" joinstyle="miter"/>
            <v:imagedata r:id="rId230" o:title=""/>
            <o:lock v:ext="edit" aspectratio="t"/>
            <w10:wrap type="none"/>
            <w10:anchorlock/>
          </v:shape>
          <o:OLEObject Type="Embed" ProgID="Equation.DSMT4" ShapeID="_x0000_i1139" DrawAspect="Content" ObjectID="_1468075839" r:id="rId229">
            <o:LockedField>false</o:LockedField>
          </o:OLEObject>
        </w:object>
      </w:r>
      <w:r>
        <w:rPr>
          <w:rFonts w:ascii="Times New Roman" w:hAnsi="Times New Roman"/>
        </w:rPr>
        <w:t xml:space="preserve"> </w:t>
      </w:r>
      <w:r>
        <w:rPr>
          <w:rFonts w:hint="eastAsia" w:ascii="Times New Roman" w:hAnsi="Times New Roman"/>
        </w:rPr>
        <w:t>——</w:t>
      </w:r>
      <w:r>
        <w:rPr>
          <w:rFonts w:ascii="Times New Roman" w:hAnsi="Times New Roman"/>
        </w:rPr>
        <w:t xml:space="preserve"> </w:t>
      </w:r>
      <w:r>
        <w:rPr>
          <w:rFonts w:hint="eastAsia" w:ascii="Times New Roman" w:hAnsi="Times New Roman"/>
        </w:rPr>
        <w:t>平行于</w:t>
      </w:r>
      <w:r>
        <w:rPr>
          <w:rFonts w:ascii="Times New Roman" w:hAnsi="Times New Roman"/>
          <w:position w:val="-16"/>
        </w:rPr>
        <w:object>
          <v:shape id="_x0000_i1140" o:spt="75" type="#_x0000_t75" style="height:21pt;width:12pt;" o:ole="t" filled="f" o:preferrelative="t" stroked="f" coordsize="21600,21600">
            <v:path/>
            <v:fill on="f" focussize="0,0"/>
            <v:stroke on="f" joinstyle="miter"/>
            <v:imagedata r:id="rId232" o:title=""/>
            <o:lock v:ext="edit" aspectratio="t"/>
            <w10:wrap type="none"/>
            <w10:anchorlock/>
          </v:shape>
          <o:OLEObject Type="Embed" ProgID="Equation.DSMT4" ShapeID="_x0000_i1140" DrawAspect="Content" ObjectID="_1468075840" r:id="rId231">
            <o:LockedField>false</o:LockedField>
          </o:OLEObject>
        </w:object>
      </w:r>
      <w:r>
        <w:rPr>
          <w:rFonts w:ascii="Times New Roman" w:hAnsi="Times New Roman"/>
        </w:rPr>
        <w:t xml:space="preserve"> </w:t>
      </w:r>
      <w:r>
        <w:rPr>
          <w:rFonts w:hint="eastAsia" w:ascii="Times New Roman" w:hAnsi="Times New Roman"/>
        </w:rPr>
        <w:t>方向面板中心点的弯矩（</w:t>
      </w:r>
      <w:r>
        <w:rPr>
          <w:rFonts w:ascii="Times New Roman" w:hAnsi="Times New Roman"/>
          <w:position w:val="-6"/>
        </w:rPr>
        <w:object>
          <v:shape id="_x0000_i1141" o:spt="75" type="#_x0000_t75" style="height:15pt;width:43.8pt;" o:ole="t" filled="f" o:preferrelative="t" stroked="f" coordsize="21600,21600">
            <v:path/>
            <v:fill on="f" focussize="0,0"/>
            <v:stroke on="f" joinstyle="miter"/>
            <v:imagedata r:id="rId219" o:title=""/>
            <o:lock v:ext="edit" aspectratio="t"/>
            <w10:wrap type="none"/>
            <w10:anchorlock/>
          </v:shape>
          <o:OLEObject Type="Embed" ProgID="Equation.DSMT4" ShapeID="_x0000_i1141" DrawAspect="Content" ObjectID="_1468075841" r:id="rId233">
            <o:LockedField>false</o:LockedField>
          </o:OLEObject>
        </w:object>
      </w:r>
      <w:r>
        <w:rPr>
          <w:rFonts w:hint="eastAsia" w:ascii="Times New Roman" w:hAnsi="Times New Roman"/>
        </w:rPr>
        <w:t>），按本标准表</w:t>
      </w:r>
      <w:r>
        <w:rPr>
          <w:rFonts w:ascii="Times New Roman" w:hAnsi="Times New Roman"/>
        </w:rPr>
        <w:t>5.4.2</w:t>
      </w:r>
      <w:r>
        <w:rPr>
          <w:rFonts w:hint="eastAsia" w:ascii="Times New Roman" w:hAnsi="Times New Roman"/>
        </w:rPr>
        <w:t>采用；</w:t>
      </w:r>
    </w:p>
    <w:p>
      <w:pPr>
        <w:jc w:val="center"/>
        <w:rPr>
          <w:rFonts w:ascii="Times New Roman" w:hAnsi="Times New Roman"/>
          <w:b/>
          <w:bCs/>
        </w:rPr>
      </w:pPr>
      <w:r>
        <w:rPr>
          <w:rFonts w:hint="eastAsia" w:ascii="Times New Roman" w:hAnsi="Times New Roman"/>
          <w:b/>
          <w:bCs/>
        </w:rPr>
        <w:t>表</w:t>
      </w:r>
      <w:r>
        <w:rPr>
          <w:rFonts w:ascii="Times New Roman" w:hAnsi="Times New Roman"/>
          <w:b/>
          <w:bCs/>
        </w:rPr>
        <w:t xml:space="preserve">5.4.2-1 </w:t>
      </w:r>
      <w:r>
        <w:rPr>
          <w:rFonts w:hint="eastAsia" w:ascii="Times New Roman" w:hAnsi="Times New Roman"/>
          <w:b/>
          <w:bCs/>
        </w:rPr>
        <w:t>均布荷载作用下双向矩形板的弯矩系数</w: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7"/>
        <w:gridCol w:w="871"/>
        <w:gridCol w:w="1591"/>
        <w:gridCol w:w="1565"/>
        <w:gridCol w:w="1467"/>
        <w:gridCol w:w="1252"/>
        <w:gridCol w:w="10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8" w:type="dxa"/>
            <w:gridSpan w:val="2"/>
            <w:vMerge w:val="restart"/>
            <w:vAlign w:val="center"/>
          </w:tcPr>
          <w:p>
            <w:pPr>
              <w:jc w:val="center"/>
              <w:rPr>
                <w:rFonts w:ascii="Times New Roman" w:hAnsi="Times New Roman"/>
                <w:sz w:val="21"/>
                <w:szCs w:val="21"/>
              </w:rPr>
            </w:pPr>
            <w:r>
              <w:rPr>
                <w:rFonts w:ascii="Times New Roman" w:hAnsi="Times New Roman" w:eastAsiaTheme="minorEastAsia" w:cstheme="minorBidi"/>
                <w:kern w:val="2"/>
                <w:position w:val="-6"/>
                <w:sz w:val="21"/>
                <w:szCs w:val="21"/>
              </w:rPr>
              <w:object>
                <v:shape id="_x0000_i1142" o:spt="75" type="#_x0000_t75" style="height:15pt;width:30pt;" o:ole="t" filled="f" o:preferrelative="t" stroked="f" coordsize="21600,21600">
                  <v:path/>
                  <v:fill on="f" focussize="0,0"/>
                  <v:stroke on="f" joinstyle="miter"/>
                  <v:imagedata r:id="rId235" o:title=""/>
                  <o:lock v:ext="edit" aspectratio="t"/>
                  <w10:wrap type="none"/>
                  <w10:anchorlock/>
                </v:shape>
                <o:OLEObject Type="Embed" ProgID="Equation.DSMT4" ShapeID="_x0000_i1142" DrawAspect="Content" ObjectID="_1468075842" r:id="rId234">
                  <o:LockedField>false</o:LockedField>
                </o:OLEObject>
              </w:object>
            </w:r>
          </w:p>
        </w:tc>
        <w:tc>
          <w:tcPr>
            <w:tcW w:w="6908" w:type="dxa"/>
            <w:gridSpan w:val="5"/>
            <w:vAlign w:val="center"/>
          </w:tcPr>
          <w:p>
            <w:pPr>
              <w:jc w:val="center"/>
              <w:rPr>
                <w:rFonts w:ascii="Times New Roman" w:hAnsi="Times New Roman"/>
                <w:sz w:val="21"/>
                <w:szCs w:val="21"/>
              </w:rPr>
            </w:pPr>
            <w:r>
              <w:rPr>
                <w:rFonts w:hint="eastAsia" w:ascii="Times New Roman" w:hAnsi="Times New Roman"/>
                <w:sz w:val="21"/>
                <w:szCs w:val="21"/>
              </w:rPr>
              <w:t>弯矩</w:t>
            </w:r>
            <w:r>
              <w:rPr>
                <w:rFonts w:ascii="Times New Roman" w:hAnsi="Times New Roman"/>
                <w:sz w:val="21"/>
                <w:szCs w:val="21"/>
              </w:rPr>
              <w:t>=表中系数</w:t>
            </w:r>
            <w:r>
              <w:rPr>
                <w:rFonts w:ascii="Times New Roman" w:hAnsi="Times New Roman" w:eastAsiaTheme="minorEastAsia" w:cstheme="minorBidi"/>
                <w:kern w:val="2"/>
                <w:position w:val="-12"/>
                <w:sz w:val="21"/>
                <w:szCs w:val="21"/>
              </w:rPr>
              <w:object>
                <v:shape id="_x0000_i1143" o:spt="75" type="#_x0000_t75" style="height:21pt;width:27pt;" o:ole="t" filled="f" o:preferrelative="t" stroked="f" coordsize="21600,21600">
                  <v:path/>
                  <v:fill on="f" focussize="0,0"/>
                  <v:stroke on="f" joinstyle="miter"/>
                  <v:imagedata r:id="rId237" o:title=""/>
                  <o:lock v:ext="edit" aspectratio="t"/>
                  <w10:wrap type="none"/>
                  <w10:anchorlock/>
                </v:shape>
                <o:OLEObject Type="Embed" ProgID="Equation.DSMT4" ShapeID="_x0000_i1143" DrawAspect="Content" ObjectID="_1468075843" r:id="rId236">
                  <o:LockedField>false</o:LockedField>
                </o:OLEObject>
              </w:object>
            </w:r>
            <w:r>
              <w:rPr>
                <w:rFonts w:ascii="Times New Roman" w:hAnsi="Times New Roman"/>
                <w:sz w:val="21"/>
                <w:szCs w:val="21"/>
              </w:rPr>
              <w:t xml:space="preserve">   </w:t>
            </w:r>
            <w:r>
              <w:rPr>
                <w:rFonts w:hint="eastAsia" w:ascii="Times New Roman" w:hAnsi="Times New Roman"/>
                <w:sz w:val="21"/>
                <w:szCs w:val="21"/>
              </w:rPr>
              <w:t>式中</w:t>
            </w:r>
            <w:r>
              <w:rPr>
                <w:rFonts w:ascii="Times New Roman" w:hAnsi="Times New Roman" w:eastAsiaTheme="minorEastAsia" w:cstheme="minorBidi"/>
                <w:kern w:val="2"/>
                <w:position w:val="-6"/>
                <w:sz w:val="21"/>
                <w:szCs w:val="21"/>
              </w:rPr>
              <w:object>
                <v:shape id="_x0000_i1144" o:spt="75" type="#_x0000_t75" style="height:15pt;width:7.8pt;" o:ole="t" filled="f" o:preferrelative="t" stroked="f" coordsize="21600,21600">
                  <v:path/>
                  <v:fill on="f" focussize="0,0"/>
                  <v:stroke on="f" joinstyle="miter"/>
                  <v:imagedata r:id="rId239" o:title=""/>
                  <o:lock v:ext="edit" aspectratio="t"/>
                  <w10:wrap type="none"/>
                  <w10:anchorlock/>
                </v:shape>
                <o:OLEObject Type="Embed" ProgID="Equation.DSMT4" ShapeID="_x0000_i1144" DrawAspect="Content" ObjectID="_1468075844" r:id="rId238">
                  <o:LockedField>false</o:LockedField>
                </o:OLEObject>
              </w:object>
            </w:r>
            <w:r>
              <w:rPr>
                <w:rFonts w:hint="eastAsia" w:ascii="Times New Roman" w:hAnsi="Times New Roman"/>
                <w:sz w:val="21"/>
                <w:szCs w:val="21"/>
              </w:rPr>
              <w:t>用</w:t>
            </w:r>
            <w:r>
              <w:rPr>
                <w:rFonts w:ascii="Times New Roman" w:hAnsi="Times New Roman" w:eastAsiaTheme="minorEastAsia" w:cstheme="minorBidi"/>
                <w:kern w:val="2"/>
                <w:position w:val="-12"/>
                <w:sz w:val="21"/>
                <w:szCs w:val="21"/>
              </w:rPr>
              <w:object>
                <v:shape id="_x0000_i1145" o:spt="75" type="#_x0000_t75" style="height:19.2pt;width:11.4pt;" o:ole="t" filled="f" o:preferrelative="t" stroked="f" coordsize="21600,21600">
                  <v:path/>
                  <v:fill on="f" focussize="0,0"/>
                  <v:stroke on="f" joinstyle="miter"/>
                  <v:imagedata r:id="rId241" o:title=""/>
                  <o:lock v:ext="edit" aspectratio="t"/>
                  <w10:wrap type="none"/>
                  <w10:anchorlock/>
                </v:shape>
                <o:OLEObject Type="Embed" ProgID="Equation.DSMT4" ShapeID="_x0000_i1145" DrawAspect="Content" ObjectID="_1468075845" r:id="rId240">
                  <o:LockedField>false</o:LockedField>
                </o:OLEObject>
              </w:object>
            </w:r>
            <w:r>
              <w:rPr>
                <w:rFonts w:hint="eastAsia" w:ascii="Times New Roman" w:hAnsi="Times New Roman"/>
                <w:sz w:val="21"/>
                <w:szCs w:val="21"/>
              </w:rPr>
              <w:t>和</w:t>
            </w:r>
            <w:r>
              <w:rPr>
                <w:rFonts w:ascii="Times New Roman" w:hAnsi="Times New Roman" w:eastAsiaTheme="minorEastAsia" w:cstheme="minorBidi"/>
                <w:kern w:val="2"/>
                <w:position w:val="-16"/>
                <w:sz w:val="21"/>
                <w:szCs w:val="21"/>
              </w:rPr>
              <w:object>
                <v:shape id="_x0000_i1146" o:spt="75" type="#_x0000_t75" style="height:21pt;width:12pt;" o:ole="t" filled="f" o:preferrelative="t" stroked="f" coordsize="21600,21600">
                  <v:path/>
                  <v:fill on="f" focussize="0,0"/>
                  <v:stroke on="f" joinstyle="miter"/>
                  <v:imagedata r:id="rId243" o:title=""/>
                  <o:lock v:ext="edit" aspectratio="t"/>
                  <w10:wrap type="none"/>
                  <w10:anchorlock/>
                </v:shape>
                <o:OLEObject Type="Embed" ProgID="Equation.DSMT4" ShapeID="_x0000_i1146" DrawAspect="Content" ObjectID="_1468075846" r:id="rId242">
                  <o:LockedField>false</o:LockedField>
                </o:OLEObject>
              </w:object>
            </w:r>
            <w:r>
              <w:rPr>
                <w:rFonts w:hint="eastAsia" w:ascii="Times New Roman" w:hAnsi="Times New Roman"/>
                <w:sz w:val="21"/>
                <w:szCs w:val="21"/>
              </w:rPr>
              <w:t>中较小者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7" w:hRule="atLeast"/>
        </w:trPr>
        <w:tc>
          <w:tcPr>
            <w:tcW w:w="1388" w:type="dxa"/>
            <w:gridSpan w:val="2"/>
            <w:vMerge w:val="continue"/>
            <w:vAlign w:val="center"/>
          </w:tcPr>
          <w:p>
            <w:pPr>
              <w:rPr>
                <w:rFonts w:ascii="Times New Roman" w:hAnsi="Times New Roman"/>
                <w:sz w:val="21"/>
                <w:szCs w:val="21"/>
              </w:rPr>
            </w:pPr>
          </w:p>
        </w:tc>
        <w:tc>
          <w:tcPr>
            <w:tcW w:w="3156" w:type="dxa"/>
            <w:gridSpan w:val="2"/>
            <w:vAlign w:val="center"/>
          </w:tcPr>
          <w:p>
            <w:pPr>
              <w:jc w:val="center"/>
              <w:rPr>
                <w:rFonts w:ascii="Times New Roman" w:hAnsi="Times New Roman"/>
                <w:sz w:val="21"/>
                <w:szCs w:val="21"/>
              </w:rPr>
            </w:pPr>
            <w:r>
              <w:rPr>
                <w:rFonts w:ascii="Times New Roman" w:hAnsi="Times New Roman"/>
                <w:sz w:val="21"/>
                <w:szCs w:val="21"/>
              </w:rPr>
              <w:drawing>
                <wp:inline distT="0" distB="0" distL="0" distR="0">
                  <wp:extent cx="1864360" cy="1333500"/>
                  <wp:effectExtent l="0" t="0" r="2540" b="0"/>
                  <wp:docPr id="871121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21740" name="图片 1"/>
                          <pic:cNvPicPr>
                            <a:picLocks noChangeAspect="1"/>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867894" cy="1335816"/>
                          </a:xfrm>
                          <a:prstGeom prst="rect">
                            <a:avLst/>
                          </a:prstGeom>
                        </pic:spPr>
                      </pic:pic>
                    </a:graphicData>
                  </a:graphic>
                </wp:inline>
              </w:drawing>
            </w:r>
          </w:p>
        </w:tc>
        <w:tc>
          <w:tcPr>
            <w:tcW w:w="3752" w:type="dxa"/>
            <w:gridSpan w:val="3"/>
            <w:vAlign w:val="center"/>
          </w:tcPr>
          <w:p>
            <w:pPr>
              <w:jc w:val="center"/>
              <w:rPr>
                <w:rFonts w:ascii="Times New Roman" w:hAnsi="Times New Roman"/>
                <w:sz w:val="21"/>
                <w:szCs w:val="21"/>
              </w:rPr>
            </w:pPr>
            <w:r>
              <w:rPr>
                <w:rFonts w:ascii="Times New Roman" w:hAnsi="Times New Roman"/>
                <w:sz w:val="21"/>
                <w:szCs w:val="21"/>
              </w:rPr>
              <w:drawing>
                <wp:inline distT="0" distB="0" distL="0" distR="0">
                  <wp:extent cx="1927860" cy="1424305"/>
                  <wp:effectExtent l="0" t="0" r="0" b="4445"/>
                  <wp:docPr id="943950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50066" name="图片 1"/>
                          <pic:cNvPicPr>
                            <a:picLocks noChangeAspect="1"/>
                          </pic:cNvPicPr>
                        </pic:nvPicPr>
                        <pic:blipFill>
                          <a:blip r:embed="rId245">
                            <a:extLst>
                              <a:ext uri="{28A0092B-C50C-407E-A947-70E740481C1C}">
                                <a14:useLocalDpi xmlns:a14="http://schemas.microsoft.com/office/drawing/2010/main" val="0"/>
                              </a:ext>
                            </a:extLst>
                          </a:blip>
                          <a:stretch>
                            <a:fillRect/>
                          </a:stretch>
                        </pic:blipFill>
                        <pic:spPr>
                          <a:xfrm>
                            <a:off x="0" y="0"/>
                            <a:ext cx="1939349" cy="1433227"/>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restart"/>
            <w:vAlign w:val="center"/>
          </w:tcPr>
          <w:p>
            <w:pPr>
              <w:rPr>
                <w:rFonts w:ascii="Times New Roman" w:hAnsi="Times New Roman"/>
                <w:sz w:val="21"/>
                <w:szCs w:val="21"/>
              </w:rPr>
            </w:pPr>
            <w:r>
              <w:rPr>
                <w:rFonts w:ascii="Times New Roman" w:hAnsi="Times New Roman" w:eastAsiaTheme="minorEastAsia" w:cstheme="minorBidi"/>
                <w:kern w:val="2"/>
                <w:position w:val="-38"/>
                <w:sz w:val="21"/>
                <w:szCs w:val="21"/>
              </w:rPr>
              <w:object>
                <v:shape id="_x0000_i1147" o:spt="75" type="#_x0000_t75" style="height:41.4pt;width:15pt;" o:ole="t" filled="f" o:preferrelative="t" stroked="f" coordsize="21600,21600">
                  <v:path/>
                  <v:fill on="f" focussize="0,0"/>
                  <v:stroke on="f" joinstyle="miter"/>
                  <v:imagedata r:id="rId247" o:title=""/>
                  <o:lock v:ext="edit" aspectratio="t"/>
                  <w10:wrap type="none"/>
                  <w10:anchorlock/>
                </v:shape>
                <o:OLEObject Type="Embed" ProgID="Equation.DSMT4" ShapeID="_x0000_i1147" DrawAspect="Content" ObjectID="_1468075847" r:id="rId246">
                  <o:LockedField>false</o:LockedField>
                </o:OLEObject>
              </w:object>
            </w:r>
            <w:r>
              <w:rPr>
                <w:rFonts w:ascii="Times New Roman" w:hAnsi="Times New Roman"/>
                <w:sz w:val="21"/>
                <w:szCs w:val="21"/>
              </w:rPr>
              <w:t xml:space="preserve"> </w:t>
            </w:r>
          </w:p>
        </w:tc>
        <w:tc>
          <w:tcPr>
            <w:tcW w:w="871" w:type="dxa"/>
            <w:vAlign w:val="center"/>
          </w:tcPr>
          <w:p>
            <w:pPr>
              <w:rPr>
                <w:rFonts w:ascii="Times New Roman" w:hAnsi="Times New Roman"/>
                <w:sz w:val="21"/>
                <w:szCs w:val="21"/>
              </w:rPr>
            </w:pPr>
          </w:p>
        </w:tc>
        <w:tc>
          <w:tcPr>
            <w:tcW w:w="1591" w:type="dxa"/>
            <w:vAlign w:val="center"/>
          </w:tcPr>
          <w:p>
            <w:pPr>
              <w:jc w:val="center"/>
              <w:rPr>
                <w:rFonts w:ascii="Times New Roman" w:hAnsi="Times New Roman"/>
                <w:sz w:val="21"/>
                <w:szCs w:val="21"/>
              </w:rPr>
            </w:pPr>
            <w:r>
              <w:rPr>
                <w:rFonts w:ascii="Times New Roman" w:hAnsi="Times New Roman" w:eastAsiaTheme="minorEastAsia" w:cstheme="minorBidi"/>
                <w:kern w:val="2"/>
                <w:position w:val="-12"/>
                <w:sz w:val="21"/>
                <w:szCs w:val="21"/>
              </w:rPr>
              <w:object>
                <v:shape id="_x0000_i1148" o:spt="75" type="#_x0000_t75" style="height:19.2pt;width:21pt;" o:ole="t" filled="f" o:preferrelative="t" stroked="f" coordsize="21600,21600">
                  <v:path/>
                  <v:fill on="f" focussize="0,0"/>
                  <v:stroke on="f" joinstyle="miter"/>
                  <v:imagedata r:id="rId249" o:title=""/>
                  <o:lock v:ext="edit" aspectratio="t"/>
                  <w10:wrap type="none"/>
                  <w10:anchorlock/>
                </v:shape>
                <o:OLEObject Type="Embed" ProgID="Equation.DSMT4" ShapeID="_x0000_i1148" DrawAspect="Content" ObjectID="_1468075848" r:id="rId248">
                  <o:LockedField>false</o:LockedField>
                </o:OLEObject>
              </w:object>
            </w:r>
          </w:p>
        </w:tc>
        <w:tc>
          <w:tcPr>
            <w:tcW w:w="1565" w:type="dxa"/>
            <w:vAlign w:val="center"/>
          </w:tcPr>
          <w:p>
            <w:pPr>
              <w:jc w:val="center"/>
              <w:rPr>
                <w:rFonts w:ascii="Times New Roman" w:hAnsi="Times New Roman"/>
                <w:sz w:val="21"/>
                <w:szCs w:val="21"/>
              </w:rPr>
            </w:pPr>
            <w:r>
              <w:rPr>
                <w:rFonts w:ascii="Times New Roman" w:hAnsi="Times New Roman" w:eastAsiaTheme="minorEastAsia" w:cstheme="minorBidi"/>
                <w:kern w:val="2"/>
                <w:position w:val="-16"/>
                <w:sz w:val="21"/>
                <w:szCs w:val="21"/>
              </w:rPr>
              <w:object>
                <v:shape id="_x0000_i1149" o:spt="75" type="#_x0000_t75" style="height:21pt;width:22.8pt;" o:ole="t" filled="f" o:preferrelative="t" stroked="f" coordsize="21600,21600">
                  <v:path/>
                  <v:fill on="f" focussize="0,0"/>
                  <v:stroke on="f" joinstyle="miter"/>
                  <v:imagedata r:id="rId251" o:title=""/>
                  <o:lock v:ext="edit" aspectratio="t"/>
                  <w10:wrap type="none"/>
                  <w10:anchorlock/>
                </v:shape>
                <o:OLEObject Type="Embed" ProgID="Equation.DSMT4" ShapeID="_x0000_i1149" DrawAspect="Content" ObjectID="_1468075849" r:id="rId250">
                  <o:LockedField>false</o:LockedField>
                </o:OLEObject>
              </w:object>
            </w:r>
          </w:p>
        </w:tc>
        <w:tc>
          <w:tcPr>
            <w:tcW w:w="1467" w:type="dxa"/>
            <w:vAlign w:val="center"/>
          </w:tcPr>
          <w:p>
            <w:pPr>
              <w:jc w:val="center"/>
              <w:rPr>
                <w:rFonts w:ascii="Times New Roman" w:hAnsi="Times New Roman"/>
                <w:sz w:val="21"/>
                <w:szCs w:val="21"/>
              </w:rPr>
            </w:pPr>
            <w:r>
              <w:rPr>
                <w:rFonts w:ascii="Times New Roman" w:hAnsi="Times New Roman" w:eastAsiaTheme="minorEastAsia" w:cstheme="minorBidi"/>
                <w:kern w:val="2"/>
                <w:position w:val="-12"/>
                <w:sz w:val="21"/>
                <w:szCs w:val="21"/>
              </w:rPr>
              <w:object>
                <v:shape id="_x0000_i1150" o:spt="75" type="#_x0000_t75" style="height:21pt;width:22.8pt;" o:ole="t" filled="f" o:preferrelative="t" stroked="f" coordsize="21600,21600">
                  <v:path/>
                  <v:fill on="f" focussize="0,0"/>
                  <v:stroke on="f" joinstyle="miter"/>
                  <v:imagedata r:id="rId253" o:title=""/>
                  <o:lock v:ext="edit" aspectratio="t"/>
                  <w10:wrap type="none"/>
                  <w10:anchorlock/>
                </v:shape>
                <o:OLEObject Type="Embed" ProgID="Equation.DSMT4" ShapeID="_x0000_i1150" DrawAspect="Content" ObjectID="_1468075850" r:id="rId252">
                  <o:LockedField>false</o:LockedField>
                </o:OLEObject>
              </w:object>
            </w:r>
            <w:r>
              <w:rPr>
                <w:rFonts w:ascii="Times New Roman" w:hAnsi="Times New Roman"/>
                <w:sz w:val="21"/>
                <w:szCs w:val="21"/>
              </w:rPr>
              <w:t xml:space="preserve"> </w:t>
            </w:r>
          </w:p>
        </w:tc>
        <w:tc>
          <w:tcPr>
            <w:tcW w:w="1252" w:type="dxa"/>
            <w:vAlign w:val="center"/>
          </w:tcPr>
          <w:p>
            <w:pPr>
              <w:jc w:val="center"/>
              <w:rPr>
                <w:rFonts w:ascii="Times New Roman" w:hAnsi="Times New Roman"/>
                <w:sz w:val="21"/>
                <w:szCs w:val="21"/>
              </w:rPr>
            </w:pPr>
            <w:r>
              <w:rPr>
                <w:rFonts w:ascii="Times New Roman" w:hAnsi="Times New Roman" w:eastAsiaTheme="minorEastAsia" w:cstheme="minorBidi"/>
                <w:kern w:val="2"/>
                <w:position w:val="-12"/>
                <w:sz w:val="21"/>
                <w:szCs w:val="21"/>
              </w:rPr>
              <w:object>
                <v:shape id="_x0000_i1151" o:spt="75" type="#_x0000_t75" style="height:19.2pt;width:21pt;" o:ole="t" filled="f" o:preferrelative="t" stroked="f" coordsize="21600,21600">
                  <v:path/>
                  <v:fill on="f" focussize="0,0"/>
                  <v:stroke on="f" joinstyle="miter"/>
                  <v:imagedata r:id="rId249" o:title=""/>
                  <o:lock v:ext="edit" aspectratio="t"/>
                  <w10:wrap type="none"/>
                  <w10:anchorlock/>
                </v:shape>
                <o:OLEObject Type="Embed" ProgID="Equation.DSMT4" ShapeID="_x0000_i1151" DrawAspect="Content" ObjectID="_1468075851" r:id="rId254">
                  <o:LockedField>false</o:LockedField>
                </o:OLEObject>
              </w:object>
            </w:r>
          </w:p>
        </w:tc>
        <w:tc>
          <w:tcPr>
            <w:tcW w:w="1033" w:type="dxa"/>
            <w:vAlign w:val="center"/>
          </w:tcPr>
          <w:p>
            <w:pPr>
              <w:jc w:val="center"/>
              <w:rPr>
                <w:rFonts w:ascii="Times New Roman" w:hAnsi="Times New Roman"/>
                <w:sz w:val="21"/>
                <w:szCs w:val="21"/>
              </w:rPr>
            </w:pPr>
            <w:r>
              <w:rPr>
                <w:rFonts w:ascii="Times New Roman" w:hAnsi="Times New Roman" w:eastAsiaTheme="minorEastAsia" w:cstheme="minorBidi"/>
                <w:kern w:val="2"/>
                <w:position w:val="-16"/>
                <w:sz w:val="21"/>
                <w:szCs w:val="21"/>
              </w:rPr>
              <w:object>
                <v:shape id="_x0000_i1152" o:spt="75" type="#_x0000_t75" style="height:21pt;width:22.8pt;" o:ole="t" filled="f" o:preferrelative="t" stroked="f" coordsize="21600,21600">
                  <v:path/>
                  <v:fill on="f" focussize="0,0"/>
                  <v:stroke on="f" joinstyle="miter"/>
                  <v:imagedata r:id="rId251" o:title=""/>
                  <o:lock v:ext="edit" aspectratio="t"/>
                  <w10:wrap type="none"/>
                  <w10:anchorlock/>
                </v:shape>
                <o:OLEObject Type="Embed" ProgID="Equation.DSMT4" ShapeID="_x0000_i1152" DrawAspect="Content" ObjectID="_1468075852" r:id="rId255">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0.50</w:t>
            </w:r>
          </w:p>
        </w:tc>
        <w:tc>
          <w:tcPr>
            <w:tcW w:w="1591" w:type="dxa"/>
            <w:vAlign w:val="center"/>
          </w:tcPr>
          <w:p>
            <w:pPr>
              <w:jc w:val="center"/>
              <w:rPr>
                <w:rFonts w:ascii="Times New Roman" w:hAnsi="Times New Roman"/>
                <w:sz w:val="21"/>
                <w:szCs w:val="21"/>
              </w:rPr>
            </w:pPr>
            <w:r>
              <w:rPr>
                <w:rFonts w:ascii="Times New Roman" w:hAnsi="Times New Roman"/>
                <w:sz w:val="21"/>
                <w:szCs w:val="21"/>
              </w:rPr>
              <w:t>0.0965</w:t>
            </w:r>
          </w:p>
        </w:tc>
        <w:tc>
          <w:tcPr>
            <w:tcW w:w="1565" w:type="dxa"/>
            <w:vAlign w:val="center"/>
          </w:tcPr>
          <w:p>
            <w:pPr>
              <w:jc w:val="center"/>
              <w:rPr>
                <w:rFonts w:ascii="Times New Roman" w:hAnsi="Times New Roman"/>
                <w:sz w:val="21"/>
                <w:szCs w:val="21"/>
              </w:rPr>
            </w:pPr>
            <w:r>
              <w:rPr>
                <w:rFonts w:ascii="Times New Roman" w:hAnsi="Times New Roman"/>
                <w:sz w:val="21"/>
                <w:szCs w:val="21"/>
              </w:rPr>
              <w:t>0.0174</w:t>
            </w:r>
          </w:p>
        </w:tc>
        <w:tc>
          <w:tcPr>
            <w:tcW w:w="1467" w:type="dxa"/>
            <w:vAlign w:val="center"/>
          </w:tcPr>
          <w:p>
            <w:pPr>
              <w:jc w:val="center"/>
              <w:rPr>
                <w:rFonts w:ascii="Times New Roman" w:hAnsi="Times New Roman"/>
                <w:sz w:val="21"/>
                <w:szCs w:val="21"/>
              </w:rPr>
            </w:pPr>
            <w:r>
              <w:rPr>
                <w:rFonts w:ascii="Times New Roman" w:hAnsi="Times New Roman"/>
                <w:sz w:val="21"/>
                <w:szCs w:val="21"/>
              </w:rPr>
              <w:t>-0.1214</w:t>
            </w:r>
          </w:p>
        </w:tc>
        <w:tc>
          <w:tcPr>
            <w:tcW w:w="1252" w:type="dxa"/>
            <w:vAlign w:val="center"/>
          </w:tcPr>
          <w:p>
            <w:pPr>
              <w:jc w:val="center"/>
              <w:rPr>
                <w:rFonts w:ascii="Times New Roman" w:hAnsi="Times New Roman"/>
                <w:sz w:val="21"/>
                <w:szCs w:val="21"/>
              </w:rPr>
            </w:pPr>
            <w:r>
              <w:rPr>
                <w:rFonts w:ascii="Times New Roman" w:hAnsi="Times New Roman"/>
                <w:sz w:val="21"/>
                <w:szCs w:val="21"/>
              </w:rPr>
              <w:t>0.0584</w:t>
            </w:r>
          </w:p>
        </w:tc>
        <w:tc>
          <w:tcPr>
            <w:tcW w:w="1033" w:type="dxa"/>
            <w:vAlign w:val="center"/>
          </w:tcPr>
          <w:p>
            <w:pPr>
              <w:jc w:val="center"/>
              <w:rPr>
                <w:rFonts w:ascii="Times New Roman" w:hAnsi="Times New Roman"/>
                <w:sz w:val="21"/>
                <w:szCs w:val="21"/>
              </w:rPr>
            </w:pPr>
            <w:r>
              <w:rPr>
                <w:rFonts w:ascii="Times New Roman" w:hAnsi="Times New Roman"/>
                <w:sz w:val="21"/>
                <w:szCs w:val="21"/>
              </w:rPr>
              <w:t>0.0060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0.55</w:t>
            </w:r>
          </w:p>
        </w:tc>
        <w:tc>
          <w:tcPr>
            <w:tcW w:w="1591" w:type="dxa"/>
            <w:vAlign w:val="center"/>
          </w:tcPr>
          <w:p>
            <w:pPr>
              <w:jc w:val="center"/>
              <w:rPr>
                <w:rFonts w:ascii="Times New Roman" w:hAnsi="Times New Roman"/>
                <w:sz w:val="21"/>
                <w:szCs w:val="21"/>
              </w:rPr>
            </w:pPr>
            <w:r>
              <w:rPr>
                <w:rFonts w:ascii="Times New Roman" w:hAnsi="Times New Roman"/>
                <w:sz w:val="21"/>
                <w:szCs w:val="21"/>
              </w:rPr>
              <w:t>0.0892</w:t>
            </w:r>
          </w:p>
        </w:tc>
        <w:tc>
          <w:tcPr>
            <w:tcW w:w="1565" w:type="dxa"/>
            <w:vAlign w:val="center"/>
          </w:tcPr>
          <w:p>
            <w:pPr>
              <w:jc w:val="center"/>
              <w:rPr>
                <w:rFonts w:ascii="Times New Roman" w:hAnsi="Times New Roman"/>
                <w:sz w:val="21"/>
                <w:szCs w:val="21"/>
              </w:rPr>
            </w:pPr>
            <w:r>
              <w:rPr>
                <w:rFonts w:ascii="Times New Roman" w:hAnsi="Times New Roman"/>
                <w:sz w:val="21"/>
                <w:szCs w:val="21"/>
              </w:rPr>
              <w:t>0.0210</w:t>
            </w:r>
          </w:p>
        </w:tc>
        <w:tc>
          <w:tcPr>
            <w:tcW w:w="1467" w:type="dxa"/>
            <w:vAlign w:val="center"/>
          </w:tcPr>
          <w:p>
            <w:pPr>
              <w:jc w:val="center"/>
              <w:rPr>
                <w:rFonts w:ascii="Times New Roman" w:hAnsi="Times New Roman"/>
                <w:sz w:val="21"/>
                <w:szCs w:val="21"/>
              </w:rPr>
            </w:pPr>
            <w:r>
              <w:rPr>
                <w:rFonts w:ascii="Times New Roman" w:hAnsi="Times New Roman"/>
                <w:sz w:val="21"/>
                <w:szCs w:val="21"/>
              </w:rPr>
              <w:t>-0.1188</w:t>
            </w:r>
          </w:p>
        </w:tc>
        <w:tc>
          <w:tcPr>
            <w:tcW w:w="1252" w:type="dxa"/>
            <w:vAlign w:val="center"/>
          </w:tcPr>
          <w:p>
            <w:pPr>
              <w:jc w:val="center"/>
              <w:rPr>
                <w:rFonts w:ascii="Times New Roman" w:hAnsi="Times New Roman"/>
                <w:sz w:val="21"/>
                <w:szCs w:val="21"/>
              </w:rPr>
            </w:pPr>
            <w:r>
              <w:rPr>
                <w:rFonts w:ascii="Times New Roman" w:hAnsi="Times New Roman"/>
                <w:sz w:val="21"/>
                <w:szCs w:val="21"/>
              </w:rPr>
              <w:t>0.0562</w:t>
            </w:r>
          </w:p>
        </w:tc>
        <w:tc>
          <w:tcPr>
            <w:tcW w:w="1033" w:type="dxa"/>
            <w:vAlign w:val="center"/>
          </w:tcPr>
          <w:p>
            <w:pPr>
              <w:jc w:val="center"/>
              <w:rPr>
                <w:rFonts w:ascii="Times New Roman" w:hAnsi="Times New Roman"/>
                <w:sz w:val="21"/>
                <w:szCs w:val="21"/>
              </w:rPr>
            </w:pPr>
            <w:r>
              <w:rPr>
                <w:rFonts w:ascii="Times New Roman" w:hAnsi="Times New Roman"/>
                <w:sz w:val="21"/>
                <w:szCs w:val="21"/>
              </w:rPr>
              <w:t>0.0083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0.60</w:t>
            </w:r>
          </w:p>
        </w:tc>
        <w:tc>
          <w:tcPr>
            <w:tcW w:w="1591" w:type="dxa"/>
            <w:vAlign w:val="center"/>
          </w:tcPr>
          <w:p>
            <w:pPr>
              <w:jc w:val="center"/>
              <w:rPr>
                <w:rFonts w:ascii="Times New Roman" w:hAnsi="Times New Roman"/>
                <w:sz w:val="21"/>
                <w:szCs w:val="21"/>
              </w:rPr>
            </w:pPr>
            <w:r>
              <w:rPr>
                <w:rFonts w:ascii="Times New Roman" w:hAnsi="Times New Roman"/>
                <w:sz w:val="21"/>
                <w:szCs w:val="21"/>
              </w:rPr>
              <w:t>0.0820</w:t>
            </w:r>
          </w:p>
        </w:tc>
        <w:tc>
          <w:tcPr>
            <w:tcW w:w="1565" w:type="dxa"/>
            <w:vAlign w:val="center"/>
          </w:tcPr>
          <w:p>
            <w:pPr>
              <w:jc w:val="center"/>
              <w:rPr>
                <w:rFonts w:ascii="Times New Roman" w:hAnsi="Times New Roman"/>
                <w:sz w:val="21"/>
                <w:szCs w:val="21"/>
              </w:rPr>
            </w:pPr>
            <w:r>
              <w:rPr>
                <w:rFonts w:ascii="Times New Roman" w:hAnsi="Times New Roman"/>
                <w:sz w:val="21"/>
                <w:szCs w:val="21"/>
              </w:rPr>
              <w:t>0.0243</w:t>
            </w:r>
          </w:p>
        </w:tc>
        <w:tc>
          <w:tcPr>
            <w:tcW w:w="1467" w:type="dxa"/>
            <w:vAlign w:val="center"/>
          </w:tcPr>
          <w:p>
            <w:pPr>
              <w:jc w:val="center"/>
              <w:rPr>
                <w:rFonts w:ascii="Times New Roman" w:hAnsi="Times New Roman"/>
                <w:sz w:val="21"/>
                <w:szCs w:val="21"/>
              </w:rPr>
            </w:pPr>
            <w:r>
              <w:rPr>
                <w:rFonts w:ascii="Times New Roman" w:hAnsi="Times New Roman"/>
                <w:sz w:val="21"/>
                <w:szCs w:val="21"/>
              </w:rPr>
              <w:t>-0.1159</w:t>
            </w:r>
          </w:p>
        </w:tc>
        <w:tc>
          <w:tcPr>
            <w:tcW w:w="1252" w:type="dxa"/>
            <w:vAlign w:val="center"/>
          </w:tcPr>
          <w:p>
            <w:pPr>
              <w:jc w:val="center"/>
              <w:rPr>
                <w:rFonts w:ascii="Times New Roman" w:hAnsi="Times New Roman"/>
                <w:sz w:val="21"/>
                <w:szCs w:val="21"/>
              </w:rPr>
            </w:pPr>
            <w:r>
              <w:rPr>
                <w:rFonts w:ascii="Times New Roman" w:hAnsi="Times New Roman"/>
                <w:sz w:val="21"/>
                <w:szCs w:val="21"/>
              </w:rPr>
              <w:t>0.0538</w:t>
            </w:r>
          </w:p>
        </w:tc>
        <w:tc>
          <w:tcPr>
            <w:tcW w:w="1033" w:type="dxa"/>
            <w:vAlign w:val="center"/>
          </w:tcPr>
          <w:p>
            <w:pPr>
              <w:jc w:val="center"/>
              <w:rPr>
                <w:rFonts w:ascii="Times New Roman" w:hAnsi="Times New Roman"/>
                <w:sz w:val="21"/>
                <w:szCs w:val="21"/>
              </w:rPr>
            </w:pPr>
            <w:r>
              <w:rPr>
                <w:rFonts w:ascii="Times New Roman" w:hAnsi="Times New Roman"/>
                <w:sz w:val="21"/>
                <w:szCs w:val="21"/>
              </w:rPr>
              <w:t>0.0105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0.65</w:t>
            </w:r>
          </w:p>
        </w:tc>
        <w:tc>
          <w:tcPr>
            <w:tcW w:w="1591" w:type="dxa"/>
            <w:vAlign w:val="center"/>
          </w:tcPr>
          <w:p>
            <w:pPr>
              <w:jc w:val="center"/>
              <w:rPr>
                <w:rFonts w:ascii="Times New Roman" w:hAnsi="Times New Roman"/>
                <w:sz w:val="21"/>
                <w:szCs w:val="21"/>
              </w:rPr>
            </w:pPr>
            <w:r>
              <w:rPr>
                <w:rFonts w:ascii="Times New Roman" w:hAnsi="Times New Roman"/>
                <w:sz w:val="21"/>
                <w:szCs w:val="21"/>
              </w:rPr>
              <w:t>0.0750</w:t>
            </w:r>
          </w:p>
        </w:tc>
        <w:tc>
          <w:tcPr>
            <w:tcW w:w="1565" w:type="dxa"/>
            <w:vAlign w:val="center"/>
          </w:tcPr>
          <w:p>
            <w:pPr>
              <w:jc w:val="center"/>
              <w:rPr>
                <w:rFonts w:ascii="Times New Roman" w:hAnsi="Times New Roman"/>
                <w:sz w:val="21"/>
                <w:szCs w:val="21"/>
              </w:rPr>
            </w:pPr>
            <w:r>
              <w:rPr>
                <w:rFonts w:ascii="Times New Roman" w:hAnsi="Times New Roman"/>
                <w:sz w:val="21"/>
                <w:szCs w:val="21"/>
              </w:rPr>
              <w:t>0.0273</w:t>
            </w:r>
          </w:p>
        </w:tc>
        <w:tc>
          <w:tcPr>
            <w:tcW w:w="1467" w:type="dxa"/>
            <w:vAlign w:val="center"/>
          </w:tcPr>
          <w:p>
            <w:pPr>
              <w:jc w:val="center"/>
              <w:rPr>
                <w:rFonts w:ascii="Times New Roman" w:hAnsi="Times New Roman"/>
                <w:sz w:val="21"/>
                <w:szCs w:val="21"/>
              </w:rPr>
            </w:pPr>
            <w:r>
              <w:rPr>
                <w:rFonts w:ascii="Times New Roman" w:hAnsi="Times New Roman"/>
                <w:sz w:val="21"/>
                <w:szCs w:val="21"/>
              </w:rPr>
              <w:t>-0.1126</w:t>
            </w:r>
          </w:p>
        </w:tc>
        <w:tc>
          <w:tcPr>
            <w:tcW w:w="1252" w:type="dxa"/>
            <w:vAlign w:val="center"/>
          </w:tcPr>
          <w:p>
            <w:pPr>
              <w:jc w:val="center"/>
              <w:rPr>
                <w:rFonts w:ascii="Times New Roman" w:hAnsi="Times New Roman"/>
                <w:sz w:val="21"/>
                <w:szCs w:val="21"/>
              </w:rPr>
            </w:pPr>
            <w:r>
              <w:rPr>
                <w:rFonts w:ascii="Times New Roman" w:hAnsi="Times New Roman"/>
                <w:sz w:val="21"/>
                <w:szCs w:val="21"/>
              </w:rPr>
              <w:t>0.0512</w:t>
            </w:r>
          </w:p>
        </w:tc>
        <w:tc>
          <w:tcPr>
            <w:tcW w:w="1033" w:type="dxa"/>
            <w:vAlign w:val="center"/>
          </w:tcPr>
          <w:p>
            <w:pPr>
              <w:jc w:val="center"/>
              <w:rPr>
                <w:rFonts w:ascii="Times New Roman" w:hAnsi="Times New Roman"/>
                <w:sz w:val="21"/>
                <w:szCs w:val="21"/>
              </w:rPr>
            </w:pPr>
            <w:r>
              <w:rPr>
                <w:rFonts w:ascii="Times New Roman" w:hAnsi="Times New Roman"/>
                <w:sz w:val="21"/>
                <w:szCs w:val="21"/>
              </w:rPr>
              <w:t>0.0127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0.70</w:t>
            </w:r>
          </w:p>
        </w:tc>
        <w:tc>
          <w:tcPr>
            <w:tcW w:w="1591" w:type="dxa"/>
            <w:vAlign w:val="center"/>
          </w:tcPr>
          <w:p>
            <w:pPr>
              <w:jc w:val="center"/>
              <w:rPr>
                <w:rFonts w:ascii="Times New Roman" w:hAnsi="Times New Roman"/>
                <w:sz w:val="21"/>
                <w:szCs w:val="21"/>
              </w:rPr>
            </w:pPr>
            <w:r>
              <w:rPr>
                <w:rFonts w:ascii="Times New Roman" w:hAnsi="Times New Roman"/>
                <w:sz w:val="21"/>
                <w:szCs w:val="21"/>
              </w:rPr>
              <w:t>0.0683</w:t>
            </w:r>
          </w:p>
        </w:tc>
        <w:tc>
          <w:tcPr>
            <w:tcW w:w="1565" w:type="dxa"/>
            <w:vAlign w:val="center"/>
          </w:tcPr>
          <w:p>
            <w:pPr>
              <w:jc w:val="center"/>
              <w:rPr>
                <w:rFonts w:ascii="Times New Roman" w:hAnsi="Times New Roman"/>
                <w:sz w:val="21"/>
                <w:szCs w:val="21"/>
              </w:rPr>
            </w:pPr>
            <w:r>
              <w:rPr>
                <w:rFonts w:ascii="Times New Roman" w:hAnsi="Times New Roman"/>
                <w:sz w:val="21"/>
                <w:szCs w:val="21"/>
              </w:rPr>
              <w:t>0.0298</w:t>
            </w:r>
          </w:p>
        </w:tc>
        <w:tc>
          <w:tcPr>
            <w:tcW w:w="1467" w:type="dxa"/>
            <w:vAlign w:val="center"/>
          </w:tcPr>
          <w:p>
            <w:pPr>
              <w:jc w:val="center"/>
              <w:rPr>
                <w:rFonts w:ascii="Times New Roman" w:hAnsi="Times New Roman"/>
                <w:sz w:val="21"/>
                <w:szCs w:val="21"/>
              </w:rPr>
            </w:pPr>
            <w:r>
              <w:rPr>
                <w:rFonts w:ascii="Times New Roman" w:hAnsi="Times New Roman"/>
                <w:sz w:val="21"/>
                <w:szCs w:val="21"/>
              </w:rPr>
              <w:t>-0.1089</w:t>
            </w:r>
          </w:p>
        </w:tc>
        <w:tc>
          <w:tcPr>
            <w:tcW w:w="1252" w:type="dxa"/>
            <w:vAlign w:val="center"/>
          </w:tcPr>
          <w:p>
            <w:pPr>
              <w:jc w:val="center"/>
              <w:rPr>
                <w:rFonts w:ascii="Times New Roman" w:hAnsi="Times New Roman"/>
                <w:sz w:val="21"/>
                <w:szCs w:val="21"/>
              </w:rPr>
            </w:pPr>
            <w:r>
              <w:rPr>
                <w:rFonts w:ascii="Times New Roman" w:hAnsi="Times New Roman"/>
                <w:sz w:val="21"/>
                <w:szCs w:val="21"/>
              </w:rPr>
              <w:t>0.0485</w:t>
            </w:r>
          </w:p>
        </w:tc>
        <w:tc>
          <w:tcPr>
            <w:tcW w:w="1033" w:type="dxa"/>
            <w:vAlign w:val="center"/>
          </w:tcPr>
          <w:p>
            <w:pPr>
              <w:jc w:val="center"/>
              <w:rPr>
                <w:rFonts w:ascii="Times New Roman" w:hAnsi="Times New Roman"/>
                <w:sz w:val="21"/>
                <w:szCs w:val="21"/>
              </w:rPr>
            </w:pPr>
            <w:r>
              <w:rPr>
                <w:rFonts w:ascii="Times New Roman" w:hAnsi="Times New Roman"/>
                <w:sz w:val="21"/>
                <w:szCs w:val="21"/>
              </w:rPr>
              <w:t>0.0149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0.75</w:t>
            </w:r>
          </w:p>
        </w:tc>
        <w:tc>
          <w:tcPr>
            <w:tcW w:w="1591" w:type="dxa"/>
            <w:vAlign w:val="center"/>
          </w:tcPr>
          <w:p>
            <w:pPr>
              <w:jc w:val="center"/>
              <w:rPr>
                <w:rFonts w:ascii="Times New Roman" w:hAnsi="Times New Roman"/>
                <w:sz w:val="21"/>
                <w:szCs w:val="21"/>
              </w:rPr>
            </w:pPr>
            <w:r>
              <w:rPr>
                <w:rFonts w:ascii="Times New Roman" w:hAnsi="Times New Roman"/>
                <w:sz w:val="21"/>
                <w:szCs w:val="21"/>
              </w:rPr>
              <w:t>0.0619</w:t>
            </w:r>
          </w:p>
        </w:tc>
        <w:tc>
          <w:tcPr>
            <w:tcW w:w="1565" w:type="dxa"/>
            <w:vAlign w:val="center"/>
          </w:tcPr>
          <w:p>
            <w:pPr>
              <w:jc w:val="center"/>
              <w:rPr>
                <w:rFonts w:ascii="Times New Roman" w:hAnsi="Times New Roman"/>
                <w:sz w:val="21"/>
                <w:szCs w:val="21"/>
              </w:rPr>
            </w:pPr>
            <w:r>
              <w:rPr>
                <w:rFonts w:ascii="Times New Roman" w:hAnsi="Times New Roman"/>
                <w:sz w:val="21"/>
                <w:szCs w:val="21"/>
              </w:rPr>
              <w:t>0.0318</w:t>
            </w:r>
          </w:p>
        </w:tc>
        <w:tc>
          <w:tcPr>
            <w:tcW w:w="1467" w:type="dxa"/>
            <w:vAlign w:val="center"/>
          </w:tcPr>
          <w:p>
            <w:pPr>
              <w:jc w:val="center"/>
              <w:rPr>
                <w:rFonts w:ascii="Times New Roman" w:hAnsi="Times New Roman"/>
                <w:sz w:val="21"/>
                <w:szCs w:val="21"/>
              </w:rPr>
            </w:pPr>
            <w:r>
              <w:rPr>
                <w:rFonts w:ascii="Times New Roman" w:hAnsi="Times New Roman"/>
                <w:sz w:val="21"/>
                <w:szCs w:val="21"/>
              </w:rPr>
              <w:t>-0.1050</w:t>
            </w:r>
          </w:p>
        </w:tc>
        <w:tc>
          <w:tcPr>
            <w:tcW w:w="1252" w:type="dxa"/>
            <w:vAlign w:val="center"/>
          </w:tcPr>
          <w:p>
            <w:pPr>
              <w:jc w:val="center"/>
              <w:rPr>
                <w:rFonts w:ascii="Times New Roman" w:hAnsi="Times New Roman"/>
                <w:sz w:val="21"/>
                <w:szCs w:val="21"/>
              </w:rPr>
            </w:pPr>
            <w:r>
              <w:rPr>
                <w:rFonts w:ascii="Times New Roman" w:hAnsi="Times New Roman"/>
                <w:sz w:val="21"/>
                <w:szCs w:val="21"/>
              </w:rPr>
              <w:t>0.0457</w:t>
            </w:r>
          </w:p>
        </w:tc>
        <w:tc>
          <w:tcPr>
            <w:tcW w:w="1033" w:type="dxa"/>
            <w:vAlign w:val="center"/>
          </w:tcPr>
          <w:p>
            <w:pPr>
              <w:jc w:val="center"/>
              <w:rPr>
                <w:rFonts w:ascii="Times New Roman" w:hAnsi="Times New Roman"/>
                <w:sz w:val="21"/>
                <w:szCs w:val="21"/>
              </w:rPr>
            </w:pPr>
            <w:r>
              <w:rPr>
                <w:rFonts w:ascii="Times New Roman" w:hAnsi="Times New Roman"/>
                <w:sz w:val="21"/>
                <w:szCs w:val="21"/>
              </w:rPr>
              <w:t>0.0168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0.80</w:t>
            </w:r>
          </w:p>
        </w:tc>
        <w:tc>
          <w:tcPr>
            <w:tcW w:w="1591" w:type="dxa"/>
            <w:vAlign w:val="center"/>
          </w:tcPr>
          <w:p>
            <w:pPr>
              <w:jc w:val="center"/>
              <w:rPr>
                <w:rFonts w:ascii="Times New Roman" w:hAnsi="Times New Roman"/>
                <w:sz w:val="21"/>
                <w:szCs w:val="21"/>
              </w:rPr>
            </w:pPr>
            <w:r>
              <w:rPr>
                <w:rFonts w:ascii="Times New Roman" w:hAnsi="Times New Roman"/>
                <w:sz w:val="21"/>
                <w:szCs w:val="21"/>
              </w:rPr>
              <w:t>0.0560</w:t>
            </w:r>
          </w:p>
        </w:tc>
        <w:tc>
          <w:tcPr>
            <w:tcW w:w="1565" w:type="dxa"/>
            <w:vAlign w:val="center"/>
          </w:tcPr>
          <w:p>
            <w:pPr>
              <w:jc w:val="center"/>
              <w:rPr>
                <w:rFonts w:ascii="Times New Roman" w:hAnsi="Times New Roman"/>
                <w:sz w:val="21"/>
                <w:szCs w:val="21"/>
              </w:rPr>
            </w:pPr>
            <w:r>
              <w:rPr>
                <w:rFonts w:ascii="Times New Roman" w:hAnsi="Times New Roman"/>
                <w:sz w:val="21"/>
                <w:szCs w:val="21"/>
              </w:rPr>
              <w:t>0.0334</w:t>
            </w:r>
          </w:p>
        </w:tc>
        <w:tc>
          <w:tcPr>
            <w:tcW w:w="1467" w:type="dxa"/>
            <w:vAlign w:val="center"/>
          </w:tcPr>
          <w:p>
            <w:pPr>
              <w:jc w:val="center"/>
              <w:rPr>
                <w:rFonts w:ascii="Times New Roman" w:hAnsi="Times New Roman"/>
                <w:sz w:val="21"/>
                <w:szCs w:val="21"/>
              </w:rPr>
            </w:pPr>
            <w:r>
              <w:rPr>
                <w:rFonts w:ascii="Times New Roman" w:hAnsi="Times New Roman"/>
                <w:sz w:val="21"/>
                <w:szCs w:val="21"/>
              </w:rPr>
              <w:t>-0.1008</w:t>
            </w:r>
          </w:p>
        </w:tc>
        <w:tc>
          <w:tcPr>
            <w:tcW w:w="1252" w:type="dxa"/>
            <w:vAlign w:val="center"/>
          </w:tcPr>
          <w:p>
            <w:pPr>
              <w:jc w:val="center"/>
              <w:rPr>
                <w:rFonts w:ascii="Times New Roman" w:hAnsi="Times New Roman"/>
                <w:sz w:val="21"/>
                <w:szCs w:val="21"/>
              </w:rPr>
            </w:pPr>
            <w:r>
              <w:rPr>
                <w:rFonts w:ascii="Times New Roman" w:hAnsi="Times New Roman"/>
                <w:sz w:val="21"/>
                <w:szCs w:val="21"/>
              </w:rPr>
              <w:t>0.0428</w:t>
            </w:r>
          </w:p>
        </w:tc>
        <w:tc>
          <w:tcPr>
            <w:tcW w:w="1033" w:type="dxa"/>
            <w:vAlign w:val="center"/>
          </w:tcPr>
          <w:p>
            <w:pPr>
              <w:jc w:val="center"/>
              <w:rPr>
                <w:rFonts w:ascii="Times New Roman" w:hAnsi="Times New Roman"/>
                <w:sz w:val="21"/>
                <w:szCs w:val="21"/>
              </w:rPr>
            </w:pPr>
            <w:r>
              <w:rPr>
                <w:rFonts w:ascii="Times New Roman" w:hAnsi="Times New Roman"/>
                <w:sz w:val="21"/>
                <w:szCs w:val="21"/>
              </w:rPr>
              <w:t>0.0187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0.85</w:t>
            </w:r>
          </w:p>
        </w:tc>
        <w:tc>
          <w:tcPr>
            <w:tcW w:w="1591" w:type="dxa"/>
            <w:vAlign w:val="center"/>
          </w:tcPr>
          <w:p>
            <w:pPr>
              <w:jc w:val="center"/>
              <w:rPr>
                <w:rFonts w:ascii="Times New Roman" w:hAnsi="Times New Roman"/>
                <w:sz w:val="21"/>
                <w:szCs w:val="21"/>
              </w:rPr>
            </w:pPr>
            <w:r>
              <w:rPr>
                <w:rFonts w:ascii="Times New Roman" w:hAnsi="Times New Roman"/>
                <w:sz w:val="21"/>
                <w:szCs w:val="21"/>
              </w:rPr>
              <w:t>0.0506</w:t>
            </w:r>
          </w:p>
        </w:tc>
        <w:tc>
          <w:tcPr>
            <w:tcW w:w="1565" w:type="dxa"/>
            <w:vAlign w:val="center"/>
          </w:tcPr>
          <w:p>
            <w:pPr>
              <w:jc w:val="center"/>
              <w:rPr>
                <w:rFonts w:ascii="Times New Roman" w:hAnsi="Times New Roman"/>
                <w:sz w:val="21"/>
                <w:szCs w:val="21"/>
              </w:rPr>
            </w:pPr>
            <w:r>
              <w:rPr>
                <w:rFonts w:ascii="Times New Roman" w:hAnsi="Times New Roman"/>
                <w:sz w:val="21"/>
                <w:szCs w:val="21"/>
              </w:rPr>
              <w:t>0.0348</w:t>
            </w:r>
          </w:p>
        </w:tc>
        <w:tc>
          <w:tcPr>
            <w:tcW w:w="1467" w:type="dxa"/>
            <w:vAlign w:val="center"/>
          </w:tcPr>
          <w:p>
            <w:pPr>
              <w:jc w:val="center"/>
              <w:rPr>
                <w:rFonts w:ascii="Times New Roman" w:hAnsi="Times New Roman"/>
                <w:sz w:val="21"/>
                <w:szCs w:val="21"/>
              </w:rPr>
            </w:pPr>
            <w:r>
              <w:rPr>
                <w:rFonts w:ascii="Times New Roman" w:hAnsi="Times New Roman"/>
                <w:sz w:val="21"/>
                <w:szCs w:val="21"/>
              </w:rPr>
              <w:t>-0.0965</w:t>
            </w:r>
          </w:p>
        </w:tc>
        <w:tc>
          <w:tcPr>
            <w:tcW w:w="1252" w:type="dxa"/>
            <w:vAlign w:val="center"/>
          </w:tcPr>
          <w:p>
            <w:pPr>
              <w:jc w:val="center"/>
              <w:rPr>
                <w:rFonts w:ascii="Times New Roman" w:hAnsi="Times New Roman"/>
                <w:sz w:val="21"/>
                <w:szCs w:val="21"/>
              </w:rPr>
            </w:pPr>
            <w:r>
              <w:rPr>
                <w:rFonts w:ascii="Times New Roman" w:hAnsi="Times New Roman"/>
                <w:sz w:val="21"/>
                <w:szCs w:val="21"/>
              </w:rPr>
              <w:t>0.0400</w:t>
            </w:r>
          </w:p>
        </w:tc>
        <w:tc>
          <w:tcPr>
            <w:tcW w:w="1033" w:type="dxa"/>
            <w:vAlign w:val="center"/>
          </w:tcPr>
          <w:p>
            <w:pPr>
              <w:jc w:val="center"/>
              <w:rPr>
                <w:rFonts w:ascii="Times New Roman" w:hAnsi="Times New Roman"/>
                <w:sz w:val="21"/>
                <w:szCs w:val="21"/>
              </w:rPr>
            </w:pPr>
            <w:r>
              <w:rPr>
                <w:rFonts w:ascii="Times New Roman" w:hAnsi="Times New Roman"/>
                <w:sz w:val="21"/>
                <w:szCs w:val="21"/>
              </w:rPr>
              <w:t>0.0205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0.90</w:t>
            </w:r>
          </w:p>
        </w:tc>
        <w:tc>
          <w:tcPr>
            <w:tcW w:w="1591" w:type="dxa"/>
            <w:vAlign w:val="center"/>
          </w:tcPr>
          <w:p>
            <w:pPr>
              <w:jc w:val="center"/>
              <w:rPr>
                <w:rFonts w:ascii="Times New Roman" w:hAnsi="Times New Roman"/>
                <w:sz w:val="21"/>
                <w:szCs w:val="21"/>
              </w:rPr>
            </w:pPr>
            <w:r>
              <w:rPr>
                <w:rFonts w:ascii="Times New Roman" w:hAnsi="Times New Roman"/>
                <w:sz w:val="21"/>
                <w:szCs w:val="21"/>
              </w:rPr>
              <w:t>0.0456</w:t>
            </w:r>
          </w:p>
        </w:tc>
        <w:tc>
          <w:tcPr>
            <w:tcW w:w="1565" w:type="dxa"/>
            <w:vAlign w:val="center"/>
          </w:tcPr>
          <w:p>
            <w:pPr>
              <w:jc w:val="center"/>
              <w:rPr>
                <w:rFonts w:ascii="Times New Roman" w:hAnsi="Times New Roman"/>
                <w:sz w:val="21"/>
                <w:szCs w:val="21"/>
              </w:rPr>
            </w:pPr>
            <w:r>
              <w:rPr>
                <w:rFonts w:ascii="Times New Roman" w:hAnsi="Times New Roman"/>
                <w:sz w:val="21"/>
                <w:szCs w:val="21"/>
              </w:rPr>
              <w:t>0.0359</w:t>
            </w:r>
          </w:p>
        </w:tc>
        <w:tc>
          <w:tcPr>
            <w:tcW w:w="1467" w:type="dxa"/>
            <w:vAlign w:val="center"/>
          </w:tcPr>
          <w:p>
            <w:pPr>
              <w:jc w:val="center"/>
              <w:rPr>
                <w:rFonts w:ascii="Times New Roman" w:hAnsi="Times New Roman"/>
                <w:sz w:val="21"/>
                <w:szCs w:val="21"/>
              </w:rPr>
            </w:pPr>
            <w:r>
              <w:rPr>
                <w:rFonts w:ascii="Times New Roman" w:hAnsi="Times New Roman"/>
                <w:sz w:val="21"/>
                <w:szCs w:val="21"/>
              </w:rPr>
              <w:t>-0.0922</w:t>
            </w:r>
          </w:p>
        </w:tc>
        <w:tc>
          <w:tcPr>
            <w:tcW w:w="1252" w:type="dxa"/>
            <w:vAlign w:val="center"/>
          </w:tcPr>
          <w:p>
            <w:pPr>
              <w:jc w:val="center"/>
              <w:rPr>
                <w:rFonts w:ascii="Times New Roman" w:hAnsi="Times New Roman"/>
                <w:sz w:val="21"/>
                <w:szCs w:val="21"/>
              </w:rPr>
            </w:pPr>
            <w:r>
              <w:rPr>
                <w:rFonts w:ascii="Times New Roman" w:hAnsi="Times New Roman"/>
                <w:sz w:val="21"/>
                <w:szCs w:val="21"/>
              </w:rPr>
              <w:t>0.0372</w:t>
            </w:r>
          </w:p>
        </w:tc>
        <w:tc>
          <w:tcPr>
            <w:tcW w:w="1033" w:type="dxa"/>
            <w:vAlign w:val="center"/>
          </w:tcPr>
          <w:p>
            <w:pPr>
              <w:jc w:val="center"/>
              <w:rPr>
                <w:rFonts w:ascii="Times New Roman" w:hAnsi="Times New Roman"/>
                <w:sz w:val="21"/>
                <w:szCs w:val="21"/>
              </w:rPr>
            </w:pPr>
            <w:r>
              <w:rPr>
                <w:rFonts w:ascii="Times New Roman" w:hAnsi="Times New Roman"/>
                <w:sz w:val="21"/>
                <w:szCs w:val="21"/>
              </w:rPr>
              <w:t>0.0221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0.95</w:t>
            </w:r>
          </w:p>
        </w:tc>
        <w:tc>
          <w:tcPr>
            <w:tcW w:w="1591" w:type="dxa"/>
            <w:vAlign w:val="center"/>
          </w:tcPr>
          <w:p>
            <w:pPr>
              <w:jc w:val="center"/>
              <w:rPr>
                <w:rFonts w:ascii="Times New Roman" w:hAnsi="Times New Roman"/>
                <w:sz w:val="21"/>
                <w:szCs w:val="21"/>
              </w:rPr>
            </w:pPr>
            <w:r>
              <w:rPr>
                <w:rFonts w:ascii="Times New Roman" w:hAnsi="Times New Roman"/>
                <w:sz w:val="21"/>
                <w:szCs w:val="21"/>
              </w:rPr>
              <w:t>0.0410</w:t>
            </w:r>
          </w:p>
        </w:tc>
        <w:tc>
          <w:tcPr>
            <w:tcW w:w="1565" w:type="dxa"/>
            <w:vAlign w:val="center"/>
          </w:tcPr>
          <w:p>
            <w:pPr>
              <w:jc w:val="center"/>
              <w:rPr>
                <w:rFonts w:ascii="Times New Roman" w:hAnsi="Times New Roman"/>
                <w:sz w:val="21"/>
                <w:szCs w:val="21"/>
              </w:rPr>
            </w:pPr>
            <w:r>
              <w:rPr>
                <w:rFonts w:ascii="Times New Roman" w:hAnsi="Times New Roman"/>
                <w:sz w:val="21"/>
                <w:szCs w:val="21"/>
              </w:rPr>
              <w:t>0.0365</w:t>
            </w:r>
          </w:p>
        </w:tc>
        <w:tc>
          <w:tcPr>
            <w:tcW w:w="1467" w:type="dxa"/>
            <w:vAlign w:val="center"/>
          </w:tcPr>
          <w:p>
            <w:pPr>
              <w:jc w:val="center"/>
              <w:rPr>
                <w:rFonts w:ascii="Times New Roman" w:hAnsi="Times New Roman"/>
                <w:sz w:val="21"/>
                <w:szCs w:val="21"/>
              </w:rPr>
            </w:pPr>
            <w:r>
              <w:rPr>
                <w:rFonts w:ascii="Times New Roman" w:hAnsi="Times New Roman"/>
                <w:sz w:val="21"/>
                <w:szCs w:val="21"/>
              </w:rPr>
              <w:t>-0.0880</w:t>
            </w:r>
          </w:p>
        </w:tc>
        <w:tc>
          <w:tcPr>
            <w:tcW w:w="1252" w:type="dxa"/>
            <w:vAlign w:val="center"/>
          </w:tcPr>
          <w:p>
            <w:pPr>
              <w:jc w:val="center"/>
              <w:rPr>
                <w:rFonts w:ascii="Times New Roman" w:hAnsi="Times New Roman"/>
                <w:sz w:val="21"/>
                <w:szCs w:val="21"/>
              </w:rPr>
            </w:pPr>
            <w:r>
              <w:rPr>
                <w:rFonts w:ascii="Times New Roman" w:hAnsi="Times New Roman"/>
                <w:sz w:val="21"/>
                <w:szCs w:val="21"/>
              </w:rPr>
              <w:t>0.0345</w:t>
            </w:r>
          </w:p>
        </w:tc>
        <w:tc>
          <w:tcPr>
            <w:tcW w:w="1033" w:type="dxa"/>
            <w:vAlign w:val="center"/>
          </w:tcPr>
          <w:p>
            <w:pPr>
              <w:jc w:val="center"/>
              <w:rPr>
                <w:rFonts w:ascii="Times New Roman" w:hAnsi="Times New Roman"/>
                <w:sz w:val="21"/>
                <w:szCs w:val="21"/>
              </w:rPr>
            </w:pPr>
            <w:r>
              <w:rPr>
                <w:rFonts w:ascii="Times New Roman" w:hAnsi="Times New Roman"/>
                <w:sz w:val="21"/>
                <w:szCs w:val="21"/>
              </w:rPr>
              <w:t>0.0234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restart"/>
            <w:vAlign w:val="center"/>
          </w:tcPr>
          <w:p>
            <w:pPr>
              <w:jc w:val="center"/>
              <w:rPr>
                <w:rFonts w:ascii="Times New Roman" w:hAnsi="Times New Roman"/>
                <w:sz w:val="21"/>
                <w:szCs w:val="21"/>
              </w:rPr>
            </w:pPr>
            <w:r>
              <w:rPr>
                <w:rFonts w:ascii="Times New Roman" w:hAnsi="Times New Roman" w:eastAsiaTheme="minorEastAsia" w:cstheme="minorBidi"/>
                <w:kern w:val="2"/>
                <w:position w:val="-34"/>
                <w:sz w:val="21"/>
                <w:szCs w:val="21"/>
              </w:rPr>
              <w:object>
                <v:shape id="_x0000_i1153" o:spt="75" type="#_x0000_t75" style="height:41.4pt;width:15pt;" o:ole="t" filled="f" o:preferrelative="t" stroked="f" coordsize="21600,21600">
                  <v:path/>
                  <v:fill on="f" focussize="0,0"/>
                  <v:stroke on="f" joinstyle="miter"/>
                  <v:imagedata r:id="rId257" o:title=""/>
                  <o:lock v:ext="edit" aspectratio="t"/>
                  <w10:wrap type="none"/>
                  <w10:anchorlock/>
                </v:shape>
                <o:OLEObject Type="Embed" ProgID="Equation.DSMT4" ShapeID="_x0000_i1153" DrawAspect="Content" ObjectID="_1468075853" r:id="rId256">
                  <o:LockedField>false</o:LockedField>
                </o:OLEObject>
              </w:object>
            </w:r>
          </w:p>
        </w:tc>
        <w:tc>
          <w:tcPr>
            <w:tcW w:w="871" w:type="dxa"/>
            <w:vAlign w:val="center"/>
          </w:tcPr>
          <w:p>
            <w:pPr>
              <w:rPr>
                <w:rFonts w:ascii="Times New Roman" w:hAnsi="Times New Roman"/>
                <w:sz w:val="21"/>
                <w:szCs w:val="21"/>
              </w:rPr>
            </w:pPr>
            <w:r>
              <w:rPr>
                <w:rFonts w:ascii="Times New Roman" w:hAnsi="Times New Roman"/>
                <w:sz w:val="21"/>
                <w:szCs w:val="21"/>
              </w:rPr>
              <w:t>1.00</w:t>
            </w:r>
          </w:p>
        </w:tc>
        <w:tc>
          <w:tcPr>
            <w:tcW w:w="1591" w:type="dxa"/>
            <w:vAlign w:val="center"/>
          </w:tcPr>
          <w:p>
            <w:pPr>
              <w:jc w:val="center"/>
              <w:rPr>
                <w:rFonts w:ascii="Times New Roman" w:hAnsi="Times New Roman"/>
                <w:sz w:val="21"/>
                <w:szCs w:val="21"/>
              </w:rPr>
            </w:pPr>
            <w:r>
              <w:rPr>
                <w:rFonts w:ascii="Times New Roman" w:hAnsi="Times New Roman"/>
                <w:sz w:val="21"/>
                <w:szCs w:val="21"/>
              </w:rPr>
              <w:t>0.0368</w:t>
            </w:r>
          </w:p>
        </w:tc>
        <w:tc>
          <w:tcPr>
            <w:tcW w:w="1565" w:type="dxa"/>
            <w:vAlign w:val="center"/>
          </w:tcPr>
          <w:p>
            <w:pPr>
              <w:jc w:val="center"/>
              <w:rPr>
                <w:rFonts w:ascii="Times New Roman" w:hAnsi="Times New Roman"/>
                <w:sz w:val="21"/>
                <w:szCs w:val="21"/>
              </w:rPr>
            </w:pPr>
            <w:r>
              <w:rPr>
                <w:rFonts w:ascii="Times New Roman" w:hAnsi="Times New Roman"/>
                <w:sz w:val="21"/>
                <w:szCs w:val="21"/>
              </w:rPr>
              <w:t>0.0368</w:t>
            </w:r>
          </w:p>
        </w:tc>
        <w:tc>
          <w:tcPr>
            <w:tcW w:w="1467" w:type="dxa"/>
            <w:vAlign w:val="center"/>
          </w:tcPr>
          <w:p>
            <w:pPr>
              <w:jc w:val="center"/>
              <w:rPr>
                <w:rFonts w:ascii="Times New Roman" w:hAnsi="Times New Roman"/>
                <w:sz w:val="21"/>
                <w:szCs w:val="21"/>
              </w:rPr>
            </w:pPr>
            <w:r>
              <w:rPr>
                <w:rFonts w:ascii="Times New Roman" w:hAnsi="Times New Roman"/>
                <w:sz w:val="21"/>
                <w:szCs w:val="21"/>
              </w:rPr>
              <w:t>-0.0839</w:t>
            </w:r>
          </w:p>
        </w:tc>
        <w:tc>
          <w:tcPr>
            <w:tcW w:w="1252" w:type="dxa"/>
            <w:vAlign w:val="center"/>
          </w:tcPr>
          <w:p>
            <w:pPr>
              <w:jc w:val="center"/>
              <w:rPr>
                <w:rFonts w:ascii="Times New Roman" w:hAnsi="Times New Roman"/>
                <w:sz w:val="21"/>
                <w:szCs w:val="21"/>
              </w:rPr>
            </w:pPr>
            <w:r>
              <w:rPr>
                <w:rFonts w:ascii="Times New Roman" w:hAnsi="Times New Roman"/>
                <w:sz w:val="21"/>
                <w:szCs w:val="21"/>
              </w:rPr>
              <w:t>0.0318</w:t>
            </w:r>
          </w:p>
        </w:tc>
        <w:tc>
          <w:tcPr>
            <w:tcW w:w="1033" w:type="dxa"/>
            <w:vAlign w:val="center"/>
          </w:tcPr>
          <w:p>
            <w:pPr>
              <w:jc w:val="center"/>
              <w:rPr>
                <w:rFonts w:ascii="Times New Roman" w:hAnsi="Times New Roman"/>
                <w:sz w:val="21"/>
                <w:szCs w:val="21"/>
              </w:rPr>
            </w:pPr>
            <w:r>
              <w:rPr>
                <w:rFonts w:ascii="Times New Roman" w:hAnsi="Times New Roman"/>
                <w:sz w:val="21"/>
                <w:szCs w:val="21"/>
              </w:rPr>
              <w:t>0.0243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0.95</w:t>
            </w:r>
          </w:p>
        </w:tc>
        <w:tc>
          <w:tcPr>
            <w:tcW w:w="1591" w:type="dxa"/>
            <w:vAlign w:val="center"/>
          </w:tcPr>
          <w:p>
            <w:pPr>
              <w:jc w:val="center"/>
              <w:rPr>
                <w:rFonts w:ascii="Times New Roman" w:hAnsi="Times New Roman"/>
                <w:sz w:val="21"/>
                <w:szCs w:val="21"/>
              </w:rPr>
            </w:pPr>
            <w:r>
              <w:rPr>
                <w:rFonts w:ascii="Times New Roman" w:hAnsi="Times New Roman"/>
                <w:sz w:val="21"/>
                <w:szCs w:val="21"/>
              </w:rPr>
              <w:t>0.0365</w:t>
            </w:r>
          </w:p>
        </w:tc>
        <w:tc>
          <w:tcPr>
            <w:tcW w:w="1565" w:type="dxa"/>
            <w:vAlign w:val="center"/>
          </w:tcPr>
          <w:p>
            <w:pPr>
              <w:jc w:val="center"/>
              <w:rPr>
                <w:rFonts w:ascii="Times New Roman" w:hAnsi="Times New Roman"/>
                <w:sz w:val="21"/>
                <w:szCs w:val="21"/>
              </w:rPr>
            </w:pPr>
            <w:r>
              <w:rPr>
                <w:rFonts w:ascii="Times New Roman" w:hAnsi="Times New Roman"/>
                <w:sz w:val="21"/>
                <w:szCs w:val="21"/>
              </w:rPr>
              <w:t>0.0410</w:t>
            </w:r>
          </w:p>
        </w:tc>
        <w:tc>
          <w:tcPr>
            <w:tcW w:w="1467" w:type="dxa"/>
            <w:vAlign w:val="center"/>
          </w:tcPr>
          <w:p>
            <w:pPr>
              <w:jc w:val="center"/>
              <w:rPr>
                <w:rFonts w:ascii="Times New Roman" w:hAnsi="Times New Roman"/>
                <w:sz w:val="21"/>
                <w:szCs w:val="21"/>
              </w:rPr>
            </w:pPr>
            <w:r>
              <w:rPr>
                <w:rFonts w:ascii="Times New Roman" w:hAnsi="Times New Roman"/>
                <w:sz w:val="21"/>
                <w:szCs w:val="21"/>
              </w:rPr>
              <w:t>-0.0881</w:t>
            </w:r>
          </w:p>
        </w:tc>
        <w:tc>
          <w:tcPr>
            <w:tcW w:w="1252" w:type="dxa"/>
            <w:vAlign w:val="center"/>
          </w:tcPr>
          <w:p>
            <w:pPr>
              <w:jc w:val="center"/>
              <w:rPr>
                <w:rFonts w:ascii="Times New Roman" w:hAnsi="Times New Roman"/>
                <w:sz w:val="21"/>
                <w:szCs w:val="21"/>
              </w:rPr>
            </w:pPr>
            <w:r>
              <w:rPr>
                <w:rFonts w:ascii="Times New Roman" w:hAnsi="Times New Roman"/>
                <w:sz w:val="21"/>
                <w:szCs w:val="21"/>
              </w:rPr>
              <w:t>0.0327</w:t>
            </w:r>
          </w:p>
        </w:tc>
        <w:tc>
          <w:tcPr>
            <w:tcW w:w="1033" w:type="dxa"/>
            <w:vAlign w:val="center"/>
          </w:tcPr>
          <w:p>
            <w:pPr>
              <w:jc w:val="center"/>
              <w:rPr>
                <w:rFonts w:ascii="Times New Roman" w:hAnsi="Times New Roman"/>
                <w:sz w:val="21"/>
                <w:szCs w:val="21"/>
              </w:rPr>
            </w:pPr>
            <w:r>
              <w:rPr>
                <w:rFonts w:ascii="Times New Roman" w:hAnsi="Times New Roman"/>
                <w:sz w:val="21"/>
                <w:szCs w:val="21"/>
              </w:rPr>
              <w:t>0.0282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0.90</w:t>
            </w:r>
          </w:p>
        </w:tc>
        <w:tc>
          <w:tcPr>
            <w:tcW w:w="1591" w:type="dxa"/>
            <w:vAlign w:val="center"/>
          </w:tcPr>
          <w:p>
            <w:pPr>
              <w:jc w:val="center"/>
              <w:rPr>
                <w:rFonts w:ascii="Times New Roman" w:hAnsi="Times New Roman"/>
                <w:sz w:val="21"/>
                <w:szCs w:val="21"/>
              </w:rPr>
            </w:pPr>
            <w:r>
              <w:rPr>
                <w:rFonts w:ascii="Times New Roman" w:hAnsi="Times New Roman"/>
                <w:sz w:val="21"/>
                <w:szCs w:val="21"/>
              </w:rPr>
              <w:t>0.0359</w:t>
            </w:r>
          </w:p>
        </w:tc>
        <w:tc>
          <w:tcPr>
            <w:tcW w:w="1565" w:type="dxa"/>
            <w:vAlign w:val="center"/>
          </w:tcPr>
          <w:p>
            <w:pPr>
              <w:jc w:val="center"/>
              <w:rPr>
                <w:rFonts w:ascii="Times New Roman" w:hAnsi="Times New Roman"/>
                <w:sz w:val="21"/>
                <w:szCs w:val="21"/>
              </w:rPr>
            </w:pPr>
            <w:r>
              <w:rPr>
                <w:rFonts w:ascii="Times New Roman" w:hAnsi="Times New Roman"/>
                <w:sz w:val="21"/>
                <w:szCs w:val="21"/>
              </w:rPr>
              <w:t>0.0456</w:t>
            </w:r>
          </w:p>
        </w:tc>
        <w:tc>
          <w:tcPr>
            <w:tcW w:w="1467" w:type="dxa"/>
            <w:vAlign w:val="center"/>
          </w:tcPr>
          <w:p>
            <w:pPr>
              <w:jc w:val="center"/>
              <w:rPr>
                <w:rFonts w:ascii="Times New Roman" w:hAnsi="Times New Roman"/>
                <w:sz w:val="21"/>
                <w:szCs w:val="21"/>
              </w:rPr>
            </w:pPr>
            <w:r>
              <w:rPr>
                <w:rFonts w:ascii="Times New Roman" w:hAnsi="Times New Roman"/>
                <w:sz w:val="21"/>
                <w:szCs w:val="21"/>
              </w:rPr>
              <w:t>-0.0924</w:t>
            </w:r>
          </w:p>
        </w:tc>
        <w:tc>
          <w:tcPr>
            <w:tcW w:w="1252" w:type="dxa"/>
            <w:vAlign w:val="center"/>
          </w:tcPr>
          <w:p>
            <w:pPr>
              <w:jc w:val="center"/>
              <w:rPr>
                <w:rFonts w:ascii="Times New Roman" w:hAnsi="Times New Roman"/>
                <w:sz w:val="21"/>
                <w:szCs w:val="21"/>
              </w:rPr>
            </w:pPr>
            <w:r>
              <w:rPr>
                <w:rFonts w:ascii="Times New Roman" w:hAnsi="Times New Roman"/>
                <w:sz w:val="21"/>
                <w:szCs w:val="21"/>
              </w:rPr>
              <w:t>0.0330</w:t>
            </w:r>
          </w:p>
        </w:tc>
        <w:tc>
          <w:tcPr>
            <w:tcW w:w="1033" w:type="dxa"/>
            <w:vAlign w:val="center"/>
          </w:tcPr>
          <w:p>
            <w:pPr>
              <w:jc w:val="center"/>
              <w:rPr>
                <w:rFonts w:ascii="Times New Roman" w:hAnsi="Times New Roman"/>
                <w:sz w:val="21"/>
                <w:szCs w:val="21"/>
              </w:rPr>
            </w:pPr>
            <w:r>
              <w:rPr>
                <w:rFonts w:ascii="Times New Roman" w:hAnsi="Times New Roman"/>
                <w:sz w:val="21"/>
                <w:szCs w:val="21"/>
              </w:rPr>
              <w:t>0.0323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0.85</w:t>
            </w:r>
          </w:p>
        </w:tc>
        <w:tc>
          <w:tcPr>
            <w:tcW w:w="1591" w:type="dxa"/>
            <w:vAlign w:val="center"/>
          </w:tcPr>
          <w:p>
            <w:pPr>
              <w:jc w:val="center"/>
              <w:rPr>
                <w:rFonts w:ascii="Times New Roman" w:hAnsi="Times New Roman"/>
                <w:sz w:val="21"/>
                <w:szCs w:val="21"/>
              </w:rPr>
            </w:pPr>
            <w:r>
              <w:rPr>
                <w:rFonts w:ascii="Times New Roman" w:hAnsi="Times New Roman"/>
                <w:sz w:val="21"/>
                <w:szCs w:val="21"/>
              </w:rPr>
              <w:t>0.0348</w:t>
            </w:r>
          </w:p>
        </w:tc>
        <w:tc>
          <w:tcPr>
            <w:tcW w:w="1565" w:type="dxa"/>
            <w:vAlign w:val="center"/>
          </w:tcPr>
          <w:p>
            <w:pPr>
              <w:jc w:val="center"/>
              <w:rPr>
                <w:rFonts w:ascii="Times New Roman" w:hAnsi="Times New Roman"/>
                <w:sz w:val="21"/>
                <w:szCs w:val="21"/>
              </w:rPr>
            </w:pPr>
            <w:r>
              <w:rPr>
                <w:rFonts w:ascii="Times New Roman" w:hAnsi="Times New Roman"/>
                <w:sz w:val="21"/>
                <w:szCs w:val="21"/>
              </w:rPr>
              <w:t>0.0506</w:t>
            </w:r>
          </w:p>
        </w:tc>
        <w:tc>
          <w:tcPr>
            <w:tcW w:w="1467" w:type="dxa"/>
            <w:vAlign w:val="center"/>
          </w:tcPr>
          <w:p>
            <w:pPr>
              <w:jc w:val="center"/>
              <w:rPr>
                <w:rFonts w:ascii="Times New Roman" w:hAnsi="Times New Roman"/>
                <w:sz w:val="21"/>
                <w:szCs w:val="21"/>
              </w:rPr>
            </w:pPr>
            <w:r>
              <w:rPr>
                <w:rFonts w:ascii="Times New Roman" w:hAnsi="Times New Roman"/>
                <w:sz w:val="21"/>
                <w:szCs w:val="21"/>
              </w:rPr>
              <w:t>-0.0967</w:t>
            </w:r>
          </w:p>
        </w:tc>
        <w:tc>
          <w:tcPr>
            <w:tcW w:w="1252" w:type="dxa"/>
            <w:vAlign w:val="center"/>
          </w:tcPr>
          <w:p>
            <w:pPr>
              <w:jc w:val="center"/>
              <w:rPr>
                <w:rFonts w:ascii="Times New Roman" w:hAnsi="Times New Roman"/>
                <w:sz w:val="21"/>
                <w:szCs w:val="21"/>
              </w:rPr>
            </w:pPr>
            <w:r>
              <w:rPr>
                <w:rFonts w:ascii="Times New Roman" w:hAnsi="Times New Roman"/>
                <w:sz w:val="21"/>
                <w:szCs w:val="21"/>
              </w:rPr>
              <w:t>0.0328</w:t>
            </w:r>
          </w:p>
        </w:tc>
        <w:tc>
          <w:tcPr>
            <w:tcW w:w="1033" w:type="dxa"/>
            <w:vAlign w:val="center"/>
          </w:tcPr>
          <w:p>
            <w:pPr>
              <w:jc w:val="center"/>
              <w:rPr>
                <w:rFonts w:ascii="Times New Roman" w:hAnsi="Times New Roman"/>
                <w:sz w:val="21"/>
                <w:szCs w:val="21"/>
              </w:rPr>
            </w:pPr>
            <w:r>
              <w:rPr>
                <w:rFonts w:ascii="Times New Roman" w:hAnsi="Times New Roman"/>
                <w:sz w:val="21"/>
                <w:szCs w:val="21"/>
              </w:rPr>
              <w:t>0.0369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0.80</w:t>
            </w:r>
          </w:p>
        </w:tc>
        <w:tc>
          <w:tcPr>
            <w:tcW w:w="1591" w:type="dxa"/>
            <w:vAlign w:val="center"/>
          </w:tcPr>
          <w:p>
            <w:pPr>
              <w:jc w:val="center"/>
              <w:rPr>
                <w:rFonts w:ascii="Times New Roman" w:hAnsi="Times New Roman"/>
                <w:sz w:val="21"/>
                <w:szCs w:val="21"/>
              </w:rPr>
            </w:pPr>
            <w:r>
              <w:rPr>
                <w:rFonts w:ascii="Times New Roman" w:hAnsi="Times New Roman"/>
                <w:sz w:val="21"/>
                <w:szCs w:val="21"/>
              </w:rPr>
              <w:t>0.0334</w:t>
            </w:r>
          </w:p>
        </w:tc>
        <w:tc>
          <w:tcPr>
            <w:tcW w:w="1565" w:type="dxa"/>
            <w:vAlign w:val="center"/>
          </w:tcPr>
          <w:p>
            <w:pPr>
              <w:jc w:val="center"/>
              <w:rPr>
                <w:rFonts w:ascii="Times New Roman" w:hAnsi="Times New Roman"/>
                <w:sz w:val="21"/>
                <w:szCs w:val="21"/>
              </w:rPr>
            </w:pPr>
            <w:r>
              <w:rPr>
                <w:rFonts w:ascii="Times New Roman" w:hAnsi="Times New Roman"/>
                <w:sz w:val="21"/>
                <w:szCs w:val="21"/>
              </w:rPr>
              <w:t>0.0560</w:t>
            </w:r>
          </w:p>
        </w:tc>
        <w:tc>
          <w:tcPr>
            <w:tcW w:w="1467" w:type="dxa"/>
            <w:vAlign w:val="center"/>
          </w:tcPr>
          <w:p>
            <w:pPr>
              <w:jc w:val="center"/>
              <w:rPr>
                <w:rFonts w:ascii="Times New Roman" w:hAnsi="Times New Roman"/>
                <w:sz w:val="21"/>
                <w:szCs w:val="21"/>
              </w:rPr>
            </w:pPr>
            <w:r>
              <w:rPr>
                <w:rFonts w:ascii="Times New Roman" w:hAnsi="Times New Roman"/>
                <w:sz w:val="21"/>
                <w:szCs w:val="21"/>
              </w:rPr>
              <w:t>-0.1011</w:t>
            </w:r>
          </w:p>
        </w:tc>
        <w:tc>
          <w:tcPr>
            <w:tcW w:w="1252" w:type="dxa"/>
            <w:vAlign w:val="center"/>
          </w:tcPr>
          <w:p>
            <w:pPr>
              <w:jc w:val="center"/>
              <w:rPr>
                <w:rFonts w:ascii="Times New Roman" w:hAnsi="Times New Roman"/>
                <w:sz w:val="21"/>
                <w:szCs w:val="21"/>
              </w:rPr>
            </w:pPr>
            <w:r>
              <w:rPr>
                <w:rFonts w:ascii="Times New Roman" w:hAnsi="Times New Roman"/>
                <w:sz w:val="21"/>
                <w:szCs w:val="21"/>
              </w:rPr>
              <w:t>0.0324</w:t>
            </w:r>
          </w:p>
        </w:tc>
        <w:tc>
          <w:tcPr>
            <w:tcW w:w="1033" w:type="dxa"/>
            <w:vAlign w:val="center"/>
          </w:tcPr>
          <w:p>
            <w:pPr>
              <w:jc w:val="center"/>
              <w:rPr>
                <w:rFonts w:ascii="Times New Roman" w:hAnsi="Times New Roman"/>
                <w:sz w:val="21"/>
                <w:szCs w:val="21"/>
              </w:rPr>
            </w:pPr>
            <w:r>
              <w:rPr>
                <w:rFonts w:ascii="Times New Roman" w:hAnsi="Times New Roman"/>
                <w:sz w:val="21"/>
                <w:szCs w:val="21"/>
              </w:rPr>
              <w:t>0.0423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0.75</w:t>
            </w:r>
          </w:p>
        </w:tc>
        <w:tc>
          <w:tcPr>
            <w:tcW w:w="1591" w:type="dxa"/>
            <w:vAlign w:val="center"/>
          </w:tcPr>
          <w:p>
            <w:pPr>
              <w:jc w:val="center"/>
              <w:rPr>
                <w:rFonts w:ascii="Times New Roman" w:hAnsi="Times New Roman"/>
                <w:sz w:val="21"/>
                <w:szCs w:val="21"/>
              </w:rPr>
            </w:pPr>
            <w:r>
              <w:rPr>
                <w:rFonts w:ascii="Times New Roman" w:hAnsi="Times New Roman"/>
                <w:sz w:val="21"/>
                <w:szCs w:val="21"/>
              </w:rPr>
              <w:t>0.0318</w:t>
            </w:r>
          </w:p>
        </w:tc>
        <w:tc>
          <w:tcPr>
            <w:tcW w:w="1565" w:type="dxa"/>
            <w:vAlign w:val="center"/>
          </w:tcPr>
          <w:p>
            <w:pPr>
              <w:jc w:val="center"/>
              <w:rPr>
                <w:rFonts w:ascii="Times New Roman" w:hAnsi="Times New Roman"/>
                <w:sz w:val="21"/>
                <w:szCs w:val="21"/>
              </w:rPr>
            </w:pPr>
            <w:r>
              <w:rPr>
                <w:rFonts w:ascii="Times New Roman" w:hAnsi="Times New Roman"/>
                <w:sz w:val="21"/>
                <w:szCs w:val="21"/>
              </w:rPr>
              <w:t>0.0619</w:t>
            </w:r>
          </w:p>
        </w:tc>
        <w:tc>
          <w:tcPr>
            <w:tcW w:w="1467" w:type="dxa"/>
            <w:vAlign w:val="center"/>
          </w:tcPr>
          <w:p>
            <w:pPr>
              <w:jc w:val="center"/>
              <w:rPr>
                <w:rFonts w:ascii="Times New Roman" w:hAnsi="Times New Roman"/>
                <w:sz w:val="21"/>
                <w:szCs w:val="21"/>
              </w:rPr>
            </w:pPr>
            <w:r>
              <w:rPr>
                <w:rFonts w:ascii="Times New Roman" w:hAnsi="Times New Roman"/>
                <w:sz w:val="21"/>
                <w:szCs w:val="21"/>
              </w:rPr>
              <w:t>-0.1055</w:t>
            </w:r>
          </w:p>
        </w:tc>
        <w:tc>
          <w:tcPr>
            <w:tcW w:w="1252" w:type="dxa"/>
            <w:vAlign w:val="center"/>
          </w:tcPr>
          <w:p>
            <w:pPr>
              <w:jc w:val="center"/>
              <w:rPr>
                <w:rFonts w:ascii="Times New Roman" w:hAnsi="Times New Roman"/>
                <w:sz w:val="21"/>
                <w:szCs w:val="21"/>
              </w:rPr>
            </w:pPr>
            <w:r>
              <w:rPr>
                <w:rFonts w:ascii="Times New Roman" w:hAnsi="Times New Roman"/>
                <w:sz w:val="21"/>
                <w:szCs w:val="21"/>
              </w:rPr>
              <w:t>0.0319</w:t>
            </w:r>
          </w:p>
        </w:tc>
        <w:tc>
          <w:tcPr>
            <w:tcW w:w="1033" w:type="dxa"/>
            <w:vAlign w:val="center"/>
          </w:tcPr>
          <w:p>
            <w:pPr>
              <w:jc w:val="center"/>
              <w:rPr>
                <w:rFonts w:ascii="Times New Roman" w:hAnsi="Times New Roman"/>
                <w:sz w:val="21"/>
                <w:szCs w:val="21"/>
              </w:rPr>
            </w:pPr>
            <w:r>
              <w:rPr>
                <w:rFonts w:ascii="Times New Roman" w:hAnsi="Times New Roman"/>
                <w:sz w:val="21"/>
                <w:szCs w:val="21"/>
              </w:rPr>
              <w:t>0.0485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0.70</w:t>
            </w:r>
          </w:p>
        </w:tc>
        <w:tc>
          <w:tcPr>
            <w:tcW w:w="1591" w:type="dxa"/>
            <w:vAlign w:val="center"/>
          </w:tcPr>
          <w:p>
            <w:pPr>
              <w:jc w:val="center"/>
              <w:rPr>
                <w:rFonts w:ascii="Times New Roman" w:hAnsi="Times New Roman"/>
                <w:sz w:val="21"/>
                <w:szCs w:val="21"/>
              </w:rPr>
            </w:pPr>
            <w:r>
              <w:rPr>
                <w:rFonts w:ascii="Times New Roman" w:hAnsi="Times New Roman"/>
                <w:sz w:val="21"/>
                <w:szCs w:val="21"/>
              </w:rPr>
              <w:t>0.0298</w:t>
            </w:r>
          </w:p>
        </w:tc>
        <w:tc>
          <w:tcPr>
            <w:tcW w:w="1565" w:type="dxa"/>
            <w:vAlign w:val="center"/>
          </w:tcPr>
          <w:p>
            <w:pPr>
              <w:jc w:val="center"/>
              <w:rPr>
                <w:rFonts w:ascii="Times New Roman" w:hAnsi="Times New Roman"/>
                <w:sz w:val="21"/>
                <w:szCs w:val="21"/>
              </w:rPr>
            </w:pPr>
            <w:r>
              <w:rPr>
                <w:rFonts w:ascii="Times New Roman" w:hAnsi="Times New Roman"/>
                <w:sz w:val="21"/>
                <w:szCs w:val="21"/>
              </w:rPr>
              <w:t>0.0683</w:t>
            </w:r>
          </w:p>
        </w:tc>
        <w:tc>
          <w:tcPr>
            <w:tcW w:w="1467" w:type="dxa"/>
            <w:vAlign w:val="center"/>
          </w:tcPr>
          <w:p>
            <w:pPr>
              <w:jc w:val="center"/>
              <w:rPr>
                <w:rFonts w:ascii="Times New Roman" w:hAnsi="Times New Roman"/>
                <w:sz w:val="21"/>
                <w:szCs w:val="21"/>
              </w:rPr>
            </w:pPr>
            <w:r>
              <w:rPr>
                <w:rFonts w:ascii="Times New Roman" w:hAnsi="Times New Roman"/>
                <w:sz w:val="21"/>
                <w:szCs w:val="21"/>
              </w:rPr>
              <w:t>-0.1096</w:t>
            </w:r>
          </w:p>
        </w:tc>
        <w:tc>
          <w:tcPr>
            <w:tcW w:w="1252" w:type="dxa"/>
            <w:vAlign w:val="center"/>
          </w:tcPr>
          <w:p>
            <w:pPr>
              <w:jc w:val="center"/>
              <w:rPr>
                <w:rFonts w:ascii="Times New Roman" w:hAnsi="Times New Roman"/>
                <w:sz w:val="21"/>
                <w:szCs w:val="21"/>
              </w:rPr>
            </w:pPr>
            <w:r>
              <w:rPr>
                <w:rFonts w:ascii="Times New Roman" w:hAnsi="Times New Roman"/>
                <w:sz w:val="21"/>
                <w:szCs w:val="21"/>
              </w:rPr>
              <w:t>0.0309</w:t>
            </w:r>
          </w:p>
        </w:tc>
        <w:tc>
          <w:tcPr>
            <w:tcW w:w="1033" w:type="dxa"/>
            <w:vAlign w:val="center"/>
          </w:tcPr>
          <w:p>
            <w:pPr>
              <w:jc w:val="center"/>
              <w:rPr>
                <w:rFonts w:ascii="Times New Roman" w:hAnsi="Times New Roman"/>
                <w:sz w:val="21"/>
                <w:szCs w:val="21"/>
              </w:rPr>
            </w:pPr>
            <w:r>
              <w:rPr>
                <w:rFonts w:ascii="Times New Roman" w:hAnsi="Times New Roman"/>
                <w:sz w:val="21"/>
                <w:szCs w:val="21"/>
              </w:rPr>
              <w:t>0.0553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0.65</w:t>
            </w:r>
          </w:p>
        </w:tc>
        <w:tc>
          <w:tcPr>
            <w:tcW w:w="1591" w:type="dxa"/>
            <w:vAlign w:val="center"/>
          </w:tcPr>
          <w:p>
            <w:pPr>
              <w:jc w:val="center"/>
              <w:rPr>
                <w:rFonts w:ascii="Times New Roman" w:hAnsi="Times New Roman"/>
                <w:sz w:val="21"/>
                <w:szCs w:val="21"/>
              </w:rPr>
            </w:pPr>
            <w:r>
              <w:rPr>
                <w:rFonts w:ascii="Times New Roman" w:hAnsi="Times New Roman"/>
                <w:sz w:val="21"/>
                <w:szCs w:val="21"/>
              </w:rPr>
              <w:t>0.0273</w:t>
            </w:r>
          </w:p>
        </w:tc>
        <w:tc>
          <w:tcPr>
            <w:tcW w:w="1565" w:type="dxa"/>
            <w:vAlign w:val="center"/>
          </w:tcPr>
          <w:p>
            <w:pPr>
              <w:jc w:val="center"/>
              <w:rPr>
                <w:rFonts w:ascii="Times New Roman" w:hAnsi="Times New Roman"/>
                <w:sz w:val="21"/>
                <w:szCs w:val="21"/>
              </w:rPr>
            </w:pPr>
            <w:r>
              <w:rPr>
                <w:rFonts w:ascii="Times New Roman" w:hAnsi="Times New Roman"/>
                <w:sz w:val="21"/>
                <w:szCs w:val="21"/>
              </w:rPr>
              <w:t>0.0750</w:t>
            </w:r>
          </w:p>
        </w:tc>
        <w:tc>
          <w:tcPr>
            <w:tcW w:w="1467" w:type="dxa"/>
            <w:vAlign w:val="center"/>
          </w:tcPr>
          <w:p>
            <w:pPr>
              <w:jc w:val="center"/>
              <w:rPr>
                <w:rFonts w:ascii="Times New Roman" w:hAnsi="Times New Roman"/>
                <w:sz w:val="21"/>
                <w:szCs w:val="21"/>
              </w:rPr>
            </w:pPr>
            <w:r>
              <w:rPr>
                <w:rFonts w:ascii="Times New Roman" w:hAnsi="Times New Roman"/>
                <w:sz w:val="21"/>
                <w:szCs w:val="21"/>
              </w:rPr>
              <w:t>-0.1133</w:t>
            </w:r>
          </w:p>
        </w:tc>
        <w:tc>
          <w:tcPr>
            <w:tcW w:w="1252" w:type="dxa"/>
            <w:vAlign w:val="center"/>
          </w:tcPr>
          <w:p>
            <w:pPr>
              <w:jc w:val="center"/>
              <w:rPr>
                <w:rFonts w:ascii="Times New Roman" w:hAnsi="Times New Roman"/>
                <w:sz w:val="21"/>
                <w:szCs w:val="21"/>
              </w:rPr>
            </w:pPr>
            <w:r>
              <w:rPr>
                <w:rFonts w:ascii="Times New Roman" w:hAnsi="Times New Roman"/>
                <w:sz w:val="21"/>
                <w:szCs w:val="21"/>
              </w:rPr>
              <w:t>0.0292</w:t>
            </w:r>
          </w:p>
        </w:tc>
        <w:tc>
          <w:tcPr>
            <w:tcW w:w="1033" w:type="dxa"/>
            <w:vAlign w:val="center"/>
          </w:tcPr>
          <w:p>
            <w:pPr>
              <w:jc w:val="center"/>
              <w:rPr>
                <w:rFonts w:ascii="Times New Roman" w:hAnsi="Times New Roman"/>
                <w:sz w:val="21"/>
                <w:szCs w:val="21"/>
              </w:rPr>
            </w:pPr>
            <w:r>
              <w:rPr>
                <w:rFonts w:ascii="Times New Roman" w:hAnsi="Times New Roman"/>
                <w:sz w:val="21"/>
                <w:szCs w:val="21"/>
              </w:rPr>
              <w:t>0.0627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0.60</w:t>
            </w:r>
          </w:p>
        </w:tc>
        <w:tc>
          <w:tcPr>
            <w:tcW w:w="1591" w:type="dxa"/>
            <w:vAlign w:val="center"/>
          </w:tcPr>
          <w:p>
            <w:pPr>
              <w:jc w:val="center"/>
              <w:rPr>
                <w:rFonts w:ascii="Times New Roman" w:hAnsi="Times New Roman"/>
                <w:sz w:val="21"/>
                <w:szCs w:val="21"/>
              </w:rPr>
            </w:pPr>
            <w:r>
              <w:rPr>
                <w:rFonts w:ascii="Times New Roman" w:hAnsi="Times New Roman"/>
                <w:sz w:val="21"/>
                <w:szCs w:val="21"/>
              </w:rPr>
              <w:t>0.0243</w:t>
            </w:r>
          </w:p>
        </w:tc>
        <w:tc>
          <w:tcPr>
            <w:tcW w:w="1565" w:type="dxa"/>
            <w:vAlign w:val="center"/>
          </w:tcPr>
          <w:p>
            <w:pPr>
              <w:jc w:val="center"/>
              <w:rPr>
                <w:rFonts w:ascii="Times New Roman" w:hAnsi="Times New Roman"/>
                <w:sz w:val="21"/>
                <w:szCs w:val="21"/>
              </w:rPr>
            </w:pPr>
            <w:r>
              <w:rPr>
                <w:rFonts w:ascii="Times New Roman" w:hAnsi="Times New Roman"/>
                <w:sz w:val="21"/>
                <w:szCs w:val="21"/>
              </w:rPr>
              <w:t>0.0820</w:t>
            </w:r>
          </w:p>
        </w:tc>
        <w:tc>
          <w:tcPr>
            <w:tcW w:w="1467" w:type="dxa"/>
            <w:vAlign w:val="center"/>
          </w:tcPr>
          <w:p>
            <w:pPr>
              <w:jc w:val="center"/>
              <w:rPr>
                <w:rFonts w:ascii="Times New Roman" w:hAnsi="Times New Roman"/>
                <w:sz w:val="21"/>
                <w:szCs w:val="21"/>
              </w:rPr>
            </w:pPr>
            <w:r>
              <w:rPr>
                <w:rFonts w:ascii="Times New Roman" w:hAnsi="Times New Roman"/>
                <w:sz w:val="21"/>
                <w:szCs w:val="21"/>
              </w:rPr>
              <w:t>-0.1165</w:t>
            </w:r>
          </w:p>
        </w:tc>
        <w:tc>
          <w:tcPr>
            <w:tcW w:w="1252" w:type="dxa"/>
            <w:vAlign w:val="center"/>
          </w:tcPr>
          <w:p>
            <w:pPr>
              <w:jc w:val="center"/>
              <w:rPr>
                <w:rFonts w:ascii="Times New Roman" w:hAnsi="Times New Roman"/>
                <w:sz w:val="21"/>
                <w:szCs w:val="21"/>
              </w:rPr>
            </w:pPr>
            <w:r>
              <w:rPr>
                <w:rFonts w:ascii="Times New Roman" w:hAnsi="Times New Roman"/>
                <w:sz w:val="21"/>
                <w:szCs w:val="21"/>
              </w:rPr>
              <w:t>0.0269</w:t>
            </w:r>
          </w:p>
        </w:tc>
        <w:tc>
          <w:tcPr>
            <w:tcW w:w="1033" w:type="dxa"/>
            <w:vAlign w:val="center"/>
          </w:tcPr>
          <w:p>
            <w:pPr>
              <w:jc w:val="center"/>
              <w:rPr>
                <w:rFonts w:ascii="Times New Roman" w:hAnsi="Times New Roman"/>
                <w:sz w:val="21"/>
                <w:szCs w:val="21"/>
              </w:rPr>
            </w:pPr>
            <w:r>
              <w:rPr>
                <w:rFonts w:ascii="Times New Roman" w:hAnsi="Times New Roman"/>
                <w:sz w:val="21"/>
                <w:szCs w:val="21"/>
              </w:rPr>
              <w:t>0.0707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0.55</w:t>
            </w:r>
          </w:p>
        </w:tc>
        <w:tc>
          <w:tcPr>
            <w:tcW w:w="1591" w:type="dxa"/>
            <w:vAlign w:val="center"/>
          </w:tcPr>
          <w:p>
            <w:pPr>
              <w:jc w:val="center"/>
              <w:rPr>
                <w:rFonts w:ascii="Times New Roman" w:hAnsi="Times New Roman"/>
                <w:sz w:val="21"/>
                <w:szCs w:val="21"/>
              </w:rPr>
            </w:pPr>
            <w:r>
              <w:rPr>
                <w:rFonts w:ascii="Times New Roman" w:hAnsi="Times New Roman"/>
                <w:sz w:val="21"/>
                <w:szCs w:val="21"/>
              </w:rPr>
              <w:t>0.0210</w:t>
            </w:r>
          </w:p>
        </w:tc>
        <w:tc>
          <w:tcPr>
            <w:tcW w:w="1565" w:type="dxa"/>
            <w:vAlign w:val="center"/>
          </w:tcPr>
          <w:p>
            <w:pPr>
              <w:jc w:val="center"/>
              <w:rPr>
                <w:rFonts w:ascii="Times New Roman" w:hAnsi="Times New Roman"/>
                <w:sz w:val="21"/>
                <w:szCs w:val="21"/>
              </w:rPr>
            </w:pPr>
            <w:r>
              <w:rPr>
                <w:rFonts w:ascii="Times New Roman" w:hAnsi="Times New Roman"/>
                <w:sz w:val="21"/>
                <w:szCs w:val="21"/>
              </w:rPr>
              <w:t>0.0892</w:t>
            </w:r>
          </w:p>
        </w:tc>
        <w:tc>
          <w:tcPr>
            <w:tcW w:w="1467" w:type="dxa"/>
            <w:vAlign w:val="center"/>
          </w:tcPr>
          <w:p>
            <w:pPr>
              <w:jc w:val="center"/>
              <w:rPr>
                <w:rFonts w:ascii="Times New Roman" w:hAnsi="Times New Roman"/>
                <w:sz w:val="21"/>
                <w:szCs w:val="21"/>
              </w:rPr>
            </w:pPr>
            <w:r>
              <w:rPr>
                <w:rFonts w:ascii="Times New Roman" w:hAnsi="Times New Roman"/>
                <w:sz w:val="21"/>
                <w:szCs w:val="21"/>
              </w:rPr>
              <w:t>-0.1192</w:t>
            </w:r>
          </w:p>
        </w:tc>
        <w:tc>
          <w:tcPr>
            <w:tcW w:w="1252" w:type="dxa"/>
            <w:vAlign w:val="center"/>
          </w:tcPr>
          <w:p>
            <w:pPr>
              <w:jc w:val="center"/>
              <w:rPr>
                <w:rFonts w:ascii="Times New Roman" w:hAnsi="Times New Roman"/>
                <w:sz w:val="21"/>
                <w:szCs w:val="21"/>
              </w:rPr>
            </w:pPr>
            <w:r>
              <w:rPr>
                <w:rFonts w:ascii="Times New Roman" w:hAnsi="Times New Roman"/>
                <w:sz w:val="21"/>
                <w:szCs w:val="21"/>
              </w:rPr>
              <w:t>0.0240</w:t>
            </w:r>
          </w:p>
        </w:tc>
        <w:tc>
          <w:tcPr>
            <w:tcW w:w="1033" w:type="dxa"/>
            <w:vAlign w:val="center"/>
          </w:tcPr>
          <w:p>
            <w:pPr>
              <w:jc w:val="center"/>
              <w:rPr>
                <w:rFonts w:ascii="Times New Roman" w:hAnsi="Times New Roman"/>
                <w:sz w:val="21"/>
                <w:szCs w:val="21"/>
              </w:rPr>
            </w:pPr>
            <w:r>
              <w:rPr>
                <w:rFonts w:ascii="Times New Roman" w:hAnsi="Times New Roman"/>
                <w:sz w:val="21"/>
                <w:szCs w:val="21"/>
              </w:rPr>
              <w:t>0.0792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7" w:type="dxa"/>
            <w:vMerge w:val="continue"/>
            <w:vAlign w:val="center"/>
          </w:tcPr>
          <w:p>
            <w:pPr>
              <w:rPr>
                <w:rFonts w:ascii="Times New Roman" w:hAnsi="Times New Roman"/>
                <w:sz w:val="21"/>
                <w:szCs w:val="21"/>
              </w:rPr>
            </w:pPr>
          </w:p>
        </w:tc>
        <w:tc>
          <w:tcPr>
            <w:tcW w:w="871" w:type="dxa"/>
            <w:vAlign w:val="center"/>
          </w:tcPr>
          <w:p>
            <w:pPr>
              <w:rPr>
                <w:rFonts w:ascii="Times New Roman" w:hAnsi="Times New Roman"/>
                <w:sz w:val="21"/>
                <w:szCs w:val="21"/>
              </w:rPr>
            </w:pPr>
            <w:r>
              <w:rPr>
                <w:rFonts w:ascii="Times New Roman" w:hAnsi="Times New Roman"/>
                <w:sz w:val="21"/>
                <w:szCs w:val="21"/>
              </w:rPr>
              <w:t>0.50</w:t>
            </w:r>
          </w:p>
        </w:tc>
        <w:tc>
          <w:tcPr>
            <w:tcW w:w="1591" w:type="dxa"/>
            <w:vAlign w:val="center"/>
          </w:tcPr>
          <w:p>
            <w:pPr>
              <w:jc w:val="center"/>
              <w:rPr>
                <w:rFonts w:ascii="Times New Roman" w:hAnsi="Times New Roman"/>
                <w:sz w:val="21"/>
                <w:szCs w:val="21"/>
              </w:rPr>
            </w:pPr>
            <w:r>
              <w:rPr>
                <w:rFonts w:ascii="Times New Roman" w:hAnsi="Times New Roman"/>
                <w:sz w:val="21"/>
                <w:szCs w:val="21"/>
              </w:rPr>
              <w:t>0.0174</w:t>
            </w:r>
          </w:p>
        </w:tc>
        <w:tc>
          <w:tcPr>
            <w:tcW w:w="1565" w:type="dxa"/>
            <w:vAlign w:val="center"/>
          </w:tcPr>
          <w:p>
            <w:pPr>
              <w:jc w:val="center"/>
              <w:rPr>
                <w:rFonts w:ascii="Times New Roman" w:hAnsi="Times New Roman"/>
                <w:sz w:val="21"/>
                <w:szCs w:val="21"/>
              </w:rPr>
            </w:pPr>
            <w:r>
              <w:rPr>
                <w:rFonts w:ascii="Times New Roman" w:hAnsi="Times New Roman"/>
                <w:sz w:val="21"/>
                <w:szCs w:val="21"/>
              </w:rPr>
              <w:t>0.0965</w:t>
            </w:r>
          </w:p>
        </w:tc>
        <w:tc>
          <w:tcPr>
            <w:tcW w:w="1467" w:type="dxa"/>
            <w:vAlign w:val="center"/>
          </w:tcPr>
          <w:p>
            <w:pPr>
              <w:jc w:val="center"/>
              <w:rPr>
                <w:rFonts w:ascii="Times New Roman" w:hAnsi="Times New Roman"/>
                <w:sz w:val="21"/>
                <w:szCs w:val="21"/>
              </w:rPr>
            </w:pPr>
            <w:r>
              <w:rPr>
                <w:rFonts w:ascii="Times New Roman" w:hAnsi="Times New Roman"/>
                <w:sz w:val="21"/>
                <w:szCs w:val="21"/>
              </w:rPr>
              <w:t>-0.1215</w:t>
            </w:r>
          </w:p>
        </w:tc>
        <w:tc>
          <w:tcPr>
            <w:tcW w:w="1252" w:type="dxa"/>
            <w:vAlign w:val="center"/>
          </w:tcPr>
          <w:p>
            <w:pPr>
              <w:jc w:val="center"/>
              <w:rPr>
                <w:rFonts w:ascii="Times New Roman" w:hAnsi="Times New Roman"/>
                <w:sz w:val="21"/>
                <w:szCs w:val="21"/>
              </w:rPr>
            </w:pPr>
            <w:r>
              <w:rPr>
                <w:rFonts w:ascii="Times New Roman" w:hAnsi="Times New Roman"/>
                <w:sz w:val="21"/>
                <w:szCs w:val="21"/>
              </w:rPr>
              <w:t>0.0204</w:t>
            </w:r>
          </w:p>
        </w:tc>
        <w:tc>
          <w:tcPr>
            <w:tcW w:w="1033" w:type="dxa"/>
            <w:vAlign w:val="center"/>
          </w:tcPr>
          <w:p>
            <w:pPr>
              <w:jc w:val="center"/>
              <w:rPr>
                <w:rFonts w:ascii="Times New Roman" w:hAnsi="Times New Roman"/>
                <w:sz w:val="21"/>
                <w:szCs w:val="21"/>
              </w:rPr>
            </w:pPr>
            <w:r>
              <w:rPr>
                <w:rFonts w:ascii="Times New Roman" w:hAnsi="Times New Roman"/>
                <w:sz w:val="21"/>
                <w:szCs w:val="21"/>
              </w:rPr>
              <w:t>0.0880</w:t>
            </w:r>
          </w:p>
        </w:tc>
      </w:tr>
    </w:tbl>
    <w:p>
      <w:pPr>
        <w:rPr>
          <w:rFonts w:ascii="Times New Roman" w:hAnsi="Times New Roman"/>
        </w:rPr>
      </w:pPr>
    </w:p>
    <w:p>
      <w:pPr>
        <w:jc w:val="center"/>
        <w:rPr>
          <w:rFonts w:ascii="Times New Roman" w:hAnsi="Times New Roman"/>
          <w:b/>
          <w:bCs/>
        </w:rPr>
      </w:pPr>
      <w:r>
        <w:rPr>
          <w:rFonts w:hint="eastAsia" w:ascii="Times New Roman" w:hAnsi="Times New Roman"/>
          <w:b/>
          <w:bCs/>
        </w:rPr>
        <w:t>表</w:t>
      </w:r>
      <w:r>
        <w:rPr>
          <w:rFonts w:ascii="Times New Roman" w:hAnsi="Times New Roman"/>
          <w:b/>
          <w:bCs/>
        </w:rPr>
        <w:t xml:space="preserve">5.4.2-2 </w:t>
      </w:r>
      <w:r>
        <w:rPr>
          <w:rFonts w:hint="eastAsia" w:ascii="Times New Roman" w:hAnsi="Times New Roman"/>
          <w:b/>
          <w:bCs/>
        </w:rPr>
        <w:t>均布荷载作用下双向矩形板的弯矩系数</w: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6"/>
        <w:gridCol w:w="584"/>
        <w:gridCol w:w="1285"/>
        <w:gridCol w:w="1181"/>
        <w:gridCol w:w="1182"/>
        <w:gridCol w:w="919"/>
        <w:gridCol w:w="919"/>
        <w:gridCol w:w="845"/>
        <w:gridCol w:w="8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gridSpan w:val="2"/>
            <w:vMerge w:val="restart"/>
            <w:vAlign w:val="center"/>
          </w:tcPr>
          <w:p>
            <w:pPr>
              <w:jc w:val="center"/>
              <w:rPr>
                <w:rFonts w:ascii="Times New Roman" w:hAnsi="Times New Roman"/>
                <w:sz w:val="21"/>
                <w:szCs w:val="21"/>
              </w:rPr>
            </w:pPr>
            <w:r>
              <w:rPr>
                <w:rFonts w:ascii="Times New Roman" w:hAnsi="Times New Roman" w:eastAsiaTheme="minorEastAsia" w:cstheme="minorBidi"/>
                <w:kern w:val="2"/>
                <w:position w:val="-6"/>
                <w:sz w:val="21"/>
                <w:szCs w:val="21"/>
              </w:rPr>
              <w:object>
                <v:shape id="_x0000_i1154" o:spt="75" type="#_x0000_t75" style="height:15pt;width:30pt;" o:ole="t" filled="f" o:preferrelative="t" stroked="f" coordsize="21600,21600">
                  <v:path/>
                  <v:fill on="f" focussize="0,0"/>
                  <v:stroke on="f" joinstyle="miter"/>
                  <v:imagedata r:id="rId235" o:title=""/>
                  <o:lock v:ext="edit" aspectratio="t"/>
                  <w10:wrap type="none"/>
                  <w10:anchorlock/>
                </v:shape>
                <o:OLEObject Type="Embed" ProgID="Equation.DSMT4" ShapeID="_x0000_i1154" DrawAspect="Content" ObjectID="_1468075854" r:id="rId258">
                  <o:LockedField>false</o:LockedField>
                </o:OLEObject>
              </w:object>
            </w:r>
          </w:p>
        </w:tc>
        <w:tc>
          <w:tcPr>
            <w:tcW w:w="0" w:type="auto"/>
            <w:gridSpan w:val="7"/>
          </w:tcPr>
          <w:p>
            <w:pPr>
              <w:jc w:val="center"/>
              <w:rPr>
                <w:rFonts w:ascii="Times New Roman" w:hAnsi="Times New Roman"/>
                <w:sz w:val="21"/>
                <w:szCs w:val="21"/>
              </w:rPr>
            </w:pPr>
            <w:r>
              <w:rPr>
                <w:rFonts w:hint="eastAsia" w:ascii="Times New Roman" w:hAnsi="Times New Roman"/>
                <w:sz w:val="21"/>
                <w:szCs w:val="21"/>
              </w:rPr>
              <w:t>弯矩</w:t>
            </w:r>
            <w:r>
              <w:rPr>
                <w:rFonts w:ascii="Times New Roman" w:hAnsi="Times New Roman"/>
                <w:sz w:val="21"/>
                <w:szCs w:val="21"/>
              </w:rPr>
              <w:t>=表中系数</w:t>
            </w:r>
            <w:r>
              <w:rPr>
                <w:rFonts w:ascii="Times New Roman" w:hAnsi="Times New Roman" w:eastAsiaTheme="minorEastAsia" w:cstheme="minorBidi"/>
                <w:kern w:val="2"/>
                <w:position w:val="-12"/>
                <w:sz w:val="21"/>
                <w:szCs w:val="21"/>
              </w:rPr>
              <w:object>
                <v:shape id="_x0000_i1155" o:spt="75" type="#_x0000_t75" style="height:21pt;width:27pt;" o:ole="t" filled="f" o:preferrelative="t" stroked="f" coordsize="21600,21600">
                  <v:path/>
                  <v:fill on="f" focussize="0,0"/>
                  <v:stroke on="f" joinstyle="miter"/>
                  <v:imagedata r:id="rId237" o:title=""/>
                  <o:lock v:ext="edit" aspectratio="t"/>
                  <w10:wrap type="none"/>
                  <w10:anchorlock/>
                </v:shape>
                <o:OLEObject Type="Embed" ProgID="Equation.DSMT4" ShapeID="_x0000_i1155" DrawAspect="Content" ObjectID="_1468075855" r:id="rId259">
                  <o:LockedField>false</o:LockedField>
                </o:OLEObject>
              </w:object>
            </w:r>
            <w:r>
              <w:rPr>
                <w:rFonts w:ascii="Times New Roman" w:hAnsi="Times New Roman"/>
                <w:sz w:val="21"/>
                <w:szCs w:val="21"/>
              </w:rPr>
              <w:t xml:space="preserve">   </w:t>
            </w:r>
            <w:r>
              <w:rPr>
                <w:rFonts w:hint="eastAsia" w:ascii="Times New Roman" w:hAnsi="Times New Roman"/>
                <w:sz w:val="21"/>
                <w:szCs w:val="21"/>
              </w:rPr>
              <w:t>式中</w:t>
            </w:r>
            <w:r>
              <w:rPr>
                <w:rFonts w:ascii="Times New Roman" w:hAnsi="Times New Roman" w:eastAsiaTheme="minorEastAsia" w:cstheme="minorBidi"/>
                <w:kern w:val="2"/>
                <w:position w:val="-6"/>
                <w:sz w:val="21"/>
                <w:szCs w:val="21"/>
              </w:rPr>
              <w:object>
                <v:shape id="_x0000_i1156" o:spt="75" type="#_x0000_t75" style="height:15pt;width:7.8pt;" o:ole="t" filled="f" o:preferrelative="t" stroked="f" coordsize="21600,21600">
                  <v:path/>
                  <v:fill on="f" focussize="0,0"/>
                  <v:stroke on="f" joinstyle="miter"/>
                  <v:imagedata r:id="rId239" o:title=""/>
                  <o:lock v:ext="edit" aspectratio="t"/>
                  <w10:wrap type="none"/>
                  <w10:anchorlock/>
                </v:shape>
                <o:OLEObject Type="Embed" ProgID="Equation.DSMT4" ShapeID="_x0000_i1156" DrawAspect="Content" ObjectID="_1468075856" r:id="rId260">
                  <o:LockedField>false</o:LockedField>
                </o:OLEObject>
              </w:object>
            </w:r>
            <w:r>
              <w:rPr>
                <w:rFonts w:hint="eastAsia" w:ascii="Times New Roman" w:hAnsi="Times New Roman"/>
                <w:sz w:val="21"/>
                <w:szCs w:val="21"/>
              </w:rPr>
              <w:t>用</w:t>
            </w:r>
            <w:r>
              <w:rPr>
                <w:rFonts w:ascii="Times New Roman" w:hAnsi="Times New Roman" w:eastAsiaTheme="minorEastAsia" w:cstheme="minorBidi"/>
                <w:kern w:val="2"/>
                <w:position w:val="-12"/>
                <w:sz w:val="21"/>
                <w:szCs w:val="21"/>
              </w:rPr>
              <w:object>
                <v:shape id="_x0000_i1157" o:spt="75" type="#_x0000_t75" style="height:19.2pt;width:11.4pt;" o:ole="t" filled="f" o:preferrelative="t" stroked="f" coordsize="21600,21600">
                  <v:path/>
                  <v:fill on="f" focussize="0,0"/>
                  <v:stroke on="f" joinstyle="miter"/>
                  <v:imagedata r:id="rId241" o:title=""/>
                  <o:lock v:ext="edit" aspectratio="t"/>
                  <w10:wrap type="none"/>
                  <w10:anchorlock/>
                </v:shape>
                <o:OLEObject Type="Embed" ProgID="Equation.DSMT4" ShapeID="_x0000_i1157" DrawAspect="Content" ObjectID="_1468075857" r:id="rId261">
                  <o:LockedField>false</o:LockedField>
                </o:OLEObject>
              </w:object>
            </w:r>
            <w:r>
              <w:rPr>
                <w:rFonts w:hint="eastAsia" w:ascii="Times New Roman" w:hAnsi="Times New Roman"/>
                <w:sz w:val="21"/>
                <w:szCs w:val="21"/>
              </w:rPr>
              <w:t>和</w:t>
            </w:r>
            <w:r>
              <w:rPr>
                <w:rFonts w:ascii="Times New Roman" w:hAnsi="Times New Roman" w:eastAsiaTheme="minorEastAsia" w:cstheme="minorBidi"/>
                <w:kern w:val="2"/>
                <w:position w:val="-16"/>
                <w:sz w:val="21"/>
                <w:szCs w:val="21"/>
              </w:rPr>
              <w:object>
                <v:shape id="_x0000_i1158" o:spt="75" type="#_x0000_t75" style="height:21pt;width:12pt;" o:ole="t" filled="f" o:preferrelative="t" stroked="f" coordsize="21600,21600">
                  <v:path/>
                  <v:fill on="f" focussize="0,0"/>
                  <v:stroke on="f" joinstyle="miter"/>
                  <v:imagedata r:id="rId243" o:title=""/>
                  <o:lock v:ext="edit" aspectratio="t"/>
                  <w10:wrap type="none"/>
                  <w10:anchorlock/>
                </v:shape>
                <o:OLEObject Type="Embed" ProgID="Equation.DSMT4" ShapeID="_x0000_i1158" DrawAspect="Content" ObjectID="_1468075858" r:id="rId262">
                  <o:LockedField>false</o:LockedField>
                </o:OLEObject>
              </w:object>
            </w:r>
            <w:r>
              <w:rPr>
                <w:rFonts w:hint="eastAsia" w:ascii="Times New Roman" w:hAnsi="Times New Roman"/>
                <w:sz w:val="21"/>
                <w:szCs w:val="21"/>
              </w:rPr>
              <w:t>中较小者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7" w:hRule="atLeast"/>
        </w:trPr>
        <w:tc>
          <w:tcPr>
            <w:tcW w:w="0" w:type="auto"/>
            <w:gridSpan w:val="2"/>
            <w:vMerge w:val="continue"/>
            <w:vAlign w:val="center"/>
          </w:tcPr>
          <w:p>
            <w:pPr>
              <w:rPr>
                <w:rFonts w:ascii="Times New Roman" w:hAnsi="Times New Roman"/>
                <w:sz w:val="21"/>
                <w:szCs w:val="21"/>
              </w:rPr>
            </w:pPr>
          </w:p>
        </w:tc>
        <w:tc>
          <w:tcPr>
            <w:tcW w:w="0" w:type="auto"/>
            <w:gridSpan w:val="3"/>
          </w:tcPr>
          <w:p>
            <w:pPr>
              <w:jc w:val="center"/>
              <w:rPr>
                <w:rFonts w:ascii="Times New Roman" w:hAnsi="Times New Roman"/>
                <w:sz w:val="21"/>
                <w:szCs w:val="21"/>
              </w:rPr>
            </w:pPr>
            <w:r>
              <w:rPr>
                <w:rFonts w:ascii="Times New Roman" w:hAnsi="Times New Roman"/>
                <w:sz w:val="21"/>
                <w:szCs w:val="21"/>
              </w:rPr>
              <w:drawing>
                <wp:inline distT="0" distB="0" distL="0" distR="0">
                  <wp:extent cx="2179320" cy="1574800"/>
                  <wp:effectExtent l="0" t="0" r="0" b="6350"/>
                  <wp:docPr id="176802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2159" name="图片 1"/>
                          <pic:cNvPicPr>
                            <a:picLocks noChangeAspect="1"/>
                          </pic:cNvPicPr>
                        </pic:nvPicPr>
                        <pic:blipFill>
                          <a:blip r:embed="rId263">
                            <a:extLst>
                              <a:ext uri="{28A0092B-C50C-407E-A947-70E740481C1C}">
                                <a14:useLocalDpi xmlns:a14="http://schemas.microsoft.com/office/drawing/2010/main" val="0"/>
                              </a:ext>
                            </a:extLst>
                          </a:blip>
                          <a:stretch>
                            <a:fillRect/>
                          </a:stretch>
                        </pic:blipFill>
                        <pic:spPr>
                          <a:xfrm>
                            <a:off x="0" y="0"/>
                            <a:ext cx="2187984" cy="1581098"/>
                          </a:xfrm>
                          <a:prstGeom prst="rect">
                            <a:avLst/>
                          </a:prstGeom>
                        </pic:spPr>
                      </pic:pic>
                    </a:graphicData>
                  </a:graphic>
                </wp:inline>
              </w:drawing>
            </w:r>
          </w:p>
        </w:tc>
        <w:tc>
          <w:tcPr>
            <w:tcW w:w="0" w:type="auto"/>
            <w:gridSpan w:val="4"/>
          </w:tcPr>
          <w:p>
            <w:pPr>
              <w:jc w:val="center"/>
              <w:rPr>
                <w:rFonts w:ascii="Times New Roman" w:hAnsi="Times New Roman"/>
                <w:sz w:val="21"/>
                <w:szCs w:val="21"/>
              </w:rPr>
            </w:pPr>
            <w:r>
              <w:rPr>
                <w:rFonts w:ascii="Times New Roman" w:hAnsi="Times New Roman"/>
                <w:sz w:val="21"/>
                <w:szCs w:val="21"/>
              </w:rPr>
              <w:drawing>
                <wp:inline distT="0" distB="0" distL="0" distR="0">
                  <wp:extent cx="2103120" cy="1521460"/>
                  <wp:effectExtent l="0" t="0" r="0" b="2540"/>
                  <wp:docPr id="72012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2620" name="图片 1"/>
                          <pic:cNvPicPr>
                            <a:picLocks noChangeAspect="1"/>
                          </pic:cNvPicPr>
                        </pic:nvPicPr>
                        <pic:blipFill>
                          <a:blip r:embed="rId264">
                            <a:extLst>
                              <a:ext uri="{28A0092B-C50C-407E-A947-70E740481C1C}">
                                <a14:useLocalDpi xmlns:a14="http://schemas.microsoft.com/office/drawing/2010/main" val="0"/>
                              </a:ext>
                            </a:extLst>
                          </a:blip>
                          <a:srcRect t="3488" b="-1"/>
                          <a:stretch>
                            <a:fillRect/>
                          </a:stretch>
                        </pic:blipFill>
                        <pic:spPr>
                          <a:xfrm>
                            <a:off x="0" y="0"/>
                            <a:ext cx="2127732" cy="1538867"/>
                          </a:xfrm>
                          <a:prstGeom prst="rect">
                            <a:avLst/>
                          </a:prstGeom>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restart"/>
            <w:vAlign w:val="center"/>
          </w:tcPr>
          <w:p>
            <w:pPr>
              <w:rPr>
                <w:rFonts w:ascii="Times New Roman" w:hAnsi="Times New Roman"/>
                <w:sz w:val="21"/>
                <w:szCs w:val="21"/>
              </w:rPr>
            </w:pPr>
            <w:r>
              <w:rPr>
                <w:rFonts w:ascii="Times New Roman" w:hAnsi="Times New Roman" w:eastAsiaTheme="minorEastAsia" w:cstheme="minorBidi"/>
                <w:kern w:val="2"/>
                <w:position w:val="-38"/>
                <w:sz w:val="21"/>
                <w:szCs w:val="21"/>
              </w:rPr>
              <w:object>
                <v:shape id="_x0000_i1159" o:spt="75" type="#_x0000_t75" style="height:41.4pt;width:15pt;" o:ole="t" filled="f" o:preferrelative="t" stroked="f" coordsize="21600,21600">
                  <v:path/>
                  <v:fill on="f" focussize="0,0"/>
                  <v:stroke on="f" joinstyle="miter"/>
                  <v:imagedata r:id="rId247" o:title=""/>
                  <o:lock v:ext="edit" aspectratio="t"/>
                  <w10:wrap type="none"/>
                  <w10:anchorlock/>
                </v:shape>
                <o:OLEObject Type="Embed" ProgID="Equation.DSMT4" ShapeID="_x0000_i1159" DrawAspect="Content" ObjectID="_1468075859" r:id="rId265">
                  <o:LockedField>false</o:LockedField>
                </o:OLEObject>
              </w:object>
            </w:r>
            <w:r>
              <w:rPr>
                <w:rFonts w:ascii="Times New Roman" w:hAnsi="Times New Roman"/>
                <w:sz w:val="21"/>
                <w:szCs w:val="21"/>
              </w:rPr>
              <w:t xml:space="preserve"> </w:t>
            </w:r>
          </w:p>
        </w:tc>
        <w:tc>
          <w:tcPr>
            <w:tcW w:w="0" w:type="auto"/>
            <w:vAlign w:val="center"/>
          </w:tcPr>
          <w:p>
            <w:pPr>
              <w:rPr>
                <w:rFonts w:ascii="Times New Roman" w:hAnsi="Times New Roman"/>
                <w:sz w:val="21"/>
                <w:szCs w:val="21"/>
              </w:rPr>
            </w:pPr>
          </w:p>
        </w:tc>
        <w:tc>
          <w:tcPr>
            <w:tcW w:w="0" w:type="auto"/>
            <w:vAlign w:val="center"/>
          </w:tcPr>
          <w:p>
            <w:pPr>
              <w:jc w:val="center"/>
              <w:rPr>
                <w:rFonts w:ascii="Times New Roman" w:hAnsi="Times New Roman"/>
                <w:sz w:val="21"/>
                <w:szCs w:val="21"/>
              </w:rPr>
            </w:pPr>
            <w:r>
              <w:rPr>
                <w:rFonts w:ascii="Times New Roman" w:hAnsi="Times New Roman" w:eastAsiaTheme="minorEastAsia" w:cstheme="minorBidi"/>
                <w:kern w:val="2"/>
                <w:position w:val="-12"/>
                <w:sz w:val="21"/>
                <w:szCs w:val="21"/>
              </w:rPr>
              <w:object>
                <v:shape id="_x0000_i1160" o:spt="75" type="#_x0000_t75" style="height:21pt;width:22.8pt;" o:ole="t" filled="f" o:preferrelative="t" stroked="f" coordsize="21600,21600">
                  <v:path/>
                  <v:fill on="f" focussize="0,0"/>
                  <v:stroke on="f" joinstyle="miter"/>
                  <v:imagedata r:id="rId253" o:title=""/>
                  <o:lock v:ext="edit" aspectratio="t"/>
                  <w10:wrap type="none"/>
                  <w10:anchorlock/>
                </v:shape>
                <o:OLEObject Type="Embed" ProgID="Equation.DSMT4" ShapeID="_x0000_i1160" DrawAspect="Content" ObjectID="_1468075860" r:id="rId266">
                  <o:LockedField>false</o:LockedField>
                </o:OLEObject>
              </w:object>
            </w:r>
          </w:p>
        </w:tc>
        <w:tc>
          <w:tcPr>
            <w:tcW w:w="0" w:type="auto"/>
          </w:tcPr>
          <w:p>
            <w:pPr>
              <w:jc w:val="center"/>
              <w:rPr>
                <w:rFonts w:ascii="Times New Roman" w:hAnsi="Times New Roman"/>
                <w:sz w:val="21"/>
                <w:szCs w:val="21"/>
              </w:rPr>
            </w:pPr>
            <w:r>
              <w:rPr>
                <w:rFonts w:ascii="Times New Roman" w:hAnsi="Times New Roman" w:eastAsiaTheme="minorEastAsia" w:cstheme="minorBidi"/>
                <w:kern w:val="2"/>
                <w:position w:val="-12"/>
                <w:sz w:val="21"/>
                <w:szCs w:val="21"/>
              </w:rPr>
              <w:object>
                <v:shape id="_x0000_i1161" o:spt="75" type="#_x0000_t75" style="height:19.2pt;width:21pt;" o:ole="t" filled="f" o:preferrelative="t" stroked="f" coordsize="21600,21600">
                  <v:path/>
                  <v:fill on="f" focussize="0,0"/>
                  <v:stroke on="f" joinstyle="miter"/>
                  <v:imagedata r:id="rId249" o:title=""/>
                  <o:lock v:ext="edit" aspectratio="t"/>
                  <w10:wrap type="none"/>
                  <w10:anchorlock/>
                </v:shape>
                <o:OLEObject Type="Embed" ProgID="Equation.DSMT4" ShapeID="_x0000_i1161" DrawAspect="Content" ObjectID="_1468075861" r:id="rId267">
                  <o:LockedField>false</o:LockedField>
                </o:OLEObject>
              </w:object>
            </w:r>
          </w:p>
        </w:tc>
        <w:tc>
          <w:tcPr>
            <w:tcW w:w="0" w:type="auto"/>
            <w:vAlign w:val="center"/>
          </w:tcPr>
          <w:p>
            <w:pPr>
              <w:jc w:val="center"/>
              <w:rPr>
                <w:rFonts w:ascii="Times New Roman" w:hAnsi="Times New Roman"/>
                <w:sz w:val="21"/>
                <w:szCs w:val="21"/>
              </w:rPr>
            </w:pPr>
            <w:r>
              <w:rPr>
                <w:rFonts w:ascii="Times New Roman" w:hAnsi="Times New Roman" w:eastAsiaTheme="minorEastAsia" w:cstheme="minorBidi"/>
                <w:kern w:val="2"/>
                <w:position w:val="-16"/>
                <w:sz w:val="21"/>
                <w:szCs w:val="21"/>
              </w:rPr>
              <w:object>
                <v:shape id="_x0000_i1162" o:spt="75" type="#_x0000_t75" style="height:21pt;width:22.8pt;" o:ole="t" filled="f" o:preferrelative="t" stroked="f" coordsize="21600,21600">
                  <v:path/>
                  <v:fill on="f" focussize="0,0"/>
                  <v:stroke on="f" joinstyle="miter"/>
                  <v:imagedata r:id="rId251" o:title=""/>
                  <o:lock v:ext="edit" aspectratio="t"/>
                  <w10:wrap type="none"/>
                  <w10:anchorlock/>
                </v:shape>
                <o:OLEObject Type="Embed" ProgID="Equation.DSMT4" ShapeID="_x0000_i1162" DrawAspect="Content" ObjectID="_1468075862" r:id="rId268">
                  <o:LockedField>false</o:LockedField>
                </o:OLEObject>
              </w:object>
            </w:r>
          </w:p>
        </w:tc>
        <w:tc>
          <w:tcPr>
            <w:tcW w:w="0" w:type="auto"/>
            <w:vAlign w:val="center"/>
          </w:tcPr>
          <w:p>
            <w:pPr>
              <w:jc w:val="center"/>
              <w:rPr>
                <w:rFonts w:ascii="Times New Roman" w:hAnsi="Times New Roman"/>
                <w:sz w:val="21"/>
                <w:szCs w:val="21"/>
              </w:rPr>
            </w:pPr>
            <w:r>
              <w:rPr>
                <w:rFonts w:ascii="Times New Roman" w:hAnsi="Times New Roman" w:eastAsiaTheme="minorEastAsia" w:cstheme="minorBidi"/>
                <w:kern w:val="2"/>
                <w:position w:val="-12"/>
                <w:sz w:val="21"/>
                <w:szCs w:val="21"/>
              </w:rPr>
              <w:object>
                <v:shape id="_x0000_i1163" o:spt="75" type="#_x0000_t75" style="height:21pt;width:22.8pt;" o:ole="t" filled="f" o:preferrelative="t" stroked="f" coordsize="21600,21600">
                  <v:path/>
                  <v:fill on="f" focussize="0,0"/>
                  <v:stroke on="f" joinstyle="miter"/>
                  <v:imagedata r:id="rId253" o:title=""/>
                  <o:lock v:ext="edit" aspectratio="t"/>
                  <w10:wrap type="none"/>
                  <w10:anchorlock/>
                </v:shape>
                <o:OLEObject Type="Embed" ProgID="Equation.DSMT4" ShapeID="_x0000_i1163" DrawAspect="Content" ObjectID="_1468075863" r:id="rId269">
                  <o:LockedField>false</o:LockedField>
                </o:OLEObject>
              </w:object>
            </w:r>
            <w:r>
              <w:rPr>
                <w:rFonts w:ascii="Times New Roman" w:hAnsi="Times New Roman"/>
                <w:sz w:val="21"/>
                <w:szCs w:val="21"/>
              </w:rPr>
              <w:t xml:space="preserve"> </w:t>
            </w:r>
          </w:p>
        </w:tc>
        <w:tc>
          <w:tcPr>
            <w:tcW w:w="0" w:type="auto"/>
          </w:tcPr>
          <w:p>
            <w:pPr>
              <w:jc w:val="center"/>
              <w:rPr>
                <w:rFonts w:ascii="Times New Roman" w:hAnsi="Times New Roman"/>
                <w:sz w:val="21"/>
                <w:szCs w:val="21"/>
              </w:rPr>
            </w:pPr>
            <w:r>
              <w:rPr>
                <w:rFonts w:ascii="Times New Roman" w:hAnsi="Times New Roman" w:eastAsiaTheme="minorEastAsia" w:cstheme="minorBidi"/>
                <w:kern w:val="2"/>
                <w:position w:val="-16"/>
                <w:sz w:val="21"/>
                <w:szCs w:val="21"/>
              </w:rPr>
              <w:object>
                <v:shape id="_x0000_i1164" o:spt="75" type="#_x0000_t75" style="height:22.2pt;width:22.8pt;" o:ole="t" filled="f" o:preferrelative="t" stroked="f" coordsize="21600,21600">
                  <v:path/>
                  <v:fill on="f" focussize="0,0"/>
                  <v:stroke on="f" joinstyle="miter"/>
                  <v:imagedata r:id="rId271" o:title=""/>
                  <o:lock v:ext="edit" aspectratio="t"/>
                  <w10:wrap type="none"/>
                  <w10:anchorlock/>
                </v:shape>
                <o:OLEObject Type="Embed" ProgID="Equation.DSMT4" ShapeID="_x0000_i1164" DrawAspect="Content" ObjectID="_1468075864" r:id="rId270">
                  <o:LockedField>false</o:LockedField>
                </o:OLEObject>
              </w:object>
            </w:r>
          </w:p>
        </w:tc>
        <w:tc>
          <w:tcPr>
            <w:tcW w:w="0" w:type="auto"/>
            <w:vAlign w:val="center"/>
          </w:tcPr>
          <w:p>
            <w:pPr>
              <w:jc w:val="center"/>
              <w:rPr>
                <w:rFonts w:ascii="Times New Roman" w:hAnsi="Times New Roman"/>
                <w:sz w:val="21"/>
                <w:szCs w:val="21"/>
              </w:rPr>
            </w:pPr>
            <w:r>
              <w:rPr>
                <w:rFonts w:ascii="Times New Roman" w:hAnsi="Times New Roman" w:eastAsiaTheme="minorEastAsia" w:cstheme="minorBidi"/>
                <w:kern w:val="2"/>
                <w:position w:val="-12"/>
                <w:sz w:val="21"/>
                <w:szCs w:val="21"/>
              </w:rPr>
              <w:object>
                <v:shape id="_x0000_i1165" o:spt="75" type="#_x0000_t75" style="height:19.2pt;width:21pt;" o:ole="t" filled="f" o:preferrelative="t" stroked="f" coordsize="21600,21600">
                  <v:path/>
                  <v:fill on="f" focussize="0,0"/>
                  <v:stroke on="f" joinstyle="miter"/>
                  <v:imagedata r:id="rId249" o:title=""/>
                  <o:lock v:ext="edit" aspectratio="t"/>
                  <w10:wrap type="none"/>
                  <w10:anchorlock/>
                </v:shape>
                <o:OLEObject Type="Embed" ProgID="Equation.DSMT4" ShapeID="_x0000_i1165" DrawAspect="Content" ObjectID="_1468075865" r:id="rId272">
                  <o:LockedField>false</o:LockedField>
                </o:OLEObject>
              </w:object>
            </w:r>
          </w:p>
        </w:tc>
        <w:tc>
          <w:tcPr>
            <w:tcW w:w="0" w:type="auto"/>
            <w:vAlign w:val="center"/>
          </w:tcPr>
          <w:p>
            <w:pPr>
              <w:jc w:val="center"/>
              <w:rPr>
                <w:rFonts w:ascii="Times New Roman" w:hAnsi="Times New Roman"/>
                <w:sz w:val="21"/>
                <w:szCs w:val="21"/>
              </w:rPr>
            </w:pPr>
            <w:r>
              <w:rPr>
                <w:rFonts w:ascii="Times New Roman" w:hAnsi="Times New Roman" w:eastAsiaTheme="minorEastAsia" w:cstheme="minorBidi"/>
                <w:kern w:val="2"/>
                <w:position w:val="-16"/>
                <w:sz w:val="21"/>
                <w:szCs w:val="21"/>
              </w:rPr>
              <w:object>
                <v:shape id="_x0000_i1166" o:spt="75" type="#_x0000_t75" style="height:21pt;width:22.8pt;" o:ole="t" filled="f" o:preferrelative="t" stroked="f" coordsize="21600,21600">
                  <v:path/>
                  <v:fill on="f" focussize="0,0"/>
                  <v:stroke on="f" joinstyle="miter"/>
                  <v:imagedata r:id="rId251" o:title=""/>
                  <o:lock v:ext="edit" aspectratio="t"/>
                  <w10:wrap type="none"/>
                  <w10:anchorlock/>
                </v:shape>
                <o:OLEObject Type="Embed" ProgID="Equation.DSMT4" ShapeID="_x0000_i1166" DrawAspect="Content" ObjectID="_1468075866" r:id="rId273">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0.50</w:t>
            </w:r>
          </w:p>
        </w:tc>
        <w:tc>
          <w:tcPr>
            <w:tcW w:w="0" w:type="auto"/>
            <w:vAlign w:val="center"/>
          </w:tcPr>
          <w:p>
            <w:pPr>
              <w:jc w:val="center"/>
              <w:rPr>
                <w:rFonts w:ascii="Times New Roman" w:hAnsi="Times New Roman"/>
                <w:sz w:val="21"/>
                <w:szCs w:val="21"/>
              </w:rPr>
            </w:pPr>
            <w:r>
              <w:rPr>
                <w:rFonts w:ascii="Times New Roman" w:hAnsi="Times New Roman"/>
                <w:sz w:val="21"/>
                <w:szCs w:val="21"/>
              </w:rPr>
              <w:t>-0.0845</w:t>
            </w:r>
          </w:p>
        </w:tc>
        <w:tc>
          <w:tcPr>
            <w:tcW w:w="0" w:type="auto"/>
          </w:tcPr>
          <w:p>
            <w:pPr>
              <w:jc w:val="center"/>
              <w:rPr>
                <w:rFonts w:ascii="Times New Roman" w:hAnsi="Times New Roman"/>
                <w:sz w:val="21"/>
                <w:szCs w:val="21"/>
              </w:rPr>
            </w:pPr>
            <w:r>
              <w:rPr>
                <w:rFonts w:ascii="Times New Roman" w:hAnsi="Times New Roman"/>
                <w:sz w:val="21"/>
                <w:szCs w:val="21"/>
              </w:rPr>
              <w:t>0.0414</w:t>
            </w:r>
          </w:p>
        </w:tc>
        <w:tc>
          <w:tcPr>
            <w:tcW w:w="0" w:type="auto"/>
            <w:vAlign w:val="center"/>
          </w:tcPr>
          <w:p>
            <w:pPr>
              <w:jc w:val="center"/>
              <w:rPr>
                <w:rFonts w:ascii="Times New Roman" w:hAnsi="Times New Roman"/>
                <w:sz w:val="21"/>
                <w:szCs w:val="21"/>
              </w:rPr>
            </w:pPr>
            <w:r>
              <w:rPr>
                <w:rFonts w:ascii="Times New Roman" w:hAnsi="Times New Roman"/>
                <w:sz w:val="21"/>
                <w:szCs w:val="21"/>
              </w:rPr>
              <w:t>0.0017</w:t>
            </w:r>
          </w:p>
        </w:tc>
        <w:tc>
          <w:tcPr>
            <w:tcW w:w="0" w:type="auto"/>
            <w:vAlign w:val="center"/>
          </w:tcPr>
          <w:p>
            <w:pPr>
              <w:jc w:val="center"/>
              <w:rPr>
                <w:rFonts w:ascii="Times New Roman" w:hAnsi="Times New Roman"/>
                <w:sz w:val="21"/>
                <w:szCs w:val="21"/>
              </w:rPr>
            </w:pPr>
            <w:r>
              <w:rPr>
                <w:rFonts w:ascii="Times New Roman" w:hAnsi="Times New Roman"/>
                <w:sz w:val="21"/>
                <w:szCs w:val="21"/>
              </w:rPr>
              <w:t>-0.1177</w:t>
            </w:r>
          </w:p>
        </w:tc>
        <w:tc>
          <w:tcPr>
            <w:tcW w:w="0" w:type="auto"/>
          </w:tcPr>
          <w:p>
            <w:pPr>
              <w:jc w:val="center"/>
              <w:rPr>
                <w:rFonts w:ascii="Times New Roman" w:hAnsi="Times New Roman"/>
                <w:sz w:val="21"/>
                <w:szCs w:val="21"/>
              </w:rPr>
            </w:pPr>
            <w:r>
              <w:rPr>
                <w:rFonts w:ascii="Times New Roman" w:hAnsi="Times New Roman"/>
                <w:sz w:val="21"/>
                <w:szCs w:val="21"/>
              </w:rPr>
              <w:t>-0.0782</w:t>
            </w:r>
          </w:p>
        </w:tc>
        <w:tc>
          <w:tcPr>
            <w:tcW w:w="0" w:type="auto"/>
            <w:vAlign w:val="center"/>
          </w:tcPr>
          <w:p>
            <w:pPr>
              <w:jc w:val="center"/>
              <w:rPr>
                <w:rFonts w:ascii="Times New Roman" w:hAnsi="Times New Roman"/>
                <w:sz w:val="21"/>
                <w:szCs w:val="21"/>
              </w:rPr>
            </w:pPr>
            <w:r>
              <w:rPr>
                <w:rFonts w:ascii="Times New Roman" w:hAnsi="Times New Roman"/>
                <w:sz w:val="21"/>
                <w:szCs w:val="21"/>
              </w:rPr>
              <w:t>0.0560</w:t>
            </w:r>
          </w:p>
        </w:tc>
        <w:tc>
          <w:tcPr>
            <w:tcW w:w="0" w:type="auto"/>
            <w:vAlign w:val="center"/>
          </w:tcPr>
          <w:p>
            <w:pPr>
              <w:jc w:val="center"/>
              <w:rPr>
                <w:rFonts w:ascii="Times New Roman" w:hAnsi="Times New Roman"/>
                <w:sz w:val="21"/>
                <w:szCs w:val="21"/>
              </w:rPr>
            </w:pPr>
            <w:r>
              <w:rPr>
                <w:rFonts w:ascii="Times New Roman" w:hAnsi="Times New Roman"/>
                <w:sz w:val="21"/>
                <w:szCs w:val="21"/>
              </w:rPr>
              <w:t>0.0079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0.55</w:t>
            </w:r>
          </w:p>
        </w:tc>
        <w:tc>
          <w:tcPr>
            <w:tcW w:w="0" w:type="auto"/>
            <w:vAlign w:val="center"/>
          </w:tcPr>
          <w:p>
            <w:pPr>
              <w:jc w:val="center"/>
              <w:rPr>
                <w:rFonts w:ascii="Times New Roman" w:hAnsi="Times New Roman"/>
                <w:sz w:val="21"/>
                <w:szCs w:val="21"/>
              </w:rPr>
            </w:pPr>
            <w:r>
              <w:rPr>
                <w:rFonts w:ascii="Times New Roman" w:hAnsi="Times New Roman"/>
                <w:sz w:val="21"/>
                <w:szCs w:val="21"/>
              </w:rPr>
              <w:t>-0.0843</w:t>
            </w:r>
          </w:p>
        </w:tc>
        <w:tc>
          <w:tcPr>
            <w:tcW w:w="0" w:type="auto"/>
          </w:tcPr>
          <w:p>
            <w:pPr>
              <w:jc w:val="center"/>
              <w:rPr>
                <w:rFonts w:ascii="Times New Roman" w:hAnsi="Times New Roman"/>
                <w:sz w:val="21"/>
                <w:szCs w:val="21"/>
              </w:rPr>
            </w:pPr>
            <w:r>
              <w:rPr>
                <w:rFonts w:ascii="Times New Roman" w:hAnsi="Times New Roman"/>
                <w:sz w:val="21"/>
                <w:szCs w:val="21"/>
              </w:rPr>
              <w:t>0.0408</w:t>
            </w:r>
          </w:p>
        </w:tc>
        <w:tc>
          <w:tcPr>
            <w:tcW w:w="0" w:type="auto"/>
            <w:vAlign w:val="center"/>
          </w:tcPr>
          <w:p>
            <w:pPr>
              <w:jc w:val="center"/>
              <w:rPr>
                <w:rFonts w:ascii="Times New Roman" w:hAnsi="Times New Roman"/>
                <w:sz w:val="21"/>
                <w:szCs w:val="21"/>
              </w:rPr>
            </w:pPr>
            <w:r>
              <w:rPr>
                <w:rFonts w:ascii="Times New Roman" w:hAnsi="Times New Roman"/>
                <w:sz w:val="21"/>
                <w:szCs w:val="21"/>
              </w:rPr>
              <w:t>0.0029</w:t>
            </w:r>
          </w:p>
        </w:tc>
        <w:tc>
          <w:tcPr>
            <w:tcW w:w="0" w:type="auto"/>
            <w:vAlign w:val="center"/>
          </w:tcPr>
          <w:p>
            <w:pPr>
              <w:jc w:val="center"/>
              <w:rPr>
                <w:rFonts w:ascii="Times New Roman" w:hAnsi="Times New Roman"/>
                <w:sz w:val="21"/>
                <w:szCs w:val="21"/>
              </w:rPr>
            </w:pPr>
            <w:r>
              <w:rPr>
                <w:rFonts w:ascii="Times New Roman" w:hAnsi="Times New Roman"/>
                <w:sz w:val="21"/>
                <w:szCs w:val="21"/>
              </w:rPr>
              <w:t>-0.1136</w:t>
            </w:r>
          </w:p>
        </w:tc>
        <w:tc>
          <w:tcPr>
            <w:tcW w:w="0" w:type="auto"/>
          </w:tcPr>
          <w:p>
            <w:pPr>
              <w:jc w:val="center"/>
              <w:rPr>
                <w:rFonts w:ascii="Times New Roman" w:hAnsi="Times New Roman"/>
                <w:sz w:val="21"/>
                <w:szCs w:val="21"/>
              </w:rPr>
            </w:pPr>
            <w:r>
              <w:rPr>
                <w:rFonts w:ascii="Times New Roman" w:hAnsi="Times New Roman"/>
                <w:sz w:val="21"/>
                <w:szCs w:val="21"/>
              </w:rPr>
              <w:t>-0.0779</w:t>
            </w:r>
          </w:p>
        </w:tc>
        <w:tc>
          <w:tcPr>
            <w:tcW w:w="0" w:type="auto"/>
            <w:vAlign w:val="center"/>
          </w:tcPr>
          <w:p>
            <w:pPr>
              <w:jc w:val="center"/>
              <w:rPr>
                <w:rFonts w:ascii="Times New Roman" w:hAnsi="Times New Roman"/>
                <w:sz w:val="21"/>
                <w:szCs w:val="21"/>
              </w:rPr>
            </w:pPr>
            <w:r>
              <w:rPr>
                <w:rFonts w:ascii="Times New Roman" w:hAnsi="Times New Roman"/>
                <w:sz w:val="21"/>
                <w:szCs w:val="21"/>
              </w:rPr>
              <w:t>0.0529</w:t>
            </w:r>
          </w:p>
        </w:tc>
        <w:tc>
          <w:tcPr>
            <w:tcW w:w="0" w:type="auto"/>
            <w:vAlign w:val="center"/>
          </w:tcPr>
          <w:p>
            <w:pPr>
              <w:jc w:val="center"/>
              <w:rPr>
                <w:rFonts w:ascii="Times New Roman" w:hAnsi="Times New Roman"/>
                <w:sz w:val="21"/>
                <w:szCs w:val="21"/>
              </w:rPr>
            </w:pPr>
            <w:r>
              <w:rPr>
                <w:rFonts w:ascii="Times New Roman" w:hAnsi="Times New Roman"/>
                <w:sz w:val="21"/>
                <w:szCs w:val="21"/>
              </w:rPr>
              <w:t>0.0105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0.60</w:t>
            </w:r>
          </w:p>
        </w:tc>
        <w:tc>
          <w:tcPr>
            <w:tcW w:w="0" w:type="auto"/>
            <w:vAlign w:val="center"/>
          </w:tcPr>
          <w:p>
            <w:pPr>
              <w:jc w:val="center"/>
              <w:rPr>
                <w:rFonts w:ascii="Times New Roman" w:hAnsi="Times New Roman"/>
                <w:sz w:val="21"/>
                <w:szCs w:val="21"/>
              </w:rPr>
            </w:pPr>
            <w:r>
              <w:rPr>
                <w:rFonts w:ascii="Times New Roman" w:hAnsi="Times New Roman"/>
                <w:sz w:val="21"/>
                <w:szCs w:val="21"/>
              </w:rPr>
              <w:t>-0.0837</w:t>
            </w:r>
          </w:p>
        </w:tc>
        <w:tc>
          <w:tcPr>
            <w:tcW w:w="0" w:type="auto"/>
          </w:tcPr>
          <w:p>
            <w:pPr>
              <w:jc w:val="center"/>
              <w:rPr>
                <w:rFonts w:ascii="Times New Roman" w:hAnsi="Times New Roman"/>
                <w:sz w:val="21"/>
                <w:szCs w:val="21"/>
              </w:rPr>
            </w:pPr>
            <w:r>
              <w:rPr>
                <w:rFonts w:ascii="Times New Roman" w:hAnsi="Times New Roman"/>
                <w:sz w:val="21"/>
                <w:szCs w:val="21"/>
              </w:rPr>
              <w:t>0.0400</w:t>
            </w:r>
          </w:p>
        </w:tc>
        <w:tc>
          <w:tcPr>
            <w:tcW w:w="0" w:type="auto"/>
            <w:vAlign w:val="center"/>
          </w:tcPr>
          <w:p>
            <w:pPr>
              <w:jc w:val="center"/>
              <w:rPr>
                <w:rFonts w:ascii="Times New Roman" w:hAnsi="Times New Roman"/>
                <w:sz w:val="21"/>
                <w:szCs w:val="21"/>
              </w:rPr>
            </w:pPr>
            <w:r>
              <w:rPr>
                <w:rFonts w:ascii="Times New Roman" w:hAnsi="Times New Roman"/>
                <w:sz w:val="21"/>
                <w:szCs w:val="21"/>
              </w:rPr>
              <w:t>0.0043</w:t>
            </w:r>
          </w:p>
        </w:tc>
        <w:tc>
          <w:tcPr>
            <w:tcW w:w="0" w:type="auto"/>
            <w:vAlign w:val="center"/>
          </w:tcPr>
          <w:p>
            <w:pPr>
              <w:jc w:val="center"/>
              <w:rPr>
                <w:rFonts w:ascii="Times New Roman" w:hAnsi="Times New Roman"/>
                <w:sz w:val="21"/>
                <w:szCs w:val="21"/>
              </w:rPr>
            </w:pPr>
            <w:r>
              <w:rPr>
                <w:rFonts w:ascii="Times New Roman" w:hAnsi="Times New Roman"/>
                <w:sz w:val="21"/>
                <w:szCs w:val="21"/>
              </w:rPr>
              <w:t>-0.1093</w:t>
            </w:r>
          </w:p>
        </w:tc>
        <w:tc>
          <w:tcPr>
            <w:tcW w:w="0" w:type="auto"/>
          </w:tcPr>
          <w:p>
            <w:pPr>
              <w:jc w:val="center"/>
              <w:rPr>
                <w:rFonts w:ascii="Times New Roman" w:hAnsi="Times New Roman"/>
                <w:sz w:val="21"/>
                <w:szCs w:val="21"/>
              </w:rPr>
            </w:pPr>
            <w:r>
              <w:rPr>
                <w:rFonts w:ascii="Times New Roman" w:hAnsi="Times New Roman"/>
                <w:sz w:val="21"/>
                <w:szCs w:val="21"/>
              </w:rPr>
              <w:t>-0.0776</w:t>
            </w:r>
          </w:p>
        </w:tc>
        <w:tc>
          <w:tcPr>
            <w:tcW w:w="0" w:type="auto"/>
            <w:vAlign w:val="center"/>
          </w:tcPr>
          <w:p>
            <w:pPr>
              <w:jc w:val="center"/>
              <w:rPr>
                <w:rFonts w:ascii="Times New Roman" w:hAnsi="Times New Roman"/>
                <w:sz w:val="21"/>
                <w:szCs w:val="21"/>
              </w:rPr>
            </w:pPr>
            <w:r>
              <w:rPr>
                <w:rFonts w:ascii="Times New Roman" w:hAnsi="Times New Roman"/>
                <w:sz w:val="21"/>
                <w:szCs w:val="21"/>
              </w:rPr>
              <w:t>0.0496</w:t>
            </w:r>
          </w:p>
        </w:tc>
        <w:tc>
          <w:tcPr>
            <w:tcW w:w="0" w:type="auto"/>
            <w:vAlign w:val="center"/>
          </w:tcPr>
          <w:p>
            <w:pPr>
              <w:jc w:val="center"/>
              <w:rPr>
                <w:rFonts w:ascii="Times New Roman" w:hAnsi="Times New Roman"/>
                <w:sz w:val="21"/>
                <w:szCs w:val="21"/>
              </w:rPr>
            </w:pPr>
            <w:r>
              <w:rPr>
                <w:rFonts w:ascii="Times New Roman" w:hAnsi="Times New Roman"/>
                <w:sz w:val="21"/>
                <w:szCs w:val="21"/>
              </w:rPr>
              <w:t>0.0130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0.65</w:t>
            </w:r>
          </w:p>
        </w:tc>
        <w:tc>
          <w:tcPr>
            <w:tcW w:w="0" w:type="auto"/>
            <w:vAlign w:val="center"/>
          </w:tcPr>
          <w:p>
            <w:pPr>
              <w:jc w:val="center"/>
              <w:rPr>
                <w:rFonts w:ascii="Times New Roman" w:hAnsi="Times New Roman"/>
                <w:sz w:val="21"/>
                <w:szCs w:val="21"/>
              </w:rPr>
            </w:pPr>
            <w:r>
              <w:rPr>
                <w:rFonts w:ascii="Times New Roman" w:hAnsi="Times New Roman"/>
                <w:sz w:val="21"/>
                <w:szCs w:val="21"/>
              </w:rPr>
              <w:t>-0.0828</w:t>
            </w:r>
          </w:p>
        </w:tc>
        <w:tc>
          <w:tcPr>
            <w:tcW w:w="0" w:type="auto"/>
          </w:tcPr>
          <w:p>
            <w:pPr>
              <w:jc w:val="center"/>
              <w:rPr>
                <w:rFonts w:ascii="Times New Roman" w:hAnsi="Times New Roman"/>
                <w:sz w:val="21"/>
                <w:szCs w:val="21"/>
              </w:rPr>
            </w:pPr>
            <w:r>
              <w:rPr>
                <w:rFonts w:ascii="Times New Roman" w:hAnsi="Times New Roman"/>
                <w:sz w:val="21"/>
                <w:szCs w:val="21"/>
              </w:rPr>
              <w:t>0.0391</w:t>
            </w:r>
          </w:p>
        </w:tc>
        <w:tc>
          <w:tcPr>
            <w:tcW w:w="0" w:type="auto"/>
            <w:vAlign w:val="center"/>
          </w:tcPr>
          <w:p>
            <w:pPr>
              <w:jc w:val="center"/>
              <w:rPr>
                <w:rFonts w:ascii="Times New Roman" w:hAnsi="Times New Roman"/>
                <w:sz w:val="21"/>
                <w:szCs w:val="21"/>
              </w:rPr>
            </w:pPr>
            <w:r>
              <w:rPr>
                <w:rFonts w:ascii="Times New Roman" w:hAnsi="Times New Roman"/>
                <w:sz w:val="21"/>
                <w:szCs w:val="21"/>
              </w:rPr>
              <w:t>0.0058</w:t>
            </w:r>
          </w:p>
        </w:tc>
        <w:tc>
          <w:tcPr>
            <w:tcW w:w="0" w:type="auto"/>
            <w:vAlign w:val="center"/>
          </w:tcPr>
          <w:p>
            <w:pPr>
              <w:jc w:val="center"/>
              <w:rPr>
                <w:rFonts w:ascii="Times New Roman" w:hAnsi="Times New Roman"/>
                <w:sz w:val="21"/>
                <w:szCs w:val="21"/>
              </w:rPr>
            </w:pPr>
            <w:r>
              <w:rPr>
                <w:rFonts w:ascii="Times New Roman" w:hAnsi="Times New Roman"/>
                <w:sz w:val="21"/>
                <w:szCs w:val="21"/>
              </w:rPr>
              <w:t>-0.1047</w:t>
            </w:r>
          </w:p>
        </w:tc>
        <w:tc>
          <w:tcPr>
            <w:tcW w:w="0" w:type="auto"/>
          </w:tcPr>
          <w:p>
            <w:pPr>
              <w:jc w:val="center"/>
              <w:rPr>
                <w:rFonts w:ascii="Times New Roman" w:hAnsi="Times New Roman"/>
                <w:sz w:val="21"/>
                <w:szCs w:val="21"/>
              </w:rPr>
            </w:pPr>
            <w:r>
              <w:rPr>
                <w:rFonts w:ascii="Times New Roman" w:hAnsi="Times New Roman"/>
                <w:sz w:val="21"/>
                <w:szCs w:val="21"/>
              </w:rPr>
              <w:t>-0.0773</w:t>
            </w:r>
          </w:p>
        </w:tc>
        <w:tc>
          <w:tcPr>
            <w:tcW w:w="0" w:type="auto"/>
            <w:vAlign w:val="center"/>
          </w:tcPr>
          <w:p>
            <w:pPr>
              <w:jc w:val="center"/>
              <w:rPr>
                <w:rFonts w:ascii="Times New Roman" w:hAnsi="Times New Roman"/>
                <w:sz w:val="21"/>
                <w:szCs w:val="21"/>
              </w:rPr>
            </w:pPr>
            <w:r>
              <w:rPr>
                <w:rFonts w:ascii="Times New Roman" w:hAnsi="Times New Roman"/>
                <w:sz w:val="21"/>
                <w:szCs w:val="21"/>
              </w:rPr>
              <w:t>0.0462</w:t>
            </w:r>
          </w:p>
        </w:tc>
        <w:tc>
          <w:tcPr>
            <w:tcW w:w="0" w:type="auto"/>
            <w:vAlign w:val="center"/>
          </w:tcPr>
          <w:p>
            <w:pPr>
              <w:jc w:val="center"/>
              <w:rPr>
                <w:rFonts w:ascii="Times New Roman" w:hAnsi="Times New Roman"/>
                <w:sz w:val="21"/>
                <w:szCs w:val="21"/>
              </w:rPr>
            </w:pPr>
            <w:r>
              <w:rPr>
                <w:rFonts w:ascii="Times New Roman" w:hAnsi="Times New Roman"/>
                <w:sz w:val="21"/>
                <w:szCs w:val="21"/>
              </w:rPr>
              <w:t>0.0153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0.70</w:t>
            </w:r>
          </w:p>
        </w:tc>
        <w:tc>
          <w:tcPr>
            <w:tcW w:w="0" w:type="auto"/>
            <w:vAlign w:val="center"/>
          </w:tcPr>
          <w:p>
            <w:pPr>
              <w:jc w:val="center"/>
              <w:rPr>
                <w:rFonts w:ascii="Times New Roman" w:hAnsi="Times New Roman"/>
                <w:sz w:val="21"/>
                <w:szCs w:val="21"/>
              </w:rPr>
            </w:pPr>
            <w:r>
              <w:rPr>
                <w:rFonts w:ascii="Times New Roman" w:hAnsi="Times New Roman"/>
                <w:sz w:val="21"/>
                <w:szCs w:val="21"/>
              </w:rPr>
              <w:t>-0.0816</w:t>
            </w:r>
          </w:p>
        </w:tc>
        <w:tc>
          <w:tcPr>
            <w:tcW w:w="0" w:type="auto"/>
          </w:tcPr>
          <w:p>
            <w:pPr>
              <w:jc w:val="center"/>
              <w:rPr>
                <w:rFonts w:ascii="Times New Roman" w:hAnsi="Times New Roman"/>
                <w:sz w:val="21"/>
                <w:szCs w:val="21"/>
              </w:rPr>
            </w:pPr>
            <w:r>
              <w:rPr>
                <w:rFonts w:ascii="Times New Roman" w:hAnsi="Times New Roman"/>
                <w:sz w:val="21"/>
                <w:szCs w:val="21"/>
              </w:rPr>
              <w:t>0.0380</w:t>
            </w:r>
          </w:p>
        </w:tc>
        <w:tc>
          <w:tcPr>
            <w:tcW w:w="0" w:type="auto"/>
            <w:vAlign w:val="center"/>
          </w:tcPr>
          <w:p>
            <w:pPr>
              <w:jc w:val="center"/>
              <w:rPr>
                <w:rFonts w:ascii="Times New Roman" w:hAnsi="Times New Roman"/>
                <w:sz w:val="21"/>
                <w:szCs w:val="21"/>
              </w:rPr>
            </w:pPr>
            <w:r>
              <w:rPr>
                <w:rFonts w:ascii="Times New Roman" w:hAnsi="Times New Roman"/>
                <w:sz w:val="21"/>
                <w:szCs w:val="21"/>
              </w:rPr>
              <w:t>0.0073</w:t>
            </w:r>
          </w:p>
        </w:tc>
        <w:tc>
          <w:tcPr>
            <w:tcW w:w="0" w:type="auto"/>
            <w:vAlign w:val="center"/>
          </w:tcPr>
          <w:p>
            <w:pPr>
              <w:jc w:val="center"/>
              <w:rPr>
                <w:rFonts w:ascii="Times New Roman" w:hAnsi="Times New Roman"/>
                <w:sz w:val="21"/>
                <w:szCs w:val="21"/>
              </w:rPr>
            </w:pPr>
            <w:r>
              <w:rPr>
                <w:rFonts w:ascii="Times New Roman" w:hAnsi="Times New Roman"/>
                <w:sz w:val="21"/>
                <w:szCs w:val="21"/>
              </w:rPr>
              <w:t>-0.0996</w:t>
            </w:r>
          </w:p>
        </w:tc>
        <w:tc>
          <w:tcPr>
            <w:tcW w:w="0" w:type="auto"/>
          </w:tcPr>
          <w:p>
            <w:pPr>
              <w:jc w:val="center"/>
              <w:rPr>
                <w:rFonts w:ascii="Times New Roman" w:hAnsi="Times New Roman"/>
                <w:sz w:val="21"/>
                <w:szCs w:val="21"/>
              </w:rPr>
            </w:pPr>
            <w:r>
              <w:rPr>
                <w:rFonts w:ascii="Times New Roman" w:hAnsi="Times New Roman"/>
                <w:sz w:val="21"/>
                <w:szCs w:val="21"/>
              </w:rPr>
              <w:t>-0.0768</w:t>
            </w:r>
          </w:p>
        </w:tc>
        <w:tc>
          <w:tcPr>
            <w:tcW w:w="0" w:type="auto"/>
            <w:vAlign w:val="center"/>
          </w:tcPr>
          <w:p>
            <w:pPr>
              <w:jc w:val="center"/>
              <w:rPr>
                <w:rFonts w:ascii="Times New Roman" w:hAnsi="Times New Roman"/>
                <w:sz w:val="21"/>
                <w:szCs w:val="21"/>
              </w:rPr>
            </w:pPr>
            <w:r>
              <w:rPr>
                <w:rFonts w:ascii="Times New Roman" w:hAnsi="Times New Roman"/>
                <w:sz w:val="21"/>
                <w:szCs w:val="21"/>
              </w:rPr>
              <w:t>0.0426</w:t>
            </w:r>
          </w:p>
        </w:tc>
        <w:tc>
          <w:tcPr>
            <w:tcW w:w="0" w:type="auto"/>
            <w:vAlign w:val="center"/>
          </w:tcPr>
          <w:p>
            <w:pPr>
              <w:jc w:val="center"/>
              <w:rPr>
                <w:rFonts w:ascii="Times New Roman" w:hAnsi="Times New Roman"/>
                <w:sz w:val="21"/>
                <w:szCs w:val="21"/>
              </w:rPr>
            </w:pPr>
            <w:r>
              <w:rPr>
                <w:rFonts w:ascii="Times New Roman" w:hAnsi="Times New Roman"/>
                <w:sz w:val="21"/>
                <w:szCs w:val="21"/>
              </w:rPr>
              <w:t>0.0171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0.75</w:t>
            </w:r>
          </w:p>
        </w:tc>
        <w:tc>
          <w:tcPr>
            <w:tcW w:w="0" w:type="auto"/>
            <w:vAlign w:val="center"/>
          </w:tcPr>
          <w:p>
            <w:pPr>
              <w:jc w:val="center"/>
              <w:rPr>
                <w:rFonts w:ascii="Times New Roman" w:hAnsi="Times New Roman"/>
                <w:sz w:val="21"/>
                <w:szCs w:val="21"/>
              </w:rPr>
            </w:pPr>
            <w:r>
              <w:rPr>
                <w:rFonts w:ascii="Times New Roman" w:hAnsi="Times New Roman"/>
                <w:sz w:val="21"/>
                <w:szCs w:val="21"/>
              </w:rPr>
              <w:t>-0.0801</w:t>
            </w:r>
          </w:p>
        </w:tc>
        <w:tc>
          <w:tcPr>
            <w:tcW w:w="0" w:type="auto"/>
          </w:tcPr>
          <w:p>
            <w:pPr>
              <w:jc w:val="center"/>
              <w:rPr>
                <w:rFonts w:ascii="Times New Roman" w:hAnsi="Times New Roman"/>
                <w:sz w:val="21"/>
                <w:szCs w:val="21"/>
              </w:rPr>
            </w:pPr>
            <w:r>
              <w:rPr>
                <w:rFonts w:ascii="Times New Roman" w:hAnsi="Times New Roman"/>
                <w:sz w:val="21"/>
                <w:szCs w:val="21"/>
              </w:rPr>
              <w:t>0.0366</w:t>
            </w:r>
          </w:p>
        </w:tc>
        <w:tc>
          <w:tcPr>
            <w:tcW w:w="0" w:type="auto"/>
            <w:vAlign w:val="center"/>
          </w:tcPr>
          <w:p>
            <w:pPr>
              <w:jc w:val="center"/>
              <w:rPr>
                <w:rFonts w:ascii="Times New Roman" w:hAnsi="Times New Roman"/>
                <w:sz w:val="21"/>
                <w:szCs w:val="21"/>
              </w:rPr>
            </w:pPr>
            <w:r>
              <w:rPr>
                <w:rFonts w:ascii="Times New Roman" w:hAnsi="Times New Roman"/>
                <w:sz w:val="21"/>
                <w:szCs w:val="21"/>
              </w:rPr>
              <w:t>0.0088</w:t>
            </w:r>
          </w:p>
        </w:tc>
        <w:tc>
          <w:tcPr>
            <w:tcW w:w="0" w:type="auto"/>
            <w:vAlign w:val="center"/>
          </w:tcPr>
          <w:p>
            <w:pPr>
              <w:jc w:val="center"/>
              <w:rPr>
                <w:rFonts w:ascii="Times New Roman" w:hAnsi="Times New Roman"/>
                <w:sz w:val="21"/>
                <w:szCs w:val="21"/>
              </w:rPr>
            </w:pPr>
            <w:r>
              <w:rPr>
                <w:rFonts w:ascii="Times New Roman" w:hAnsi="Times New Roman"/>
                <w:sz w:val="21"/>
                <w:szCs w:val="21"/>
              </w:rPr>
              <w:t>-0.0940</w:t>
            </w:r>
          </w:p>
        </w:tc>
        <w:tc>
          <w:tcPr>
            <w:tcW w:w="0" w:type="auto"/>
          </w:tcPr>
          <w:p>
            <w:pPr>
              <w:jc w:val="center"/>
              <w:rPr>
                <w:rFonts w:ascii="Times New Roman" w:hAnsi="Times New Roman"/>
                <w:sz w:val="21"/>
                <w:szCs w:val="21"/>
              </w:rPr>
            </w:pPr>
            <w:r>
              <w:rPr>
                <w:rFonts w:ascii="Times New Roman" w:hAnsi="Times New Roman"/>
                <w:sz w:val="21"/>
                <w:szCs w:val="21"/>
              </w:rPr>
              <w:t>-0.0759</w:t>
            </w:r>
          </w:p>
        </w:tc>
        <w:tc>
          <w:tcPr>
            <w:tcW w:w="0" w:type="auto"/>
            <w:vAlign w:val="center"/>
          </w:tcPr>
          <w:p>
            <w:pPr>
              <w:jc w:val="center"/>
              <w:rPr>
                <w:rFonts w:ascii="Times New Roman" w:hAnsi="Times New Roman"/>
                <w:sz w:val="21"/>
                <w:szCs w:val="21"/>
              </w:rPr>
            </w:pPr>
            <w:r>
              <w:rPr>
                <w:rFonts w:ascii="Times New Roman" w:hAnsi="Times New Roman"/>
                <w:sz w:val="21"/>
                <w:szCs w:val="21"/>
              </w:rPr>
              <w:t>0.0390</w:t>
            </w:r>
          </w:p>
        </w:tc>
        <w:tc>
          <w:tcPr>
            <w:tcW w:w="0" w:type="auto"/>
            <w:vAlign w:val="center"/>
          </w:tcPr>
          <w:p>
            <w:pPr>
              <w:jc w:val="center"/>
              <w:rPr>
                <w:rFonts w:ascii="Times New Roman" w:hAnsi="Times New Roman"/>
                <w:sz w:val="21"/>
                <w:szCs w:val="21"/>
              </w:rPr>
            </w:pPr>
            <w:r>
              <w:rPr>
                <w:rFonts w:ascii="Times New Roman" w:hAnsi="Times New Roman"/>
                <w:sz w:val="21"/>
                <w:szCs w:val="21"/>
              </w:rPr>
              <w:t>0.0188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0.80</w:t>
            </w:r>
          </w:p>
        </w:tc>
        <w:tc>
          <w:tcPr>
            <w:tcW w:w="0" w:type="auto"/>
            <w:vAlign w:val="center"/>
          </w:tcPr>
          <w:p>
            <w:pPr>
              <w:jc w:val="center"/>
              <w:rPr>
                <w:rFonts w:ascii="Times New Roman" w:hAnsi="Times New Roman"/>
                <w:sz w:val="21"/>
                <w:szCs w:val="21"/>
              </w:rPr>
            </w:pPr>
            <w:r>
              <w:rPr>
                <w:rFonts w:ascii="Times New Roman" w:hAnsi="Times New Roman"/>
                <w:sz w:val="21"/>
                <w:szCs w:val="21"/>
              </w:rPr>
              <w:t>-0.0784</w:t>
            </w:r>
          </w:p>
        </w:tc>
        <w:tc>
          <w:tcPr>
            <w:tcW w:w="0" w:type="auto"/>
          </w:tcPr>
          <w:p>
            <w:pPr>
              <w:jc w:val="center"/>
              <w:rPr>
                <w:rFonts w:ascii="Times New Roman" w:hAnsi="Times New Roman"/>
                <w:sz w:val="21"/>
                <w:szCs w:val="21"/>
              </w:rPr>
            </w:pPr>
            <w:r>
              <w:rPr>
                <w:rFonts w:ascii="Times New Roman" w:hAnsi="Times New Roman"/>
                <w:sz w:val="21"/>
                <w:szCs w:val="21"/>
              </w:rPr>
              <w:t>0.0350</w:t>
            </w:r>
          </w:p>
        </w:tc>
        <w:tc>
          <w:tcPr>
            <w:tcW w:w="0" w:type="auto"/>
            <w:vAlign w:val="center"/>
          </w:tcPr>
          <w:p>
            <w:pPr>
              <w:jc w:val="center"/>
              <w:rPr>
                <w:rFonts w:ascii="Times New Roman" w:hAnsi="Times New Roman"/>
                <w:sz w:val="21"/>
                <w:szCs w:val="21"/>
              </w:rPr>
            </w:pPr>
            <w:r>
              <w:rPr>
                <w:rFonts w:ascii="Times New Roman" w:hAnsi="Times New Roman"/>
                <w:sz w:val="21"/>
                <w:szCs w:val="21"/>
              </w:rPr>
              <w:t>0.0103</w:t>
            </w:r>
          </w:p>
        </w:tc>
        <w:tc>
          <w:tcPr>
            <w:tcW w:w="0" w:type="auto"/>
            <w:vAlign w:val="center"/>
          </w:tcPr>
          <w:p>
            <w:pPr>
              <w:jc w:val="center"/>
              <w:rPr>
                <w:rFonts w:ascii="Times New Roman" w:hAnsi="Times New Roman"/>
                <w:sz w:val="21"/>
                <w:szCs w:val="21"/>
              </w:rPr>
            </w:pPr>
            <w:r>
              <w:rPr>
                <w:rFonts w:ascii="Times New Roman" w:hAnsi="Times New Roman"/>
                <w:sz w:val="21"/>
                <w:szCs w:val="21"/>
              </w:rPr>
              <w:t>-0.0882</w:t>
            </w:r>
          </w:p>
        </w:tc>
        <w:tc>
          <w:tcPr>
            <w:tcW w:w="0" w:type="auto"/>
          </w:tcPr>
          <w:p>
            <w:pPr>
              <w:jc w:val="center"/>
              <w:rPr>
                <w:rFonts w:ascii="Times New Roman" w:hAnsi="Times New Roman"/>
                <w:sz w:val="21"/>
                <w:szCs w:val="21"/>
              </w:rPr>
            </w:pPr>
            <w:r>
              <w:rPr>
                <w:rFonts w:ascii="Times New Roman" w:hAnsi="Times New Roman"/>
                <w:sz w:val="21"/>
                <w:szCs w:val="21"/>
              </w:rPr>
              <w:t>-0.0746</w:t>
            </w:r>
          </w:p>
        </w:tc>
        <w:tc>
          <w:tcPr>
            <w:tcW w:w="0" w:type="auto"/>
            <w:vAlign w:val="center"/>
          </w:tcPr>
          <w:p>
            <w:pPr>
              <w:jc w:val="center"/>
              <w:rPr>
                <w:rFonts w:ascii="Times New Roman" w:hAnsi="Times New Roman"/>
                <w:sz w:val="21"/>
                <w:szCs w:val="21"/>
              </w:rPr>
            </w:pPr>
            <w:r>
              <w:rPr>
                <w:rFonts w:ascii="Times New Roman" w:hAnsi="Times New Roman"/>
                <w:sz w:val="21"/>
                <w:szCs w:val="21"/>
              </w:rPr>
              <w:t>0.0355</w:t>
            </w:r>
          </w:p>
        </w:tc>
        <w:tc>
          <w:tcPr>
            <w:tcW w:w="0" w:type="auto"/>
            <w:vAlign w:val="center"/>
          </w:tcPr>
          <w:p>
            <w:pPr>
              <w:jc w:val="center"/>
              <w:rPr>
                <w:rFonts w:ascii="Times New Roman" w:hAnsi="Times New Roman"/>
                <w:sz w:val="21"/>
                <w:szCs w:val="21"/>
              </w:rPr>
            </w:pPr>
            <w:r>
              <w:rPr>
                <w:rFonts w:ascii="Times New Roman" w:hAnsi="Times New Roman"/>
                <w:sz w:val="21"/>
                <w:szCs w:val="21"/>
              </w:rPr>
              <w:t>0.0203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0.85</w:t>
            </w:r>
          </w:p>
        </w:tc>
        <w:tc>
          <w:tcPr>
            <w:tcW w:w="0" w:type="auto"/>
            <w:vAlign w:val="center"/>
          </w:tcPr>
          <w:p>
            <w:pPr>
              <w:jc w:val="center"/>
              <w:rPr>
                <w:rFonts w:ascii="Times New Roman" w:hAnsi="Times New Roman"/>
                <w:sz w:val="21"/>
                <w:szCs w:val="21"/>
              </w:rPr>
            </w:pPr>
            <w:r>
              <w:rPr>
                <w:rFonts w:ascii="Times New Roman" w:hAnsi="Times New Roman"/>
                <w:sz w:val="21"/>
                <w:szCs w:val="21"/>
              </w:rPr>
              <w:t>-0.0765</w:t>
            </w:r>
          </w:p>
        </w:tc>
        <w:tc>
          <w:tcPr>
            <w:tcW w:w="0" w:type="auto"/>
          </w:tcPr>
          <w:p>
            <w:pPr>
              <w:jc w:val="center"/>
              <w:rPr>
                <w:rFonts w:ascii="Times New Roman" w:hAnsi="Times New Roman"/>
                <w:sz w:val="21"/>
                <w:szCs w:val="21"/>
              </w:rPr>
            </w:pPr>
            <w:r>
              <w:rPr>
                <w:rFonts w:ascii="Times New Roman" w:hAnsi="Times New Roman"/>
                <w:sz w:val="21"/>
                <w:szCs w:val="21"/>
              </w:rPr>
              <w:t>0.0335</w:t>
            </w:r>
          </w:p>
        </w:tc>
        <w:tc>
          <w:tcPr>
            <w:tcW w:w="0" w:type="auto"/>
            <w:vAlign w:val="center"/>
          </w:tcPr>
          <w:p>
            <w:pPr>
              <w:jc w:val="center"/>
              <w:rPr>
                <w:rFonts w:ascii="Times New Roman" w:hAnsi="Times New Roman"/>
                <w:sz w:val="21"/>
                <w:szCs w:val="21"/>
              </w:rPr>
            </w:pPr>
            <w:r>
              <w:rPr>
                <w:rFonts w:ascii="Times New Roman" w:hAnsi="Times New Roman"/>
                <w:sz w:val="21"/>
                <w:szCs w:val="21"/>
              </w:rPr>
              <w:t>0.0119</w:t>
            </w:r>
          </w:p>
        </w:tc>
        <w:tc>
          <w:tcPr>
            <w:tcW w:w="0" w:type="auto"/>
            <w:vAlign w:val="center"/>
          </w:tcPr>
          <w:p>
            <w:pPr>
              <w:jc w:val="center"/>
              <w:rPr>
                <w:rFonts w:ascii="Times New Roman" w:hAnsi="Times New Roman"/>
                <w:sz w:val="21"/>
                <w:szCs w:val="21"/>
              </w:rPr>
            </w:pPr>
            <w:r>
              <w:rPr>
                <w:rFonts w:ascii="Times New Roman" w:hAnsi="Times New Roman"/>
                <w:sz w:val="21"/>
                <w:szCs w:val="21"/>
              </w:rPr>
              <w:t>-0.0825</w:t>
            </w:r>
          </w:p>
        </w:tc>
        <w:tc>
          <w:tcPr>
            <w:tcW w:w="0" w:type="auto"/>
          </w:tcPr>
          <w:p>
            <w:pPr>
              <w:jc w:val="center"/>
              <w:rPr>
                <w:rFonts w:ascii="Times New Roman" w:hAnsi="Times New Roman"/>
                <w:sz w:val="21"/>
                <w:szCs w:val="21"/>
              </w:rPr>
            </w:pPr>
            <w:r>
              <w:rPr>
                <w:rFonts w:ascii="Times New Roman" w:hAnsi="Times New Roman"/>
                <w:sz w:val="21"/>
                <w:szCs w:val="21"/>
              </w:rPr>
              <w:t>-0.0731</w:t>
            </w:r>
          </w:p>
        </w:tc>
        <w:tc>
          <w:tcPr>
            <w:tcW w:w="0" w:type="auto"/>
            <w:vAlign w:val="center"/>
          </w:tcPr>
          <w:p>
            <w:pPr>
              <w:jc w:val="center"/>
              <w:rPr>
                <w:rFonts w:ascii="Times New Roman" w:hAnsi="Times New Roman"/>
                <w:sz w:val="21"/>
                <w:szCs w:val="21"/>
              </w:rPr>
            </w:pPr>
            <w:r>
              <w:rPr>
                <w:rFonts w:ascii="Times New Roman" w:hAnsi="Times New Roman"/>
                <w:sz w:val="21"/>
                <w:szCs w:val="21"/>
              </w:rPr>
              <w:t>0.0322</w:t>
            </w:r>
          </w:p>
        </w:tc>
        <w:tc>
          <w:tcPr>
            <w:tcW w:w="0" w:type="auto"/>
            <w:vAlign w:val="center"/>
          </w:tcPr>
          <w:p>
            <w:pPr>
              <w:jc w:val="center"/>
              <w:rPr>
                <w:rFonts w:ascii="Times New Roman" w:hAnsi="Times New Roman"/>
                <w:sz w:val="21"/>
                <w:szCs w:val="21"/>
              </w:rPr>
            </w:pPr>
            <w:r>
              <w:rPr>
                <w:rFonts w:ascii="Times New Roman" w:hAnsi="Times New Roman"/>
                <w:sz w:val="21"/>
                <w:szCs w:val="21"/>
              </w:rPr>
              <w:t>0.0216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0.90</w:t>
            </w:r>
          </w:p>
        </w:tc>
        <w:tc>
          <w:tcPr>
            <w:tcW w:w="0" w:type="auto"/>
            <w:vAlign w:val="center"/>
          </w:tcPr>
          <w:p>
            <w:pPr>
              <w:jc w:val="center"/>
              <w:rPr>
                <w:rFonts w:ascii="Times New Roman" w:hAnsi="Times New Roman"/>
                <w:sz w:val="21"/>
                <w:szCs w:val="21"/>
              </w:rPr>
            </w:pPr>
            <w:r>
              <w:rPr>
                <w:rFonts w:ascii="Times New Roman" w:hAnsi="Times New Roman"/>
                <w:sz w:val="21"/>
                <w:szCs w:val="21"/>
              </w:rPr>
              <w:t>-0.0744</w:t>
            </w:r>
          </w:p>
        </w:tc>
        <w:tc>
          <w:tcPr>
            <w:tcW w:w="0" w:type="auto"/>
          </w:tcPr>
          <w:p>
            <w:pPr>
              <w:jc w:val="center"/>
              <w:rPr>
                <w:rFonts w:ascii="Times New Roman" w:hAnsi="Times New Roman"/>
                <w:sz w:val="21"/>
                <w:szCs w:val="21"/>
              </w:rPr>
            </w:pPr>
            <w:r>
              <w:rPr>
                <w:rFonts w:ascii="Times New Roman" w:hAnsi="Times New Roman"/>
                <w:sz w:val="21"/>
                <w:szCs w:val="21"/>
              </w:rPr>
              <w:t>0.0319</w:t>
            </w:r>
          </w:p>
        </w:tc>
        <w:tc>
          <w:tcPr>
            <w:tcW w:w="0" w:type="auto"/>
            <w:vAlign w:val="center"/>
          </w:tcPr>
          <w:p>
            <w:pPr>
              <w:jc w:val="center"/>
              <w:rPr>
                <w:rFonts w:ascii="Times New Roman" w:hAnsi="Times New Roman"/>
                <w:sz w:val="21"/>
                <w:szCs w:val="21"/>
              </w:rPr>
            </w:pPr>
            <w:r>
              <w:rPr>
                <w:rFonts w:ascii="Times New Roman" w:hAnsi="Times New Roman"/>
                <w:sz w:val="21"/>
                <w:szCs w:val="21"/>
              </w:rPr>
              <w:t>0.0134</w:t>
            </w:r>
          </w:p>
        </w:tc>
        <w:tc>
          <w:tcPr>
            <w:tcW w:w="0" w:type="auto"/>
            <w:vAlign w:val="center"/>
          </w:tcPr>
          <w:p>
            <w:pPr>
              <w:jc w:val="center"/>
              <w:rPr>
                <w:rFonts w:ascii="Times New Roman" w:hAnsi="Times New Roman"/>
                <w:sz w:val="21"/>
                <w:szCs w:val="21"/>
              </w:rPr>
            </w:pPr>
            <w:r>
              <w:rPr>
                <w:rFonts w:ascii="Times New Roman" w:hAnsi="Times New Roman"/>
                <w:sz w:val="21"/>
                <w:szCs w:val="21"/>
              </w:rPr>
              <w:t>-0.0773</w:t>
            </w:r>
          </w:p>
        </w:tc>
        <w:tc>
          <w:tcPr>
            <w:tcW w:w="0" w:type="auto"/>
          </w:tcPr>
          <w:p>
            <w:pPr>
              <w:jc w:val="center"/>
              <w:rPr>
                <w:rFonts w:ascii="Times New Roman" w:hAnsi="Times New Roman"/>
                <w:sz w:val="21"/>
                <w:szCs w:val="21"/>
              </w:rPr>
            </w:pPr>
            <w:r>
              <w:rPr>
                <w:rFonts w:ascii="Times New Roman" w:hAnsi="Times New Roman"/>
                <w:sz w:val="21"/>
                <w:szCs w:val="21"/>
              </w:rPr>
              <w:t>-0.0714</w:t>
            </w:r>
          </w:p>
        </w:tc>
        <w:tc>
          <w:tcPr>
            <w:tcW w:w="0" w:type="auto"/>
            <w:vAlign w:val="center"/>
          </w:tcPr>
          <w:p>
            <w:pPr>
              <w:jc w:val="center"/>
              <w:rPr>
                <w:rFonts w:ascii="Times New Roman" w:hAnsi="Times New Roman"/>
                <w:sz w:val="21"/>
                <w:szCs w:val="21"/>
              </w:rPr>
            </w:pPr>
            <w:r>
              <w:rPr>
                <w:rFonts w:ascii="Times New Roman" w:hAnsi="Times New Roman"/>
                <w:sz w:val="21"/>
                <w:szCs w:val="21"/>
              </w:rPr>
              <w:t>0.0291</w:t>
            </w:r>
          </w:p>
        </w:tc>
        <w:tc>
          <w:tcPr>
            <w:tcW w:w="0" w:type="auto"/>
            <w:vAlign w:val="center"/>
          </w:tcPr>
          <w:p>
            <w:pPr>
              <w:jc w:val="center"/>
              <w:rPr>
                <w:rFonts w:ascii="Times New Roman" w:hAnsi="Times New Roman"/>
                <w:sz w:val="21"/>
                <w:szCs w:val="21"/>
              </w:rPr>
            </w:pPr>
            <w:r>
              <w:rPr>
                <w:rFonts w:ascii="Times New Roman" w:hAnsi="Times New Roman"/>
                <w:sz w:val="21"/>
                <w:szCs w:val="21"/>
              </w:rPr>
              <w:t>0.0226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0.95</w:t>
            </w:r>
          </w:p>
        </w:tc>
        <w:tc>
          <w:tcPr>
            <w:tcW w:w="0" w:type="auto"/>
            <w:vAlign w:val="center"/>
          </w:tcPr>
          <w:p>
            <w:pPr>
              <w:jc w:val="center"/>
              <w:rPr>
                <w:rFonts w:ascii="Times New Roman" w:hAnsi="Times New Roman"/>
                <w:sz w:val="21"/>
                <w:szCs w:val="21"/>
              </w:rPr>
            </w:pPr>
            <w:r>
              <w:rPr>
                <w:rFonts w:ascii="Times New Roman" w:hAnsi="Times New Roman"/>
                <w:sz w:val="21"/>
                <w:szCs w:val="21"/>
              </w:rPr>
              <w:t>-0.0722</w:t>
            </w:r>
          </w:p>
        </w:tc>
        <w:tc>
          <w:tcPr>
            <w:tcW w:w="0" w:type="auto"/>
          </w:tcPr>
          <w:p>
            <w:pPr>
              <w:jc w:val="center"/>
              <w:rPr>
                <w:rFonts w:ascii="Times New Roman" w:hAnsi="Times New Roman"/>
                <w:sz w:val="21"/>
                <w:szCs w:val="21"/>
              </w:rPr>
            </w:pPr>
            <w:r>
              <w:rPr>
                <w:rFonts w:ascii="Times New Roman" w:hAnsi="Times New Roman"/>
                <w:sz w:val="21"/>
                <w:szCs w:val="21"/>
              </w:rPr>
              <w:t>0.0302</w:t>
            </w:r>
          </w:p>
        </w:tc>
        <w:tc>
          <w:tcPr>
            <w:tcW w:w="0" w:type="auto"/>
            <w:vAlign w:val="center"/>
          </w:tcPr>
          <w:p>
            <w:pPr>
              <w:jc w:val="center"/>
              <w:rPr>
                <w:rFonts w:ascii="Times New Roman" w:hAnsi="Times New Roman"/>
                <w:sz w:val="21"/>
                <w:szCs w:val="21"/>
              </w:rPr>
            </w:pPr>
            <w:r>
              <w:rPr>
                <w:rFonts w:ascii="Times New Roman" w:hAnsi="Times New Roman"/>
                <w:sz w:val="21"/>
                <w:szCs w:val="21"/>
              </w:rPr>
              <w:t>0.0147</w:t>
            </w:r>
          </w:p>
        </w:tc>
        <w:tc>
          <w:tcPr>
            <w:tcW w:w="0" w:type="auto"/>
            <w:vAlign w:val="center"/>
          </w:tcPr>
          <w:p>
            <w:pPr>
              <w:jc w:val="center"/>
              <w:rPr>
                <w:rFonts w:ascii="Times New Roman" w:hAnsi="Times New Roman"/>
                <w:sz w:val="21"/>
                <w:szCs w:val="21"/>
              </w:rPr>
            </w:pPr>
            <w:r>
              <w:rPr>
                <w:rFonts w:ascii="Times New Roman" w:hAnsi="Times New Roman"/>
                <w:sz w:val="21"/>
                <w:szCs w:val="21"/>
              </w:rPr>
              <w:t>-0.0724</w:t>
            </w:r>
          </w:p>
        </w:tc>
        <w:tc>
          <w:tcPr>
            <w:tcW w:w="0" w:type="auto"/>
          </w:tcPr>
          <w:p>
            <w:pPr>
              <w:jc w:val="center"/>
              <w:rPr>
                <w:rFonts w:ascii="Times New Roman" w:hAnsi="Times New Roman"/>
                <w:sz w:val="21"/>
                <w:szCs w:val="21"/>
              </w:rPr>
            </w:pPr>
            <w:r>
              <w:rPr>
                <w:rFonts w:ascii="Times New Roman" w:hAnsi="Times New Roman"/>
                <w:sz w:val="21"/>
                <w:szCs w:val="21"/>
              </w:rPr>
              <w:t>-0.0696</w:t>
            </w:r>
          </w:p>
        </w:tc>
        <w:tc>
          <w:tcPr>
            <w:tcW w:w="0" w:type="auto"/>
            <w:vAlign w:val="center"/>
          </w:tcPr>
          <w:p>
            <w:pPr>
              <w:jc w:val="center"/>
              <w:rPr>
                <w:rFonts w:ascii="Times New Roman" w:hAnsi="Times New Roman"/>
                <w:sz w:val="21"/>
                <w:szCs w:val="21"/>
              </w:rPr>
            </w:pPr>
            <w:r>
              <w:rPr>
                <w:rFonts w:ascii="Times New Roman" w:hAnsi="Times New Roman"/>
                <w:sz w:val="21"/>
                <w:szCs w:val="21"/>
              </w:rPr>
              <w:t>0.0262</w:t>
            </w:r>
          </w:p>
        </w:tc>
        <w:tc>
          <w:tcPr>
            <w:tcW w:w="0" w:type="auto"/>
            <w:vAlign w:val="center"/>
          </w:tcPr>
          <w:p>
            <w:pPr>
              <w:jc w:val="center"/>
              <w:rPr>
                <w:rFonts w:ascii="Times New Roman" w:hAnsi="Times New Roman"/>
                <w:sz w:val="21"/>
                <w:szCs w:val="21"/>
              </w:rPr>
            </w:pPr>
            <w:r>
              <w:rPr>
                <w:rFonts w:ascii="Times New Roman" w:hAnsi="Times New Roman"/>
                <w:sz w:val="21"/>
                <w:szCs w:val="21"/>
              </w:rPr>
              <w:t>0.0232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restart"/>
            <w:vAlign w:val="center"/>
          </w:tcPr>
          <w:p>
            <w:pPr>
              <w:rPr>
                <w:rFonts w:ascii="Times New Roman" w:hAnsi="Times New Roman"/>
                <w:sz w:val="21"/>
                <w:szCs w:val="21"/>
              </w:rPr>
            </w:pPr>
            <w:r>
              <w:rPr>
                <w:rFonts w:ascii="Times New Roman" w:hAnsi="Times New Roman" w:eastAsiaTheme="minorEastAsia" w:cstheme="minorBidi"/>
                <w:kern w:val="2"/>
                <w:position w:val="-34"/>
                <w:sz w:val="21"/>
                <w:szCs w:val="21"/>
              </w:rPr>
              <w:object>
                <v:shape id="_x0000_i1167" o:spt="75" type="#_x0000_t75" style="height:41.4pt;width:15pt;" o:ole="t" filled="f" o:preferrelative="t" stroked="f" coordsize="21600,21600">
                  <v:path/>
                  <v:fill on="f" focussize="0,0"/>
                  <v:stroke on="f" joinstyle="miter"/>
                  <v:imagedata r:id="rId275" o:title=""/>
                  <o:lock v:ext="edit" aspectratio="t"/>
                  <w10:wrap type="none"/>
                  <w10:anchorlock/>
                </v:shape>
                <o:OLEObject Type="Embed" ProgID="Equation.DSMT4" ShapeID="_x0000_i1167" DrawAspect="Content" ObjectID="_1468075867" r:id="rId274">
                  <o:LockedField>false</o:LockedField>
                </o:OLEObject>
              </w:object>
            </w:r>
          </w:p>
        </w:tc>
        <w:tc>
          <w:tcPr>
            <w:tcW w:w="0" w:type="auto"/>
            <w:vAlign w:val="center"/>
          </w:tcPr>
          <w:p>
            <w:pPr>
              <w:rPr>
                <w:rFonts w:ascii="Times New Roman" w:hAnsi="Times New Roman"/>
                <w:sz w:val="21"/>
                <w:szCs w:val="21"/>
              </w:rPr>
            </w:pPr>
            <w:r>
              <w:rPr>
                <w:rFonts w:ascii="Times New Roman" w:hAnsi="Times New Roman"/>
                <w:sz w:val="21"/>
                <w:szCs w:val="21"/>
              </w:rPr>
              <w:t>1.00</w:t>
            </w:r>
          </w:p>
        </w:tc>
        <w:tc>
          <w:tcPr>
            <w:tcW w:w="0" w:type="auto"/>
            <w:vAlign w:val="center"/>
          </w:tcPr>
          <w:p>
            <w:pPr>
              <w:jc w:val="center"/>
              <w:rPr>
                <w:rFonts w:ascii="Times New Roman" w:hAnsi="Times New Roman"/>
                <w:sz w:val="21"/>
                <w:szCs w:val="21"/>
              </w:rPr>
            </w:pPr>
            <w:r>
              <w:rPr>
                <w:rFonts w:ascii="Times New Roman" w:hAnsi="Times New Roman"/>
                <w:sz w:val="21"/>
                <w:szCs w:val="21"/>
              </w:rPr>
              <w:t>-0.0698</w:t>
            </w:r>
          </w:p>
        </w:tc>
        <w:tc>
          <w:tcPr>
            <w:tcW w:w="0" w:type="auto"/>
          </w:tcPr>
          <w:p>
            <w:pPr>
              <w:jc w:val="center"/>
              <w:rPr>
                <w:rFonts w:ascii="Times New Roman" w:hAnsi="Times New Roman"/>
                <w:sz w:val="21"/>
                <w:szCs w:val="21"/>
              </w:rPr>
            </w:pPr>
            <w:r>
              <w:rPr>
                <w:rFonts w:ascii="Times New Roman" w:hAnsi="Times New Roman"/>
                <w:sz w:val="21"/>
                <w:szCs w:val="21"/>
              </w:rPr>
              <w:t>0.0285</w:t>
            </w:r>
          </w:p>
        </w:tc>
        <w:tc>
          <w:tcPr>
            <w:tcW w:w="0" w:type="auto"/>
            <w:vAlign w:val="center"/>
          </w:tcPr>
          <w:p>
            <w:pPr>
              <w:jc w:val="center"/>
              <w:rPr>
                <w:rFonts w:ascii="Times New Roman" w:hAnsi="Times New Roman"/>
                <w:sz w:val="21"/>
                <w:szCs w:val="21"/>
              </w:rPr>
            </w:pPr>
            <w:r>
              <w:rPr>
                <w:rFonts w:ascii="Times New Roman" w:hAnsi="Times New Roman"/>
                <w:sz w:val="21"/>
                <w:szCs w:val="21"/>
              </w:rPr>
              <w:t>0.0158</w:t>
            </w:r>
          </w:p>
        </w:tc>
        <w:tc>
          <w:tcPr>
            <w:tcW w:w="0" w:type="auto"/>
            <w:vAlign w:val="center"/>
          </w:tcPr>
          <w:p>
            <w:pPr>
              <w:jc w:val="center"/>
              <w:rPr>
                <w:rFonts w:ascii="Times New Roman" w:hAnsi="Times New Roman"/>
                <w:sz w:val="21"/>
                <w:szCs w:val="21"/>
              </w:rPr>
            </w:pPr>
            <w:r>
              <w:rPr>
                <w:rFonts w:ascii="Times New Roman" w:hAnsi="Times New Roman"/>
                <w:sz w:val="21"/>
                <w:szCs w:val="21"/>
              </w:rPr>
              <w:t>-0.0677</w:t>
            </w:r>
          </w:p>
        </w:tc>
        <w:tc>
          <w:tcPr>
            <w:tcW w:w="0" w:type="auto"/>
          </w:tcPr>
          <w:p>
            <w:pPr>
              <w:jc w:val="center"/>
              <w:rPr>
                <w:rFonts w:ascii="Times New Roman" w:hAnsi="Times New Roman"/>
                <w:sz w:val="21"/>
                <w:szCs w:val="21"/>
              </w:rPr>
            </w:pPr>
            <w:r>
              <w:rPr>
                <w:rFonts w:ascii="Times New Roman" w:hAnsi="Times New Roman"/>
                <w:sz w:val="21"/>
                <w:szCs w:val="21"/>
              </w:rPr>
              <w:t>-0.0677</w:t>
            </w:r>
          </w:p>
        </w:tc>
        <w:tc>
          <w:tcPr>
            <w:tcW w:w="0" w:type="auto"/>
            <w:vAlign w:val="center"/>
          </w:tcPr>
          <w:p>
            <w:pPr>
              <w:jc w:val="center"/>
              <w:rPr>
                <w:rFonts w:ascii="Times New Roman" w:hAnsi="Times New Roman"/>
                <w:sz w:val="21"/>
                <w:szCs w:val="21"/>
              </w:rPr>
            </w:pPr>
            <w:r>
              <w:rPr>
                <w:rFonts w:ascii="Times New Roman" w:hAnsi="Times New Roman"/>
                <w:sz w:val="21"/>
                <w:szCs w:val="21"/>
              </w:rPr>
              <w:t>0.0234</w:t>
            </w:r>
          </w:p>
        </w:tc>
        <w:tc>
          <w:tcPr>
            <w:tcW w:w="0" w:type="auto"/>
            <w:vAlign w:val="center"/>
          </w:tcPr>
          <w:p>
            <w:pPr>
              <w:jc w:val="center"/>
              <w:rPr>
                <w:rFonts w:ascii="Times New Roman" w:hAnsi="Times New Roman"/>
                <w:sz w:val="21"/>
                <w:szCs w:val="21"/>
              </w:rPr>
            </w:pPr>
            <w:r>
              <w:rPr>
                <w:rFonts w:ascii="Times New Roman" w:hAnsi="Times New Roman"/>
                <w:sz w:val="21"/>
                <w:szCs w:val="21"/>
              </w:rPr>
              <w:t>0.0234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0.95</w:t>
            </w:r>
          </w:p>
        </w:tc>
        <w:tc>
          <w:tcPr>
            <w:tcW w:w="0" w:type="auto"/>
            <w:vAlign w:val="center"/>
          </w:tcPr>
          <w:p>
            <w:pPr>
              <w:jc w:val="center"/>
              <w:rPr>
                <w:rFonts w:ascii="Times New Roman" w:hAnsi="Times New Roman"/>
                <w:sz w:val="21"/>
                <w:szCs w:val="21"/>
              </w:rPr>
            </w:pPr>
            <w:r>
              <w:rPr>
                <w:rFonts w:ascii="Times New Roman" w:hAnsi="Times New Roman"/>
                <w:sz w:val="21"/>
                <w:szCs w:val="21"/>
              </w:rPr>
              <w:t>-0.0745</w:t>
            </w:r>
          </w:p>
        </w:tc>
        <w:tc>
          <w:tcPr>
            <w:tcW w:w="0" w:type="auto"/>
          </w:tcPr>
          <w:p>
            <w:pPr>
              <w:jc w:val="center"/>
              <w:rPr>
                <w:rFonts w:ascii="Times New Roman" w:hAnsi="Times New Roman"/>
                <w:sz w:val="21"/>
                <w:szCs w:val="21"/>
              </w:rPr>
            </w:pPr>
            <w:r>
              <w:rPr>
                <w:rFonts w:ascii="Times New Roman" w:hAnsi="Times New Roman"/>
                <w:sz w:val="21"/>
                <w:szCs w:val="21"/>
              </w:rPr>
              <w:t>0.0297</w:t>
            </w:r>
          </w:p>
        </w:tc>
        <w:tc>
          <w:tcPr>
            <w:tcW w:w="0" w:type="auto"/>
            <w:vAlign w:val="center"/>
          </w:tcPr>
          <w:p>
            <w:pPr>
              <w:jc w:val="center"/>
              <w:rPr>
                <w:rFonts w:ascii="Times New Roman" w:hAnsi="Times New Roman"/>
                <w:sz w:val="21"/>
                <w:szCs w:val="21"/>
              </w:rPr>
            </w:pPr>
            <w:r>
              <w:rPr>
                <w:rFonts w:ascii="Times New Roman" w:hAnsi="Times New Roman"/>
                <w:sz w:val="21"/>
                <w:szCs w:val="21"/>
              </w:rPr>
              <w:t>0.0189</w:t>
            </w:r>
          </w:p>
        </w:tc>
        <w:tc>
          <w:tcPr>
            <w:tcW w:w="0" w:type="auto"/>
            <w:vAlign w:val="center"/>
          </w:tcPr>
          <w:p>
            <w:pPr>
              <w:jc w:val="center"/>
              <w:rPr>
                <w:rFonts w:ascii="Times New Roman" w:hAnsi="Times New Roman"/>
                <w:sz w:val="21"/>
                <w:szCs w:val="21"/>
              </w:rPr>
            </w:pPr>
            <w:r>
              <w:rPr>
                <w:rFonts w:ascii="Times New Roman" w:hAnsi="Times New Roman"/>
                <w:sz w:val="21"/>
                <w:szCs w:val="21"/>
              </w:rPr>
              <w:t>-0.0696</w:t>
            </w:r>
          </w:p>
        </w:tc>
        <w:tc>
          <w:tcPr>
            <w:tcW w:w="0" w:type="auto"/>
          </w:tcPr>
          <w:p>
            <w:pPr>
              <w:jc w:val="center"/>
              <w:rPr>
                <w:rFonts w:ascii="Times New Roman" w:hAnsi="Times New Roman"/>
                <w:sz w:val="21"/>
                <w:szCs w:val="21"/>
              </w:rPr>
            </w:pPr>
            <w:r>
              <w:rPr>
                <w:rFonts w:ascii="Times New Roman" w:hAnsi="Times New Roman"/>
                <w:sz w:val="21"/>
                <w:szCs w:val="21"/>
              </w:rPr>
              <w:t>-0.0724</w:t>
            </w:r>
          </w:p>
        </w:tc>
        <w:tc>
          <w:tcPr>
            <w:tcW w:w="0" w:type="auto"/>
            <w:vAlign w:val="center"/>
          </w:tcPr>
          <w:p>
            <w:pPr>
              <w:jc w:val="center"/>
              <w:rPr>
                <w:rFonts w:ascii="Times New Roman" w:hAnsi="Times New Roman"/>
                <w:sz w:val="21"/>
                <w:szCs w:val="21"/>
              </w:rPr>
            </w:pPr>
            <w:r>
              <w:rPr>
                <w:rFonts w:ascii="Times New Roman" w:hAnsi="Times New Roman"/>
                <w:sz w:val="21"/>
                <w:szCs w:val="21"/>
              </w:rPr>
              <w:t>0.0232</w:t>
            </w:r>
          </w:p>
        </w:tc>
        <w:tc>
          <w:tcPr>
            <w:tcW w:w="0" w:type="auto"/>
            <w:vAlign w:val="center"/>
          </w:tcPr>
          <w:p>
            <w:pPr>
              <w:jc w:val="center"/>
              <w:rPr>
                <w:rFonts w:ascii="Times New Roman" w:hAnsi="Times New Roman"/>
                <w:sz w:val="21"/>
                <w:szCs w:val="21"/>
              </w:rPr>
            </w:pPr>
            <w:r>
              <w:rPr>
                <w:rFonts w:ascii="Times New Roman" w:hAnsi="Times New Roman"/>
                <w:sz w:val="21"/>
                <w:szCs w:val="21"/>
              </w:rPr>
              <w:t>0.0262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0.90</w:t>
            </w:r>
          </w:p>
        </w:tc>
        <w:tc>
          <w:tcPr>
            <w:tcW w:w="0" w:type="auto"/>
            <w:vAlign w:val="center"/>
          </w:tcPr>
          <w:p>
            <w:pPr>
              <w:jc w:val="center"/>
              <w:rPr>
                <w:rFonts w:ascii="Times New Roman" w:hAnsi="Times New Roman"/>
                <w:sz w:val="21"/>
                <w:szCs w:val="21"/>
              </w:rPr>
            </w:pPr>
            <w:r>
              <w:rPr>
                <w:rFonts w:ascii="Times New Roman" w:hAnsi="Times New Roman"/>
                <w:sz w:val="21"/>
                <w:szCs w:val="21"/>
              </w:rPr>
              <w:t>-0.0796</w:t>
            </w:r>
          </w:p>
        </w:tc>
        <w:tc>
          <w:tcPr>
            <w:tcW w:w="0" w:type="auto"/>
          </w:tcPr>
          <w:p>
            <w:pPr>
              <w:jc w:val="center"/>
              <w:rPr>
                <w:rFonts w:ascii="Times New Roman" w:hAnsi="Times New Roman"/>
                <w:sz w:val="21"/>
                <w:szCs w:val="21"/>
              </w:rPr>
            </w:pPr>
            <w:r>
              <w:rPr>
                <w:rFonts w:ascii="Times New Roman" w:hAnsi="Times New Roman"/>
                <w:sz w:val="21"/>
                <w:szCs w:val="21"/>
              </w:rPr>
              <w:t>0.0307</w:t>
            </w:r>
          </w:p>
        </w:tc>
        <w:tc>
          <w:tcPr>
            <w:tcW w:w="0" w:type="auto"/>
            <w:vAlign w:val="center"/>
          </w:tcPr>
          <w:p>
            <w:pPr>
              <w:jc w:val="center"/>
              <w:rPr>
                <w:rFonts w:ascii="Times New Roman" w:hAnsi="Times New Roman"/>
                <w:sz w:val="21"/>
                <w:szCs w:val="21"/>
              </w:rPr>
            </w:pPr>
            <w:r>
              <w:rPr>
                <w:rFonts w:ascii="Times New Roman" w:hAnsi="Times New Roman"/>
                <w:sz w:val="21"/>
                <w:szCs w:val="21"/>
              </w:rPr>
              <w:t>0.0225</w:t>
            </w:r>
          </w:p>
        </w:tc>
        <w:tc>
          <w:tcPr>
            <w:tcW w:w="0" w:type="auto"/>
            <w:vAlign w:val="center"/>
          </w:tcPr>
          <w:p>
            <w:pPr>
              <w:jc w:val="center"/>
              <w:rPr>
                <w:rFonts w:ascii="Times New Roman" w:hAnsi="Times New Roman"/>
                <w:sz w:val="21"/>
                <w:szCs w:val="21"/>
              </w:rPr>
            </w:pPr>
            <w:r>
              <w:rPr>
                <w:rFonts w:ascii="Times New Roman" w:hAnsi="Times New Roman"/>
                <w:sz w:val="21"/>
                <w:szCs w:val="21"/>
              </w:rPr>
              <w:t>-0.0714</w:t>
            </w:r>
          </w:p>
        </w:tc>
        <w:tc>
          <w:tcPr>
            <w:tcW w:w="0" w:type="auto"/>
          </w:tcPr>
          <w:p>
            <w:pPr>
              <w:jc w:val="center"/>
              <w:rPr>
                <w:rFonts w:ascii="Times New Roman" w:hAnsi="Times New Roman"/>
                <w:sz w:val="21"/>
                <w:szCs w:val="21"/>
              </w:rPr>
            </w:pPr>
            <w:r>
              <w:rPr>
                <w:rFonts w:ascii="Times New Roman" w:hAnsi="Times New Roman"/>
                <w:sz w:val="21"/>
                <w:szCs w:val="21"/>
              </w:rPr>
              <w:t>-0.0773</w:t>
            </w:r>
          </w:p>
        </w:tc>
        <w:tc>
          <w:tcPr>
            <w:tcW w:w="0" w:type="auto"/>
            <w:vAlign w:val="center"/>
          </w:tcPr>
          <w:p>
            <w:pPr>
              <w:jc w:val="center"/>
              <w:rPr>
                <w:rFonts w:ascii="Times New Roman" w:hAnsi="Times New Roman"/>
                <w:sz w:val="21"/>
                <w:szCs w:val="21"/>
              </w:rPr>
            </w:pPr>
            <w:r>
              <w:rPr>
                <w:rFonts w:ascii="Times New Roman" w:hAnsi="Times New Roman"/>
                <w:sz w:val="21"/>
                <w:szCs w:val="21"/>
              </w:rPr>
              <w:t>0.0226</w:t>
            </w:r>
          </w:p>
        </w:tc>
        <w:tc>
          <w:tcPr>
            <w:tcW w:w="0" w:type="auto"/>
            <w:vAlign w:val="center"/>
          </w:tcPr>
          <w:p>
            <w:pPr>
              <w:jc w:val="center"/>
              <w:rPr>
                <w:rFonts w:ascii="Times New Roman" w:hAnsi="Times New Roman"/>
                <w:sz w:val="21"/>
                <w:szCs w:val="21"/>
              </w:rPr>
            </w:pPr>
            <w:r>
              <w:rPr>
                <w:rFonts w:ascii="Times New Roman" w:hAnsi="Times New Roman"/>
                <w:sz w:val="21"/>
                <w:szCs w:val="21"/>
              </w:rPr>
              <w:t>0.0291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0.85</w:t>
            </w:r>
          </w:p>
        </w:tc>
        <w:tc>
          <w:tcPr>
            <w:tcW w:w="0" w:type="auto"/>
            <w:vAlign w:val="center"/>
          </w:tcPr>
          <w:p>
            <w:pPr>
              <w:jc w:val="center"/>
              <w:rPr>
                <w:rFonts w:ascii="Times New Roman" w:hAnsi="Times New Roman"/>
                <w:sz w:val="21"/>
                <w:szCs w:val="21"/>
              </w:rPr>
            </w:pPr>
            <w:r>
              <w:rPr>
                <w:rFonts w:ascii="Times New Roman" w:hAnsi="Times New Roman"/>
                <w:sz w:val="21"/>
                <w:szCs w:val="21"/>
              </w:rPr>
              <w:t>-0.0849</w:t>
            </w:r>
          </w:p>
        </w:tc>
        <w:tc>
          <w:tcPr>
            <w:tcW w:w="0" w:type="auto"/>
          </w:tcPr>
          <w:p>
            <w:pPr>
              <w:jc w:val="center"/>
              <w:rPr>
                <w:rFonts w:ascii="Times New Roman" w:hAnsi="Times New Roman"/>
                <w:sz w:val="21"/>
                <w:szCs w:val="21"/>
              </w:rPr>
            </w:pPr>
            <w:r>
              <w:rPr>
                <w:rFonts w:ascii="Times New Roman" w:hAnsi="Times New Roman"/>
                <w:sz w:val="21"/>
                <w:szCs w:val="21"/>
              </w:rPr>
              <w:t>0.0314</w:t>
            </w:r>
          </w:p>
        </w:tc>
        <w:tc>
          <w:tcPr>
            <w:tcW w:w="0" w:type="auto"/>
            <w:vAlign w:val="center"/>
          </w:tcPr>
          <w:p>
            <w:pPr>
              <w:jc w:val="center"/>
              <w:rPr>
                <w:rFonts w:ascii="Times New Roman" w:hAnsi="Times New Roman"/>
                <w:sz w:val="21"/>
                <w:szCs w:val="21"/>
              </w:rPr>
            </w:pPr>
            <w:r>
              <w:rPr>
                <w:rFonts w:ascii="Times New Roman" w:hAnsi="Times New Roman"/>
                <w:sz w:val="21"/>
                <w:szCs w:val="21"/>
              </w:rPr>
              <w:t>0.0267</w:t>
            </w:r>
          </w:p>
        </w:tc>
        <w:tc>
          <w:tcPr>
            <w:tcW w:w="0" w:type="auto"/>
            <w:vAlign w:val="center"/>
          </w:tcPr>
          <w:p>
            <w:pPr>
              <w:jc w:val="center"/>
              <w:rPr>
                <w:rFonts w:ascii="Times New Roman" w:hAnsi="Times New Roman"/>
                <w:sz w:val="21"/>
                <w:szCs w:val="21"/>
              </w:rPr>
            </w:pPr>
            <w:r>
              <w:rPr>
                <w:rFonts w:ascii="Times New Roman" w:hAnsi="Times New Roman"/>
                <w:sz w:val="21"/>
                <w:szCs w:val="21"/>
              </w:rPr>
              <w:t>-0.0731</w:t>
            </w:r>
          </w:p>
        </w:tc>
        <w:tc>
          <w:tcPr>
            <w:tcW w:w="0" w:type="auto"/>
          </w:tcPr>
          <w:p>
            <w:pPr>
              <w:jc w:val="center"/>
              <w:rPr>
                <w:rFonts w:ascii="Times New Roman" w:hAnsi="Times New Roman"/>
                <w:sz w:val="21"/>
                <w:szCs w:val="21"/>
              </w:rPr>
            </w:pPr>
            <w:r>
              <w:rPr>
                <w:rFonts w:ascii="Times New Roman" w:hAnsi="Times New Roman"/>
                <w:sz w:val="21"/>
                <w:szCs w:val="21"/>
              </w:rPr>
              <w:t>-0.0825</w:t>
            </w:r>
          </w:p>
        </w:tc>
        <w:tc>
          <w:tcPr>
            <w:tcW w:w="0" w:type="auto"/>
            <w:vAlign w:val="center"/>
          </w:tcPr>
          <w:p>
            <w:pPr>
              <w:jc w:val="center"/>
              <w:rPr>
                <w:rFonts w:ascii="Times New Roman" w:hAnsi="Times New Roman"/>
                <w:sz w:val="21"/>
                <w:szCs w:val="21"/>
              </w:rPr>
            </w:pPr>
            <w:r>
              <w:rPr>
                <w:rFonts w:ascii="Times New Roman" w:hAnsi="Times New Roman"/>
                <w:sz w:val="21"/>
                <w:szCs w:val="21"/>
              </w:rPr>
              <w:t>0.0216</w:t>
            </w:r>
          </w:p>
        </w:tc>
        <w:tc>
          <w:tcPr>
            <w:tcW w:w="0" w:type="auto"/>
            <w:vAlign w:val="center"/>
          </w:tcPr>
          <w:p>
            <w:pPr>
              <w:jc w:val="center"/>
              <w:rPr>
                <w:rFonts w:ascii="Times New Roman" w:hAnsi="Times New Roman"/>
                <w:sz w:val="21"/>
                <w:szCs w:val="21"/>
              </w:rPr>
            </w:pPr>
            <w:r>
              <w:rPr>
                <w:rFonts w:ascii="Times New Roman" w:hAnsi="Times New Roman"/>
                <w:sz w:val="21"/>
                <w:szCs w:val="21"/>
              </w:rPr>
              <w:t>0.0322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0.80</w:t>
            </w:r>
          </w:p>
        </w:tc>
        <w:tc>
          <w:tcPr>
            <w:tcW w:w="0" w:type="auto"/>
            <w:vAlign w:val="center"/>
          </w:tcPr>
          <w:p>
            <w:pPr>
              <w:jc w:val="center"/>
              <w:rPr>
                <w:rFonts w:ascii="Times New Roman" w:hAnsi="Times New Roman"/>
                <w:sz w:val="21"/>
                <w:szCs w:val="21"/>
              </w:rPr>
            </w:pPr>
            <w:r>
              <w:rPr>
                <w:rFonts w:ascii="Times New Roman" w:hAnsi="Times New Roman"/>
                <w:sz w:val="21"/>
                <w:szCs w:val="21"/>
              </w:rPr>
              <w:t>-0.0902</w:t>
            </w:r>
          </w:p>
        </w:tc>
        <w:tc>
          <w:tcPr>
            <w:tcW w:w="0" w:type="auto"/>
          </w:tcPr>
          <w:p>
            <w:pPr>
              <w:jc w:val="center"/>
              <w:rPr>
                <w:rFonts w:ascii="Times New Roman" w:hAnsi="Times New Roman"/>
                <w:sz w:val="21"/>
                <w:szCs w:val="21"/>
              </w:rPr>
            </w:pPr>
            <w:r>
              <w:rPr>
                <w:rFonts w:ascii="Times New Roman" w:hAnsi="Times New Roman"/>
                <w:sz w:val="21"/>
                <w:szCs w:val="21"/>
              </w:rPr>
              <w:t>0.0318</w:t>
            </w:r>
          </w:p>
        </w:tc>
        <w:tc>
          <w:tcPr>
            <w:tcW w:w="0" w:type="auto"/>
            <w:vAlign w:val="center"/>
          </w:tcPr>
          <w:p>
            <w:pPr>
              <w:jc w:val="center"/>
              <w:rPr>
                <w:rFonts w:ascii="Times New Roman" w:hAnsi="Times New Roman"/>
                <w:sz w:val="21"/>
                <w:szCs w:val="21"/>
              </w:rPr>
            </w:pPr>
            <w:r>
              <w:rPr>
                <w:rFonts w:ascii="Times New Roman" w:hAnsi="Times New Roman"/>
                <w:sz w:val="21"/>
                <w:szCs w:val="21"/>
              </w:rPr>
              <w:t>0.0316</w:t>
            </w:r>
          </w:p>
        </w:tc>
        <w:tc>
          <w:tcPr>
            <w:tcW w:w="0" w:type="auto"/>
            <w:vAlign w:val="center"/>
          </w:tcPr>
          <w:p>
            <w:pPr>
              <w:jc w:val="center"/>
              <w:rPr>
                <w:rFonts w:ascii="Times New Roman" w:hAnsi="Times New Roman"/>
                <w:sz w:val="21"/>
                <w:szCs w:val="21"/>
              </w:rPr>
            </w:pPr>
            <w:r>
              <w:rPr>
                <w:rFonts w:ascii="Times New Roman" w:hAnsi="Times New Roman"/>
                <w:sz w:val="21"/>
                <w:szCs w:val="21"/>
              </w:rPr>
              <w:t>-0.0746</w:t>
            </w:r>
          </w:p>
        </w:tc>
        <w:tc>
          <w:tcPr>
            <w:tcW w:w="0" w:type="auto"/>
          </w:tcPr>
          <w:p>
            <w:pPr>
              <w:jc w:val="center"/>
              <w:rPr>
                <w:rFonts w:ascii="Times New Roman" w:hAnsi="Times New Roman"/>
                <w:sz w:val="21"/>
                <w:szCs w:val="21"/>
              </w:rPr>
            </w:pPr>
            <w:r>
              <w:rPr>
                <w:rFonts w:ascii="Times New Roman" w:hAnsi="Times New Roman"/>
                <w:sz w:val="21"/>
                <w:szCs w:val="21"/>
              </w:rPr>
              <w:t>-0.0882</w:t>
            </w:r>
          </w:p>
        </w:tc>
        <w:tc>
          <w:tcPr>
            <w:tcW w:w="0" w:type="auto"/>
            <w:vAlign w:val="center"/>
          </w:tcPr>
          <w:p>
            <w:pPr>
              <w:jc w:val="center"/>
              <w:rPr>
                <w:rFonts w:ascii="Times New Roman" w:hAnsi="Times New Roman"/>
                <w:sz w:val="21"/>
                <w:szCs w:val="21"/>
              </w:rPr>
            </w:pPr>
            <w:r>
              <w:rPr>
                <w:rFonts w:ascii="Times New Roman" w:hAnsi="Times New Roman"/>
                <w:sz w:val="21"/>
                <w:szCs w:val="21"/>
              </w:rPr>
              <w:t>0.0203</w:t>
            </w:r>
          </w:p>
        </w:tc>
        <w:tc>
          <w:tcPr>
            <w:tcW w:w="0" w:type="auto"/>
            <w:vAlign w:val="center"/>
          </w:tcPr>
          <w:p>
            <w:pPr>
              <w:jc w:val="center"/>
              <w:rPr>
                <w:rFonts w:ascii="Times New Roman" w:hAnsi="Times New Roman"/>
                <w:sz w:val="21"/>
                <w:szCs w:val="21"/>
              </w:rPr>
            </w:pPr>
            <w:r>
              <w:rPr>
                <w:rFonts w:ascii="Times New Roman" w:hAnsi="Times New Roman"/>
                <w:sz w:val="21"/>
                <w:szCs w:val="21"/>
              </w:rPr>
              <w:t>0.0355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0.75</w:t>
            </w:r>
          </w:p>
        </w:tc>
        <w:tc>
          <w:tcPr>
            <w:tcW w:w="0" w:type="auto"/>
            <w:vAlign w:val="center"/>
          </w:tcPr>
          <w:p>
            <w:pPr>
              <w:jc w:val="center"/>
              <w:rPr>
                <w:rFonts w:ascii="Times New Roman" w:hAnsi="Times New Roman"/>
                <w:sz w:val="21"/>
                <w:szCs w:val="21"/>
              </w:rPr>
            </w:pPr>
            <w:r>
              <w:rPr>
                <w:rFonts w:ascii="Times New Roman" w:hAnsi="Times New Roman"/>
                <w:sz w:val="21"/>
                <w:szCs w:val="21"/>
              </w:rPr>
              <w:t>-0.0957</w:t>
            </w:r>
          </w:p>
        </w:tc>
        <w:tc>
          <w:tcPr>
            <w:tcW w:w="0" w:type="auto"/>
          </w:tcPr>
          <w:p>
            <w:pPr>
              <w:jc w:val="center"/>
              <w:rPr>
                <w:rFonts w:ascii="Times New Roman" w:hAnsi="Times New Roman"/>
                <w:sz w:val="21"/>
                <w:szCs w:val="21"/>
              </w:rPr>
            </w:pPr>
            <w:r>
              <w:rPr>
                <w:rFonts w:ascii="Times New Roman" w:hAnsi="Times New Roman"/>
                <w:sz w:val="21"/>
                <w:szCs w:val="21"/>
              </w:rPr>
              <w:t>0.0320</w:t>
            </w:r>
          </w:p>
        </w:tc>
        <w:tc>
          <w:tcPr>
            <w:tcW w:w="0" w:type="auto"/>
            <w:vAlign w:val="center"/>
          </w:tcPr>
          <w:p>
            <w:pPr>
              <w:jc w:val="center"/>
              <w:rPr>
                <w:rFonts w:ascii="Times New Roman" w:hAnsi="Times New Roman"/>
                <w:sz w:val="21"/>
                <w:szCs w:val="21"/>
              </w:rPr>
            </w:pPr>
            <w:r>
              <w:rPr>
                <w:rFonts w:ascii="Times New Roman" w:hAnsi="Times New Roman"/>
                <w:sz w:val="21"/>
                <w:szCs w:val="21"/>
              </w:rPr>
              <w:t>0.0374</w:t>
            </w:r>
          </w:p>
        </w:tc>
        <w:tc>
          <w:tcPr>
            <w:tcW w:w="0" w:type="auto"/>
            <w:vAlign w:val="center"/>
          </w:tcPr>
          <w:p>
            <w:pPr>
              <w:jc w:val="center"/>
              <w:rPr>
                <w:rFonts w:ascii="Times New Roman" w:hAnsi="Times New Roman"/>
                <w:sz w:val="21"/>
                <w:szCs w:val="21"/>
              </w:rPr>
            </w:pPr>
            <w:r>
              <w:rPr>
                <w:rFonts w:ascii="Times New Roman" w:hAnsi="Times New Roman"/>
                <w:sz w:val="21"/>
                <w:szCs w:val="21"/>
              </w:rPr>
              <w:t>-0.0759</w:t>
            </w:r>
          </w:p>
        </w:tc>
        <w:tc>
          <w:tcPr>
            <w:tcW w:w="0" w:type="auto"/>
          </w:tcPr>
          <w:p>
            <w:pPr>
              <w:jc w:val="center"/>
              <w:rPr>
                <w:rFonts w:ascii="Times New Roman" w:hAnsi="Times New Roman"/>
                <w:sz w:val="21"/>
                <w:szCs w:val="21"/>
              </w:rPr>
            </w:pPr>
            <w:r>
              <w:rPr>
                <w:rFonts w:ascii="Times New Roman" w:hAnsi="Times New Roman"/>
                <w:sz w:val="21"/>
                <w:szCs w:val="21"/>
              </w:rPr>
              <w:t>-0.0940</w:t>
            </w:r>
          </w:p>
        </w:tc>
        <w:tc>
          <w:tcPr>
            <w:tcW w:w="0" w:type="auto"/>
            <w:vAlign w:val="center"/>
          </w:tcPr>
          <w:p>
            <w:pPr>
              <w:jc w:val="center"/>
              <w:rPr>
                <w:rFonts w:ascii="Times New Roman" w:hAnsi="Times New Roman"/>
                <w:sz w:val="21"/>
                <w:szCs w:val="21"/>
              </w:rPr>
            </w:pPr>
            <w:r>
              <w:rPr>
                <w:rFonts w:ascii="Times New Roman" w:hAnsi="Times New Roman"/>
                <w:sz w:val="21"/>
                <w:szCs w:val="21"/>
              </w:rPr>
              <w:t>0.0188</w:t>
            </w:r>
          </w:p>
        </w:tc>
        <w:tc>
          <w:tcPr>
            <w:tcW w:w="0" w:type="auto"/>
            <w:vAlign w:val="center"/>
          </w:tcPr>
          <w:p>
            <w:pPr>
              <w:jc w:val="center"/>
              <w:rPr>
                <w:rFonts w:ascii="Times New Roman" w:hAnsi="Times New Roman"/>
                <w:sz w:val="21"/>
                <w:szCs w:val="21"/>
              </w:rPr>
            </w:pPr>
            <w:r>
              <w:rPr>
                <w:rFonts w:ascii="Times New Roman" w:hAnsi="Times New Roman"/>
                <w:sz w:val="21"/>
                <w:szCs w:val="21"/>
              </w:rPr>
              <w:t>0.0390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0.70</w:t>
            </w:r>
          </w:p>
        </w:tc>
        <w:tc>
          <w:tcPr>
            <w:tcW w:w="0" w:type="auto"/>
            <w:vAlign w:val="center"/>
          </w:tcPr>
          <w:p>
            <w:pPr>
              <w:jc w:val="center"/>
              <w:rPr>
                <w:rFonts w:ascii="Times New Roman" w:hAnsi="Times New Roman"/>
                <w:sz w:val="21"/>
                <w:szCs w:val="21"/>
              </w:rPr>
            </w:pPr>
            <w:r>
              <w:rPr>
                <w:rFonts w:ascii="Times New Roman" w:hAnsi="Times New Roman"/>
                <w:sz w:val="21"/>
                <w:szCs w:val="21"/>
              </w:rPr>
              <w:t>-0.1011</w:t>
            </w:r>
          </w:p>
        </w:tc>
        <w:tc>
          <w:tcPr>
            <w:tcW w:w="0" w:type="auto"/>
          </w:tcPr>
          <w:p>
            <w:pPr>
              <w:jc w:val="center"/>
              <w:rPr>
                <w:rFonts w:ascii="Times New Roman" w:hAnsi="Times New Roman"/>
                <w:sz w:val="21"/>
                <w:szCs w:val="21"/>
              </w:rPr>
            </w:pPr>
            <w:r>
              <w:rPr>
                <w:rFonts w:ascii="Times New Roman" w:hAnsi="Times New Roman"/>
                <w:sz w:val="21"/>
                <w:szCs w:val="21"/>
              </w:rPr>
              <w:t>0.0319</w:t>
            </w:r>
          </w:p>
        </w:tc>
        <w:tc>
          <w:tcPr>
            <w:tcW w:w="0" w:type="auto"/>
            <w:vAlign w:val="center"/>
          </w:tcPr>
          <w:p>
            <w:pPr>
              <w:jc w:val="center"/>
              <w:rPr>
                <w:rFonts w:ascii="Times New Roman" w:hAnsi="Times New Roman"/>
                <w:sz w:val="21"/>
                <w:szCs w:val="21"/>
              </w:rPr>
            </w:pPr>
            <w:r>
              <w:rPr>
                <w:rFonts w:ascii="Times New Roman" w:hAnsi="Times New Roman"/>
                <w:sz w:val="21"/>
                <w:szCs w:val="21"/>
              </w:rPr>
              <w:t>0.0442</w:t>
            </w:r>
          </w:p>
        </w:tc>
        <w:tc>
          <w:tcPr>
            <w:tcW w:w="0" w:type="auto"/>
            <w:vAlign w:val="center"/>
          </w:tcPr>
          <w:p>
            <w:pPr>
              <w:jc w:val="center"/>
              <w:rPr>
                <w:rFonts w:ascii="Times New Roman" w:hAnsi="Times New Roman"/>
                <w:sz w:val="21"/>
                <w:szCs w:val="21"/>
              </w:rPr>
            </w:pPr>
            <w:r>
              <w:rPr>
                <w:rFonts w:ascii="Times New Roman" w:hAnsi="Times New Roman"/>
                <w:sz w:val="21"/>
                <w:szCs w:val="21"/>
              </w:rPr>
              <w:t>-0.0768</w:t>
            </w:r>
          </w:p>
        </w:tc>
        <w:tc>
          <w:tcPr>
            <w:tcW w:w="0" w:type="auto"/>
          </w:tcPr>
          <w:p>
            <w:pPr>
              <w:jc w:val="center"/>
              <w:rPr>
                <w:rFonts w:ascii="Times New Roman" w:hAnsi="Times New Roman"/>
                <w:sz w:val="21"/>
                <w:szCs w:val="21"/>
              </w:rPr>
            </w:pPr>
            <w:r>
              <w:rPr>
                <w:rFonts w:ascii="Times New Roman" w:hAnsi="Times New Roman"/>
                <w:sz w:val="21"/>
                <w:szCs w:val="21"/>
              </w:rPr>
              <w:t>-0.0996</w:t>
            </w:r>
          </w:p>
        </w:tc>
        <w:tc>
          <w:tcPr>
            <w:tcW w:w="0" w:type="auto"/>
            <w:vAlign w:val="center"/>
          </w:tcPr>
          <w:p>
            <w:pPr>
              <w:jc w:val="center"/>
              <w:rPr>
                <w:rFonts w:ascii="Times New Roman" w:hAnsi="Times New Roman"/>
                <w:sz w:val="21"/>
                <w:szCs w:val="21"/>
              </w:rPr>
            </w:pPr>
            <w:r>
              <w:rPr>
                <w:rFonts w:ascii="Times New Roman" w:hAnsi="Times New Roman"/>
                <w:sz w:val="21"/>
                <w:szCs w:val="21"/>
              </w:rPr>
              <w:t>0.0171</w:t>
            </w:r>
          </w:p>
        </w:tc>
        <w:tc>
          <w:tcPr>
            <w:tcW w:w="0" w:type="auto"/>
            <w:vAlign w:val="center"/>
          </w:tcPr>
          <w:p>
            <w:pPr>
              <w:jc w:val="center"/>
              <w:rPr>
                <w:rFonts w:ascii="Times New Roman" w:hAnsi="Times New Roman"/>
                <w:sz w:val="21"/>
                <w:szCs w:val="21"/>
              </w:rPr>
            </w:pPr>
            <w:r>
              <w:rPr>
                <w:rFonts w:ascii="Times New Roman" w:hAnsi="Times New Roman"/>
                <w:sz w:val="21"/>
                <w:szCs w:val="21"/>
              </w:rPr>
              <w:t>0.0426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0.65</w:t>
            </w:r>
          </w:p>
        </w:tc>
        <w:tc>
          <w:tcPr>
            <w:tcW w:w="0" w:type="auto"/>
            <w:vAlign w:val="center"/>
          </w:tcPr>
          <w:p>
            <w:pPr>
              <w:jc w:val="center"/>
              <w:rPr>
                <w:rFonts w:ascii="Times New Roman" w:hAnsi="Times New Roman"/>
                <w:sz w:val="21"/>
                <w:szCs w:val="21"/>
              </w:rPr>
            </w:pPr>
            <w:r>
              <w:rPr>
                <w:rFonts w:ascii="Times New Roman" w:hAnsi="Times New Roman"/>
                <w:sz w:val="21"/>
                <w:szCs w:val="21"/>
              </w:rPr>
              <w:t>-0.1063</w:t>
            </w:r>
          </w:p>
        </w:tc>
        <w:tc>
          <w:tcPr>
            <w:tcW w:w="0" w:type="auto"/>
          </w:tcPr>
          <w:p>
            <w:pPr>
              <w:jc w:val="center"/>
              <w:rPr>
                <w:rFonts w:ascii="Times New Roman" w:hAnsi="Times New Roman"/>
                <w:sz w:val="21"/>
                <w:szCs w:val="21"/>
              </w:rPr>
            </w:pPr>
            <w:r>
              <w:rPr>
                <w:rFonts w:ascii="Times New Roman" w:hAnsi="Times New Roman"/>
                <w:sz w:val="21"/>
                <w:szCs w:val="21"/>
              </w:rPr>
              <w:t>0.0310</w:t>
            </w:r>
          </w:p>
        </w:tc>
        <w:tc>
          <w:tcPr>
            <w:tcW w:w="0" w:type="auto"/>
            <w:vAlign w:val="center"/>
          </w:tcPr>
          <w:p>
            <w:pPr>
              <w:jc w:val="center"/>
              <w:rPr>
                <w:rFonts w:ascii="Times New Roman" w:hAnsi="Times New Roman"/>
                <w:sz w:val="21"/>
                <w:szCs w:val="21"/>
              </w:rPr>
            </w:pPr>
            <w:r>
              <w:rPr>
                <w:rFonts w:ascii="Times New Roman" w:hAnsi="Times New Roman"/>
                <w:sz w:val="21"/>
                <w:szCs w:val="21"/>
              </w:rPr>
              <w:t>0.0519</w:t>
            </w:r>
          </w:p>
        </w:tc>
        <w:tc>
          <w:tcPr>
            <w:tcW w:w="0" w:type="auto"/>
            <w:vAlign w:val="center"/>
          </w:tcPr>
          <w:p>
            <w:pPr>
              <w:jc w:val="center"/>
              <w:rPr>
                <w:rFonts w:ascii="Times New Roman" w:hAnsi="Times New Roman"/>
                <w:sz w:val="21"/>
                <w:szCs w:val="21"/>
              </w:rPr>
            </w:pPr>
            <w:r>
              <w:rPr>
                <w:rFonts w:ascii="Times New Roman" w:hAnsi="Times New Roman"/>
                <w:sz w:val="21"/>
                <w:szCs w:val="21"/>
              </w:rPr>
              <w:t>-0.0773</w:t>
            </w:r>
          </w:p>
        </w:tc>
        <w:tc>
          <w:tcPr>
            <w:tcW w:w="0" w:type="auto"/>
          </w:tcPr>
          <w:p>
            <w:pPr>
              <w:jc w:val="center"/>
              <w:rPr>
                <w:rFonts w:ascii="Times New Roman" w:hAnsi="Times New Roman"/>
                <w:sz w:val="21"/>
                <w:szCs w:val="21"/>
              </w:rPr>
            </w:pPr>
            <w:r>
              <w:rPr>
                <w:rFonts w:ascii="Times New Roman" w:hAnsi="Times New Roman"/>
                <w:sz w:val="21"/>
                <w:szCs w:val="21"/>
              </w:rPr>
              <w:t>-0.1047</w:t>
            </w:r>
          </w:p>
        </w:tc>
        <w:tc>
          <w:tcPr>
            <w:tcW w:w="0" w:type="auto"/>
            <w:vAlign w:val="center"/>
          </w:tcPr>
          <w:p>
            <w:pPr>
              <w:jc w:val="center"/>
              <w:rPr>
                <w:rFonts w:ascii="Times New Roman" w:hAnsi="Times New Roman"/>
                <w:sz w:val="21"/>
                <w:szCs w:val="21"/>
              </w:rPr>
            </w:pPr>
            <w:r>
              <w:rPr>
                <w:rFonts w:ascii="Times New Roman" w:hAnsi="Times New Roman"/>
                <w:sz w:val="21"/>
                <w:szCs w:val="21"/>
              </w:rPr>
              <w:t>0.0153</w:t>
            </w:r>
          </w:p>
        </w:tc>
        <w:tc>
          <w:tcPr>
            <w:tcW w:w="0" w:type="auto"/>
            <w:vAlign w:val="center"/>
          </w:tcPr>
          <w:p>
            <w:pPr>
              <w:jc w:val="center"/>
              <w:rPr>
                <w:rFonts w:ascii="Times New Roman" w:hAnsi="Times New Roman"/>
                <w:sz w:val="21"/>
                <w:szCs w:val="21"/>
              </w:rPr>
            </w:pPr>
            <w:r>
              <w:rPr>
                <w:rFonts w:ascii="Times New Roman" w:hAnsi="Times New Roman"/>
                <w:sz w:val="21"/>
                <w:szCs w:val="21"/>
              </w:rPr>
              <w:t>0.0462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0.60</w:t>
            </w:r>
          </w:p>
        </w:tc>
        <w:tc>
          <w:tcPr>
            <w:tcW w:w="0" w:type="auto"/>
            <w:vAlign w:val="center"/>
          </w:tcPr>
          <w:p>
            <w:pPr>
              <w:jc w:val="center"/>
              <w:rPr>
                <w:rFonts w:ascii="Times New Roman" w:hAnsi="Times New Roman"/>
                <w:sz w:val="21"/>
                <w:szCs w:val="21"/>
              </w:rPr>
            </w:pPr>
            <w:r>
              <w:rPr>
                <w:rFonts w:ascii="Times New Roman" w:hAnsi="Times New Roman"/>
                <w:sz w:val="21"/>
                <w:szCs w:val="21"/>
              </w:rPr>
              <w:t>-0.1111</w:t>
            </w:r>
          </w:p>
        </w:tc>
        <w:tc>
          <w:tcPr>
            <w:tcW w:w="0" w:type="auto"/>
          </w:tcPr>
          <w:p>
            <w:pPr>
              <w:jc w:val="center"/>
              <w:rPr>
                <w:rFonts w:ascii="Times New Roman" w:hAnsi="Times New Roman"/>
                <w:sz w:val="21"/>
                <w:szCs w:val="21"/>
              </w:rPr>
            </w:pPr>
            <w:r>
              <w:rPr>
                <w:rFonts w:ascii="Times New Roman" w:hAnsi="Times New Roman"/>
                <w:sz w:val="21"/>
                <w:szCs w:val="21"/>
              </w:rPr>
              <w:t>0.0292</w:t>
            </w:r>
          </w:p>
        </w:tc>
        <w:tc>
          <w:tcPr>
            <w:tcW w:w="0" w:type="auto"/>
            <w:vAlign w:val="center"/>
          </w:tcPr>
          <w:p>
            <w:pPr>
              <w:jc w:val="center"/>
              <w:rPr>
                <w:rFonts w:ascii="Times New Roman" w:hAnsi="Times New Roman"/>
                <w:sz w:val="21"/>
                <w:szCs w:val="21"/>
              </w:rPr>
            </w:pPr>
            <w:r>
              <w:rPr>
                <w:rFonts w:ascii="Times New Roman" w:hAnsi="Times New Roman"/>
                <w:sz w:val="21"/>
                <w:szCs w:val="21"/>
              </w:rPr>
              <w:t>0.0604</w:t>
            </w:r>
          </w:p>
        </w:tc>
        <w:tc>
          <w:tcPr>
            <w:tcW w:w="0" w:type="auto"/>
            <w:vAlign w:val="center"/>
          </w:tcPr>
          <w:p>
            <w:pPr>
              <w:jc w:val="center"/>
              <w:rPr>
                <w:rFonts w:ascii="Times New Roman" w:hAnsi="Times New Roman"/>
                <w:sz w:val="21"/>
                <w:szCs w:val="21"/>
              </w:rPr>
            </w:pPr>
            <w:r>
              <w:rPr>
                <w:rFonts w:ascii="Times New Roman" w:hAnsi="Times New Roman"/>
                <w:sz w:val="21"/>
                <w:szCs w:val="21"/>
              </w:rPr>
              <w:t>-0.0776</w:t>
            </w:r>
          </w:p>
        </w:tc>
        <w:tc>
          <w:tcPr>
            <w:tcW w:w="0" w:type="auto"/>
          </w:tcPr>
          <w:p>
            <w:pPr>
              <w:jc w:val="center"/>
              <w:rPr>
                <w:rFonts w:ascii="Times New Roman" w:hAnsi="Times New Roman"/>
                <w:sz w:val="21"/>
                <w:szCs w:val="21"/>
              </w:rPr>
            </w:pPr>
            <w:r>
              <w:rPr>
                <w:rFonts w:ascii="Times New Roman" w:hAnsi="Times New Roman"/>
                <w:sz w:val="21"/>
                <w:szCs w:val="21"/>
              </w:rPr>
              <w:t>-0.1093</w:t>
            </w:r>
          </w:p>
        </w:tc>
        <w:tc>
          <w:tcPr>
            <w:tcW w:w="0" w:type="auto"/>
            <w:vAlign w:val="center"/>
          </w:tcPr>
          <w:p>
            <w:pPr>
              <w:jc w:val="center"/>
              <w:rPr>
                <w:rFonts w:ascii="Times New Roman" w:hAnsi="Times New Roman"/>
                <w:sz w:val="21"/>
                <w:szCs w:val="21"/>
              </w:rPr>
            </w:pPr>
            <w:r>
              <w:rPr>
                <w:rFonts w:ascii="Times New Roman" w:hAnsi="Times New Roman"/>
                <w:sz w:val="21"/>
                <w:szCs w:val="21"/>
              </w:rPr>
              <w:t>0.0130</w:t>
            </w:r>
          </w:p>
        </w:tc>
        <w:tc>
          <w:tcPr>
            <w:tcW w:w="0" w:type="auto"/>
            <w:vAlign w:val="center"/>
          </w:tcPr>
          <w:p>
            <w:pPr>
              <w:jc w:val="center"/>
              <w:rPr>
                <w:rFonts w:ascii="Times New Roman" w:hAnsi="Times New Roman"/>
                <w:sz w:val="21"/>
                <w:szCs w:val="21"/>
              </w:rPr>
            </w:pPr>
            <w:r>
              <w:rPr>
                <w:rFonts w:ascii="Times New Roman" w:hAnsi="Times New Roman"/>
                <w:sz w:val="21"/>
                <w:szCs w:val="21"/>
              </w:rPr>
              <w:t>0.0496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0.55</w:t>
            </w:r>
          </w:p>
        </w:tc>
        <w:tc>
          <w:tcPr>
            <w:tcW w:w="0" w:type="auto"/>
            <w:vAlign w:val="center"/>
          </w:tcPr>
          <w:p>
            <w:pPr>
              <w:jc w:val="center"/>
              <w:rPr>
                <w:rFonts w:ascii="Times New Roman" w:hAnsi="Times New Roman"/>
                <w:sz w:val="21"/>
                <w:szCs w:val="21"/>
              </w:rPr>
            </w:pPr>
            <w:r>
              <w:rPr>
                <w:rFonts w:ascii="Times New Roman" w:hAnsi="Times New Roman"/>
                <w:sz w:val="21"/>
                <w:szCs w:val="21"/>
              </w:rPr>
              <w:t>-0.1154</w:t>
            </w:r>
          </w:p>
        </w:tc>
        <w:tc>
          <w:tcPr>
            <w:tcW w:w="0" w:type="auto"/>
          </w:tcPr>
          <w:p>
            <w:pPr>
              <w:jc w:val="center"/>
              <w:rPr>
                <w:rFonts w:ascii="Times New Roman" w:hAnsi="Times New Roman"/>
                <w:sz w:val="21"/>
                <w:szCs w:val="21"/>
              </w:rPr>
            </w:pPr>
            <w:r>
              <w:rPr>
                <w:rFonts w:ascii="Times New Roman" w:hAnsi="Times New Roman"/>
                <w:sz w:val="21"/>
                <w:szCs w:val="21"/>
              </w:rPr>
              <w:t>0.0266</w:t>
            </w:r>
          </w:p>
        </w:tc>
        <w:tc>
          <w:tcPr>
            <w:tcW w:w="0" w:type="auto"/>
            <w:vAlign w:val="center"/>
          </w:tcPr>
          <w:p>
            <w:pPr>
              <w:jc w:val="center"/>
              <w:rPr>
                <w:rFonts w:ascii="Times New Roman" w:hAnsi="Times New Roman"/>
                <w:sz w:val="21"/>
                <w:szCs w:val="21"/>
              </w:rPr>
            </w:pPr>
            <w:r>
              <w:rPr>
                <w:rFonts w:ascii="Times New Roman" w:hAnsi="Times New Roman"/>
                <w:sz w:val="21"/>
                <w:szCs w:val="21"/>
              </w:rPr>
              <w:t>0.0697</w:t>
            </w:r>
          </w:p>
        </w:tc>
        <w:tc>
          <w:tcPr>
            <w:tcW w:w="0" w:type="auto"/>
            <w:vAlign w:val="center"/>
          </w:tcPr>
          <w:p>
            <w:pPr>
              <w:jc w:val="center"/>
              <w:rPr>
                <w:rFonts w:ascii="Times New Roman" w:hAnsi="Times New Roman"/>
                <w:sz w:val="21"/>
                <w:szCs w:val="21"/>
              </w:rPr>
            </w:pPr>
            <w:r>
              <w:rPr>
                <w:rFonts w:ascii="Times New Roman" w:hAnsi="Times New Roman"/>
                <w:sz w:val="21"/>
                <w:szCs w:val="21"/>
              </w:rPr>
              <w:t>-0.0779</w:t>
            </w:r>
          </w:p>
        </w:tc>
        <w:tc>
          <w:tcPr>
            <w:tcW w:w="0" w:type="auto"/>
          </w:tcPr>
          <w:p>
            <w:pPr>
              <w:jc w:val="center"/>
              <w:rPr>
                <w:rFonts w:ascii="Times New Roman" w:hAnsi="Times New Roman"/>
                <w:sz w:val="21"/>
                <w:szCs w:val="21"/>
              </w:rPr>
            </w:pPr>
            <w:r>
              <w:rPr>
                <w:rFonts w:ascii="Times New Roman" w:hAnsi="Times New Roman"/>
                <w:sz w:val="21"/>
                <w:szCs w:val="21"/>
              </w:rPr>
              <w:t>-0.1136</w:t>
            </w:r>
          </w:p>
        </w:tc>
        <w:tc>
          <w:tcPr>
            <w:tcW w:w="0" w:type="auto"/>
            <w:vAlign w:val="center"/>
          </w:tcPr>
          <w:p>
            <w:pPr>
              <w:jc w:val="center"/>
              <w:rPr>
                <w:rFonts w:ascii="Times New Roman" w:hAnsi="Times New Roman"/>
                <w:sz w:val="21"/>
                <w:szCs w:val="21"/>
              </w:rPr>
            </w:pPr>
            <w:r>
              <w:rPr>
                <w:rFonts w:ascii="Times New Roman" w:hAnsi="Times New Roman"/>
                <w:sz w:val="21"/>
                <w:szCs w:val="21"/>
              </w:rPr>
              <w:t>0.0105</w:t>
            </w:r>
          </w:p>
        </w:tc>
        <w:tc>
          <w:tcPr>
            <w:tcW w:w="0" w:type="auto"/>
            <w:vAlign w:val="center"/>
          </w:tcPr>
          <w:p>
            <w:pPr>
              <w:jc w:val="center"/>
              <w:rPr>
                <w:rFonts w:ascii="Times New Roman" w:hAnsi="Times New Roman"/>
                <w:sz w:val="21"/>
                <w:szCs w:val="21"/>
              </w:rPr>
            </w:pPr>
            <w:r>
              <w:rPr>
                <w:rFonts w:ascii="Times New Roman" w:hAnsi="Times New Roman"/>
                <w:sz w:val="21"/>
                <w:szCs w:val="21"/>
              </w:rPr>
              <w:t>0.0529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pPr>
              <w:rPr>
                <w:rFonts w:ascii="Times New Roman" w:hAnsi="Times New Roman"/>
                <w:sz w:val="21"/>
                <w:szCs w:val="21"/>
              </w:rPr>
            </w:pPr>
          </w:p>
        </w:tc>
        <w:tc>
          <w:tcPr>
            <w:tcW w:w="0" w:type="auto"/>
            <w:vAlign w:val="center"/>
          </w:tcPr>
          <w:p>
            <w:pPr>
              <w:rPr>
                <w:rFonts w:ascii="Times New Roman" w:hAnsi="Times New Roman"/>
                <w:sz w:val="21"/>
                <w:szCs w:val="21"/>
              </w:rPr>
            </w:pPr>
            <w:r>
              <w:rPr>
                <w:rFonts w:ascii="Times New Roman" w:hAnsi="Times New Roman"/>
                <w:sz w:val="21"/>
                <w:szCs w:val="21"/>
              </w:rPr>
              <w:t>0.50</w:t>
            </w:r>
          </w:p>
        </w:tc>
        <w:tc>
          <w:tcPr>
            <w:tcW w:w="0" w:type="auto"/>
            <w:vAlign w:val="center"/>
          </w:tcPr>
          <w:p>
            <w:pPr>
              <w:jc w:val="center"/>
              <w:rPr>
                <w:rFonts w:ascii="Times New Roman" w:hAnsi="Times New Roman"/>
                <w:sz w:val="21"/>
                <w:szCs w:val="21"/>
              </w:rPr>
            </w:pPr>
            <w:r>
              <w:rPr>
                <w:rFonts w:ascii="Times New Roman" w:hAnsi="Times New Roman"/>
                <w:sz w:val="21"/>
                <w:szCs w:val="21"/>
              </w:rPr>
              <w:t>-0.1191</w:t>
            </w:r>
          </w:p>
        </w:tc>
        <w:tc>
          <w:tcPr>
            <w:tcW w:w="0" w:type="auto"/>
          </w:tcPr>
          <w:p>
            <w:pPr>
              <w:jc w:val="center"/>
              <w:rPr>
                <w:rFonts w:ascii="Times New Roman" w:hAnsi="Times New Roman"/>
                <w:sz w:val="21"/>
                <w:szCs w:val="21"/>
              </w:rPr>
            </w:pPr>
            <w:r>
              <w:rPr>
                <w:rFonts w:ascii="Times New Roman" w:hAnsi="Times New Roman"/>
                <w:sz w:val="21"/>
                <w:szCs w:val="21"/>
              </w:rPr>
              <w:t>0.0234</w:t>
            </w:r>
          </w:p>
        </w:tc>
        <w:tc>
          <w:tcPr>
            <w:tcW w:w="0" w:type="auto"/>
            <w:vAlign w:val="center"/>
          </w:tcPr>
          <w:p>
            <w:pPr>
              <w:jc w:val="center"/>
              <w:rPr>
                <w:rFonts w:ascii="Times New Roman" w:hAnsi="Times New Roman"/>
                <w:sz w:val="21"/>
                <w:szCs w:val="21"/>
              </w:rPr>
            </w:pPr>
            <w:r>
              <w:rPr>
                <w:rFonts w:ascii="Times New Roman" w:hAnsi="Times New Roman"/>
                <w:sz w:val="21"/>
                <w:szCs w:val="21"/>
              </w:rPr>
              <w:t>0.0790</w:t>
            </w:r>
          </w:p>
        </w:tc>
        <w:tc>
          <w:tcPr>
            <w:tcW w:w="0" w:type="auto"/>
            <w:vAlign w:val="center"/>
          </w:tcPr>
          <w:p>
            <w:pPr>
              <w:jc w:val="center"/>
              <w:rPr>
                <w:rFonts w:ascii="Times New Roman" w:hAnsi="Times New Roman"/>
                <w:sz w:val="21"/>
                <w:szCs w:val="21"/>
              </w:rPr>
            </w:pPr>
            <w:r>
              <w:rPr>
                <w:rFonts w:ascii="Times New Roman" w:hAnsi="Times New Roman"/>
                <w:sz w:val="21"/>
                <w:szCs w:val="21"/>
              </w:rPr>
              <w:t>-0.0782</w:t>
            </w:r>
          </w:p>
        </w:tc>
        <w:tc>
          <w:tcPr>
            <w:tcW w:w="0" w:type="auto"/>
          </w:tcPr>
          <w:p>
            <w:pPr>
              <w:jc w:val="center"/>
              <w:rPr>
                <w:rFonts w:ascii="Times New Roman" w:hAnsi="Times New Roman"/>
                <w:sz w:val="21"/>
                <w:szCs w:val="21"/>
              </w:rPr>
            </w:pPr>
            <w:r>
              <w:rPr>
                <w:rFonts w:ascii="Times New Roman" w:hAnsi="Times New Roman"/>
                <w:sz w:val="21"/>
                <w:szCs w:val="21"/>
              </w:rPr>
              <w:t>-0.1177</w:t>
            </w:r>
          </w:p>
        </w:tc>
        <w:tc>
          <w:tcPr>
            <w:tcW w:w="0" w:type="auto"/>
            <w:vAlign w:val="center"/>
          </w:tcPr>
          <w:p>
            <w:pPr>
              <w:jc w:val="center"/>
              <w:rPr>
                <w:rFonts w:ascii="Times New Roman" w:hAnsi="Times New Roman"/>
                <w:sz w:val="21"/>
                <w:szCs w:val="21"/>
              </w:rPr>
            </w:pPr>
            <w:r>
              <w:rPr>
                <w:rFonts w:ascii="Times New Roman" w:hAnsi="Times New Roman"/>
                <w:sz w:val="21"/>
                <w:szCs w:val="21"/>
              </w:rPr>
              <w:t>0.0079</w:t>
            </w:r>
          </w:p>
        </w:tc>
        <w:tc>
          <w:tcPr>
            <w:tcW w:w="0" w:type="auto"/>
            <w:vAlign w:val="center"/>
          </w:tcPr>
          <w:p>
            <w:pPr>
              <w:jc w:val="center"/>
              <w:rPr>
                <w:rFonts w:ascii="Times New Roman" w:hAnsi="Times New Roman"/>
                <w:sz w:val="21"/>
                <w:szCs w:val="21"/>
              </w:rPr>
            </w:pPr>
            <w:r>
              <w:rPr>
                <w:rFonts w:ascii="Times New Roman" w:hAnsi="Times New Roman"/>
                <w:sz w:val="21"/>
                <w:szCs w:val="21"/>
              </w:rPr>
              <w:t>0.0560</w:t>
            </w:r>
          </w:p>
        </w:tc>
      </w:tr>
    </w:tbl>
    <w:p>
      <w:pPr>
        <w:jc w:val="center"/>
        <w:rPr>
          <w:rFonts w:ascii="Times New Roman" w:hAnsi="Times New Roman"/>
          <w:b/>
          <w:bCs/>
        </w:rPr>
      </w:pPr>
      <w:r>
        <w:rPr>
          <w:rFonts w:hint="eastAsia" w:ascii="Times New Roman" w:hAnsi="Times New Roman"/>
          <w:b/>
          <w:bCs/>
        </w:rPr>
        <w:t>表</w:t>
      </w:r>
      <w:r>
        <w:rPr>
          <w:rFonts w:ascii="Times New Roman" w:hAnsi="Times New Roman"/>
          <w:b/>
          <w:bCs/>
        </w:rPr>
        <w:t xml:space="preserve">5.4.2-3 </w:t>
      </w:r>
      <w:r>
        <w:rPr>
          <w:rFonts w:hint="eastAsia" w:ascii="Times New Roman" w:hAnsi="Times New Roman"/>
          <w:b/>
          <w:bCs/>
        </w:rPr>
        <w:t>均布荷载作用下双向矩形板的弯矩系数</w:t>
      </w:r>
    </w:p>
    <w:tbl>
      <w:tblPr>
        <w:tblStyle w:val="3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6"/>
        <w:gridCol w:w="584"/>
        <w:gridCol w:w="1022"/>
        <w:gridCol w:w="1000"/>
        <w:gridCol w:w="811"/>
        <w:gridCol w:w="985"/>
        <w:gridCol w:w="892"/>
        <w:gridCol w:w="893"/>
        <w:gridCol w:w="820"/>
        <w:gridCol w:w="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92" w:type="dxa"/>
            <w:gridSpan w:val="2"/>
            <w:vMerge w:val="restart"/>
            <w:vAlign w:val="center"/>
          </w:tcPr>
          <w:p>
            <w:pPr>
              <w:jc w:val="center"/>
              <w:rPr>
                <w:rFonts w:ascii="Times New Roman" w:hAnsi="Times New Roman"/>
                <w:sz w:val="21"/>
                <w:szCs w:val="21"/>
              </w:rPr>
            </w:pPr>
            <w:r>
              <w:rPr>
                <w:rFonts w:ascii="Times New Roman" w:hAnsi="Times New Roman" w:eastAsiaTheme="minorEastAsia" w:cstheme="minorBidi"/>
                <w:kern w:val="2"/>
                <w:position w:val="-6"/>
                <w:sz w:val="21"/>
                <w:szCs w:val="21"/>
              </w:rPr>
              <w:object>
                <v:shape id="_x0000_i1168" o:spt="75" type="#_x0000_t75" style="height:15pt;width:30pt;" o:ole="t" filled="f" o:preferrelative="t" stroked="f" coordsize="21600,21600">
                  <v:path/>
                  <v:fill on="f" focussize="0,0"/>
                  <v:stroke on="f" joinstyle="miter"/>
                  <v:imagedata r:id="rId235" o:title=""/>
                  <o:lock v:ext="edit" aspectratio="t"/>
                  <w10:wrap type="none"/>
                  <w10:anchorlock/>
                </v:shape>
                <o:OLEObject Type="Embed" ProgID="Equation.DSMT4" ShapeID="_x0000_i1168" DrawAspect="Content" ObjectID="_1468075868" r:id="rId276">
                  <o:LockedField>false</o:LockedField>
                </o:OLEObject>
              </w:object>
            </w:r>
          </w:p>
        </w:tc>
        <w:tc>
          <w:tcPr>
            <w:tcW w:w="2022" w:type="dxa"/>
            <w:gridSpan w:val="2"/>
          </w:tcPr>
          <w:p>
            <w:pPr>
              <w:jc w:val="center"/>
              <w:rPr>
                <w:rFonts w:ascii="Times New Roman" w:hAnsi="Times New Roman"/>
                <w:sz w:val="21"/>
                <w:szCs w:val="21"/>
              </w:rPr>
            </w:pPr>
          </w:p>
        </w:tc>
        <w:tc>
          <w:tcPr>
            <w:tcW w:w="5182" w:type="dxa"/>
            <w:gridSpan w:val="6"/>
            <w:vAlign w:val="center"/>
          </w:tcPr>
          <w:p>
            <w:pPr>
              <w:jc w:val="center"/>
              <w:rPr>
                <w:rFonts w:ascii="Times New Roman" w:hAnsi="Times New Roman"/>
                <w:sz w:val="21"/>
                <w:szCs w:val="21"/>
              </w:rPr>
            </w:pPr>
            <w:r>
              <w:rPr>
                <w:rFonts w:hint="eastAsia" w:ascii="Times New Roman" w:hAnsi="Times New Roman"/>
                <w:sz w:val="21"/>
                <w:szCs w:val="21"/>
              </w:rPr>
              <w:t>弯矩</w:t>
            </w:r>
            <w:r>
              <w:rPr>
                <w:rFonts w:ascii="Times New Roman" w:hAnsi="Times New Roman"/>
                <w:sz w:val="21"/>
                <w:szCs w:val="21"/>
              </w:rPr>
              <w:t>=表中系数</w:t>
            </w:r>
            <w:r>
              <w:rPr>
                <w:rFonts w:ascii="Times New Roman" w:hAnsi="Times New Roman" w:eastAsiaTheme="minorEastAsia" w:cstheme="minorBidi"/>
                <w:kern w:val="2"/>
                <w:position w:val="-12"/>
                <w:sz w:val="21"/>
                <w:szCs w:val="21"/>
              </w:rPr>
              <w:object>
                <v:shape id="_x0000_i1169" o:spt="75" type="#_x0000_t75" style="height:21pt;width:27pt;" o:ole="t" filled="f" o:preferrelative="t" stroked="f" coordsize="21600,21600">
                  <v:path/>
                  <v:fill on="f" focussize="0,0"/>
                  <v:stroke on="f" joinstyle="miter"/>
                  <v:imagedata r:id="rId237" o:title=""/>
                  <o:lock v:ext="edit" aspectratio="t"/>
                  <w10:wrap type="none"/>
                  <w10:anchorlock/>
                </v:shape>
                <o:OLEObject Type="Embed" ProgID="Equation.DSMT4" ShapeID="_x0000_i1169" DrawAspect="Content" ObjectID="_1468075869" r:id="rId277">
                  <o:LockedField>false</o:LockedField>
                </o:OLEObject>
              </w:object>
            </w:r>
            <w:r>
              <w:rPr>
                <w:rFonts w:ascii="Times New Roman" w:hAnsi="Times New Roman"/>
                <w:sz w:val="21"/>
                <w:szCs w:val="21"/>
              </w:rPr>
              <w:t xml:space="preserve">   </w:t>
            </w:r>
            <w:r>
              <w:rPr>
                <w:rFonts w:hint="eastAsia" w:ascii="Times New Roman" w:hAnsi="Times New Roman"/>
                <w:sz w:val="21"/>
                <w:szCs w:val="21"/>
              </w:rPr>
              <w:t>式中</w:t>
            </w:r>
            <w:r>
              <w:rPr>
                <w:rFonts w:ascii="Times New Roman" w:hAnsi="Times New Roman" w:eastAsiaTheme="minorEastAsia" w:cstheme="minorBidi"/>
                <w:kern w:val="2"/>
                <w:position w:val="-6"/>
                <w:sz w:val="21"/>
                <w:szCs w:val="21"/>
              </w:rPr>
              <w:object>
                <v:shape id="_x0000_i1170" o:spt="75" type="#_x0000_t75" style="height:15pt;width:7.8pt;" o:ole="t" filled="f" o:preferrelative="t" stroked="f" coordsize="21600,21600">
                  <v:path/>
                  <v:fill on="f" focussize="0,0"/>
                  <v:stroke on="f" joinstyle="miter"/>
                  <v:imagedata r:id="rId239" o:title=""/>
                  <o:lock v:ext="edit" aspectratio="t"/>
                  <w10:wrap type="none"/>
                  <w10:anchorlock/>
                </v:shape>
                <o:OLEObject Type="Embed" ProgID="Equation.DSMT4" ShapeID="_x0000_i1170" DrawAspect="Content" ObjectID="_1468075870" r:id="rId278">
                  <o:LockedField>false</o:LockedField>
                </o:OLEObject>
              </w:object>
            </w:r>
            <w:r>
              <w:rPr>
                <w:rFonts w:hint="eastAsia" w:ascii="Times New Roman" w:hAnsi="Times New Roman"/>
                <w:sz w:val="21"/>
                <w:szCs w:val="21"/>
              </w:rPr>
              <w:t>用</w:t>
            </w:r>
            <w:r>
              <w:rPr>
                <w:rFonts w:ascii="Times New Roman" w:hAnsi="Times New Roman" w:eastAsiaTheme="minorEastAsia" w:cstheme="minorBidi"/>
                <w:kern w:val="2"/>
                <w:position w:val="-12"/>
                <w:sz w:val="21"/>
                <w:szCs w:val="21"/>
              </w:rPr>
              <w:object>
                <v:shape id="_x0000_i1171" o:spt="75" type="#_x0000_t75" style="height:19.2pt;width:11.4pt;" o:ole="t" filled="f" o:preferrelative="t" stroked="f" coordsize="21600,21600">
                  <v:path/>
                  <v:fill on="f" focussize="0,0"/>
                  <v:stroke on="f" joinstyle="miter"/>
                  <v:imagedata r:id="rId241" o:title=""/>
                  <o:lock v:ext="edit" aspectratio="t"/>
                  <w10:wrap type="none"/>
                  <w10:anchorlock/>
                </v:shape>
                <o:OLEObject Type="Embed" ProgID="Equation.DSMT4" ShapeID="_x0000_i1171" DrawAspect="Content" ObjectID="_1468075871" r:id="rId279">
                  <o:LockedField>false</o:LockedField>
                </o:OLEObject>
              </w:object>
            </w:r>
            <w:r>
              <w:rPr>
                <w:rFonts w:hint="eastAsia" w:ascii="Times New Roman" w:hAnsi="Times New Roman"/>
                <w:sz w:val="21"/>
                <w:szCs w:val="21"/>
              </w:rPr>
              <w:t>和</w:t>
            </w:r>
            <w:r>
              <w:rPr>
                <w:rFonts w:ascii="Times New Roman" w:hAnsi="Times New Roman" w:eastAsiaTheme="minorEastAsia" w:cstheme="minorBidi"/>
                <w:kern w:val="2"/>
                <w:position w:val="-16"/>
                <w:sz w:val="21"/>
                <w:szCs w:val="21"/>
              </w:rPr>
              <w:object>
                <v:shape id="_x0000_i1172" o:spt="75" type="#_x0000_t75" style="height:21pt;width:12pt;" o:ole="t" filled="f" o:preferrelative="t" stroked="f" coordsize="21600,21600">
                  <v:path/>
                  <v:fill on="f" focussize="0,0"/>
                  <v:stroke on="f" joinstyle="miter"/>
                  <v:imagedata r:id="rId243" o:title=""/>
                  <o:lock v:ext="edit" aspectratio="t"/>
                  <w10:wrap type="none"/>
                  <w10:anchorlock/>
                </v:shape>
                <o:OLEObject Type="Embed" ProgID="Equation.DSMT4" ShapeID="_x0000_i1172" DrawAspect="Content" ObjectID="_1468075872" r:id="rId280">
                  <o:LockedField>false</o:LockedField>
                </o:OLEObject>
              </w:object>
            </w:r>
            <w:r>
              <w:rPr>
                <w:rFonts w:hint="eastAsia" w:ascii="Times New Roman" w:hAnsi="Times New Roman"/>
                <w:sz w:val="21"/>
                <w:szCs w:val="21"/>
              </w:rPr>
              <w:t>中较小者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7" w:hRule="atLeast"/>
          <w:jc w:val="center"/>
        </w:trPr>
        <w:tc>
          <w:tcPr>
            <w:tcW w:w="1092" w:type="dxa"/>
            <w:gridSpan w:val="2"/>
            <w:vMerge w:val="continue"/>
            <w:vAlign w:val="center"/>
          </w:tcPr>
          <w:p>
            <w:pPr>
              <w:rPr>
                <w:rFonts w:ascii="Times New Roman" w:hAnsi="Times New Roman"/>
                <w:sz w:val="21"/>
                <w:szCs w:val="21"/>
              </w:rPr>
            </w:pPr>
          </w:p>
        </w:tc>
        <w:tc>
          <w:tcPr>
            <w:tcW w:w="3778" w:type="dxa"/>
            <w:gridSpan w:val="4"/>
          </w:tcPr>
          <w:p>
            <w:pPr>
              <w:jc w:val="center"/>
              <w:rPr>
                <w:rFonts w:ascii="Times New Roman" w:hAnsi="Times New Roman"/>
                <w:sz w:val="21"/>
                <w:szCs w:val="21"/>
              </w:rPr>
            </w:pPr>
            <w:r>
              <w:rPr>
                <w:rFonts w:ascii="Times New Roman" w:hAnsi="Times New Roman"/>
                <w:sz w:val="21"/>
                <w:szCs w:val="21"/>
              </w:rPr>
              <w:drawing>
                <wp:inline distT="0" distB="0" distL="0" distR="0">
                  <wp:extent cx="2080260" cy="1541780"/>
                  <wp:effectExtent l="0" t="0" r="0" b="1270"/>
                  <wp:docPr id="1470655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55040" name="图片 1"/>
                          <pic:cNvPicPr>
                            <a:picLocks noChangeAspect="1"/>
                          </pic:cNvPicPr>
                        </pic:nvPicPr>
                        <pic:blipFill>
                          <a:blip r:embed="rId281">
                            <a:extLst>
                              <a:ext uri="{28A0092B-C50C-407E-A947-70E740481C1C}">
                                <a14:useLocalDpi xmlns:a14="http://schemas.microsoft.com/office/drawing/2010/main" val="0"/>
                              </a:ext>
                            </a:extLst>
                          </a:blip>
                          <a:stretch>
                            <a:fillRect/>
                          </a:stretch>
                        </pic:blipFill>
                        <pic:spPr>
                          <a:xfrm>
                            <a:off x="0" y="0"/>
                            <a:ext cx="2103881" cy="1559858"/>
                          </a:xfrm>
                          <a:prstGeom prst="rect">
                            <a:avLst/>
                          </a:prstGeom>
                        </pic:spPr>
                      </pic:pic>
                    </a:graphicData>
                  </a:graphic>
                </wp:inline>
              </w:drawing>
            </w:r>
          </w:p>
        </w:tc>
        <w:tc>
          <w:tcPr>
            <w:tcW w:w="0" w:type="auto"/>
            <w:gridSpan w:val="4"/>
            <w:vAlign w:val="center"/>
          </w:tcPr>
          <w:p>
            <w:pPr>
              <w:jc w:val="center"/>
              <w:rPr>
                <w:rFonts w:ascii="Times New Roman" w:hAnsi="Times New Roman"/>
                <w:sz w:val="21"/>
                <w:szCs w:val="21"/>
              </w:rPr>
            </w:pPr>
            <w:r>
              <w:rPr>
                <w:rFonts w:ascii="Times New Roman" w:hAnsi="Times New Roman"/>
                <w:sz w:val="21"/>
                <w:szCs w:val="21"/>
              </w:rPr>
              <w:drawing>
                <wp:inline distT="0" distB="0" distL="0" distR="0">
                  <wp:extent cx="2028825" cy="1531620"/>
                  <wp:effectExtent l="0" t="0" r="9525" b="0"/>
                  <wp:docPr id="1309270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70463" name="图片 1"/>
                          <pic:cNvPicPr>
                            <a:picLocks noChangeAspect="1"/>
                          </pic:cNvPicPr>
                        </pic:nvPicPr>
                        <pic:blipFill>
                          <a:blip r:embed="rId282">
                            <a:extLst>
                              <a:ext uri="{28A0092B-C50C-407E-A947-70E740481C1C}">
                                <a14:useLocalDpi xmlns:a14="http://schemas.microsoft.com/office/drawing/2010/main" val="0"/>
                              </a:ext>
                            </a:extLst>
                          </a:blip>
                          <a:stretch>
                            <a:fillRect/>
                          </a:stretch>
                        </pic:blipFill>
                        <pic:spPr>
                          <a:xfrm>
                            <a:off x="0" y="0"/>
                            <a:ext cx="2053438" cy="154976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pPr>
              <w:rPr>
                <w:rFonts w:ascii="Times New Roman" w:hAnsi="Times New Roman"/>
                <w:sz w:val="21"/>
                <w:szCs w:val="21"/>
              </w:rPr>
            </w:pPr>
            <w:r>
              <w:rPr>
                <w:rFonts w:ascii="Times New Roman" w:hAnsi="Times New Roman" w:eastAsiaTheme="minorEastAsia" w:cstheme="minorBidi"/>
                <w:kern w:val="2"/>
                <w:position w:val="-38"/>
                <w:sz w:val="21"/>
                <w:szCs w:val="21"/>
              </w:rPr>
              <w:object>
                <v:shape id="_x0000_i1173" o:spt="75" type="#_x0000_t75" style="height:41.4pt;width:15pt;" o:ole="t" filled="f" o:preferrelative="t" stroked="f" coordsize="21600,21600">
                  <v:path/>
                  <v:fill on="f" focussize="0,0"/>
                  <v:stroke on="f" joinstyle="miter"/>
                  <v:imagedata r:id="rId247" o:title=""/>
                  <o:lock v:ext="edit" aspectratio="t"/>
                  <w10:wrap type="none"/>
                  <w10:anchorlock/>
                </v:shape>
                <o:OLEObject Type="Embed" ProgID="Equation.DSMT4" ShapeID="_x0000_i1173" DrawAspect="Content" ObjectID="_1468075873" r:id="rId283">
                  <o:LockedField>false</o:LockedField>
                </o:OLEObject>
              </w:object>
            </w:r>
            <w:r>
              <w:rPr>
                <w:rFonts w:ascii="Times New Roman" w:hAnsi="Times New Roman"/>
                <w:sz w:val="21"/>
                <w:szCs w:val="21"/>
              </w:rPr>
              <w:t xml:space="preserve"> </w:t>
            </w:r>
          </w:p>
        </w:tc>
        <w:tc>
          <w:tcPr>
            <w:tcW w:w="576" w:type="dxa"/>
            <w:vAlign w:val="center"/>
          </w:tcPr>
          <w:p>
            <w:pPr>
              <w:rPr>
                <w:rFonts w:ascii="Times New Roman" w:hAnsi="Times New Roman"/>
                <w:sz w:val="21"/>
                <w:szCs w:val="21"/>
              </w:rPr>
            </w:pPr>
          </w:p>
        </w:tc>
        <w:tc>
          <w:tcPr>
            <w:tcW w:w="1022" w:type="dxa"/>
            <w:vAlign w:val="center"/>
          </w:tcPr>
          <w:p>
            <w:pPr>
              <w:jc w:val="center"/>
              <w:rPr>
                <w:rFonts w:ascii="Times New Roman" w:hAnsi="Times New Roman"/>
                <w:sz w:val="21"/>
                <w:szCs w:val="21"/>
              </w:rPr>
            </w:pPr>
            <w:r>
              <w:rPr>
                <w:rFonts w:ascii="Times New Roman" w:hAnsi="Times New Roman" w:eastAsiaTheme="minorEastAsia" w:cstheme="minorBidi"/>
                <w:kern w:val="2"/>
                <w:position w:val="-12"/>
                <w:sz w:val="21"/>
                <w:szCs w:val="21"/>
              </w:rPr>
              <w:object>
                <v:shape id="_x0000_i1174" o:spt="75" type="#_x0000_t75" style="height:21pt;width:22.8pt;" o:ole="t" filled="f" o:preferrelative="t" stroked="f" coordsize="21600,21600">
                  <v:path/>
                  <v:fill on="f" focussize="0,0"/>
                  <v:stroke on="f" joinstyle="miter"/>
                  <v:imagedata r:id="rId253" o:title=""/>
                  <o:lock v:ext="edit" aspectratio="t"/>
                  <w10:wrap type="none"/>
                  <w10:anchorlock/>
                </v:shape>
                <o:OLEObject Type="Embed" ProgID="Equation.DSMT4" ShapeID="_x0000_i1174" DrawAspect="Content" ObjectID="_1468075874" r:id="rId284">
                  <o:LockedField>false</o:LockedField>
                </o:OLEObject>
              </w:object>
            </w:r>
          </w:p>
        </w:tc>
        <w:tc>
          <w:tcPr>
            <w:tcW w:w="1000" w:type="dxa"/>
          </w:tcPr>
          <w:p>
            <w:pPr>
              <w:jc w:val="center"/>
              <w:rPr>
                <w:rFonts w:ascii="Times New Roman" w:hAnsi="Times New Roman"/>
                <w:sz w:val="21"/>
                <w:szCs w:val="21"/>
              </w:rPr>
            </w:pPr>
            <w:r>
              <w:rPr>
                <w:rFonts w:ascii="Times New Roman" w:hAnsi="Times New Roman" w:eastAsiaTheme="minorEastAsia" w:cstheme="minorBidi"/>
                <w:kern w:val="2"/>
                <w:position w:val="-16"/>
                <w:sz w:val="21"/>
                <w:szCs w:val="21"/>
              </w:rPr>
              <w:object>
                <v:shape id="_x0000_i1175" o:spt="75" type="#_x0000_t75" style="height:22.2pt;width:22.8pt;" o:ole="t" filled="f" o:preferrelative="t" stroked="f" coordsize="21600,21600">
                  <v:path/>
                  <v:fill on="f" focussize="0,0"/>
                  <v:stroke on="f" joinstyle="miter"/>
                  <v:imagedata r:id="rId286" o:title=""/>
                  <o:lock v:ext="edit" aspectratio="t"/>
                  <w10:wrap type="none"/>
                  <w10:anchorlock/>
                </v:shape>
                <o:OLEObject Type="Embed" ProgID="Equation.DSMT4" ShapeID="_x0000_i1175" DrawAspect="Content" ObjectID="_1468075875" r:id="rId285">
                  <o:LockedField>false</o:LockedField>
                </o:OLEObject>
              </w:object>
            </w:r>
          </w:p>
        </w:tc>
        <w:tc>
          <w:tcPr>
            <w:tcW w:w="791" w:type="dxa"/>
            <w:vAlign w:val="center"/>
          </w:tcPr>
          <w:p>
            <w:pPr>
              <w:jc w:val="center"/>
              <w:rPr>
                <w:rFonts w:ascii="Times New Roman" w:hAnsi="Times New Roman"/>
                <w:sz w:val="21"/>
                <w:szCs w:val="21"/>
              </w:rPr>
            </w:pPr>
            <w:r>
              <w:rPr>
                <w:rFonts w:ascii="Times New Roman" w:hAnsi="Times New Roman" w:eastAsiaTheme="minorEastAsia" w:cstheme="minorBidi"/>
                <w:kern w:val="2"/>
                <w:position w:val="-12"/>
                <w:sz w:val="21"/>
                <w:szCs w:val="21"/>
              </w:rPr>
              <w:object>
                <v:shape id="_x0000_i1176" o:spt="75" type="#_x0000_t75" style="height:19.2pt;width:21pt;" o:ole="t" filled="f" o:preferrelative="t" stroked="f" coordsize="21600,21600">
                  <v:path/>
                  <v:fill on="f" focussize="0,0"/>
                  <v:stroke on="f" joinstyle="miter"/>
                  <v:imagedata r:id="rId249" o:title=""/>
                  <o:lock v:ext="edit" aspectratio="t"/>
                  <w10:wrap type="none"/>
                  <w10:anchorlock/>
                </v:shape>
                <o:OLEObject Type="Embed" ProgID="Equation.DSMT4" ShapeID="_x0000_i1176" DrawAspect="Content" ObjectID="_1468075876" r:id="rId287">
                  <o:LockedField>false</o:LockedField>
                </o:OLEObject>
              </w:object>
            </w:r>
          </w:p>
        </w:tc>
        <w:tc>
          <w:tcPr>
            <w:tcW w:w="965" w:type="dxa"/>
            <w:vAlign w:val="center"/>
          </w:tcPr>
          <w:p>
            <w:pPr>
              <w:jc w:val="center"/>
              <w:rPr>
                <w:rFonts w:ascii="Times New Roman" w:hAnsi="Times New Roman"/>
                <w:sz w:val="21"/>
                <w:szCs w:val="21"/>
              </w:rPr>
            </w:pPr>
            <w:r>
              <w:rPr>
                <w:rFonts w:ascii="Times New Roman" w:hAnsi="Times New Roman" w:eastAsiaTheme="minorEastAsia" w:cstheme="minorBidi"/>
                <w:kern w:val="2"/>
                <w:position w:val="-16"/>
                <w:sz w:val="21"/>
                <w:szCs w:val="21"/>
              </w:rPr>
              <w:object>
                <v:shape id="_x0000_i1177" o:spt="75" type="#_x0000_t75" style="height:21pt;width:22.8pt;" o:ole="t" filled="f" o:preferrelative="t" stroked="f" coordsize="21600,21600">
                  <v:path/>
                  <v:fill on="f" focussize="0,0"/>
                  <v:stroke on="f" joinstyle="miter"/>
                  <v:imagedata r:id="rId251" o:title=""/>
                  <o:lock v:ext="edit" aspectratio="t"/>
                  <w10:wrap type="none"/>
                  <w10:anchorlock/>
                </v:shape>
                <o:OLEObject Type="Embed" ProgID="Equation.DSMT4" ShapeID="_x0000_i1177" DrawAspect="Content" ObjectID="_1468075877" r:id="rId288">
                  <o:LockedField>false</o:LockedField>
                </o:OLEObject>
              </w:object>
            </w:r>
          </w:p>
        </w:tc>
        <w:tc>
          <w:tcPr>
            <w:tcW w:w="0" w:type="auto"/>
            <w:vAlign w:val="center"/>
          </w:tcPr>
          <w:p>
            <w:pPr>
              <w:jc w:val="center"/>
              <w:rPr>
                <w:rFonts w:ascii="Times New Roman" w:hAnsi="Times New Roman"/>
                <w:sz w:val="21"/>
                <w:szCs w:val="21"/>
              </w:rPr>
            </w:pPr>
            <w:r>
              <w:rPr>
                <w:rFonts w:ascii="Times New Roman" w:hAnsi="Times New Roman" w:eastAsiaTheme="minorEastAsia" w:cstheme="minorBidi"/>
                <w:kern w:val="2"/>
                <w:position w:val="-12"/>
                <w:sz w:val="21"/>
                <w:szCs w:val="21"/>
              </w:rPr>
              <w:object>
                <v:shape id="_x0000_i1178" o:spt="75" type="#_x0000_t75" style="height:21pt;width:22.8pt;" o:ole="t" filled="f" o:preferrelative="t" stroked="f" coordsize="21600,21600">
                  <v:path/>
                  <v:fill on="f" focussize="0,0"/>
                  <v:stroke on="f" joinstyle="miter"/>
                  <v:imagedata r:id="rId253" o:title=""/>
                  <o:lock v:ext="edit" aspectratio="t"/>
                  <w10:wrap type="none"/>
                  <w10:anchorlock/>
                </v:shape>
                <o:OLEObject Type="Embed" ProgID="Equation.DSMT4" ShapeID="_x0000_i1178" DrawAspect="Content" ObjectID="_1468075878" r:id="rId289">
                  <o:LockedField>false</o:LockedField>
                </o:OLEObject>
              </w:object>
            </w:r>
            <w:r>
              <w:rPr>
                <w:rFonts w:ascii="Times New Roman" w:hAnsi="Times New Roman"/>
                <w:sz w:val="21"/>
                <w:szCs w:val="21"/>
              </w:rPr>
              <w:t xml:space="preserve"> </w:t>
            </w:r>
          </w:p>
        </w:tc>
        <w:tc>
          <w:tcPr>
            <w:tcW w:w="0" w:type="auto"/>
            <w:vAlign w:val="center"/>
          </w:tcPr>
          <w:p>
            <w:pPr>
              <w:jc w:val="center"/>
              <w:rPr>
                <w:rFonts w:ascii="Times New Roman" w:hAnsi="Times New Roman"/>
                <w:sz w:val="21"/>
                <w:szCs w:val="21"/>
              </w:rPr>
            </w:pPr>
            <w:r>
              <w:rPr>
                <w:rFonts w:ascii="Times New Roman" w:hAnsi="Times New Roman" w:eastAsiaTheme="minorEastAsia" w:cstheme="minorBidi"/>
                <w:kern w:val="2"/>
                <w:position w:val="-16"/>
                <w:sz w:val="21"/>
                <w:szCs w:val="21"/>
              </w:rPr>
              <w:object>
                <v:shape id="_x0000_i1179" o:spt="75" type="#_x0000_t75" style="height:22.2pt;width:22.8pt;" o:ole="t" filled="f" o:preferrelative="t" stroked="f" coordsize="21600,21600">
                  <v:path/>
                  <v:fill on="f" focussize="0,0"/>
                  <v:stroke on="f" joinstyle="miter"/>
                  <v:imagedata r:id="rId271" o:title=""/>
                  <o:lock v:ext="edit" aspectratio="t"/>
                  <w10:wrap type="none"/>
                  <w10:anchorlock/>
                </v:shape>
                <o:OLEObject Type="Embed" ProgID="Equation.DSMT4" ShapeID="_x0000_i1179" DrawAspect="Content" ObjectID="_1468075879" r:id="rId290">
                  <o:LockedField>false</o:LockedField>
                </o:OLEObject>
              </w:object>
            </w:r>
          </w:p>
        </w:tc>
        <w:tc>
          <w:tcPr>
            <w:tcW w:w="0" w:type="auto"/>
            <w:vAlign w:val="center"/>
          </w:tcPr>
          <w:p>
            <w:pPr>
              <w:jc w:val="center"/>
              <w:rPr>
                <w:rFonts w:ascii="Times New Roman" w:hAnsi="Times New Roman"/>
                <w:sz w:val="21"/>
                <w:szCs w:val="21"/>
              </w:rPr>
            </w:pPr>
            <w:r>
              <w:rPr>
                <w:rFonts w:ascii="Times New Roman" w:hAnsi="Times New Roman" w:eastAsiaTheme="minorEastAsia" w:cstheme="minorBidi"/>
                <w:kern w:val="2"/>
                <w:position w:val="-12"/>
                <w:sz w:val="21"/>
                <w:szCs w:val="21"/>
              </w:rPr>
              <w:object>
                <v:shape id="_x0000_i1180" o:spt="75" type="#_x0000_t75" style="height:19.2pt;width:21pt;" o:ole="t" filled="f" o:preferrelative="t" stroked="f" coordsize="21600,21600">
                  <v:path/>
                  <v:fill on="f" focussize="0,0"/>
                  <v:stroke on="f" joinstyle="miter"/>
                  <v:imagedata r:id="rId249" o:title=""/>
                  <o:lock v:ext="edit" aspectratio="t"/>
                  <w10:wrap type="none"/>
                  <w10:anchorlock/>
                </v:shape>
                <o:OLEObject Type="Embed" ProgID="Equation.DSMT4" ShapeID="_x0000_i1180" DrawAspect="Content" ObjectID="_1468075880" r:id="rId291">
                  <o:LockedField>false</o:LockedField>
                </o:OLEObject>
              </w:object>
            </w:r>
          </w:p>
        </w:tc>
        <w:tc>
          <w:tcPr>
            <w:tcW w:w="0" w:type="auto"/>
            <w:vAlign w:val="center"/>
          </w:tcPr>
          <w:p>
            <w:pPr>
              <w:jc w:val="center"/>
              <w:rPr>
                <w:rFonts w:ascii="Times New Roman" w:hAnsi="Times New Roman"/>
                <w:sz w:val="21"/>
                <w:szCs w:val="21"/>
              </w:rPr>
            </w:pPr>
            <w:r>
              <w:rPr>
                <w:rFonts w:ascii="Times New Roman" w:hAnsi="Times New Roman" w:eastAsiaTheme="minorEastAsia" w:cstheme="minorBidi"/>
                <w:kern w:val="2"/>
                <w:position w:val="-16"/>
                <w:sz w:val="21"/>
                <w:szCs w:val="21"/>
              </w:rPr>
              <w:object>
                <v:shape id="_x0000_i1181" o:spt="75" type="#_x0000_t75" style="height:21pt;width:22.8pt;" o:ole="t" filled="f" o:preferrelative="t" stroked="f" coordsize="21600,21600">
                  <v:path/>
                  <v:fill on="f" focussize="0,0"/>
                  <v:stroke on="f" joinstyle="miter"/>
                  <v:imagedata r:id="rId251" o:title=""/>
                  <o:lock v:ext="edit" aspectratio="t"/>
                  <w10:wrap type="none"/>
                  <w10:anchorlock/>
                </v:shape>
                <o:OLEObject Type="Embed" ProgID="Equation.DSMT4" ShapeID="_x0000_i1181" DrawAspect="Content" ObjectID="_1468075881" r:id="rId292">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0.50</w:t>
            </w:r>
          </w:p>
        </w:tc>
        <w:tc>
          <w:tcPr>
            <w:tcW w:w="1022" w:type="dxa"/>
            <w:vAlign w:val="center"/>
          </w:tcPr>
          <w:p>
            <w:pPr>
              <w:jc w:val="center"/>
              <w:rPr>
                <w:rFonts w:ascii="Times New Roman" w:hAnsi="Times New Roman"/>
                <w:sz w:val="21"/>
                <w:szCs w:val="21"/>
              </w:rPr>
            </w:pPr>
            <w:r>
              <w:rPr>
                <w:rFonts w:ascii="Times New Roman" w:hAnsi="Times New Roman"/>
                <w:sz w:val="21"/>
                <w:szCs w:val="21"/>
              </w:rPr>
              <w:t>-0.0836</w:t>
            </w:r>
          </w:p>
        </w:tc>
        <w:tc>
          <w:tcPr>
            <w:tcW w:w="1000" w:type="dxa"/>
          </w:tcPr>
          <w:p>
            <w:pPr>
              <w:jc w:val="center"/>
              <w:rPr>
                <w:rFonts w:ascii="Times New Roman" w:hAnsi="Times New Roman"/>
                <w:sz w:val="21"/>
                <w:szCs w:val="21"/>
              </w:rPr>
            </w:pPr>
            <w:r>
              <w:rPr>
                <w:rFonts w:ascii="Times New Roman" w:hAnsi="Times New Roman"/>
                <w:sz w:val="21"/>
                <w:szCs w:val="21"/>
              </w:rPr>
              <w:t>-0.0563</w:t>
            </w:r>
          </w:p>
        </w:tc>
        <w:tc>
          <w:tcPr>
            <w:tcW w:w="791" w:type="dxa"/>
            <w:vAlign w:val="center"/>
          </w:tcPr>
          <w:p>
            <w:pPr>
              <w:jc w:val="center"/>
              <w:rPr>
                <w:rFonts w:ascii="Times New Roman" w:hAnsi="Times New Roman"/>
                <w:sz w:val="21"/>
                <w:szCs w:val="21"/>
              </w:rPr>
            </w:pPr>
            <w:r>
              <w:rPr>
                <w:rFonts w:ascii="Times New Roman" w:hAnsi="Times New Roman"/>
                <w:sz w:val="21"/>
                <w:szCs w:val="21"/>
              </w:rPr>
              <w:t>0.0409</w:t>
            </w:r>
          </w:p>
        </w:tc>
        <w:tc>
          <w:tcPr>
            <w:tcW w:w="965" w:type="dxa"/>
            <w:vAlign w:val="center"/>
          </w:tcPr>
          <w:p>
            <w:pPr>
              <w:jc w:val="center"/>
              <w:rPr>
                <w:rFonts w:ascii="Times New Roman" w:hAnsi="Times New Roman"/>
                <w:sz w:val="21"/>
                <w:szCs w:val="21"/>
              </w:rPr>
            </w:pPr>
            <w:r>
              <w:rPr>
                <w:rFonts w:ascii="Times New Roman" w:hAnsi="Times New Roman"/>
                <w:sz w:val="21"/>
                <w:szCs w:val="21"/>
              </w:rPr>
              <w:t>0.0028</w:t>
            </w:r>
          </w:p>
        </w:tc>
        <w:tc>
          <w:tcPr>
            <w:tcW w:w="0" w:type="auto"/>
            <w:vAlign w:val="center"/>
          </w:tcPr>
          <w:p>
            <w:pPr>
              <w:jc w:val="center"/>
              <w:rPr>
                <w:rFonts w:ascii="Times New Roman" w:hAnsi="Times New Roman"/>
                <w:sz w:val="21"/>
                <w:szCs w:val="21"/>
              </w:rPr>
            </w:pPr>
            <w:r>
              <w:rPr>
                <w:rFonts w:ascii="Times New Roman" w:hAnsi="Times New Roman"/>
                <w:sz w:val="21"/>
                <w:szCs w:val="21"/>
              </w:rPr>
              <w:t>-0.0826</w:t>
            </w:r>
          </w:p>
        </w:tc>
        <w:tc>
          <w:tcPr>
            <w:tcW w:w="0" w:type="auto"/>
            <w:vAlign w:val="center"/>
          </w:tcPr>
          <w:p>
            <w:pPr>
              <w:jc w:val="center"/>
              <w:rPr>
                <w:rFonts w:ascii="Times New Roman" w:hAnsi="Times New Roman"/>
                <w:sz w:val="21"/>
                <w:szCs w:val="21"/>
              </w:rPr>
            </w:pPr>
            <w:r>
              <w:rPr>
                <w:rFonts w:ascii="Times New Roman" w:hAnsi="Times New Roman"/>
                <w:sz w:val="21"/>
                <w:szCs w:val="21"/>
              </w:rPr>
              <w:t>-0.0560</w:t>
            </w:r>
          </w:p>
        </w:tc>
        <w:tc>
          <w:tcPr>
            <w:tcW w:w="0" w:type="auto"/>
            <w:vAlign w:val="center"/>
          </w:tcPr>
          <w:p>
            <w:pPr>
              <w:jc w:val="center"/>
              <w:rPr>
                <w:rFonts w:ascii="Times New Roman" w:hAnsi="Times New Roman"/>
                <w:sz w:val="21"/>
                <w:szCs w:val="21"/>
              </w:rPr>
            </w:pPr>
            <w:r>
              <w:rPr>
                <w:rFonts w:ascii="Times New Roman" w:hAnsi="Times New Roman"/>
                <w:sz w:val="21"/>
                <w:szCs w:val="21"/>
              </w:rPr>
              <w:t>0.0401</w:t>
            </w:r>
          </w:p>
        </w:tc>
        <w:tc>
          <w:tcPr>
            <w:tcW w:w="0" w:type="auto"/>
            <w:vAlign w:val="center"/>
          </w:tcPr>
          <w:p>
            <w:pPr>
              <w:jc w:val="center"/>
              <w:rPr>
                <w:rFonts w:ascii="Times New Roman" w:hAnsi="Times New Roman"/>
                <w:sz w:val="21"/>
                <w:szCs w:val="21"/>
              </w:rPr>
            </w:pPr>
            <w:r>
              <w:rPr>
                <w:rFonts w:ascii="Times New Roman" w:hAnsi="Times New Roman"/>
                <w:sz w:val="21"/>
                <w:szCs w:val="21"/>
              </w:rPr>
              <w:t>0.0038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0.55</w:t>
            </w:r>
          </w:p>
        </w:tc>
        <w:tc>
          <w:tcPr>
            <w:tcW w:w="1022" w:type="dxa"/>
            <w:vAlign w:val="center"/>
          </w:tcPr>
          <w:p>
            <w:pPr>
              <w:jc w:val="center"/>
              <w:rPr>
                <w:rFonts w:ascii="Times New Roman" w:hAnsi="Times New Roman"/>
                <w:sz w:val="21"/>
                <w:szCs w:val="21"/>
              </w:rPr>
            </w:pPr>
            <w:r>
              <w:rPr>
                <w:rFonts w:ascii="Times New Roman" w:hAnsi="Times New Roman"/>
                <w:sz w:val="21"/>
                <w:szCs w:val="21"/>
              </w:rPr>
              <w:t>-0.0826</w:t>
            </w:r>
          </w:p>
        </w:tc>
        <w:tc>
          <w:tcPr>
            <w:tcW w:w="1000" w:type="dxa"/>
          </w:tcPr>
          <w:p>
            <w:pPr>
              <w:jc w:val="center"/>
              <w:rPr>
                <w:rFonts w:ascii="Times New Roman" w:hAnsi="Times New Roman"/>
                <w:sz w:val="21"/>
                <w:szCs w:val="21"/>
              </w:rPr>
            </w:pPr>
            <w:r>
              <w:rPr>
                <w:rFonts w:ascii="Times New Roman" w:hAnsi="Times New Roman"/>
                <w:sz w:val="21"/>
                <w:szCs w:val="21"/>
              </w:rPr>
              <w:t>-0.0564</w:t>
            </w:r>
          </w:p>
        </w:tc>
        <w:tc>
          <w:tcPr>
            <w:tcW w:w="791" w:type="dxa"/>
            <w:vAlign w:val="center"/>
          </w:tcPr>
          <w:p>
            <w:pPr>
              <w:jc w:val="center"/>
              <w:rPr>
                <w:rFonts w:ascii="Times New Roman" w:hAnsi="Times New Roman"/>
                <w:sz w:val="21"/>
                <w:szCs w:val="21"/>
              </w:rPr>
            </w:pPr>
            <w:r>
              <w:rPr>
                <w:rFonts w:ascii="Times New Roman" w:hAnsi="Times New Roman"/>
                <w:sz w:val="21"/>
                <w:szCs w:val="21"/>
              </w:rPr>
              <w:t>0.0398</w:t>
            </w:r>
          </w:p>
        </w:tc>
        <w:tc>
          <w:tcPr>
            <w:tcW w:w="965" w:type="dxa"/>
            <w:vAlign w:val="center"/>
          </w:tcPr>
          <w:p>
            <w:pPr>
              <w:jc w:val="center"/>
              <w:rPr>
                <w:rFonts w:ascii="Times New Roman" w:hAnsi="Times New Roman"/>
                <w:sz w:val="21"/>
                <w:szCs w:val="21"/>
              </w:rPr>
            </w:pPr>
            <w:r>
              <w:rPr>
                <w:rFonts w:ascii="Times New Roman" w:hAnsi="Times New Roman"/>
                <w:sz w:val="21"/>
                <w:szCs w:val="21"/>
              </w:rPr>
              <w:t>0.0041</w:t>
            </w:r>
          </w:p>
        </w:tc>
        <w:tc>
          <w:tcPr>
            <w:tcW w:w="0" w:type="auto"/>
            <w:vAlign w:val="center"/>
          </w:tcPr>
          <w:p>
            <w:pPr>
              <w:jc w:val="center"/>
              <w:rPr>
                <w:rFonts w:ascii="Times New Roman" w:hAnsi="Times New Roman"/>
                <w:sz w:val="21"/>
                <w:szCs w:val="21"/>
              </w:rPr>
            </w:pPr>
            <w:r>
              <w:rPr>
                <w:rFonts w:ascii="Times New Roman" w:hAnsi="Times New Roman"/>
                <w:sz w:val="21"/>
                <w:szCs w:val="21"/>
              </w:rPr>
              <w:t>-0.0806</w:t>
            </w:r>
          </w:p>
        </w:tc>
        <w:tc>
          <w:tcPr>
            <w:tcW w:w="0" w:type="auto"/>
            <w:vAlign w:val="center"/>
          </w:tcPr>
          <w:p>
            <w:pPr>
              <w:jc w:val="center"/>
              <w:rPr>
                <w:rFonts w:ascii="Times New Roman" w:hAnsi="Times New Roman"/>
                <w:sz w:val="21"/>
                <w:szCs w:val="21"/>
              </w:rPr>
            </w:pPr>
            <w:r>
              <w:rPr>
                <w:rFonts w:ascii="Times New Roman" w:hAnsi="Times New Roman"/>
                <w:sz w:val="21"/>
                <w:szCs w:val="21"/>
              </w:rPr>
              <w:t>-0.0561</w:t>
            </w:r>
          </w:p>
        </w:tc>
        <w:tc>
          <w:tcPr>
            <w:tcW w:w="0" w:type="auto"/>
            <w:vAlign w:val="center"/>
          </w:tcPr>
          <w:p>
            <w:pPr>
              <w:jc w:val="center"/>
              <w:rPr>
                <w:rFonts w:ascii="Times New Roman" w:hAnsi="Times New Roman"/>
                <w:sz w:val="21"/>
                <w:szCs w:val="21"/>
              </w:rPr>
            </w:pPr>
            <w:r>
              <w:rPr>
                <w:rFonts w:ascii="Times New Roman" w:hAnsi="Times New Roman"/>
                <w:sz w:val="21"/>
                <w:szCs w:val="21"/>
              </w:rPr>
              <w:t>0.0385</w:t>
            </w:r>
          </w:p>
        </w:tc>
        <w:tc>
          <w:tcPr>
            <w:tcW w:w="0" w:type="auto"/>
            <w:vAlign w:val="center"/>
          </w:tcPr>
          <w:p>
            <w:pPr>
              <w:jc w:val="center"/>
              <w:rPr>
                <w:rFonts w:ascii="Times New Roman" w:hAnsi="Times New Roman"/>
                <w:sz w:val="21"/>
                <w:szCs w:val="21"/>
              </w:rPr>
            </w:pPr>
            <w:r>
              <w:rPr>
                <w:rFonts w:ascii="Times New Roman" w:hAnsi="Times New Roman"/>
                <w:sz w:val="21"/>
                <w:szCs w:val="21"/>
              </w:rPr>
              <w:t>0.0055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0.60</w:t>
            </w:r>
          </w:p>
        </w:tc>
        <w:tc>
          <w:tcPr>
            <w:tcW w:w="1022" w:type="dxa"/>
            <w:vAlign w:val="center"/>
          </w:tcPr>
          <w:p>
            <w:pPr>
              <w:jc w:val="center"/>
              <w:rPr>
                <w:rFonts w:ascii="Times New Roman" w:hAnsi="Times New Roman"/>
                <w:sz w:val="21"/>
                <w:szCs w:val="21"/>
              </w:rPr>
            </w:pPr>
            <w:r>
              <w:rPr>
                <w:rFonts w:ascii="Times New Roman" w:hAnsi="Times New Roman"/>
                <w:sz w:val="21"/>
                <w:szCs w:val="21"/>
              </w:rPr>
              <w:t>-0.0813</w:t>
            </w:r>
          </w:p>
        </w:tc>
        <w:tc>
          <w:tcPr>
            <w:tcW w:w="1000" w:type="dxa"/>
          </w:tcPr>
          <w:p>
            <w:pPr>
              <w:jc w:val="center"/>
              <w:rPr>
                <w:rFonts w:ascii="Times New Roman" w:hAnsi="Times New Roman"/>
                <w:sz w:val="21"/>
                <w:szCs w:val="21"/>
              </w:rPr>
            </w:pPr>
            <w:r>
              <w:rPr>
                <w:rFonts w:ascii="Times New Roman" w:hAnsi="Times New Roman"/>
                <w:sz w:val="21"/>
                <w:szCs w:val="21"/>
              </w:rPr>
              <w:t>-0.0566</w:t>
            </w:r>
          </w:p>
        </w:tc>
        <w:tc>
          <w:tcPr>
            <w:tcW w:w="791" w:type="dxa"/>
            <w:vAlign w:val="center"/>
          </w:tcPr>
          <w:p>
            <w:pPr>
              <w:jc w:val="center"/>
              <w:rPr>
                <w:rFonts w:ascii="Times New Roman" w:hAnsi="Times New Roman"/>
                <w:sz w:val="21"/>
                <w:szCs w:val="21"/>
              </w:rPr>
            </w:pPr>
            <w:r>
              <w:rPr>
                <w:rFonts w:ascii="Times New Roman" w:hAnsi="Times New Roman"/>
                <w:sz w:val="21"/>
                <w:szCs w:val="21"/>
              </w:rPr>
              <w:t>0.0385</w:t>
            </w:r>
          </w:p>
        </w:tc>
        <w:tc>
          <w:tcPr>
            <w:tcW w:w="965" w:type="dxa"/>
            <w:vAlign w:val="center"/>
          </w:tcPr>
          <w:p>
            <w:pPr>
              <w:jc w:val="center"/>
              <w:rPr>
                <w:rFonts w:ascii="Times New Roman" w:hAnsi="Times New Roman"/>
                <w:sz w:val="21"/>
                <w:szCs w:val="21"/>
              </w:rPr>
            </w:pPr>
            <w:r>
              <w:rPr>
                <w:rFonts w:ascii="Times New Roman" w:hAnsi="Times New Roman"/>
                <w:sz w:val="21"/>
                <w:szCs w:val="21"/>
              </w:rPr>
              <w:t>0.0059</w:t>
            </w:r>
          </w:p>
        </w:tc>
        <w:tc>
          <w:tcPr>
            <w:tcW w:w="0" w:type="auto"/>
            <w:vAlign w:val="center"/>
          </w:tcPr>
          <w:p>
            <w:pPr>
              <w:jc w:val="center"/>
              <w:rPr>
                <w:rFonts w:ascii="Times New Roman" w:hAnsi="Times New Roman"/>
                <w:sz w:val="21"/>
                <w:szCs w:val="21"/>
              </w:rPr>
            </w:pPr>
            <w:r>
              <w:rPr>
                <w:rFonts w:ascii="Times New Roman" w:hAnsi="Times New Roman"/>
                <w:sz w:val="21"/>
                <w:szCs w:val="21"/>
              </w:rPr>
              <w:t>-0.0784</w:t>
            </w:r>
          </w:p>
        </w:tc>
        <w:tc>
          <w:tcPr>
            <w:tcW w:w="0" w:type="auto"/>
            <w:vAlign w:val="center"/>
          </w:tcPr>
          <w:p>
            <w:pPr>
              <w:jc w:val="center"/>
              <w:rPr>
                <w:rFonts w:ascii="Times New Roman" w:hAnsi="Times New Roman"/>
                <w:sz w:val="21"/>
                <w:szCs w:val="21"/>
              </w:rPr>
            </w:pPr>
            <w:r>
              <w:rPr>
                <w:rFonts w:ascii="Times New Roman" w:hAnsi="Times New Roman"/>
                <w:sz w:val="21"/>
                <w:szCs w:val="21"/>
              </w:rPr>
              <w:t>-0.0562</w:t>
            </w:r>
          </w:p>
        </w:tc>
        <w:tc>
          <w:tcPr>
            <w:tcW w:w="0" w:type="auto"/>
            <w:vAlign w:val="center"/>
          </w:tcPr>
          <w:p>
            <w:pPr>
              <w:jc w:val="center"/>
              <w:rPr>
                <w:rFonts w:ascii="Times New Roman" w:hAnsi="Times New Roman"/>
                <w:sz w:val="21"/>
                <w:szCs w:val="21"/>
              </w:rPr>
            </w:pPr>
            <w:r>
              <w:rPr>
                <w:rFonts w:ascii="Times New Roman" w:hAnsi="Times New Roman"/>
                <w:sz w:val="21"/>
                <w:szCs w:val="21"/>
              </w:rPr>
              <w:t>0.0367</w:t>
            </w:r>
          </w:p>
        </w:tc>
        <w:tc>
          <w:tcPr>
            <w:tcW w:w="0" w:type="auto"/>
            <w:vAlign w:val="center"/>
          </w:tcPr>
          <w:p>
            <w:pPr>
              <w:jc w:val="center"/>
              <w:rPr>
                <w:rFonts w:ascii="Times New Roman" w:hAnsi="Times New Roman"/>
                <w:sz w:val="21"/>
                <w:szCs w:val="21"/>
              </w:rPr>
            </w:pPr>
            <w:r>
              <w:rPr>
                <w:rFonts w:ascii="Times New Roman" w:hAnsi="Times New Roman"/>
                <w:sz w:val="21"/>
                <w:szCs w:val="21"/>
              </w:rPr>
              <w:t>0.0076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0.65</w:t>
            </w:r>
          </w:p>
        </w:tc>
        <w:tc>
          <w:tcPr>
            <w:tcW w:w="1022" w:type="dxa"/>
            <w:vAlign w:val="center"/>
          </w:tcPr>
          <w:p>
            <w:pPr>
              <w:jc w:val="center"/>
              <w:rPr>
                <w:rFonts w:ascii="Times New Roman" w:hAnsi="Times New Roman"/>
                <w:sz w:val="21"/>
                <w:szCs w:val="21"/>
              </w:rPr>
            </w:pPr>
            <w:r>
              <w:rPr>
                <w:rFonts w:ascii="Times New Roman" w:hAnsi="Times New Roman"/>
                <w:sz w:val="21"/>
                <w:szCs w:val="21"/>
              </w:rPr>
              <w:t>-0.0796</w:t>
            </w:r>
          </w:p>
        </w:tc>
        <w:tc>
          <w:tcPr>
            <w:tcW w:w="1000" w:type="dxa"/>
          </w:tcPr>
          <w:p>
            <w:pPr>
              <w:jc w:val="center"/>
              <w:rPr>
                <w:rFonts w:ascii="Times New Roman" w:hAnsi="Times New Roman"/>
                <w:sz w:val="21"/>
                <w:szCs w:val="21"/>
              </w:rPr>
            </w:pPr>
            <w:r>
              <w:rPr>
                <w:rFonts w:ascii="Times New Roman" w:hAnsi="Times New Roman"/>
                <w:sz w:val="21"/>
                <w:szCs w:val="21"/>
              </w:rPr>
              <w:t>-0.0569</w:t>
            </w:r>
          </w:p>
        </w:tc>
        <w:tc>
          <w:tcPr>
            <w:tcW w:w="791" w:type="dxa"/>
            <w:vAlign w:val="center"/>
          </w:tcPr>
          <w:p>
            <w:pPr>
              <w:jc w:val="center"/>
              <w:rPr>
                <w:rFonts w:ascii="Times New Roman" w:hAnsi="Times New Roman"/>
                <w:sz w:val="21"/>
                <w:szCs w:val="21"/>
              </w:rPr>
            </w:pPr>
            <w:r>
              <w:rPr>
                <w:rFonts w:ascii="Times New Roman" w:hAnsi="Times New Roman"/>
                <w:sz w:val="21"/>
                <w:szCs w:val="21"/>
              </w:rPr>
              <w:t>0.0370</w:t>
            </w:r>
          </w:p>
        </w:tc>
        <w:tc>
          <w:tcPr>
            <w:tcW w:w="965" w:type="dxa"/>
            <w:vAlign w:val="center"/>
          </w:tcPr>
          <w:p>
            <w:pPr>
              <w:jc w:val="center"/>
              <w:rPr>
                <w:rFonts w:ascii="Times New Roman" w:hAnsi="Times New Roman"/>
                <w:sz w:val="21"/>
                <w:szCs w:val="21"/>
              </w:rPr>
            </w:pPr>
            <w:r>
              <w:rPr>
                <w:rFonts w:ascii="Times New Roman" w:hAnsi="Times New Roman"/>
                <w:sz w:val="21"/>
                <w:szCs w:val="21"/>
              </w:rPr>
              <w:t>0.0075</w:t>
            </w:r>
          </w:p>
        </w:tc>
        <w:tc>
          <w:tcPr>
            <w:tcW w:w="0" w:type="auto"/>
            <w:vAlign w:val="center"/>
          </w:tcPr>
          <w:p>
            <w:pPr>
              <w:jc w:val="center"/>
              <w:rPr>
                <w:rFonts w:ascii="Times New Roman" w:hAnsi="Times New Roman"/>
                <w:sz w:val="21"/>
                <w:szCs w:val="21"/>
              </w:rPr>
            </w:pPr>
            <w:r>
              <w:rPr>
                <w:rFonts w:ascii="Times New Roman" w:hAnsi="Times New Roman"/>
                <w:sz w:val="21"/>
                <w:szCs w:val="21"/>
              </w:rPr>
              <w:t>-0.0759</w:t>
            </w:r>
          </w:p>
        </w:tc>
        <w:tc>
          <w:tcPr>
            <w:tcW w:w="0" w:type="auto"/>
            <w:vAlign w:val="center"/>
          </w:tcPr>
          <w:p>
            <w:pPr>
              <w:jc w:val="center"/>
              <w:rPr>
                <w:rFonts w:ascii="Times New Roman" w:hAnsi="Times New Roman"/>
                <w:sz w:val="21"/>
                <w:szCs w:val="21"/>
              </w:rPr>
            </w:pPr>
            <w:r>
              <w:rPr>
                <w:rFonts w:ascii="Times New Roman" w:hAnsi="Times New Roman"/>
                <w:sz w:val="21"/>
                <w:szCs w:val="21"/>
              </w:rPr>
              <w:t>-0.0565</w:t>
            </w:r>
          </w:p>
        </w:tc>
        <w:tc>
          <w:tcPr>
            <w:tcW w:w="0" w:type="auto"/>
            <w:vAlign w:val="center"/>
          </w:tcPr>
          <w:p>
            <w:pPr>
              <w:jc w:val="center"/>
              <w:rPr>
                <w:rFonts w:ascii="Times New Roman" w:hAnsi="Times New Roman"/>
                <w:sz w:val="21"/>
                <w:szCs w:val="21"/>
              </w:rPr>
            </w:pPr>
            <w:r>
              <w:rPr>
                <w:rFonts w:ascii="Times New Roman" w:hAnsi="Times New Roman"/>
                <w:sz w:val="21"/>
                <w:szCs w:val="21"/>
              </w:rPr>
              <w:t>0.0346</w:t>
            </w:r>
          </w:p>
        </w:tc>
        <w:tc>
          <w:tcPr>
            <w:tcW w:w="0" w:type="auto"/>
            <w:vAlign w:val="center"/>
          </w:tcPr>
          <w:p>
            <w:pPr>
              <w:jc w:val="center"/>
              <w:rPr>
                <w:rFonts w:ascii="Times New Roman" w:hAnsi="Times New Roman"/>
                <w:sz w:val="21"/>
                <w:szCs w:val="21"/>
              </w:rPr>
            </w:pPr>
            <w:r>
              <w:rPr>
                <w:rFonts w:ascii="Times New Roman" w:hAnsi="Times New Roman"/>
                <w:sz w:val="21"/>
                <w:szCs w:val="21"/>
              </w:rPr>
              <w:t>0.0096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0.70</w:t>
            </w:r>
          </w:p>
        </w:tc>
        <w:tc>
          <w:tcPr>
            <w:tcW w:w="1022" w:type="dxa"/>
            <w:vAlign w:val="center"/>
          </w:tcPr>
          <w:p>
            <w:pPr>
              <w:jc w:val="center"/>
              <w:rPr>
                <w:rFonts w:ascii="Times New Roman" w:hAnsi="Times New Roman"/>
                <w:sz w:val="21"/>
                <w:szCs w:val="21"/>
              </w:rPr>
            </w:pPr>
            <w:r>
              <w:rPr>
                <w:rFonts w:ascii="Times New Roman" w:hAnsi="Times New Roman"/>
                <w:sz w:val="21"/>
                <w:szCs w:val="21"/>
              </w:rPr>
              <w:t>-0.0774</w:t>
            </w:r>
          </w:p>
        </w:tc>
        <w:tc>
          <w:tcPr>
            <w:tcW w:w="1000" w:type="dxa"/>
          </w:tcPr>
          <w:p>
            <w:pPr>
              <w:jc w:val="center"/>
              <w:rPr>
                <w:rFonts w:ascii="Times New Roman" w:hAnsi="Times New Roman"/>
                <w:sz w:val="21"/>
                <w:szCs w:val="21"/>
              </w:rPr>
            </w:pPr>
            <w:r>
              <w:rPr>
                <w:rFonts w:ascii="Times New Roman" w:hAnsi="Times New Roman"/>
                <w:sz w:val="21"/>
                <w:szCs w:val="21"/>
              </w:rPr>
              <w:t>-0.0572</w:t>
            </w:r>
          </w:p>
        </w:tc>
        <w:tc>
          <w:tcPr>
            <w:tcW w:w="791" w:type="dxa"/>
            <w:vAlign w:val="center"/>
          </w:tcPr>
          <w:p>
            <w:pPr>
              <w:jc w:val="center"/>
              <w:rPr>
                <w:rFonts w:ascii="Times New Roman" w:hAnsi="Times New Roman"/>
                <w:sz w:val="21"/>
                <w:szCs w:val="21"/>
              </w:rPr>
            </w:pPr>
            <w:r>
              <w:rPr>
                <w:rFonts w:ascii="Times New Roman" w:hAnsi="Times New Roman"/>
                <w:sz w:val="21"/>
                <w:szCs w:val="21"/>
              </w:rPr>
              <w:t>0.0352</w:t>
            </w:r>
          </w:p>
        </w:tc>
        <w:tc>
          <w:tcPr>
            <w:tcW w:w="965" w:type="dxa"/>
            <w:vAlign w:val="center"/>
          </w:tcPr>
          <w:p>
            <w:pPr>
              <w:jc w:val="center"/>
              <w:rPr>
                <w:rFonts w:ascii="Times New Roman" w:hAnsi="Times New Roman"/>
                <w:sz w:val="21"/>
                <w:szCs w:val="21"/>
              </w:rPr>
            </w:pPr>
            <w:r>
              <w:rPr>
                <w:rFonts w:ascii="Times New Roman" w:hAnsi="Times New Roman"/>
                <w:sz w:val="21"/>
                <w:szCs w:val="21"/>
              </w:rPr>
              <w:t>0.0091</w:t>
            </w:r>
          </w:p>
        </w:tc>
        <w:tc>
          <w:tcPr>
            <w:tcW w:w="0" w:type="auto"/>
            <w:vAlign w:val="center"/>
          </w:tcPr>
          <w:p>
            <w:pPr>
              <w:jc w:val="center"/>
              <w:rPr>
                <w:rFonts w:ascii="Times New Roman" w:hAnsi="Times New Roman"/>
                <w:sz w:val="21"/>
                <w:szCs w:val="21"/>
              </w:rPr>
            </w:pPr>
            <w:r>
              <w:rPr>
                <w:rFonts w:ascii="Times New Roman" w:hAnsi="Times New Roman"/>
                <w:sz w:val="21"/>
                <w:szCs w:val="21"/>
              </w:rPr>
              <w:t>-0.0731</w:t>
            </w:r>
          </w:p>
        </w:tc>
        <w:tc>
          <w:tcPr>
            <w:tcW w:w="0" w:type="auto"/>
            <w:vAlign w:val="center"/>
          </w:tcPr>
          <w:p>
            <w:pPr>
              <w:jc w:val="center"/>
              <w:rPr>
                <w:rFonts w:ascii="Times New Roman" w:hAnsi="Times New Roman"/>
                <w:sz w:val="21"/>
                <w:szCs w:val="21"/>
              </w:rPr>
            </w:pPr>
            <w:r>
              <w:rPr>
                <w:rFonts w:ascii="Times New Roman" w:hAnsi="Times New Roman"/>
                <w:sz w:val="21"/>
                <w:szCs w:val="21"/>
              </w:rPr>
              <w:t>-0.0568</w:t>
            </w:r>
          </w:p>
        </w:tc>
        <w:tc>
          <w:tcPr>
            <w:tcW w:w="0" w:type="auto"/>
            <w:vAlign w:val="center"/>
          </w:tcPr>
          <w:p>
            <w:pPr>
              <w:jc w:val="center"/>
              <w:rPr>
                <w:rFonts w:ascii="Times New Roman" w:hAnsi="Times New Roman"/>
                <w:sz w:val="21"/>
                <w:szCs w:val="21"/>
              </w:rPr>
            </w:pPr>
            <w:r>
              <w:rPr>
                <w:rFonts w:ascii="Times New Roman" w:hAnsi="Times New Roman"/>
                <w:sz w:val="21"/>
                <w:szCs w:val="21"/>
              </w:rPr>
              <w:t>0.0322</w:t>
            </w:r>
          </w:p>
        </w:tc>
        <w:tc>
          <w:tcPr>
            <w:tcW w:w="0" w:type="auto"/>
            <w:vAlign w:val="center"/>
          </w:tcPr>
          <w:p>
            <w:pPr>
              <w:jc w:val="center"/>
              <w:rPr>
                <w:rFonts w:ascii="Times New Roman" w:hAnsi="Times New Roman"/>
                <w:sz w:val="21"/>
                <w:szCs w:val="21"/>
              </w:rPr>
            </w:pPr>
            <w:r>
              <w:rPr>
                <w:rFonts w:ascii="Times New Roman" w:hAnsi="Times New Roman"/>
                <w:sz w:val="21"/>
                <w:szCs w:val="21"/>
              </w:rPr>
              <w:t>0.0114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0.75</w:t>
            </w:r>
          </w:p>
        </w:tc>
        <w:tc>
          <w:tcPr>
            <w:tcW w:w="1022" w:type="dxa"/>
            <w:vAlign w:val="center"/>
          </w:tcPr>
          <w:p>
            <w:pPr>
              <w:jc w:val="center"/>
              <w:rPr>
                <w:rFonts w:ascii="Times New Roman" w:hAnsi="Times New Roman"/>
                <w:sz w:val="21"/>
                <w:szCs w:val="21"/>
              </w:rPr>
            </w:pPr>
            <w:r>
              <w:rPr>
                <w:rFonts w:ascii="Times New Roman" w:hAnsi="Times New Roman"/>
                <w:sz w:val="21"/>
                <w:szCs w:val="21"/>
              </w:rPr>
              <w:t>-0.0748</w:t>
            </w:r>
          </w:p>
        </w:tc>
        <w:tc>
          <w:tcPr>
            <w:tcW w:w="1000" w:type="dxa"/>
          </w:tcPr>
          <w:p>
            <w:pPr>
              <w:jc w:val="center"/>
              <w:rPr>
                <w:rFonts w:ascii="Times New Roman" w:hAnsi="Times New Roman"/>
                <w:sz w:val="21"/>
                <w:szCs w:val="21"/>
              </w:rPr>
            </w:pPr>
            <w:r>
              <w:rPr>
                <w:rFonts w:ascii="Times New Roman" w:hAnsi="Times New Roman"/>
                <w:sz w:val="21"/>
                <w:szCs w:val="21"/>
              </w:rPr>
              <w:t>-0.0571</w:t>
            </w:r>
          </w:p>
        </w:tc>
        <w:tc>
          <w:tcPr>
            <w:tcW w:w="791" w:type="dxa"/>
            <w:vAlign w:val="center"/>
          </w:tcPr>
          <w:p>
            <w:pPr>
              <w:jc w:val="center"/>
              <w:rPr>
                <w:rFonts w:ascii="Times New Roman" w:hAnsi="Times New Roman"/>
                <w:sz w:val="21"/>
                <w:szCs w:val="21"/>
              </w:rPr>
            </w:pPr>
            <w:r>
              <w:rPr>
                <w:rFonts w:ascii="Times New Roman" w:hAnsi="Times New Roman"/>
                <w:sz w:val="21"/>
                <w:szCs w:val="21"/>
              </w:rPr>
              <w:t>0.0333</w:t>
            </w:r>
          </w:p>
        </w:tc>
        <w:tc>
          <w:tcPr>
            <w:tcW w:w="965" w:type="dxa"/>
            <w:vAlign w:val="center"/>
          </w:tcPr>
          <w:p>
            <w:pPr>
              <w:jc w:val="center"/>
              <w:rPr>
                <w:rFonts w:ascii="Times New Roman" w:hAnsi="Times New Roman"/>
                <w:sz w:val="21"/>
                <w:szCs w:val="21"/>
              </w:rPr>
            </w:pPr>
            <w:r>
              <w:rPr>
                <w:rFonts w:ascii="Times New Roman" w:hAnsi="Times New Roman"/>
                <w:sz w:val="21"/>
                <w:szCs w:val="21"/>
              </w:rPr>
              <w:t>0.0107</w:t>
            </w:r>
          </w:p>
        </w:tc>
        <w:tc>
          <w:tcPr>
            <w:tcW w:w="0" w:type="auto"/>
            <w:vAlign w:val="center"/>
          </w:tcPr>
          <w:p>
            <w:pPr>
              <w:jc w:val="center"/>
              <w:rPr>
                <w:rFonts w:ascii="Times New Roman" w:hAnsi="Times New Roman"/>
                <w:sz w:val="21"/>
                <w:szCs w:val="21"/>
              </w:rPr>
            </w:pPr>
            <w:r>
              <w:rPr>
                <w:rFonts w:ascii="Times New Roman" w:hAnsi="Times New Roman"/>
                <w:sz w:val="21"/>
                <w:szCs w:val="21"/>
              </w:rPr>
              <w:t>-0.0698</w:t>
            </w:r>
          </w:p>
        </w:tc>
        <w:tc>
          <w:tcPr>
            <w:tcW w:w="0" w:type="auto"/>
            <w:vAlign w:val="center"/>
          </w:tcPr>
          <w:p>
            <w:pPr>
              <w:jc w:val="center"/>
              <w:rPr>
                <w:rFonts w:ascii="Times New Roman" w:hAnsi="Times New Roman"/>
                <w:sz w:val="21"/>
                <w:szCs w:val="21"/>
              </w:rPr>
            </w:pPr>
            <w:r>
              <w:rPr>
                <w:rFonts w:ascii="Times New Roman" w:hAnsi="Times New Roman"/>
                <w:sz w:val="21"/>
                <w:szCs w:val="21"/>
              </w:rPr>
              <w:t>-0.0564</w:t>
            </w:r>
          </w:p>
        </w:tc>
        <w:tc>
          <w:tcPr>
            <w:tcW w:w="0" w:type="auto"/>
            <w:vAlign w:val="center"/>
          </w:tcPr>
          <w:p>
            <w:pPr>
              <w:jc w:val="center"/>
              <w:rPr>
                <w:rFonts w:ascii="Times New Roman" w:hAnsi="Times New Roman"/>
                <w:sz w:val="21"/>
                <w:szCs w:val="21"/>
              </w:rPr>
            </w:pPr>
            <w:r>
              <w:rPr>
                <w:rFonts w:ascii="Times New Roman" w:hAnsi="Times New Roman"/>
                <w:sz w:val="21"/>
                <w:szCs w:val="21"/>
              </w:rPr>
              <w:t>0.0297</w:t>
            </w:r>
          </w:p>
        </w:tc>
        <w:tc>
          <w:tcPr>
            <w:tcW w:w="0" w:type="auto"/>
            <w:vAlign w:val="center"/>
          </w:tcPr>
          <w:p>
            <w:pPr>
              <w:jc w:val="center"/>
              <w:rPr>
                <w:rFonts w:ascii="Times New Roman" w:hAnsi="Times New Roman"/>
                <w:sz w:val="21"/>
                <w:szCs w:val="21"/>
              </w:rPr>
            </w:pPr>
            <w:r>
              <w:rPr>
                <w:rFonts w:ascii="Times New Roman" w:hAnsi="Times New Roman"/>
                <w:sz w:val="21"/>
                <w:szCs w:val="21"/>
              </w:rPr>
              <w:t>0.0129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0.80</w:t>
            </w:r>
          </w:p>
        </w:tc>
        <w:tc>
          <w:tcPr>
            <w:tcW w:w="1022" w:type="dxa"/>
            <w:vAlign w:val="center"/>
          </w:tcPr>
          <w:p>
            <w:pPr>
              <w:jc w:val="center"/>
              <w:rPr>
                <w:rFonts w:ascii="Times New Roman" w:hAnsi="Times New Roman"/>
                <w:sz w:val="21"/>
                <w:szCs w:val="21"/>
              </w:rPr>
            </w:pPr>
            <w:r>
              <w:rPr>
                <w:rFonts w:ascii="Times New Roman" w:hAnsi="Times New Roman"/>
                <w:sz w:val="21"/>
                <w:szCs w:val="21"/>
              </w:rPr>
              <w:t>-0.0720</w:t>
            </w:r>
          </w:p>
        </w:tc>
        <w:tc>
          <w:tcPr>
            <w:tcW w:w="1000" w:type="dxa"/>
          </w:tcPr>
          <w:p>
            <w:pPr>
              <w:jc w:val="center"/>
              <w:rPr>
                <w:rFonts w:ascii="Times New Roman" w:hAnsi="Times New Roman"/>
                <w:sz w:val="21"/>
                <w:szCs w:val="21"/>
              </w:rPr>
            </w:pPr>
            <w:r>
              <w:rPr>
                <w:rFonts w:ascii="Times New Roman" w:hAnsi="Times New Roman"/>
                <w:sz w:val="21"/>
                <w:szCs w:val="21"/>
              </w:rPr>
              <w:t>-0.0568</w:t>
            </w:r>
          </w:p>
        </w:tc>
        <w:tc>
          <w:tcPr>
            <w:tcW w:w="791" w:type="dxa"/>
            <w:vAlign w:val="center"/>
          </w:tcPr>
          <w:p>
            <w:pPr>
              <w:jc w:val="center"/>
              <w:rPr>
                <w:rFonts w:ascii="Times New Roman" w:hAnsi="Times New Roman"/>
                <w:sz w:val="21"/>
                <w:szCs w:val="21"/>
              </w:rPr>
            </w:pPr>
            <w:r>
              <w:rPr>
                <w:rFonts w:ascii="Times New Roman" w:hAnsi="Times New Roman"/>
                <w:sz w:val="21"/>
                <w:szCs w:val="21"/>
              </w:rPr>
              <w:t>0.0313</w:t>
            </w:r>
          </w:p>
        </w:tc>
        <w:tc>
          <w:tcPr>
            <w:tcW w:w="965" w:type="dxa"/>
            <w:vAlign w:val="center"/>
          </w:tcPr>
          <w:p>
            <w:pPr>
              <w:jc w:val="center"/>
              <w:rPr>
                <w:rFonts w:ascii="Times New Roman" w:hAnsi="Times New Roman"/>
                <w:sz w:val="21"/>
                <w:szCs w:val="21"/>
              </w:rPr>
            </w:pPr>
            <w:r>
              <w:rPr>
                <w:rFonts w:ascii="Times New Roman" w:hAnsi="Times New Roman"/>
                <w:sz w:val="21"/>
                <w:szCs w:val="21"/>
              </w:rPr>
              <w:t>0.0123</w:t>
            </w:r>
          </w:p>
        </w:tc>
        <w:tc>
          <w:tcPr>
            <w:tcW w:w="0" w:type="auto"/>
            <w:vAlign w:val="center"/>
          </w:tcPr>
          <w:p>
            <w:pPr>
              <w:jc w:val="center"/>
              <w:rPr>
                <w:rFonts w:ascii="Times New Roman" w:hAnsi="Times New Roman"/>
                <w:sz w:val="21"/>
                <w:szCs w:val="21"/>
              </w:rPr>
            </w:pPr>
            <w:r>
              <w:rPr>
                <w:rFonts w:ascii="Times New Roman" w:hAnsi="Times New Roman"/>
                <w:sz w:val="21"/>
                <w:szCs w:val="21"/>
              </w:rPr>
              <w:t>-0.0661</w:t>
            </w:r>
          </w:p>
        </w:tc>
        <w:tc>
          <w:tcPr>
            <w:tcW w:w="0" w:type="auto"/>
            <w:vAlign w:val="center"/>
          </w:tcPr>
          <w:p>
            <w:pPr>
              <w:jc w:val="center"/>
              <w:rPr>
                <w:rFonts w:ascii="Times New Roman" w:hAnsi="Times New Roman"/>
                <w:sz w:val="21"/>
                <w:szCs w:val="21"/>
              </w:rPr>
            </w:pPr>
            <w:r>
              <w:rPr>
                <w:rFonts w:ascii="Times New Roman" w:hAnsi="Times New Roman"/>
                <w:sz w:val="21"/>
                <w:szCs w:val="21"/>
              </w:rPr>
              <w:t>-0.0558</w:t>
            </w:r>
          </w:p>
        </w:tc>
        <w:tc>
          <w:tcPr>
            <w:tcW w:w="0" w:type="auto"/>
            <w:vAlign w:val="center"/>
          </w:tcPr>
          <w:p>
            <w:pPr>
              <w:jc w:val="center"/>
              <w:rPr>
                <w:rFonts w:ascii="Times New Roman" w:hAnsi="Times New Roman"/>
                <w:sz w:val="21"/>
                <w:szCs w:val="21"/>
              </w:rPr>
            </w:pPr>
            <w:r>
              <w:rPr>
                <w:rFonts w:ascii="Times New Roman" w:hAnsi="Times New Roman"/>
                <w:sz w:val="21"/>
                <w:szCs w:val="21"/>
              </w:rPr>
              <w:t>0.0271</w:t>
            </w:r>
          </w:p>
        </w:tc>
        <w:tc>
          <w:tcPr>
            <w:tcW w:w="0" w:type="auto"/>
            <w:vAlign w:val="center"/>
          </w:tcPr>
          <w:p>
            <w:pPr>
              <w:jc w:val="center"/>
              <w:rPr>
                <w:rFonts w:ascii="Times New Roman" w:hAnsi="Times New Roman"/>
                <w:sz w:val="21"/>
                <w:szCs w:val="21"/>
              </w:rPr>
            </w:pPr>
            <w:r>
              <w:rPr>
                <w:rFonts w:ascii="Times New Roman" w:hAnsi="Times New Roman"/>
                <w:sz w:val="21"/>
                <w:szCs w:val="21"/>
              </w:rPr>
              <w:t>0.0143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0.85</w:t>
            </w:r>
          </w:p>
        </w:tc>
        <w:tc>
          <w:tcPr>
            <w:tcW w:w="1022" w:type="dxa"/>
            <w:vAlign w:val="center"/>
          </w:tcPr>
          <w:p>
            <w:pPr>
              <w:jc w:val="center"/>
              <w:rPr>
                <w:rFonts w:ascii="Times New Roman" w:hAnsi="Times New Roman"/>
                <w:sz w:val="21"/>
                <w:szCs w:val="21"/>
              </w:rPr>
            </w:pPr>
            <w:r>
              <w:rPr>
                <w:rFonts w:ascii="Times New Roman" w:hAnsi="Times New Roman"/>
                <w:sz w:val="21"/>
                <w:szCs w:val="21"/>
              </w:rPr>
              <w:t>-0.0691</w:t>
            </w:r>
          </w:p>
        </w:tc>
        <w:tc>
          <w:tcPr>
            <w:tcW w:w="1000" w:type="dxa"/>
          </w:tcPr>
          <w:p>
            <w:pPr>
              <w:jc w:val="center"/>
              <w:rPr>
                <w:rFonts w:ascii="Times New Roman" w:hAnsi="Times New Roman"/>
                <w:sz w:val="21"/>
                <w:szCs w:val="21"/>
              </w:rPr>
            </w:pPr>
            <w:r>
              <w:rPr>
                <w:rFonts w:ascii="Times New Roman" w:hAnsi="Times New Roman"/>
                <w:sz w:val="21"/>
                <w:szCs w:val="21"/>
              </w:rPr>
              <w:t>-0.0564</w:t>
            </w:r>
          </w:p>
        </w:tc>
        <w:tc>
          <w:tcPr>
            <w:tcW w:w="791" w:type="dxa"/>
            <w:vAlign w:val="center"/>
          </w:tcPr>
          <w:p>
            <w:pPr>
              <w:jc w:val="center"/>
              <w:rPr>
                <w:rFonts w:ascii="Times New Roman" w:hAnsi="Times New Roman"/>
                <w:sz w:val="21"/>
                <w:szCs w:val="21"/>
              </w:rPr>
            </w:pPr>
            <w:r>
              <w:rPr>
                <w:rFonts w:ascii="Times New Roman" w:hAnsi="Times New Roman"/>
                <w:sz w:val="21"/>
                <w:szCs w:val="21"/>
              </w:rPr>
              <w:t>0.0292</w:t>
            </w:r>
          </w:p>
        </w:tc>
        <w:tc>
          <w:tcPr>
            <w:tcW w:w="965" w:type="dxa"/>
            <w:vAlign w:val="center"/>
          </w:tcPr>
          <w:p>
            <w:pPr>
              <w:jc w:val="center"/>
              <w:rPr>
                <w:rFonts w:ascii="Times New Roman" w:hAnsi="Times New Roman"/>
                <w:sz w:val="21"/>
                <w:szCs w:val="21"/>
              </w:rPr>
            </w:pPr>
            <w:r>
              <w:rPr>
                <w:rFonts w:ascii="Times New Roman" w:hAnsi="Times New Roman"/>
                <w:sz w:val="21"/>
                <w:szCs w:val="21"/>
              </w:rPr>
              <w:t>0.0138</w:t>
            </w:r>
          </w:p>
        </w:tc>
        <w:tc>
          <w:tcPr>
            <w:tcW w:w="0" w:type="auto"/>
            <w:vAlign w:val="center"/>
          </w:tcPr>
          <w:p>
            <w:pPr>
              <w:jc w:val="center"/>
              <w:rPr>
                <w:rFonts w:ascii="Times New Roman" w:hAnsi="Times New Roman"/>
                <w:sz w:val="21"/>
                <w:szCs w:val="21"/>
              </w:rPr>
            </w:pPr>
            <w:r>
              <w:rPr>
                <w:rFonts w:ascii="Times New Roman" w:hAnsi="Times New Roman"/>
                <w:sz w:val="21"/>
                <w:szCs w:val="21"/>
              </w:rPr>
              <w:t>-0.0620</w:t>
            </w:r>
          </w:p>
        </w:tc>
        <w:tc>
          <w:tcPr>
            <w:tcW w:w="0" w:type="auto"/>
            <w:vAlign w:val="center"/>
          </w:tcPr>
          <w:p>
            <w:pPr>
              <w:jc w:val="center"/>
              <w:rPr>
                <w:rFonts w:ascii="Times New Roman" w:hAnsi="Times New Roman"/>
                <w:sz w:val="21"/>
                <w:szCs w:val="21"/>
              </w:rPr>
            </w:pPr>
            <w:r>
              <w:rPr>
                <w:rFonts w:ascii="Times New Roman" w:hAnsi="Times New Roman"/>
                <w:sz w:val="21"/>
                <w:szCs w:val="21"/>
              </w:rPr>
              <w:t>-0.0550</w:t>
            </w:r>
          </w:p>
        </w:tc>
        <w:tc>
          <w:tcPr>
            <w:tcW w:w="0" w:type="auto"/>
            <w:vAlign w:val="center"/>
          </w:tcPr>
          <w:p>
            <w:pPr>
              <w:jc w:val="center"/>
              <w:rPr>
                <w:rFonts w:ascii="Times New Roman" w:hAnsi="Times New Roman"/>
                <w:sz w:val="21"/>
                <w:szCs w:val="21"/>
              </w:rPr>
            </w:pPr>
            <w:r>
              <w:rPr>
                <w:rFonts w:ascii="Times New Roman" w:hAnsi="Times New Roman"/>
                <w:sz w:val="21"/>
                <w:szCs w:val="21"/>
              </w:rPr>
              <w:t>0.0246</w:t>
            </w:r>
          </w:p>
        </w:tc>
        <w:tc>
          <w:tcPr>
            <w:tcW w:w="0" w:type="auto"/>
            <w:vAlign w:val="center"/>
          </w:tcPr>
          <w:p>
            <w:pPr>
              <w:jc w:val="center"/>
              <w:rPr>
                <w:rFonts w:ascii="Times New Roman" w:hAnsi="Times New Roman"/>
                <w:sz w:val="21"/>
                <w:szCs w:val="21"/>
              </w:rPr>
            </w:pPr>
            <w:r>
              <w:rPr>
                <w:rFonts w:ascii="Times New Roman" w:hAnsi="Times New Roman"/>
                <w:sz w:val="21"/>
                <w:szCs w:val="21"/>
              </w:rPr>
              <w:t>0.0156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0.90</w:t>
            </w:r>
          </w:p>
        </w:tc>
        <w:tc>
          <w:tcPr>
            <w:tcW w:w="1022" w:type="dxa"/>
            <w:vAlign w:val="center"/>
          </w:tcPr>
          <w:p>
            <w:pPr>
              <w:jc w:val="center"/>
              <w:rPr>
                <w:rFonts w:ascii="Times New Roman" w:hAnsi="Times New Roman"/>
                <w:sz w:val="21"/>
                <w:szCs w:val="21"/>
              </w:rPr>
            </w:pPr>
            <w:r>
              <w:rPr>
                <w:rFonts w:ascii="Times New Roman" w:hAnsi="Times New Roman"/>
                <w:sz w:val="21"/>
                <w:szCs w:val="21"/>
              </w:rPr>
              <w:t>-0.0660</w:t>
            </w:r>
          </w:p>
        </w:tc>
        <w:tc>
          <w:tcPr>
            <w:tcW w:w="1000" w:type="dxa"/>
          </w:tcPr>
          <w:p>
            <w:pPr>
              <w:jc w:val="center"/>
              <w:rPr>
                <w:rFonts w:ascii="Times New Roman" w:hAnsi="Times New Roman"/>
                <w:sz w:val="21"/>
                <w:szCs w:val="21"/>
              </w:rPr>
            </w:pPr>
            <w:r>
              <w:rPr>
                <w:rFonts w:ascii="Times New Roman" w:hAnsi="Times New Roman"/>
                <w:sz w:val="21"/>
                <w:szCs w:val="21"/>
              </w:rPr>
              <w:t>-0.0560</w:t>
            </w:r>
          </w:p>
        </w:tc>
        <w:tc>
          <w:tcPr>
            <w:tcW w:w="791" w:type="dxa"/>
            <w:vAlign w:val="center"/>
          </w:tcPr>
          <w:p>
            <w:pPr>
              <w:jc w:val="center"/>
              <w:rPr>
                <w:rFonts w:ascii="Times New Roman" w:hAnsi="Times New Roman"/>
                <w:sz w:val="21"/>
                <w:szCs w:val="21"/>
              </w:rPr>
            </w:pPr>
            <w:r>
              <w:rPr>
                <w:rFonts w:ascii="Times New Roman" w:hAnsi="Times New Roman"/>
                <w:sz w:val="21"/>
                <w:szCs w:val="21"/>
              </w:rPr>
              <w:t>0.0270</w:t>
            </w:r>
          </w:p>
        </w:tc>
        <w:tc>
          <w:tcPr>
            <w:tcW w:w="965" w:type="dxa"/>
            <w:vAlign w:val="center"/>
          </w:tcPr>
          <w:p>
            <w:pPr>
              <w:jc w:val="center"/>
              <w:rPr>
                <w:rFonts w:ascii="Times New Roman" w:hAnsi="Times New Roman"/>
                <w:sz w:val="21"/>
                <w:szCs w:val="21"/>
              </w:rPr>
            </w:pPr>
            <w:r>
              <w:rPr>
                <w:rFonts w:ascii="Times New Roman" w:hAnsi="Times New Roman"/>
                <w:sz w:val="21"/>
                <w:szCs w:val="21"/>
              </w:rPr>
              <w:t>0.0151</w:t>
            </w:r>
          </w:p>
        </w:tc>
        <w:tc>
          <w:tcPr>
            <w:tcW w:w="0" w:type="auto"/>
            <w:vAlign w:val="center"/>
          </w:tcPr>
          <w:p>
            <w:pPr>
              <w:jc w:val="center"/>
              <w:rPr>
                <w:rFonts w:ascii="Times New Roman" w:hAnsi="Times New Roman"/>
                <w:sz w:val="21"/>
                <w:szCs w:val="21"/>
              </w:rPr>
            </w:pPr>
            <w:r>
              <w:rPr>
                <w:rFonts w:ascii="Times New Roman" w:hAnsi="Times New Roman"/>
                <w:sz w:val="21"/>
                <w:szCs w:val="21"/>
              </w:rPr>
              <w:t>-0.0580</w:t>
            </w:r>
          </w:p>
        </w:tc>
        <w:tc>
          <w:tcPr>
            <w:tcW w:w="0" w:type="auto"/>
            <w:vAlign w:val="center"/>
          </w:tcPr>
          <w:p>
            <w:pPr>
              <w:jc w:val="center"/>
              <w:rPr>
                <w:rFonts w:ascii="Times New Roman" w:hAnsi="Times New Roman"/>
                <w:sz w:val="21"/>
                <w:szCs w:val="21"/>
              </w:rPr>
            </w:pPr>
            <w:r>
              <w:rPr>
                <w:rFonts w:ascii="Times New Roman" w:hAnsi="Times New Roman"/>
                <w:sz w:val="21"/>
                <w:szCs w:val="21"/>
              </w:rPr>
              <w:t>-0.0540</w:t>
            </w:r>
          </w:p>
        </w:tc>
        <w:tc>
          <w:tcPr>
            <w:tcW w:w="0" w:type="auto"/>
            <w:vAlign w:val="center"/>
          </w:tcPr>
          <w:p>
            <w:pPr>
              <w:jc w:val="center"/>
              <w:rPr>
                <w:rFonts w:ascii="Times New Roman" w:hAnsi="Times New Roman"/>
                <w:sz w:val="21"/>
                <w:szCs w:val="21"/>
              </w:rPr>
            </w:pPr>
            <w:r>
              <w:rPr>
                <w:rFonts w:ascii="Times New Roman" w:hAnsi="Times New Roman"/>
                <w:sz w:val="21"/>
                <w:szCs w:val="21"/>
              </w:rPr>
              <w:t>0.0222</w:t>
            </w:r>
          </w:p>
        </w:tc>
        <w:tc>
          <w:tcPr>
            <w:tcW w:w="0" w:type="auto"/>
            <w:vAlign w:val="center"/>
          </w:tcPr>
          <w:p>
            <w:pPr>
              <w:jc w:val="center"/>
              <w:rPr>
                <w:rFonts w:ascii="Times New Roman" w:hAnsi="Times New Roman"/>
                <w:sz w:val="21"/>
                <w:szCs w:val="21"/>
              </w:rPr>
            </w:pPr>
            <w:r>
              <w:rPr>
                <w:rFonts w:ascii="Times New Roman" w:hAnsi="Times New Roman"/>
                <w:sz w:val="21"/>
                <w:szCs w:val="21"/>
              </w:rPr>
              <w:t>0.0167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0.95</w:t>
            </w:r>
          </w:p>
        </w:tc>
        <w:tc>
          <w:tcPr>
            <w:tcW w:w="1022" w:type="dxa"/>
            <w:vAlign w:val="center"/>
          </w:tcPr>
          <w:p>
            <w:pPr>
              <w:jc w:val="center"/>
              <w:rPr>
                <w:rFonts w:ascii="Times New Roman" w:hAnsi="Times New Roman"/>
                <w:sz w:val="21"/>
                <w:szCs w:val="21"/>
              </w:rPr>
            </w:pPr>
            <w:r>
              <w:rPr>
                <w:rFonts w:ascii="Times New Roman" w:hAnsi="Times New Roman"/>
                <w:sz w:val="21"/>
                <w:szCs w:val="21"/>
              </w:rPr>
              <w:t>-0.0628</w:t>
            </w:r>
          </w:p>
        </w:tc>
        <w:tc>
          <w:tcPr>
            <w:tcW w:w="1000" w:type="dxa"/>
          </w:tcPr>
          <w:p>
            <w:pPr>
              <w:jc w:val="center"/>
              <w:rPr>
                <w:rFonts w:ascii="Times New Roman" w:hAnsi="Times New Roman"/>
                <w:sz w:val="21"/>
                <w:szCs w:val="21"/>
              </w:rPr>
            </w:pPr>
            <w:r>
              <w:rPr>
                <w:rFonts w:ascii="Times New Roman" w:hAnsi="Times New Roman"/>
                <w:sz w:val="21"/>
                <w:szCs w:val="21"/>
              </w:rPr>
              <w:t>-0.0556</w:t>
            </w:r>
          </w:p>
        </w:tc>
        <w:tc>
          <w:tcPr>
            <w:tcW w:w="791" w:type="dxa"/>
            <w:vAlign w:val="center"/>
          </w:tcPr>
          <w:p>
            <w:pPr>
              <w:jc w:val="center"/>
              <w:rPr>
                <w:rFonts w:ascii="Times New Roman" w:hAnsi="Times New Roman"/>
                <w:sz w:val="21"/>
                <w:szCs w:val="21"/>
              </w:rPr>
            </w:pPr>
            <w:r>
              <w:rPr>
                <w:rFonts w:ascii="Times New Roman" w:hAnsi="Times New Roman"/>
                <w:sz w:val="21"/>
                <w:szCs w:val="21"/>
              </w:rPr>
              <w:t>0.0249</w:t>
            </w:r>
          </w:p>
        </w:tc>
        <w:tc>
          <w:tcPr>
            <w:tcW w:w="965" w:type="dxa"/>
            <w:vAlign w:val="center"/>
          </w:tcPr>
          <w:p>
            <w:pPr>
              <w:jc w:val="center"/>
              <w:rPr>
                <w:rFonts w:ascii="Times New Roman" w:hAnsi="Times New Roman"/>
                <w:sz w:val="21"/>
                <w:szCs w:val="21"/>
              </w:rPr>
            </w:pPr>
            <w:r>
              <w:rPr>
                <w:rFonts w:ascii="Times New Roman" w:hAnsi="Times New Roman"/>
                <w:sz w:val="21"/>
                <w:szCs w:val="21"/>
              </w:rPr>
              <w:t>0.0161</w:t>
            </w:r>
          </w:p>
        </w:tc>
        <w:tc>
          <w:tcPr>
            <w:tcW w:w="0" w:type="auto"/>
            <w:vAlign w:val="center"/>
          </w:tcPr>
          <w:p>
            <w:pPr>
              <w:jc w:val="center"/>
              <w:rPr>
                <w:rFonts w:ascii="Times New Roman" w:hAnsi="Times New Roman"/>
                <w:sz w:val="21"/>
                <w:szCs w:val="21"/>
              </w:rPr>
            </w:pPr>
            <w:r>
              <w:rPr>
                <w:rFonts w:ascii="Times New Roman" w:hAnsi="Times New Roman"/>
                <w:sz w:val="21"/>
                <w:szCs w:val="21"/>
              </w:rPr>
              <w:t>-0.0543</w:t>
            </w:r>
          </w:p>
        </w:tc>
        <w:tc>
          <w:tcPr>
            <w:tcW w:w="0" w:type="auto"/>
            <w:vAlign w:val="center"/>
          </w:tcPr>
          <w:p>
            <w:pPr>
              <w:jc w:val="center"/>
              <w:rPr>
                <w:rFonts w:ascii="Times New Roman" w:hAnsi="Times New Roman"/>
                <w:sz w:val="21"/>
                <w:szCs w:val="21"/>
              </w:rPr>
            </w:pPr>
            <w:r>
              <w:rPr>
                <w:rFonts w:ascii="Times New Roman" w:hAnsi="Times New Roman"/>
                <w:sz w:val="21"/>
                <w:szCs w:val="21"/>
              </w:rPr>
              <w:t>-0.0527</w:t>
            </w:r>
          </w:p>
        </w:tc>
        <w:tc>
          <w:tcPr>
            <w:tcW w:w="0" w:type="auto"/>
            <w:vAlign w:val="center"/>
          </w:tcPr>
          <w:p>
            <w:pPr>
              <w:jc w:val="center"/>
              <w:rPr>
                <w:rFonts w:ascii="Times New Roman" w:hAnsi="Times New Roman"/>
                <w:sz w:val="21"/>
                <w:szCs w:val="21"/>
              </w:rPr>
            </w:pPr>
            <w:r>
              <w:rPr>
                <w:rFonts w:ascii="Times New Roman" w:hAnsi="Times New Roman"/>
                <w:sz w:val="21"/>
                <w:szCs w:val="21"/>
              </w:rPr>
              <w:t>0.0198</w:t>
            </w:r>
          </w:p>
        </w:tc>
        <w:tc>
          <w:tcPr>
            <w:tcW w:w="0" w:type="auto"/>
            <w:vAlign w:val="center"/>
          </w:tcPr>
          <w:p>
            <w:pPr>
              <w:jc w:val="center"/>
              <w:rPr>
                <w:rFonts w:ascii="Times New Roman" w:hAnsi="Times New Roman"/>
                <w:sz w:val="21"/>
                <w:szCs w:val="21"/>
              </w:rPr>
            </w:pPr>
            <w:r>
              <w:rPr>
                <w:rFonts w:ascii="Times New Roman" w:hAnsi="Times New Roman"/>
                <w:sz w:val="21"/>
                <w:szCs w:val="21"/>
              </w:rPr>
              <w:t>0.0173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pPr>
              <w:rPr>
                <w:rFonts w:ascii="Times New Roman" w:hAnsi="Times New Roman"/>
                <w:sz w:val="21"/>
                <w:szCs w:val="21"/>
              </w:rPr>
            </w:pPr>
            <w:r>
              <w:rPr>
                <w:rFonts w:ascii="Times New Roman" w:hAnsi="Times New Roman" w:eastAsiaTheme="minorEastAsia" w:cstheme="minorBidi"/>
                <w:kern w:val="2"/>
                <w:position w:val="-34"/>
                <w:sz w:val="21"/>
                <w:szCs w:val="21"/>
              </w:rPr>
              <w:object>
                <v:shape id="_x0000_i1182" o:spt="75" type="#_x0000_t75" style="height:41.4pt;width:15pt;" o:ole="t" filled="f" o:preferrelative="t" stroked="f" coordsize="21600,21600">
                  <v:path/>
                  <v:fill on="f" focussize="0,0"/>
                  <v:stroke on="f" joinstyle="miter"/>
                  <v:imagedata r:id="rId275" o:title=""/>
                  <o:lock v:ext="edit" aspectratio="t"/>
                  <w10:wrap type="none"/>
                  <w10:anchorlock/>
                </v:shape>
                <o:OLEObject Type="Embed" ProgID="Equation.DSMT4" ShapeID="_x0000_i1182" DrawAspect="Content" ObjectID="_1468075882" r:id="rId293">
                  <o:LockedField>false</o:LockedField>
                </o:OLEObject>
              </w:object>
            </w:r>
          </w:p>
        </w:tc>
        <w:tc>
          <w:tcPr>
            <w:tcW w:w="576" w:type="dxa"/>
            <w:vAlign w:val="center"/>
          </w:tcPr>
          <w:p>
            <w:pPr>
              <w:rPr>
                <w:rFonts w:ascii="Times New Roman" w:hAnsi="Times New Roman"/>
                <w:sz w:val="21"/>
                <w:szCs w:val="21"/>
              </w:rPr>
            </w:pPr>
            <w:r>
              <w:rPr>
                <w:rFonts w:ascii="Times New Roman" w:hAnsi="Times New Roman"/>
                <w:sz w:val="21"/>
                <w:szCs w:val="21"/>
              </w:rPr>
              <w:t>1.00</w:t>
            </w:r>
          </w:p>
        </w:tc>
        <w:tc>
          <w:tcPr>
            <w:tcW w:w="1022" w:type="dxa"/>
            <w:vAlign w:val="center"/>
          </w:tcPr>
          <w:p>
            <w:pPr>
              <w:jc w:val="center"/>
              <w:rPr>
                <w:rFonts w:ascii="Times New Roman" w:hAnsi="Times New Roman"/>
                <w:sz w:val="21"/>
                <w:szCs w:val="21"/>
              </w:rPr>
            </w:pPr>
            <w:r>
              <w:rPr>
                <w:rFonts w:ascii="Times New Roman" w:hAnsi="Times New Roman"/>
                <w:sz w:val="21"/>
                <w:szCs w:val="21"/>
              </w:rPr>
              <w:t>-0.0596</w:t>
            </w:r>
          </w:p>
        </w:tc>
        <w:tc>
          <w:tcPr>
            <w:tcW w:w="1000" w:type="dxa"/>
          </w:tcPr>
          <w:p>
            <w:pPr>
              <w:jc w:val="center"/>
              <w:rPr>
                <w:rFonts w:ascii="Times New Roman" w:hAnsi="Times New Roman"/>
                <w:sz w:val="21"/>
                <w:szCs w:val="21"/>
              </w:rPr>
            </w:pPr>
            <w:r>
              <w:rPr>
                <w:rFonts w:ascii="Times New Roman" w:hAnsi="Times New Roman"/>
                <w:sz w:val="21"/>
                <w:szCs w:val="21"/>
              </w:rPr>
              <w:t>-0.0551</w:t>
            </w:r>
          </w:p>
        </w:tc>
        <w:tc>
          <w:tcPr>
            <w:tcW w:w="791" w:type="dxa"/>
            <w:vAlign w:val="center"/>
          </w:tcPr>
          <w:p>
            <w:pPr>
              <w:jc w:val="center"/>
              <w:rPr>
                <w:rFonts w:ascii="Times New Roman" w:hAnsi="Times New Roman"/>
                <w:sz w:val="21"/>
                <w:szCs w:val="21"/>
              </w:rPr>
            </w:pPr>
            <w:r>
              <w:rPr>
                <w:rFonts w:ascii="Times New Roman" w:hAnsi="Times New Roman"/>
                <w:sz w:val="21"/>
                <w:szCs w:val="21"/>
              </w:rPr>
              <w:t>0.0228</w:t>
            </w:r>
          </w:p>
        </w:tc>
        <w:tc>
          <w:tcPr>
            <w:tcW w:w="965" w:type="dxa"/>
            <w:vAlign w:val="center"/>
          </w:tcPr>
          <w:p>
            <w:pPr>
              <w:jc w:val="center"/>
              <w:rPr>
                <w:rFonts w:ascii="Times New Roman" w:hAnsi="Times New Roman"/>
                <w:sz w:val="21"/>
                <w:szCs w:val="21"/>
              </w:rPr>
            </w:pPr>
            <w:r>
              <w:rPr>
                <w:rFonts w:ascii="Times New Roman" w:hAnsi="Times New Roman"/>
                <w:sz w:val="21"/>
                <w:szCs w:val="21"/>
              </w:rPr>
              <w:t>0.0167</w:t>
            </w:r>
          </w:p>
        </w:tc>
        <w:tc>
          <w:tcPr>
            <w:tcW w:w="0" w:type="auto"/>
            <w:vAlign w:val="center"/>
          </w:tcPr>
          <w:p>
            <w:pPr>
              <w:jc w:val="center"/>
              <w:rPr>
                <w:rFonts w:ascii="Times New Roman" w:hAnsi="Times New Roman"/>
                <w:sz w:val="21"/>
                <w:szCs w:val="21"/>
              </w:rPr>
            </w:pPr>
            <w:r>
              <w:rPr>
                <w:rFonts w:ascii="Times New Roman" w:hAnsi="Times New Roman"/>
                <w:sz w:val="21"/>
                <w:szCs w:val="21"/>
              </w:rPr>
              <w:t>-0.0511</w:t>
            </w:r>
          </w:p>
        </w:tc>
        <w:tc>
          <w:tcPr>
            <w:tcW w:w="0" w:type="auto"/>
            <w:vAlign w:val="center"/>
          </w:tcPr>
          <w:p>
            <w:pPr>
              <w:jc w:val="center"/>
              <w:rPr>
                <w:rFonts w:ascii="Times New Roman" w:hAnsi="Times New Roman"/>
                <w:sz w:val="21"/>
                <w:szCs w:val="21"/>
              </w:rPr>
            </w:pPr>
            <w:r>
              <w:rPr>
                <w:rFonts w:ascii="Times New Roman" w:hAnsi="Times New Roman"/>
                <w:sz w:val="21"/>
                <w:szCs w:val="21"/>
              </w:rPr>
              <w:t>-0.0511</w:t>
            </w:r>
          </w:p>
        </w:tc>
        <w:tc>
          <w:tcPr>
            <w:tcW w:w="0" w:type="auto"/>
            <w:vAlign w:val="center"/>
          </w:tcPr>
          <w:p>
            <w:pPr>
              <w:jc w:val="center"/>
              <w:rPr>
                <w:rFonts w:ascii="Times New Roman" w:hAnsi="Times New Roman"/>
                <w:sz w:val="21"/>
                <w:szCs w:val="21"/>
              </w:rPr>
            </w:pPr>
            <w:r>
              <w:rPr>
                <w:rFonts w:ascii="Times New Roman" w:hAnsi="Times New Roman"/>
                <w:sz w:val="21"/>
                <w:szCs w:val="21"/>
              </w:rPr>
              <w:t>0.0176</w:t>
            </w:r>
          </w:p>
        </w:tc>
        <w:tc>
          <w:tcPr>
            <w:tcW w:w="0" w:type="auto"/>
            <w:vAlign w:val="center"/>
          </w:tcPr>
          <w:p>
            <w:pPr>
              <w:jc w:val="center"/>
              <w:rPr>
                <w:rFonts w:ascii="Times New Roman" w:hAnsi="Times New Roman"/>
                <w:sz w:val="21"/>
                <w:szCs w:val="21"/>
              </w:rPr>
            </w:pPr>
            <w:r>
              <w:rPr>
                <w:rFonts w:ascii="Times New Roman" w:hAnsi="Times New Roman"/>
                <w:sz w:val="21"/>
                <w:szCs w:val="21"/>
              </w:rPr>
              <w:t>0.0176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0.95</w:t>
            </w:r>
          </w:p>
        </w:tc>
        <w:tc>
          <w:tcPr>
            <w:tcW w:w="1022" w:type="dxa"/>
            <w:vAlign w:val="center"/>
          </w:tcPr>
          <w:p>
            <w:pPr>
              <w:jc w:val="center"/>
              <w:rPr>
                <w:rFonts w:ascii="Times New Roman" w:hAnsi="Times New Roman"/>
                <w:sz w:val="21"/>
                <w:szCs w:val="21"/>
              </w:rPr>
            </w:pPr>
            <w:r>
              <w:rPr>
                <w:rFonts w:ascii="Times New Roman" w:hAnsi="Times New Roman"/>
                <w:sz w:val="21"/>
                <w:szCs w:val="21"/>
              </w:rPr>
              <w:t>-0.0626</w:t>
            </w:r>
          </w:p>
        </w:tc>
        <w:tc>
          <w:tcPr>
            <w:tcW w:w="1000" w:type="dxa"/>
          </w:tcPr>
          <w:p>
            <w:pPr>
              <w:jc w:val="center"/>
              <w:rPr>
                <w:rFonts w:ascii="Times New Roman" w:hAnsi="Times New Roman"/>
                <w:sz w:val="21"/>
                <w:szCs w:val="21"/>
              </w:rPr>
            </w:pPr>
            <w:r>
              <w:rPr>
                <w:rFonts w:ascii="Times New Roman" w:hAnsi="Times New Roman"/>
                <w:sz w:val="21"/>
                <w:szCs w:val="21"/>
              </w:rPr>
              <w:t>-0.0599</w:t>
            </w:r>
          </w:p>
        </w:tc>
        <w:tc>
          <w:tcPr>
            <w:tcW w:w="791" w:type="dxa"/>
            <w:vAlign w:val="center"/>
          </w:tcPr>
          <w:p>
            <w:pPr>
              <w:jc w:val="center"/>
              <w:rPr>
                <w:rFonts w:ascii="Times New Roman" w:hAnsi="Times New Roman"/>
                <w:sz w:val="21"/>
                <w:szCs w:val="21"/>
              </w:rPr>
            </w:pPr>
            <w:r>
              <w:rPr>
                <w:rFonts w:ascii="Times New Roman" w:hAnsi="Times New Roman"/>
                <w:sz w:val="21"/>
                <w:szCs w:val="21"/>
              </w:rPr>
              <w:t>0.0230</w:t>
            </w:r>
          </w:p>
        </w:tc>
        <w:tc>
          <w:tcPr>
            <w:tcW w:w="965" w:type="dxa"/>
            <w:vAlign w:val="center"/>
          </w:tcPr>
          <w:p>
            <w:pPr>
              <w:jc w:val="center"/>
              <w:rPr>
                <w:rFonts w:ascii="Times New Roman" w:hAnsi="Times New Roman"/>
                <w:sz w:val="21"/>
                <w:szCs w:val="21"/>
              </w:rPr>
            </w:pPr>
            <w:r>
              <w:rPr>
                <w:rFonts w:ascii="Times New Roman" w:hAnsi="Times New Roman"/>
                <w:sz w:val="21"/>
                <w:szCs w:val="21"/>
              </w:rPr>
              <w:t>0.0193</w:t>
            </w:r>
          </w:p>
        </w:tc>
        <w:tc>
          <w:tcPr>
            <w:tcW w:w="0" w:type="auto"/>
            <w:vAlign w:val="center"/>
          </w:tcPr>
          <w:p>
            <w:pPr>
              <w:jc w:val="center"/>
              <w:rPr>
                <w:rFonts w:ascii="Times New Roman" w:hAnsi="Times New Roman"/>
                <w:sz w:val="21"/>
                <w:szCs w:val="21"/>
              </w:rPr>
            </w:pPr>
            <w:r>
              <w:rPr>
                <w:rFonts w:ascii="Times New Roman" w:hAnsi="Times New Roman"/>
                <w:sz w:val="21"/>
                <w:szCs w:val="21"/>
              </w:rPr>
              <w:t>-0.0527</w:t>
            </w:r>
          </w:p>
        </w:tc>
        <w:tc>
          <w:tcPr>
            <w:tcW w:w="0" w:type="auto"/>
            <w:vAlign w:val="center"/>
          </w:tcPr>
          <w:p>
            <w:pPr>
              <w:jc w:val="center"/>
              <w:rPr>
                <w:rFonts w:ascii="Times New Roman" w:hAnsi="Times New Roman"/>
                <w:sz w:val="21"/>
                <w:szCs w:val="21"/>
              </w:rPr>
            </w:pPr>
            <w:r>
              <w:rPr>
                <w:rFonts w:ascii="Times New Roman" w:hAnsi="Times New Roman"/>
                <w:sz w:val="21"/>
                <w:szCs w:val="21"/>
              </w:rPr>
              <w:t>-0.0543</w:t>
            </w:r>
          </w:p>
        </w:tc>
        <w:tc>
          <w:tcPr>
            <w:tcW w:w="0" w:type="auto"/>
            <w:vAlign w:val="center"/>
          </w:tcPr>
          <w:p>
            <w:pPr>
              <w:jc w:val="center"/>
              <w:rPr>
                <w:rFonts w:ascii="Times New Roman" w:hAnsi="Times New Roman"/>
                <w:sz w:val="21"/>
                <w:szCs w:val="21"/>
              </w:rPr>
            </w:pPr>
            <w:r>
              <w:rPr>
                <w:rFonts w:ascii="Times New Roman" w:hAnsi="Times New Roman"/>
                <w:sz w:val="21"/>
                <w:szCs w:val="21"/>
              </w:rPr>
              <w:t>0.0173</w:t>
            </w:r>
          </w:p>
        </w:tc>
        <w:tc>
          <w:tcPr>
            <w:tcW w:w="0" w:type="auto"/>
            <w:vAlign w:val="center"/>
          </w:tcPr>
          <w:p>
            <w:pPr>
              <w:jc w:val="center"/>
              <w:rPr>
                <w:rFonts w:ascii="Times New Roman" w:hAnsi="Times New Roman"/>
                <w:sz w:val="21"/>
                <w:szCs w:val="21"/>
              </w:rPr>
            </w:pPr>
            <w:r>
              <w:rPr>
                <w:rFonts w:ascii="Times New Roman" w:hAnsi="Times New Roman"/>
                <w:sz w:val="21"/>
                <w:szCs w:val="21"/>
              </w:rPr>
              <w:t>0.0198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0.90</w:t>
            </w:r>
          </w:p>
        </w:tc>
        <w:tc>
          <w:tcPr>
            <w:tcW w:w="1022" w:type="dxa"/>
            <w:vAlign w:val="center"/>
          </w:tcPr>
          <w:p>
            <w:pPr>
              <w:jc w:val="center"/>
              <w:rPr>
                <w:rFonts w:ascii="Times New Roman" w:hAnsi="Times New Roman"/>
                <w:sz w:val="21"/>
                <w:szCs w:val="21"/>
              </w:rPr>
            </w:pPr>
            <w:r>
              <w:rPr>
                <w:rFonts w:ascii="Times New Roman" w:hAnsi="Times New Roman"/>
                <w:sz w:val="21"/>
                <w:szCs w:val="21"/>
              </w:rPr>
              <w:t>-0.0655</w:t>
            </w:r>
          </w:p>
        </w:tc>
        <w:tc>
          <w:tcPr>
            <w:tcW w:w="1000" w:type="dxa"/>
          </w:tcPr>
          <w:p>
            <w:pPr>
              <w:jc w:val="center"/>
              <w:rPr>
                <w:rFonts w:ascii="Times New Roman" w:hAnsi="Times New Roman"/>
                <w:sz w:val="21"/>
                <w:szCs w:val="21"/>
              </w:rPr>
            </w:pPr>
            <w:r>
              <w:rPr>
                <w:rFonts w:ascii="Times New Roman" w:hAnsi="Times New Roman"/>
                <w:sz w:val="21"/>
                <w:szCs w:val="21"/>
              </w:rPr>
              <w:t>-0.0652</w:t>
            </w:r>
          </w:p>
        </w:tc>
        <w:tc>
          <w:tcPr>
            <w:tcW w:w="791" w:type="dxa"/>
            <w:vAlign w:val="center"/>
          </w:tcPr>
          <w:p>
            <w:pPr>
              <w:jc w:val="center"/>
              <w:rPr>
                <w:rFonts w:ascii="Times New Roman" w:hAnsi="Times New Roman"/>
                <w:sz w:val="21"/>
                <w:szCs w:val="21"/>
              </w:rPr>
            </w:pPr>
            <w:r>
              <w:rPr>
                <w:rFonts w:ascii="Times New Roman" w:hAnsi="Times New Roman"/>
                <w:sz w:val="21"/>
                <w:szCs w:val="21"/>
              </w:rPr>
              <w:t>0.0231</w:t>
            </w:r>
          </w:p>
        </w:tc>
        <w:tc>
          <w:tcPr>
            <w:tcW w:w="965" w:type="dxa"/>
            <w:vAlign w:val="center"/>
          </w:tcPr>
          <w:p>
            <w:pPr>
              <w:jc w:val="center"/>
              <w:rPr>
                <w:rFonts w:ascii="Times New Roman" w:hAnsi="Times New Roman"/>
                <w:sz w:val="21"/>
                <w:szCs w:val="21"/>
              </w:rPr>
            </w:pPr>
            <w:r>
              <w:rPr>
                <w:rFonts w:ascii="Times New Roman" w:hAnsi="Times New Roman"/>
                <w:sz w:val="21"/>
                <w:szCs w:val="21"/>
              </w:rPr>
              <w:t>0.0222</w:t>
            </w:r>
          </w:p>
        </w:tc>
        <w:tc>
          <w:tcPr>
            <w:tcW w:w="0" w:type="auto"/>
            <w:vAlign w:val="center"/>
          </w:tcPr>
          <w:p>
            <w:pPr>
              <w:jc w:val="center"/>
              <w:rPr>
                <w:rFonts w:ascii="Times New Roman" w:hAnsi="Times New Roman"/>
                <w:sz w:val="21"/>
                <w:szCs w:val="21"/>
              </w:rPr>
            </w:pPr>
            <w:r>
              <w:rPr>
                <w:rFonts w:ascii="Times New Roman" w:hAnsi="Times New Roman"/>
                <w:sz w:val="21"/>
                <w:szCs w:val="21"/>
              </w:rPr>
              <w:t>-0.0540</w:t>
            </w:r>
          </w:p>
        </w:tc>
        <w:tc>
          <w:tcPr>
            <w:tcW w:w="0" w:type="auto"/>
            <w:vAlign w:val="center"/>
          </w:tcPr>
          <w:p>
            <w:pPr>
              <w:jc w:val="center"/>
              <w:rPr>
                <w:rFonts w:ascii="Times New Roman" w:hAnsi="Times New Roman"/>
                <w:sz w:val="21"/>
                <w:szCs w:val="21"/>
              </w:rPr>
            </w:pPr>
            <w:r>
              <w:rPr>
                <w:rFonts w:ascii="Times New Roman" w:hAnsi="Times New Roman"/>
                <w:sz w:val="21"/>
                <w:szCs w:val="21"/>
              </w:rPr>
              <w:t>-0.0580</w:t>
            </w:r>
          </w:p>
        </w:tc>
        <w:tc>
          <w:tcPr>
            <w:tcW w:w="0" w:type="auto"/>
            <w:vAlign w:val="center"/>
          </w:tcPr>
          <w:p>
            <w:pPr>
              <w:jc w:val="center"/>
              <w:rPr>
                <w:rFonts w:ascii="Times New Roman" w:hAnsi="Times New Roman"/>
                <w:sz w:val="21"/>
                <w:szCs w:val="21"/>
              </w:rPr>
            </w:pPr>
            <w:r>
              <w:rPr>
                <w:rFonts w:ascii="Times New Roman" w:hAnsi="Times New Roman"/>
                <w:sz w:val="21"/>
                <w:szCs w:val="21"/>
              </w:rPr>
              <w:t>0.0167</w:t>
            </w:r>
          </w:p>
        </w:tc>
        <w:tc>
          <w:tcPr>
            <w:tcW w:w="0" w:type="auto"/>
            <w:vAlign w:val="center"/>
          </w:tcPr>
          <w:p>
            <w:pPr>
              <w:jc w:val="center"/>
              <w:rPr>
                <w:rFonts w:ascii="Times New Roman" w:hAnsi="Times New Roman"/>
                <w:sz w:val="21"/>
                <w:szCs w:val="21"/>
              </w:rPr>
            </w:pPr>
            <w:r>
              <w:rPr>
                <w:rFonts w:ascii="Times New Roman" w:hAnsi="Times New Roman"/>
                <w:sz w:val="21"/>
                <w:szCs w:val="21"/>
              </w:rPr>
              <w:t>0.0222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0.85</w:t>
            </w:r>
          </w:p>
        </w:tc>
        <w:tc>
          <w:tcPr>
            <w:tcW w:w="1022" w:type="dxa"/>
            <w:vAlign w:val="center"/>
          </w:tcPr>
          <w:p>
            <w:pPr>
              <w:jc w:val="center"/>
              <w:rPr>
                <w:rFonts w:ascii="Times New Roman" w:hAnsi="Times New Roman"/>
                <w:sz w:val="21"/>
                <w:szCs w:val="21"/>
              </w:rPr>
            </w:pPr>
            <w:r>
              <w:rPr>
                <w:rFonts w:ascii="Times New Roman" w:hAnsi="Times New Roman"/>
                <w:sz w:val="21"/>
                <w:szCs w:val="21"/>
              </w:rPr>
              <w:t>-0.0682</w:t>
            </w:r>
          </w:p>
        </w:tc>
        <w:tc>
          <w:tcPr>
            <w:tcW w:w="1000" w:type="dxa"/>
          </w:tcPr>
          <w:p>
            <w:pPr>
              <w:jc w:val="center"/>
              <w:rPr>
                <w:rFonts w:ascii="Times New Roman" w:hAnsi="Times New Roman"/>
                <w:sz w:val="21"/>
                <w:szCs w:val="21"/>
              </w:rPr>
            </w:pPr>
            <w:r>
              <w:rPr>
                <w:rFonts w:ascii="Times New Roman" w:hAnsi="Times New Roman"/>
                <w:sz w:val="21"/>
                <w:szCs w:val="21"/>
              </w:rPr>
              <w:t>-0.0710</w:t>
            </w:r>
          </w:p>
        </w:tc>
        <w:tc>
          <w:tcPr>
            <w:tcW w:w="791" w:type="dxa"/>
            <w:vAlign w:val="center"/>
          </w:tcPr>
          <w:p>
            <w:pPr>
              <w:jc w:val="center"/>
              <w:rPr>
                <w:rFonts w:ascii="Times New Roman" w:hAnsi="Times New Roman"/>
                <w:sz w:val="21"/>
                <w:szCs w:val="21"/>
              </w:rPr>
            </w:pPr>
            <w:r>
              <w:rPr>
                <w:rFonts w:ascii="Times New Roman" w:hAnsi="Times New Roman"/>
                <w:sz w:val="21"/>
                <w:szCs w:val="21"/>
              </w:rPr>
              <w:t>0.0229</w:t>
            </w:r>
          </w:p>
        </w:tc>
        <w:tc>
          <w:tcPr>
            <w:tcW w:w="965" w:type="dxa"/>
            <w:vAlign w:val="center"/>
          </w:tcPr>
          <w:p>
            <w:pPr>
              <w:jc w:val="center"/>
              <w:rPr>
                <w:rFonts w:ascii="Times New Roman" w:hAnsi="Times New Roman"/>
                <w:sz w:val="21"/>
                <w:szCs w:val="21"/>
              </w:rPr>
            </w:pPr>
            <w:r>
              <w:rPr>
                <w:rFonts w:ascii="Times New Roman" w:hAnsi="Times New Roman"/>
                <w:sz w:val="21"/>
                <w:szCs w:val="21"/>
              </w:rPr>
              <w:t>0.0254</w:t>
            </w:r>
          </w:p>
        </w:tc>
        <w:tc>
          <w:tcPr>
            <w:tcW w:w="0" w:type="auto"/>
            <w:vAlign w:val="center"/>
          </w:tcPr>
          <w:p>
            <w:pPr>
              <w:jc w:val="center"/>
              <w:rPr>
                <w:rFonts w:ascii="Times New Roman" w:hAnsi="Times New Roman"/>
                <w:sz w:val="21"/>
                <w:szCs w:val="21"/>
              </w:rPr>
            </w:pPr>
            <w:r>
              <w:rPr>
                <w:rFonts w:ascii="Times New Roman" w:hAnsi="Times New Roman"/>
                <w:sz w:val="21"/>
                <w:szCs w:val="21"/>
              </w:rPr>
              <w:t>-0.0550</w:t>
            </w:r>
          </w:p>
        </w:tc>
        <w:tc>
          <w:tcPr>
            <w:tcW w:w="0" w:type="auto"/>
            <w:vAlign w:val="center"/>
          </w:tcPr>
          <w:p>
            <w:pPr>
              <w:jc w:val="center"/>
              <w:rPr>
                <w:rFonts w:ascii="Times New Roman" w:hAnsi="Times New Roman"/>
                <w:sz w:val="21"/>
                <w:szCs w:val="21"/>
              </w:rPr>
            </w:pPr>
            <w:r>
              <w:rPr>
                <w:rFonts w:ascii="Times New Roman" w:hAnsi="Times New Roman"/>
                <w:sz w:val="21"/>
                <w:szCs w:val="21"/>
              </w:rPr>
              <w:t>-0.0620</w:t>
            </w:r>
          </w:p>
        </w:tc>
        <w:tc>
          <w:tcPr>
            <w:tcW w:w="0" w:type="auto"/>
            <w:vAlign w:val="center"/>
          </w:tcPr>
          <w:p>
            <w:pPr>
              <w:jc w:val="center"/>
              <w:rPr>
                <w:rFonts w:ascii="Times New Roman" w:hAnsi="Times New Roman"/>
                <w:sz w:val="21"/>
                <w:szCs w:val="21"/>
              </w:rPr>
            </w:pPr>
            <w:r>
              <w:rPr>
                <w:rFonts w:ascii="Times New Roman" w:hAnsi="Times New Roman"/>
                <w:sz w:val="21"/>
                <w:szCs w:val="21"/>
              </w:rPr>
              <w:t>0.0156</w:t>
            </w:r>
          </w:p>
        </w:tc>
        <w:tc>
          <w:tcPr>
            <w:tcW w:w="0" w:type="auto"/>
            <w:vAlign w:val="center"/>
          </w:tcPr>
          <w:p>
            <w:pPr>
              <w:jc w:val="center"/>
              <w:rPr>
                <w:rFonts w:ascii="Times New Roman" w:hAnsi="Times New Roman"/>
                <w:sz w:val="21"/>
                <w:szCs w:val="21"/>
              </w:rPr>
            </w:pPr>
            <w:r>
              <w:rPr>
                <w:rFonts w:ascii="Times New Roman" w:hAnsi="Times New Roman"/>
                <w:sz w:val="21"/>
                <w:szCs w:val="21"/>
              </w:rPr>
              <w:t>0.0246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0.80</w:t>
            </w:r>
          </w:p>
        </w:tc>
        <w:tc>
          <w:tcPr>
            <w:tcW w:w="1022" w:type="dxa"/>
            <w:vAlign w:val="center"/>
          </w:tcPr>
          <w:p>
            <w:pPr>
              <w:jc w:val="center"/>
              <w:rPr>
                <w:rFonts w:ascii="Times New Roman" w:hAnsi="Times New Roman"/>
                <w:sz w:val="21"/>
                <w:szCs w:val="21"/>
              </w:rPr>
            </w:pPr>
            <w:r>
              <w:rPr>
                <w:rFonts w:ascii="Times New Roman" w:hAnsi="Times New Roman"/>
                <w:sz w:val="21"/>
                <w:szCs w:val="21"/>
              </w:rPr>
              <w:t>-0.0706</w:t>
            </w:r>
          </w:p>
        </w:tc>
        <w:tc>
          <w:tcPr>
            <w:tcW w:w="1000" w:type="dxa"/>
          </w:tcPr>
          <w:p>
            <w:pPr>
              <w:jc w:val="center"/>
              <w:rPr>
                <w:rFonts w:ascii="Times New Roman" w:hAnsi="Times New Roman"/>
                <w:sz w:val="21"/>
                <w:szCs w:val="21"/>
              </w:rPr>
            </w:pPr>
            <w:r>
              <w:rPr>
                <w:rFonts w:ascii="Times New Roman" w:hAnsi="Times New Roman"/>
                <w:sz w:val="21"/>
                <w:szCs w:val="21"/>
              </w:rPr>
              <w:t>-0.0773</w:t>
            </w:r>
          </w:p>
        </w:tc>
        <w:tc>
          <w:tcPr>
            <w:tcW w:w="791" w:type="dxa"/>
            <w:vAlign w:val="center"/>
          </w:tcPr>
          <w:p>
            <w:pPr>
              <w:jc w:val="center"/>
              <w:rPr>
                <w:rFonts w:ascii="Times New Roman" w:hAnsi="Times New Roman"/>
                <w:sz w:val="21"/>
                <w:szCs w:val="21"/>
              </w:rPr>
            </w:pPr>
            <w:r>
              <w:rPr>
                <w:rFonts w:ascii="Times New Roman" w:hAnsi="Times New Roman"/>
                <w:sz w:val="21"/>
                <w:szCs w:val="21"/>
              </w:rPr>
              <w:t>0.0224</w:t>
            </w:r>
          </w:p>
        </w:tc>
        <w:tc>
          <w:tcPr>
            <w:tcW w:w="965" w:type="dxa"/>
            <w:vAlign w:val="center"/>
          </w:tcPr>
          <w:p>
            <w:pPr>
              <w:jc w:val="center"/>
              <w:rPr>
                <w:rFonts w:ascii="Times New Roman" w:hAnsi="Times New Roman"/>
                <w:sz w:val="21"/>
                <w:szCs w:val="21"/>
              </w:rPr>
            </w:pPr>
            <w:r>
              <w:rPr>
                <w:rFonts w:ascii="Times New Roman" w:hAnsi="Times New Roman"/>
                <w:sz w:val="21"/>
                <w:szCs w:val="21"/>
              </w:rPr>
              <w:t>0.0289</w:t>
            </w:r>
          </w:p>
        </w:tc>
        <w:tc>
          <w:tcPr>
            <w:tcW w:w="0" w:type="auto"/>
            <w:vAlign w:val="center"/>
          </w:tcPr>
          <w:p>
            <w:pPr>
              <w:jc w:val="center"/>
              <w:rPr>
                <w:rFonts w:ascii="Times New Roman" w:hAnsi="Times New Roman"/>
                <w:sz w:val="21"/>
                <w:szCs w:val="21"/>
              </w:rPr>
            </w:pPr>
            <w:r>
              <w:rPr>
                <w:rFonts w:ascii="Times New Roman" w:hAnsi="Times New Roman"/>
                <w:sz w:val="21"/>
                <w:szCs w:val="21"/>
              </w:rPr>
              <w:t>-0.0558</w:t>
            </w:r>
          </w:p>
        </w:tc>
        <w:tc>
          <w:tcPr>
            <w:tcW w:w="0" w:type="auto"/>
            <w:vAlign w:val="center"/>
          </w:tcPr>
          <w:p>
            <w:pPr>
              <w:jc w:val="center"/>
              <w:rPr>
                <w:rFonts w:ascii="Times New Roman" w:hAnsi="Times New Roman"/>
                <w:sz w:val="21"/>
                <w:szCs w:val="21"/>
              </w:rPr>
            </w:pPr>
            <w:r>
              <w:rPr>
                <w:rFonts w:ascii="Times New Roman" w:hAnsi="Times New Roman"/>
                <w:sz w:val="21"/>
                <w:szCs w:val="21"/>
              </w:rPr>
              <w:t>-0.0661</w:t>
            </w:r>
          </w:p>
        </w:tc>
        <w:tc>
          <w:tcPr>
            <w:tcW w:w="0" w:type="auto"/>
            <w:vAlign w:val="center"/>
          </w:tcPr>
          <w:p>
            <w:pPr>
              <w:jc w:val="center"/>
              <w:rPr>
                <w:rFonts w:ascii="Times New Roman" w:hAnsi="Times New Roman"/>
                <w:sz w:val="21"/>
                <w:szCs w:val="21"/>
              </w:rPr>
            </w:pPr>
            <w:r>
              <w:rPr>
                <w:rFonts w:ascii="Times New Roman" w:hAnsi="Times New Roman"/>
                <w:sz w:val="21"/>
                <w:szCs w:val="21"/>
              </w:rPr>
              <w:t>0.0143</w:t>
            </w:r>
          </w:p>
        </w:tc>
        <w:tc>
          <w:tcPr>
            <w:tcW w:w="0" w:type="auto"/>
            <w:vAlign w:val="center"/>
          </w:tcPr>
          <w:p>
            <w:pPr>
              <w:jc w:val="center"/>
              <w:rPr>
                <w:rFonts w:ascii="Times New Roman" w:hAnsi="Times New Roman"/>
                <w:sz w:val="21"/>
                <w:szCs w:val="21"/>
              </w:rPr>
            </w:pPr>
            <w:r>
              <w:rPr>
                <w:rFonts w:ascii="Times New Roman" w:hAnsi="Times New Roman"/>
                <w:sz w:val="21"/>
                <w:szCs w:val="21"/>
              </w:rPr>
              <w:t>0.0271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0.75</w:t>
            </w:r>
          </w:p>
        </w:tc>
        <w:tc>
          <w:tcPr>
            <w:tcW w:w="1022" w:type="dxa"/>
            <w:vAlign w:val="center"/>
          </w:tcPr>
          <w:p>
            <w:pPr>
              <w:jc w:val="center"/>
              <w:rPr>
                <w:rFonts w:ascii="Times New Roman" w:hAnsi="Times New Roman"/>
                <w:sz w:val="21"/>
                <w:szCs w:val="21"/>
              </w:rPr>
            </w:pPr>
            <w:r>
              <w:rPr>
                <w:rFonts w:ascii="Times New Roman" w:hAnsi="Times New Roman"/>
                <w:sz w:val="21"/>
                <w:szCs w:val="21"/>
              </w:rPr>
              <w:t>-0.0727</w:t>
            </w:r>
          </w:p>
        </w:tc>
        <w:tc>
          <w:tcPr>
            <w:tcW w:w="1000" w:type="dxa"/>
          </w:tcPr>
          <w:p>
            <w:pPr>
              <w:jc w:val="center"/>
              <w:rPr>
                <w:rFonts w:ascii="Times New Roman" w:hAnsi="Times New Roman"/>
                <w:sz w:val="21"/>
                <w:szCs w:val="21"/>
              </w:rPr>
            </w:pPr>
            <w:r>
              <w:rPr>
                <w:rFonts w:ascii="Times New Roman" w:hAnsi="Times New Roman"/>
                <w:sz w:val="21"/>
                <w:szCs w:val="21"/>
              </w:rPr>
              <w:t>-0.0839</w:t>
            </w:r>
          </w:p>
        </w:tc>
        <w:tc>
          <w:tcPr>
            <w:tcW w:w="791" w:type="dxa"/>
            <w:vAlign w:val="center"/>
          </w:tcPr>
          <w:p>
            <w:pPr>
              <w:jc w:val="center"/>
              <w:rPr>
                <w:rFonts w:ascii="Times New Roman" w:hAnsi="Times New Roman"/>
                <w:sz w:val="21"/>
                <w:szCs w:val="21"/>
              </w:rPr>
            </w:pPr>
            <w:r>
              <w:rPr>
                <w:rFonts w:ascii="Times New Roman" w:hAnsi="Times New Roman"/>
                <w:sz w:val="21"/>
                <w:szCs w:val="21"/>
              </w:rPr>
              <w:t>0.0214</w:t>
            </w:r>
          </w:p>
        </w:tc>
        <w:tc>
          <w:tcPr>
            <w:tcW w:w="965" w:type="dxa"/>
            <w:vAlign w:val="center"/>
          </w:tcPr>
          <w:p>
            <w:pPr>
              <w:jc w:val="center"/>
              <w:rPr>
                <w:rFonts w:ascii="Times New Roman" w:hAnsi="Times New Roman"/>
                <w:sz w:val="21"/>
                <w:szCs w:val="21"/>
              </w:rPr>
            </w:pPr>
            <w:r>
              <w:rPr>
                <w:rFonts w:ascii="Times New Roman" w:hAnsi="Times New Roman"/>
                <w:sz w:val="21"/>
                <w:szCs w:val="21"/>
              </w:rPr>
              <w:t>0.0327</w:t>
            </w:r>
          </w:p>
        </w:tc>
        <w:tc>
          <w:tcPr>
            <w:tcW w:w="0" w:type="auto"/>
            <w:vAlign w:val="center"/>
          </w:tcPr>
          <w:p>
            <w:pPr>
              <w:jc w:val="center"/>
              <w:rPr>
                <w:rFonts w:ascii="Times New Roman" w:hAnsi="Times New Roman"/>
                <w:sz w:val="21"/>
                <w:szCs w:val="21"/>
              </w:rPr>
            </w:pPr>
            <w:r>
              <w:rPr>
                <w:rFonts w:ascii="Times New Roman" w:hAnsi="Times New Roman"/>
                <w:sz w:val="21"/>
                <w:szCs w:val="21"/>
              </w:rPr>
              <w:t>-0.0564</w:t>
            </w:r>
          </w:p>
        </w:tc>
        <w:tc>
          <w:tcPr>
            <w:tcW w:w="0" w:type="auto"/>
            <w:vAlign w:val="center"/>
          </w:tcPr>
          <w:p>
            <w:pPr>
              <w:jc w:val="center"/>
              <w:rPr>
                <w:rFonts w:ascii="Times New Roman" w:hAnsi="Times New Roman"/>
                <w:sz w:val="21"/>
                <w:szCs w:val="21"/>
              </w:rPr>
            </w:pPr>
            <w:r>
              <w:rPr>
                <w:rFonts w:ascii="Times New Roman" w:hAnsi="Times New Roman"/>
                <w:sz w:val="21"/>
                <w:szCs w:val="21"/>
              </w:rPr>
              <w:t>-0.0698</w:t>
            </w:r>
          </w:p>
        </w:tc>
        <w:tc>
          <w:tcPr>
            <w:tcW w:w="0" w:type="auto"/>
            <w:vAlign w:val="center"/>
          </w:tcPr>
          <w:p>
            <w:pPr>
              <w:jc w:val="center"/>
              <w:rPr>
                <w:rFonts w:ascii="Times New Roman" w:hAnsi="Times New Roman"/>
                <w:sz w:val="21"/>
                <w:szCs w:val="21"/>
              </w:rPr>
            </w:pPr>
            <w:r>
              <w:rPr>
                <w:rFonts w:ascii="Times New Roman" w:hAnsi="Times New Roman"/>
                <w:sz w:val="21"/>
                <w:szCs w:val="21"/>
              </w:rPr>
              <w:t>0.0129</w:t>
            </w:r>
          </w:p>
        </w:tc>
        <w:tc>
          <w:tcPr>
            <w:tcW w:w="0" w:type="auto"/>
            <w:vAlign w:val="center"/>
          </w:tcPr>
          <w:p>
            <w:pPr>
              <w:jc w:val="center"/>
              <w:rPr>
                <w:rFonts w:ascii="Times New Roman" w:hAnsi="Times New Roman"/>
                <w:sz w:val="21"/>
                <w:szCs w:val="21"/>
              </w:rPr>
            </w:pPr>
            <w:r>
              <w:rPr>
                <w:rFonts w:ascii="Times New Roman" w:hAnsi="Times New Roman"/>
                <w:sz w:val="21"/>
                <w:szCs w:val="21"/>
              </w:rPr>
              <w:t>0.0297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0.70</w:t>
            </w:r>
          </w:p>
        </w:tc>
        <w:tc>
          <w:tcPr>
            <w:tcW w:w="1022" w:type="dxa"/>
            <w:vAlign w:val="center"/>
          </w:tcPr>
          <w:p>
            <w:pPr>
              <w:jc w:val="center"/>
              <w:rPr>
                <w:rFonts w:ascii="Times New Roman" w:hAnsi="Times New Roman"/>
                <w:sz w:val="21"/>
                <w:szCs w:val="21"/>
              </w:rPr>
            </w:pPr>
            <w:r>
              <w:rPr>
                <w:rFonts w:ascii="Times New Roman" w:hAnsi="Times New Roman"/>
                <w:sz w:val="21"/>
                <w:szCs w:val="21"/>
              </w:rPr>
              <w:t>-0.0743</w:t>
            </w:r>
          </w:p>
        </w:tc>
        <w:tc>
          <w:tcPr>
            <w:tcW w:w="1000" w:type="dxa"/>
          </w:tcPr>
          <w:p>
            <w:pPr>
              <w:jc w:val="center"/>
              <w:rPr>
                <w:rFonts w:ascii="Times New Roman" w:hAnsi="Times New Roman"/>
                <w:sz w:val="21"/>
                <w:szCs w:val="21"/>
              </w:rPr>
            </w:pPr>
            <w:r>
              <w:rPr>
                <w:rFonts w:ascii="Times New Roman" w:hAnsi="Times New Roman"/>
                <w:sz w:val="21"/>
                <w:szCs w:val="21"/>
              </w:rPr>
              <w:t>-0.0907</w:t>
            </w:r>
          </w:p>
        </w:tc>
        <w:tc>
          <w:tcPr>
            <w:tcW w:w="791" w:type="dxa"/>
            <w:vAlign w:val="center"/>
          </w:tcPr>
          <w:p>
            <w:pPr>
              <w:jc w:val="center"/>
              <w:rPr>
                <w:rFonts w:ascii="Times New Roman" w:hAnsi="Times New Roman"/>
                <w:sz w:val="21"/>
                <w:szCs w:val="21"/>
              </w:rPr>
            </w:pPr>
            <w:r>
              <w:rPr>
                <w:rFonts w:ascii="Times New Roman" w:hAnsi="Times New Roman"/>
                <w:sz w:val="21"/>
                <w:szCs w:val="21"/>
              </w:rPr>
              <w:t>0.0198</w:t>
            </w:r>
          </w:p>
        </w:tc>
        <w:tc>
          <w:tcPr>
            <w:tcW w:w="965" w:type="dxa"/>
            <w:vAlign w:val="center"/>
          </w:tcPr>
          <w:p>
            <w:pPr>
              <w:jc w:val="center"/>
              <w:rPr>
                <w:rFonts w:ascii="Times New Roman" w:hAnsi="Times New Roman"/>
                <w:sz w:val="21"/>
                <w:szCs w:val="21"/>
              </w:rPr>
            </w:pPr>
            <w:r>
              <w:rPr>
                <w:rFonts w:ascii="Times New Roman" w:hAnsi="Times New Roman"/>
                <w:sz w:val="21"/>
                <w:szCs w:val="21"/>
              </w:rPr>
              <w:t>0.0368</w:t>
            </w:r>
          </w:p>
        </w:tc>
        <w:tc>
          <w:tcPr>
            <w:tcW w:w="0" w:type="auto"/>
            <w:vAlign w:val="center"/>
          </w:tcPr>
          <w:p>
            <w:pPr>
              <w:jc w:val="center"/>
              <w:rPr>
                <w:rFonts w:ascii="Times New Roman" w:hAnsi="Times New Roman"/>
                <w:sz w:val="21"/>
                <w:szCs w:val="21"/>
              </w:rPr>
            </w:pPr>
            <w:r>
              <w:rPr>
                <w:rFonts w:ascii="Times New Roman" w:hAnsi="Times New Roman"/>
                <w:sz w:val="21"/>
                <w:szCs w:val="21"/>
              </w:rPr>
              <w:t>-0.0568</w:t>
            </w:r>
          </w:p>
        </w:tc>
        <w:tc>
          <w:tcPr>
            <w:tcW w:w="0" w:type="auto"/>
            <w:vAlign w:val="center"/>
          </w:tcPr>
          <w:p>
            <w:pPr>
              <w:jc w:val="center"/>
              <w:rPr>
                <w:rFonts w:ascii="Times New Roman" w:hAnsi="Times New Roman"/>
                <w:sz w:val="21"/>
                <w:szCs w:val="21"/>
              </w:rPr>
            </w:pPr>
            <w:r>
              <w:rPr>
                <w:rFonts w:ascii="Times New Roman" w:hAnsi="Times New Roman"/>
                <w:sz w:val="21"/>
                <w:szCs w:val="21"/>
              </w:rPr>
              <w:t>-0.0731</w:t>
            </w:r>
          </w:p>
        </w:tc>
        <w:tc>
          <w:tcPr>
            <w:tcW w:w="0" w:type="auto"/>
            <w:vAlign w:val="center"/>
          </w:tcPr>
          <w:p>
            <w:pPr>
              <w:jc w:val="center"/>
              <w:rPr>
                <w:rFonts w:ascii="Times New Roman" w:hAnsi="Times New Roman"/>
                <w:sz w:val="21"/>
                <w:szCs w:val="21"/>
              </w:rPr>
            </w:pPr>
            <w:r>
              <w:rPr>
                <w:rFonts w:ascii="Times New Roman" w:hAnsi="Times New Roman"/>
                <w:sz w:val="21"/>
                <w:szCs w:val="21"/>
              </w:rPr>
              <w:t>0.0114</w:t>
            </w:r>
          </w:p>
        </w:tc>
        <w:tc>
          <w:tcPr>
            <w:tcW w:w="0" w:type="auto"/>
            <w:vAlign w:val="center"/>
          </w:tcPr>
          <w:p>
            <w:pPr>
              <w:jc w:val="center"/>
              <w:rPr>
                <w:rFonts w:ascii="Times New Roman" w:hAnsi="Times New Roman"/>
                <w:sz w:val="21"/>
                <w:szCs w:val="21"/>
              </w:rPr>
            </w:pPr>
            <w:r>
              <w:rPr>
                <w:rFonts w:ascii="Times New Roman" w:hAnsi="Times New Roman"/>
                <w:sz w:val="21"/>
                <w:szCs w:val="21"/>
              </w:rPr>
              <w:t>0.0322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0.65</w:t>
            </w:r>
          </w:p>
        </w:tc>
        <w:tc>
          <w:tcPr>
            <w:tcW w:w="1022" w:type="dxa"/>
            <w:vAlign w:val="center"/>
          </w:tcPr>
          <w:p>
            <w:pPr>
              <w:jc w:val="center"/>
              <w:rPr>
                <w:rFonts w:ascii="Times New Roman" w:hAnsi="Times New Roman"/>
                <w:sz w:val="21"/>
                <w:szCs w:val="21"/>
              </w:rPr>
            </w:pPr>
            <w:r>
              <w:rPr>
                <w:rFonts w:ascii="Times New Roman" w:hAnsi="Times New Roman"/>
                <w:sz w:val="21"/>
                <w:szCs w:val="21"/>
              </w:rPr>
              <w:t>-0.0755</w:t>
            </w:r>
          </w:p>
        </w:tc>
        <w:tc>
          <w:tcPr>
            <w:tcW w:w="1000" w:type="dxa"/>
          </w:tcPr>
          <w:p>
            <w:pPr>
              <w:jc w:val="center"/>
              <w:rPr>
                <w:rFonts w:ascii="Times New Roman" w:hAnsi="Times New Roman"/>
                <w:sz w:val="21"/>
                <w:szCs w:val="21"/>
              </w:rPr>
            </w:pPr>
            <w:r>
              <w:rPr>
                <w:rFonts w:ascii="Times New Roman" w:hAnsi="Times New Roman"/>
                <w:sz w:val="21"/>
                <w:szCs w:val="21"/>
              </w:rPr>
              <w:t>-0.0978</w:t>
            </w:r>
          </w:p>
        </w:tc>
        <w:tc>
          <w:tcPr>
            <w:tcW w:w="791" w:type="dxa"/>
            <w:vAlign w:val="center"/>
          </w:tcPr>
          <w:p>
            <w:pPr>
              <w:jc w:val="center"/>
              <w:rPr>
                <w:rFonts w:ascii="Times New Roman" w:hAnsi="Times New Roman"/>
                <w:sz w:val="21"/>
                <w:szCs w:val="21"/>
              </w:rPr>
            </w:pPr>
            <w:r>
              <w:rPr>
                <w:rFonts w:ascii="Times New Roman" w:hAnsi="Times New Roman"/>
                <w:sz w:val="21"/>
                <w:szCs w:val="21"/>
              </w:rPr>
              <w:t>0.0177</w:t>
            </w:r>
          </w:p>
        </w:tc>
        <w:tc>
          <w:tcPr>
            <w:tcW w:w="965" w:type="dxa"/>
            <w:vAlign w:val="center"/>
          </w:tcPr>
          <w:p>
            <w:pPr>
              <w:jc w:val="center"/>
              <w:rPr>
                <w:rFonts w:ascii="Times New Roman" w:hAnsi="Times New Roman"/>
                <w:sz w:val="21"/>
                <w:szCs w:val="21"/>
              </w:rPr>
            </w:pPr>
            <w:r>
              <w:rPr>
                <w:rFonts w:ascii="Times New Roman" w:hAnsi="Times New Roman"/>
                <w:sz w:val="21"/>
                <w:szCs w:val="21"/>
              </w:rPr>
              <w:t>0.0411</w:t>
            </w:r>
          </w:p>
        </w:tc>
        <w:tc>
          <w:tcPr>
            <w:tcW w:w="0" w:type="auto"/>
            <w:vAlign w:val="center"/>
          </w:tcPr>
          <w:p>
            <w:pPr>
              <w:jc w:val="center"/>
              <w:rPr>
                <w:rFonts w:ascii="Times New Roman" w:hAnsi="Times New Roman"/>
                <w:sz w:val="21"/>
                <w:szCs w:val="21"/>
              </w:rPr>
            </w:pPr>
            <w:r>
              <w:rPr>
                <w:rFonts w:ascii="Times New Roman" w:hAnsi="Times New Roman"/>
                <w:sz w:val="21"/>
                <w:szCs w:val="21"/>
              </w:rPr>
              <w:t>-0.0565</w:t>
            </w:r>
          </w:p>
        </w:tc>
        <w:tc>
          <w:tcPr>
            <w:tcW w:w="0" w:type="auto"/>
            <w:vAlign w:val="center"/>
          </w:tcPr>
          <w:p>
            <w:pPr>
              <w:jc w:val="center"/>
              <w:rPr>
                <w:rFonts w:ascii="Times New Roman" w:hAnsi="Times New Roman"/>
                <w:sz w:val="21"/>
                <w:szCs w:val="21"/>
              </w:rPr>
            </w:pPr>
            <w:r>
              <w:rPr>
                <w:rFonts w:ascii="Times New Roman" w:hAnsi="Times New Roman"/>
                <w:sz w:val="21"/>
                <w:szCs w:val="21"/>
              </w:rPr>
              <w:t>-0.0759</w:t>
            </w:r>
          </w:p>
        </w:tc>
        <w:tc>
          <w:tcPr>
            <w:tcW w:w="0" w:type="auto"/>
            <w:vAlign w:val="center"/>
          </w:tcPr>
          <w:p>
            <w:pPr>
              <w:jc w:val="center"/>
              <w:rPr>
                <w:rFonts w:ascii="Times New Roman" w:hAnsi="Times New Roman"/>
                <w:sz w:val="21"/>
                <w:szCs w:val="21"/>
              </w:rPr>
            </w:pPr>
            <w:r>
              <w:rPr>
                <w:rFonts w:ascii="Times New Roman" w:hAnsi="Times New Roman"/>
                <w:sz w:val="21"/>
                <w:szCs w:val="21"/>
              </w:rPr>
              <w:t>0.0096</w:t>
            </w:r>
          </w:p>
        </w:tc>
        <w:tc>
          <w:tcPr>
            <w:tcW w:w="0" w:type="auto"/>
            <w:vAlign w:val="center"/>
          </w:tcPr>
          <w:p>
            <w:pPr>
              <w:jc w:val="center"/>
              <w:rPr>
                <w:rFonts w:ascii="Times New Roman" w:hAnsi="Times New Roman"/>
                <w:sz w:val="21"/>
                <w:szCs w:val="21"/>
              </w:rPr>
            </w:pPr>
            <w:r>
              <w:rPr>
                <w:rFonts w:ascii="Times New Roman" w:hAnsi="Times New Roman"/>
                <w:sz w:val="21"/>
                <w:szCs w:val="21"/>
              </w:rPr>
              <w:t>0.0346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0.60</w:t>
            </w:r>
          </w:p>
        </w:tc>
        <w:tc>
          <w:tcPr>
            <w:tcW w:w="1022" w:type="dxa"/>
            <w:vAlign w:val="center"/>
          </w:tcPr>
          <w:p>
            <w:pPr>
              <w:jc w:val="center"/>
              <w:rPr>
                <w:rFonts w:ascii="Times New Roman" w:hAnsi="Times New Roman"/>
                <w:sz w:val="21"/>
                <w:szCs w:val="21"/>
              </w:rPr>
            </w:pPr>
            <w:r>
              <w:rPr>
                <w:rFonts w:ascii="Times New Roman" w:hAnsi="Times New Roman"/>
                <w:sz w:val="21"/>
                <w:szCs w:val="21"/>
              </w:rPr>
              <w:t>-0.0765</w:t>
            </w:r>
          </w:p>
        </w:tc>
        <w:tc>
          <w:tcPr>
            <w:tcW w:w="1000" w:type="dxa"/>
          </w:tcPr>
          <w:p>
            <w:pPr>
              <w:jc w:val="center"/>
              <w:rPr>
                <w:rFonts w:ascii="Times New Roman" w:hAnsi="Times New Roman"/>
                <w:sz w:val="21"/>
                <w:szCs w:val="21"/>
              </w:rPr>
            </w:pPr>
            <w:r>
              <w:rPr>
                <w:rFonts w:ascii="Times New Roman" w:hAnsi="Times New Roman"/>
                <w:sz w:val="21"/>
                <w:szCs w:val="21"/>
              </w:rPr>
              <w:t>-0.1046</w:t>
            </w:r>
          </w:p>
        </w:tc>
        <w:tc>
          <w:tcPr>
            <w:tcW w:w="791" w:type="dxa"/>
            <w:vAlign w:val="center"/>
          </w:tcPr>
          <w:p>
            <w:pPr>
              <w:jc w:val="center"/>
              <w:rPr>
                <w:rFonts w:ascii="Times New Roman" w:hAnsi="Times New Roman"/>
                <w:sz w:val="21"/>
                <w:szCs w:val="21"/>
              </w:rPr>
            </w:pPr>
            <w:r>
              <w:rPr>
                <w:rFonts w:ascii="Times New Roman" w:hAnsi="Times New Roman"/>
                <w:sz w:val="21"/>
                <w:szCs w:val="21"/>
              </w:rPr>
              <w:t>0.0153</w:t>
            </w:r>
          </w:p>
        </w:tc>
        <w:tc>
          <w:tcPr>
            <w:tcW w:w="965" w:type="dxa"/>
            <w:vAlign w:val="center"/>
          </w:tcPr>
          <w:p>
            <w:pPr>
              <w:jc w:val="center"/>
              <w:rPr>
                <w:rFonts w:ascii="Times New Roman" w:hAnsi="Times New Roman"/>
                <w:sz w:val="21"/>
                <w:szCs w:val="21"/>
              </w:rPr>
            </w:pPr>
            <w:r>
              <w:rPr>
                <w:rFonts w:ascii="Times New Roman" w:hAnsi="Times New Roman"/>
                <w:sz w:val="21"/>
                <w:szCs w:val="21"/>
              </w:rPr>
              <w:t>0.0452</w:t>
            </w:r>
          </w:p>
        </w:tc>
        <w:tc>
          <w:tcPr>
            <w:tcW w:w="0" w:type="auto"/>
            <w:vAlign w:val="center"/>
          </w:tcPr>
          <w:p>
            <w:pPr>
              <w:jc w:val="center"/>
              <w:rPr>
                <w:rFonts w:ascii="Times New Roman" w:hAnsi="Times New Roman"/>
                <w:sz w:val="21"/>
                <w:szCs w:val="21"/>
              </w:rPr>
            </w:pPr>
            <w:r>
              <w:rPr>
                <w:rFonts w:ascii="Times New Roman" w:hAnsi="Times New Roman"/>
                <w:sz w:val="21"/>
                <w:szCs w:val="21"/>
              </w:rPr>
              <w:t>-0.0562</w:t>
            </w:r>
          </w:p>
        </w:tc>
        <w:tc>
          <w:tcPr>
            <w:tcW w:w="0" w:type="auto"/>
            <w:vAlign w:val="center"/>
          </w:tcPr>
          <w:p>
            <w:pPr>
              <w:jc w:val="center"/>
              <w:rPr>
                <w:rFonts w:ascii="Times New Roman" w:hAnsi="Times New Roman"/>
                <w:sz w:val="21"/>
                <w:szCs w:val="21"/>
              </w:rPr>
            </w:pPr>
            <w:r>
              <w:rPr>
                <w:rFonts w:ascii="Times New Roman" w:hAnsi="Times New Roman"/>
                <w:sz w:val="21"/>
                <w:szCs w:val="21"/>
              </w:rPr>
              <w:t>-0.0784</w:t>
            </w:r>
          </w:p>
        </w:tc>
        <w:tc>
          <w:tcPr>
            <w:tcW w:w="0" w:type="auto"/>
            <w:vAlign w:val="center"/>
          </w:tcPr>
          <w:p>
            <w:pPr>
              <w:jc w:val="center"/>
              <w:rPr>
                <w:rFonts w:ascii="Times New Roman" w:hAnsi="Times New Roman"/>
                <w:sz w:val="21"/>
                <w:szCs w:val="21"/>
              </w:rPr>
            </w:pPr>
            <w:r>
              <w:rPr>
                <w:rFonts w:ascii="Times New Roman" w:hAnsi="Times New Roman"/>
                <w:sz w:val="21"/>
                <w:szCs w:val="21"/>
              </w:rPr>
              <w:t>0.0076</w:t>
            </w:r>
          </w:p>
        </w:tc>
        <w:tc>
          <w:tcPr>
            <w:tcW w:w="0" w:type="auto"/>
            <w:vAlign w:val="center"/>
          </w:tcPr>
          <w:p>
            <w:pPr>
              <w:jc w:val="center"/>
              <w:rPr>
                <w:rFonts w:ascii="Times New Roman" w:hAnsi="Times New Roman"/>
                <w:sz w:val="21"/>
                <w:szCs w:val="21"/>
              </w:rPr>
            </w:pPr>
            <w:r>
              <w:rPr>
                <w:rFonts w:ascii="Times New Roman" w:hAnsi="Times New Roman"/>
                <w:sz w:val="21"/>
                <w:szCs w:val="21"/>
              </w:rPr>
              <w:t>0.0367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0.55</w:t>
            </w:r>
          </w:p>
        </w:tc>
        <w:tc>
          <w:tcPr>
            <w:tcW w:w="1022" w:type="dxa"/>
            <w:vAlign w:val="center"/>
          </w:tcPr>
          <w:p>
            <w:pPr>
              <w:jc w:val="center"/>
              <w:rPr>
                <w:rFonts w:ascii="Times New Roman" w:hAnsi="Times New Roman"/>
                <w:sz w:val="21"/>
                <w:szCs w:val="21"/>
              </w:rPr>
            </w:pPr>
            <w:r>
              <w:rPr>
                <w:rFonts w:ascii="Times New Roman" w:hAnsi="Times New Roman"/>
                <w:sz w:val="21"/>
                <w:szCs w:val="21"/>
              </w:rPr>
              <w:t>-0.0774</w:t>
            </w:r>
          </w:p>
        </w:tc>
        <w:tc>
          <w:tcPr>
            <w:tcW w:w="1000" w:type="dxa"/>
          </w:tcPr>
          <w:p>
            <w:pPr>
              <w:jc w:val="center"/>
              <w:rPr>
                <w:rFonts w:ascii="Times New Roman" w:hAnsi="Times New Roman"/>
                <w:sz w:val="21"/>
                <w:szCs w:val="21"/>
              </w:rPr>
            </w:pPr>
            <w:r>
              <w:rPr>
                <w:rFonts w:ascii="Times New Roman" w:hAnsi="Times New Roman"/>
                <w:sz w:val="21"/>
                <w:szCs w:val="21"/>
              </w:rPr>
              <w:t>-01101</w:t>
            </w:r>
          </w:p>
        </w:tc>
        <w:tc>
          <w:tcPr>
            <w:tcW w:w="791" w:type="dxa"/>
            <w:vAlign w:val="center"/>
          </w:tcPr>
          <w:p>
            <w:pPr>
              <w:jc w:val="center"/>
              <w:rPr>
                <w:rFonts w:ascii="Times New Roman" w:hAnsi="Times New Roman"/>
                <w:sz w:val="21"/>
                <w:szCs w:val="21"/>
              </w:rPr>
            </w:pPr>
            <w:r>
              <w:rPr>
                <w:rFonts w:ascii="Times New Roman" w:hAnsi="Times New Roman"/>
                <w:sz w:val="21"/>
                <w:szCs w:val="21"/>
              </w:rPr>
              <w:t>0.0127</w:t>
            </w:r>
          </w:p>
        </w:tc>
        <w:tc>
          <w:tcPr>
            <w:tcW w:w="965" w:type="dxa"/>
            <w:vAlign w:val="center"/>
          </w:tcPr>
          <w:p>
            <w:pPr>
              <w:jc w:val="center"/>
              <w:rPr>
                <w:rFonts w:ascii="Times New Roman" w:hAnsi="Times New Roman"/>
                <w:sz w:val="21"/>
                <w:szCs w:val="21"/>
              </w:rPr>
            </w:pPr>
            <w:r>
              <w:rPr>
                <w:rFonts w:ascii="Times New Roman" w:hAnsi="Times New Roman"/>
                <w:sz w:val="21"/>
                <w:szCs w:val="21"/>
              </w:rPr>
              <w:t>0.0492</w:t>
            </w:r>
          </w:p>
        </w:tc>
        <w:tc>
          <w:tcPr>
            <w:tcW w:w="0" w:type="auto"/>
            <w:vAlign w:val="center"/>
          </w:tcPr>
          <w:p>
            <w:pPr>
              <w:jc w:val="center"/>
              <w:rPr>
                <w:rFonts w:ascii="Times New Roman" w:hAnsi="Times New Roman"/>
                <w:sz w:val="21"/>
                <w:szCs w:val="21"/>
              </w:rPr>
            </w:pPr>
            <w:r>
              <w:rPr>
                <w:rFonts w:ascii="Times New Roman" w:hAnsi="Times New Roman"/>
                <w:sz w:val="21"/>
                <w:szCs w:val="21"/>
              </w:rPr>
              <w:t>-0.0561</w:t>
            </w:r>
          </w:p>
        </w:tc>
        <w:tc>
          <w:tcPr>
            <w:tcW w:w="0" w:type="auto"/>
            <w:vAlign w:val="center"/>
          </w:tcPr>
          <w:p>
            <w:pPr>
              <w:jc w:val="center"/>
              <w:rPr>
                <w:rFonts w:ascii="Times New Roman" w:hAnsi="Times New Roman"/>
                <w:sz w:val="21"/>
                <w:szCs w:val="21"/>
              </w:rPr>
            </w:pPr>
            <w:r>
              <w:rPr>
                <w:rFonts w:ascii="Times New Roman" w:hAnsi="Times New Roman"/>
                <w:sz w:val="21"/>
                <w:szCs w:val="21"/>
              </w:rPr>
              <w:t>-0.0806</w:t>
            </w:r>
          </w:p>
        </w:tc>
        <w:tc>
          <w:tcPr>
            <w:tcW w:w="0" w:type="auto"/>
            <w:vAlign w:val="center"/>
          </w:tcPr>
          <w:p>
            <w:pPr>
              <w:jc w:val="center"/>
              <w:rPr>
                <w:rFonts w:ascii="Times New Roman" w:hAnsi="Times New Roman"/>
                <w:sz w:val="21"/>
                <w:szCs w:val="21"/>
              </w:rPr>
            </w:pPr>
            <w:r>
              <w:rPr>
                <w:rFonts w:ascii="Times New Roman" w:hAnsi="Times New Roman"/>
                <w:sz w:val="21"/>
                <w:szCs w:val="21"/>
              </w:rPr>
              <w:t>0.0055</w:t>
            </w:r>
          </w:p>
        </w:tc>
        <w:tc>
          <w:tcPr>
            <w:tcW w:w="0" w:type="auto"/>
            <w:vAlign w:val="center"/>
          </w:tcPr>
          <w:p>
            <w:pPr>
              <w:jc w:val="center"/>
              <w:rPr>
                <w:rFonts w:ascii="Times New Roman" w:hAnsi="Times New Roman"/>
                <w:sz w:val="21"/>
                <w:szCs w:val="21"/>
              </w:rPr>
            </w:pPr>
            <w:r>
              <w:rPr>
                <w:rFonts w:ascii="Times New Roman" w:hAnsi="Times New Roman"/>
                <w:sz w:val="21"/>
                <w:szCs w:val="21"/>
              </w:rPr>
              <w:t>0.0385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rPr>
                <w:rFonts w:ascii="Times New Roman" w:hAnsi="Times New Roman"/>
                <w:sz w:val="21"/>
                <w:szCs w:val="21"/>
              </w:rPr>
            </w:pPr>
          </w:p>
        </w:tc>
        <w:tc>
          <w:tcPr>
            <w:tcW w:w="576" w:type="dxa"/>
            <w:vAlign w:val="center"/>
          </w:tcPr>
          <w:p>
            <w:pPr>
              <w:rPr>
                <w:rFonts w:ascii="Times New Roman" w:hAnsi="Times New Roman"/>
                <w:sz w:val="21"/>
                <w:szCs w:val="21"/>
              </w:rPr>
            </w:pPr>
            <w:r>
              <w:rPr>
                <w:rFonts w:ascii="Times New Roman" w:hAnsi="Times New Roman"/>
                <w:sz w:val="21"/>
                <w:szCs w:val="21"/>
              </w:rPr>
              <w:t>0.50</w:t>
            </w:r>
          </w:p>
        </w:tc>
        <w:tc>
          <w:tcPr>
            <w:tcW w:w="1022" w:type="dxa"/>
            <w:vAlign w:val="center"/>
          </w:tcPr>
          <w:p>
            <w:pPr>
              <w:jc w:val="center"/>
              <w:rPr>
                <w:rFonts w:ascii="Times New Roman" w:hAnsi="Times New Roman"/>
                <w:sz w:val="21"/>
                <w:szCs w:val="21"/>
              </w:rPr>
            </w:pPr>
            <w:r>
              <w:rPr>
                <w:rFonts w:ascii="Times New Roman" w:hAnsi="Times New Roman"/>
                <w:sz w:val="21"/>
                <w:szCs w:val="21"/>
              </w:rPr>
              <w:t>-0.0782</w:t>
            </w:r>
          </w:p>
        </w:tc>
        <w:tc>
          <w:tcPr>
            <w:tcW w:w="1000" w:type="dxa"/>
          </w:tcPr>
          <w:p>
            <w:pPr>
              <w:jc w:val="center"/>
              <w:rPr>
                <w:rFonts w:ascii="Times New Roman" w:hAnsi="Times New Roman"/>
                <w:sz w:val="21"/>
                <w:szCs w:val="21"/>
              </w:rPr>
            </w:pPr>
            <w:r>
              <w:rPr>
                <w:rFonts w:ascii="Times New Roman" w:hAnsi="Times New Roman"/>
                <w:sz w:val="21"/>
                <w:szCs w:val="21"/>
              </w:rPr>
              <w:t>-0.1140</w:t>
            </w:r>
          </w:p>
        </w:tc>
        <w:tc>
          <w:tcPr>
            <w:tcW w:w="791" w:type="dxa"/>
            <w:vAlign w:val="center"/>
          </w:tcPr>
          <w:p>
            <w:pPr>
              <w:jc w:val="center"/>
              <w:rPr>
                <w:rFonts w:ascii="Times New Roman" w:hAnsi="Times New Roman"/>
                <w:sz w:val="21"/>
                <w:szCs w:val="21"/>
              </w:rPr>
            </w:pPr>
            <w:r>
              <w:rPr>
                <w:rFonts w:ascii="Times New Roman" w:hAnsi="Times New Roman"/>
                <w:sz w:val="21"/>
                <w:szCs w:val="21"/>
              </w:rPr>
              <w:t>0.0098</w:t>
            </w:r>
          </w:p>
        </w:tc>
        <w:tc>
          <w:tcPr>
            <w:tcW w:w="965" w:type="dxa"/>
            <w:vAlign w:val="center"/>
          </w:tcPr>
          <w:p>
            <w:pPr>
              <w:jc w:val="center"/>
              <w:rPr>
                <w:rFonts w:ascii="Times New Roman" w:hAnsi="Times New Roman"/>
                <w:sz w:val="21"/>
                <w:szCs w:val="21"/>
              </w:rPr>
            </w:pPr>
            <w:r>
              <w:rPr>
                <w:rFonts w:ascii="Times New Roman" w:hAnsi="Times New Roman"/>
                <w:sz w:val="21"/>
                <w:szCs w:val="21"/>
              </w:rPr>
              <w:t>0.0535</w:t>
            </w:r>
          </w:p>
        </w:tc>
        <w:tc>
          <w:tcPr>
            <w:tcW w:w="0" w:type="auto"/>
            <w:vAlign w:val="center"/>
          </w:tcPr>
          <w:p>
            <w:pPr>
              <w:jc w:val="center"/>
              <w:rPr>
                <w:rFonts w:ascii="Times New Roman" w:hAnsi="Times New Roman"/>
                <w:sz w:val="21"/>
                <w:szCs w:val="21"/>
              </w:rPr>
            </w:pPr>
            <w:r>
              <w:rPr>
                <w:rFonts w:ascii="Times New Roman" w:hAnsi="Times New Roman"/>
                <w:sz w:val="21"/>
                <w:szCs w:val="21"/>
              </w:rPr>
              <w:t>-0.0560</w:t>
            </w:r>
          </w:p>
        </w:tc>
        <w:tc>
          <w:tcPr>
            <w:tcW w:w="0" w:type="auto"/>
            <w:vAlign w:val="center"/>
          </w:tcPr>
          <w:p>
            <w:pPr>
              <w:jc w:val="center"/>
              <w:rPr>
                <w:rFonts w:ascii="Times New Roman" w:hAnsi="Times New Roman"/>
                <w:sz w:val="21"/>
                <w:szCs w:val="21"/>
              </w:rPr>
            </w:pPr>
            <w:r>
              <w:rPr>
                <w:rFonts w:ascii="Times New Roman" w:hAnsi="Times New Roman"/>
                <w:sz w:val="21"/>
                <w:szCs w:val="21"/>
              </w:rPr>
              <w:t>-0.0826</w:t>
            </w:r>
          </w:p>
        </w:tc>
        <w:tc>
          <w:tcPr>
            <w:tcW w:w="0" w:type="auto"/>
            <w:vAlign w:val="center"/>
          </w:tcPr>
          <w:p>
            <w:pPr>
              <w:jc w:val="center"/>
              <w:rPr>
                <w:rFonts w:ascii="Times New Roman" w:hAnsi="Times New Roman"/>
                <w:sz w:val="21"/>
                <w:szCs w:val="21"/>
              </w:rPr>
            </w:pPr>
            <w:r>
              <w:rPr>
                <w:rFonts w:ascii="Times New Roman" w:hAnsi="Times New Roman"/>
                <w:sz w:val="21"/>
                <w:szCs w:val="21"/>
              </w:rPr>
              <w:t>0.0038</w:t>
            </w:r>
          </w:p>
        </w:tc>
        <w:tc>
          <w:tcPr>
            <w:tcW w:w="0" w:type="auto"/>
            <w:vAlign w:val="center"/>
          </w:tcPr>
          <w:p>
            <w:pPr>
              <w:jc w:val="center"/>
              <w:rPr>
                <w:rFonts w:ascii="Times New Roman" w:hAnsi="Times New Roman"/>
                <w:sz w:val="21"/>
                <w:szCs w:val="21"/>
              </w:rPr>
            </w:pPr>
            <w:r>
              <w:rPr>
                <w:rFonts w:ascii="Times New Roman" w:hAnsi="Times New Roman"/>
                <w:sz w:val="21"/>
                <w:szCs w:val="21"/>
              </w:rPr>
              <w:t>0.0401</w:t>
            </w:r>
          </w:p>
        </w:tc>
      </w:tr>
    </w:tbl>
    <w:p>
      <w:pPr>
        <w:rPr>
          <w:rFonts w:ascii="Times New Roman" w:hAnsi="Times New Roman"/>
        </w:rPr>
      </w:pPr>
    </w:p>
    <w:p>
      <w:pPr>
        <w:pStyle w:val="6"/>
        <w:rPr>
          <w:rFonts w:ascii="Times New Roman" w:hAnsi="Times New Roman"/>
          <w:b w:val="0"/>
        </w:rPr>
      </w:pPr>
      <w:bookmarkStart w:id="45" w:name="_Toc162996219"/>
      <w:r>
        <w:rPr>
          <w:rFonts w:ascii="Times New Roman" w:hAnsi="Times New Roman"/>
        </w:rPr>
        <w:t xml:space="preserve">5.5 </w:t>
      </w:r>
      <w:r>
        <w:rPr>
          <w:rFonts w:hint="eastAsia" w:ascii="Times New Roman" w:hAnsi="Times New Roman"/>
        </w:rPr>
        <w:t>其他</w:t>
      </w:r>
      <w:bookmarkEnd w:id="45"/>
    </w:p>
    <w:p>
      <w:pPr>
        <w:pStyle w:val="189"/>
      </w:pPr>
      <w:r>
        <w:rPr>
          <w:rFonts w:hint="eastAsia"/>
          <w:b/>
        </w:rPr>
        <w:t xml:space="preserve">5.5.1 </w:t>
      </w:r>
      <w:r>
        <w:t>在垂直于幕墙平面的风荷载和地震作用下，四点支承</w:t>
      </w:r>
      <w:r>
        <w:rPr>
          <w:rFonts w:hint="eastAsia"/>
        </w:rPr>
        <w:t>玻璃面板的应力和挠度</w:t>
      </w:r>
      <w:r>
        <w:t>：</w:t>
      </w:r>
    </w:p>
    <w:p>
      <w:pPr>
        <w:pStyle w:val="188"/>
        <w:ind w:firstLine="480"/>
      </w:pPr>
      <w:r>
        <w:t>1</w:t>
      </w:r>
      <w:r>
        <w:rPr>
          <w:rFonts w:hint="eastAsia"/>
        </w:rPr>
        <w:t xml:space="preserve"> </w:t>
      </w:r>
      <w:r>
        <w:t>可采用几何非线性的有限元方法计算跨中最大应力、孔边最大</w:t>
      </w:r>
      <w:r>
        <w:rPr>
          <w:rFonts w:hint="eastAsia"/>
        </w:rPr>
        <w:t>应力和跨中最大挠度。</w:t>
      </w:r>
    </w:p>
    <w:p>
      <w:pPr>
        <w:pStyle w:val="188"/>
        <w:ind w:firstLine="480"/>
      </w:pPr>
      <w:r>
        <w:t>2</w:t>
      </w:r>
      <w:r>
        <w:rPr>
          <w:rFonts w:hint="eastAsia"/>
        </w:rPr>
        <w:t xml:space="preserve"> </w:t>
      </w:r>
      <w:r>
        <w:t>也可按公式</w:t>
      </w:r>
      <w:r>
        <w:rPr>
          <w:rFonts w:hint="eastAsia"/>
        </w:rPr>
        <w:t>5.2.3～5.2.7条</w:t>
      </w:r>
      <w:r>
        <w:t>计算，但此处应注意：</w:t>
      </w:r>
    </w:p>
    <w:p>
      <w:pPr>
        <w:pStyle w:val="189"/>
      </w:pPr>
      <w:r>
        <w:rPr>
          <w:rFonts w:hint="eastAsia"/>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w:r>
              <w:rPr>
                <w:rFonts w:ascii="Times New Roman" w:hAnsi="Times New Roman"/>
                <w:sz w:val="21"/>
                <w:szCs w:val="21"/>
              </w:rPr>
              <w:t>a</w:t>
            </w:r>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ascii="Times New Roman" w:hAnsi="Times New Roman"/>
                <w:sz w:val="21"/>
                <w:szCs w:val="21"/>
              </w:rPr>
              <w:t>支承点间玻璃面板长边边长</w:t>
            </w:r>
            <w:r>
              <w:rPr>
                <w:rFonts w:hint="eastAsia" w:ascii="Times New Roman" w:hAnsi="Times New Roman"/>
                <w:sz w:val="21"/>
                <w:szCs w:val="21"/>
                <w:lang w:eastAsia="zh-CN"/>
              </w:rPr>
              <w:t>（</w:t>
            </w:r>
            <w:r>
              <w:rPr>
                <w:rFonts w:ascii="Times New Roman" w:hAnsi="Times New Roman"/>
                <w:sz w:val="21"/>
                <w:szCs w:val="21"/>
              </w:rPr>
              <w:t>mm)</w:t>
            </w:r>
            <w:r>
              <w:rPr>
                <w:rFonts w:hint="eastAsia" w:ascii="Times New Roman" w:hAnsi="Times New Roman"/>
                <w:sz w:val="21"/>
                <w:szCs w:val="21"/>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w:r>
              <w:rPr>
                <w:rFonts w:ascii="Times New Roman" w:hAnsi="Times New Roman"/>
                <w:sz w:val="21"/>
                <w:szCs w:val="21"/>
              </w:rPr>
              <w:t>m</w:t>
            </w:r>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ascii="Times New Roman" w:hAnsi="Times New Roman"/>
                <w:sz w:val="21"/>
                <w:szCs w:val="21"/>
              </w:rPr>
              <w:t>弯矩系数，按表5.2.8-1采用</w:t>
            </w:r>
            <w:r>
              <w:rPr>
                <w:rFonts w:hint="eastAsia" w:ascii="Times New Roman" w:hAnsi="Times New Roman"/>
                <w:snapToGrid w:val="0"/>
                <w:sz w:val="21"/>
                <w:szCs w:val="21"/>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sz w:val="21"/>
                <w:szCs w:val="21"/>
              </w:rPr>
            </w:pPr>
            <m:oMathPara>
              <m:oMathParaPr>
                <m:jc m:val="right"/>
              </m:oMathParaPr>
              <m:oMath>
                <m:r>
                  <m:rPr>
                    <m:sty m:val="p"/>
                  </m:rPr>
                  <w:rPr>
                    <w:rFonts w:ascii="Cambria Math" w:hAnsi="Cambria Math"/>
                    <w:snapToGrid w:val="0"/>
                    <w:sz w:val="21"/>
                    <w:szCs w:val="21"/>
                  </w:rPr>
                  <m:t>μ</m:t>
                </m:r>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ascii="Times New Roman" w:hAnsi="Times New Roman"/>
                <w:sz w:val="21"/>
                <w:szCs w:val="21"/>
              </w:rPr>
              <w:t>挠度系数，按表5.2.8-2采用</w:t>
            </w:r>
            <w:r>
              <w:rPr>
                <w:rFonts w:hint="eastAsia" w:ascii="Times New Roman" w:hAnsi="Times New Roman"/>
                <w:snapToGrid w:val="0"/>
                <w:sz w:val="21"/>
                <w:szCs w:val="21"/>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sz w:val="21"/>
                <w:szCs w:val="21"/>
              </w:rPr>
            </w:pPr>
            <m:oMathPara>
              <m:oMathParaPr>
                <m:jc m:val="right"/>
              </m:oMathParaPr>
              <m:oMath>
                <m:r>
                  <m:rPr>
                    <m:sty m:val="p"/>
                  </m:rPr>
                  <w:rPr>
                    <w:rFonts w:ascii="Cambria Math" w:hAnsi="Cambria Math"/>
                    <w:snapToGrid w:val="0"/>
                    <w:sz w:val="21"/>
                    <w:szCs w:val="21"/>
                  </w:rPr>
                  <m:t>η</m:t>
                </m:r>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ascii="Times New Roman" w:hAnsi="Times New Roman"/>
                <w:sz w:val="21"/>
                <w:szCs w:val="21"/>
              </w:rPr>
              <w:t>折减系数，按本规范表5.2.3-2采用，计算</w:t>
            </w:r>
            <m:oMath>
              <m:r>
                <m:rPr/>
                <w:rPr>
                  <w:rFonts w:ascii="Cambria Math" w:hAnsi="Cambria Math"/>
                  <w:sz w:val="21"/>
                  <w:szCs w:val="21"/>
                </w:rPr>
                <m:t>θ</m:t>
              </m:r>
            </m:oMath>
            <w:r>
              <w:rPr>
                <w:rFonts w:ascii="Times New Roman" w:hAnsi="Times New Roman"/>
                <w:sz w:val="21"/>
                <w:szCs w:val="21"/>
              </w:rPr>
              <w:t>时，</w:t>
            </w:r>
            <w:r>
              <w:rPr>
                <w:rFonts w:hint="eastAsia" w:ascii="Times New Roman" w:hAnsi="Times New Roman"/>
                <w:sz w:val="21"/>
                <w:szCs w:val="21"/>
              </w:rPr>
              <w:t>此处公式中</w:t>
            </w:r>
            <w:r>
              <w:rPr>
                <w:rFonts w:ascii="Times New Roman" w:hAnsi="Times New Roman"/>
                <w:sz w:val="21"/>
                <w:szCs w:val="21"/>
              </w:rPr>
              <w:t>a取长边边长</w:t>
            </w:r>
            <w:r>
              <w:rPr>
                <w:rFonts w:hint="eastAsia" w:ascii="Times New Roman" w:hAnsi="Times New Roman"/>
                <w:sz w:val="21"/>
                <w:szCs w:val="21"/>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bCs/>
                <w:sz w:val="21"/>
                <w:szCs w:val="21"/>
              </w:rPr>
            </w:pPr>
            <m:oMathPara>
              <m:oMathParaPr>
                <m:jc m:val="right"/>
              </m:oMathParaPr>
              <m:oMath>
                <m:r>
                  <m:rPr/>
                  <w:rPr>
                    <w:rFonts w:ascii="Cambria Math" w:hAnsi="Cambria Math"/>
                    <w:snapToGrid w:val="0"/>
                    <w:sz w:val="21"/>
                    <w:szCs w:val="21"/>
                  </w:rPr>
                  <m:t>D</m:t>
                </m:r>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ascii="Times New Roman" w:hAnsi="Times New Roman"/>
                <w:sz w:val="21"/>
                <w:szCs w:val="21"/>
              </w:rPr>
              <w:t>玻璃面板刚度，按照玻璃等效厚度计算。</w:t>
            </w:r>
          </w:p>
        </w:tc>
      </w:tr>
    </w:tbl>
    <w:p>
      <w:pPr>
        <w:pStyle w:val="188"/>
        <w:ind w:firstLine="480"/>
      </w:pPr>
      <w:r>
        <w:t>3</w:t>
      </w:r>
      <w:r>
        <w:rPr>
          <w:rFonts w:hint="eastAsia"/>
        </w:rPr>
        <w:t xml:space="preserve"> </w:t>
      </w:r>
      <w:r>
        <w:t>孔边最大应力设计值不应超过玻璃边缘强度设计值，跨</w:t>
      </w:r>
      <w:r>
        <w:rPr>
          <w:rFonts w:hint="eastAsia"/>
        </w:rPr>
        <w:t>中最大应力设计值应不超过玻璃中部强度设计值</w:t>
      </w:r>
      <w:r>
        <w:t>，挠度不超过表</w:t>
      </w:r>
      <w:r>
        <w:rPr>
          <w:rFonts w:hint="eastAsia"/>
        </w:rPr>
        <w:t>5.1.3</w:t>
      </w:r>
      <w:r>
        <w:t>的限值。</w:t>
      </w:r>
    </w:p>
    <w:p>
      <w:pPr>
        <w:pStyle w:val="186"/>
      </w:pPr>
      <w:r>
        <w:rPr>
          <w:rFonts w:hint="eastAsia"/>
        </w:rPr>
        <w:t>表5.2.8</w:t>
      </w:r>
      <w:r>
        <w:t>-1</w:t>
      </w:r>
      <w:r>
        <w:rPr>
          <w:rFonts w:hint="eastAsia"/>
        </w:rPr>
        <w:t xml:space="preserve"> </w:t>
      </w:r>
      <w:r>
        <w:t>四点支承玻璃板的弯矩系数m</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1032"/>
        <w:gridCol w:w="1032"/>
        <w:gridCol w:w="1033"/>
        <w:gridCol w:w="1033"/>
        <w:gridCol w:w="1033"/>
        <w:gridCol w:w="1033"/>
        <w:gridCol w:w="1033"/>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6" w:type="pct"/>
            <w:shd w:val="clear" w:color="auto" w:fill="auto"/>
            <w:noWrap/>
            <w:vAlign w:val="center"/>
          </w:tcPr>
          <w:p>
            <w:pPr>
              <w:pStyle w:val="191"/>
            </w:pPr>
            <w:r>
              <w:t>φ</w:t>
            </w:r>
          </w:p>
        </w:tc>
        <w:tc>
          <w:tcPr>
            <w:tcW w:w="556" w:type="pct"/>
            <w:shd w:val="clear" w:color="auto" w:fill="auto"/>
            <w:noWrap/>
            <w:vAlign w:val="center"/>
          </w:tcPr>
          <w:p>
            <w:pPr>
              <w:pStyle w:val="191"/>
            </w:pPr>
            <w:r>
              <w:t>0.01</w:t>
            </w:r>
          </w:p>
        </w:tc>
        <w:tc>
          <w:tcPr>
            <w:tcW w:w="556" w:type="pct"/>
            <w:shd w:val="clear" w:color="auto" w:fill="auto"/>
            <w:noWrap/>
            <w:vAlign w:val="center"/>
          </w:tcPr>
          <w:p>
            <w:pPr>
              <w:pStyle w:val="191"/>
            </w:pPr>
            <w:r>
              <w:t>0.2</w:t>
            </w:r>
            <w:r>
              <w:rPr>
                <w:rFonts w:hint="eastAsia"/>
              </w:rPr>
              <w:t>0</w:t>
            </w:r>
          </w:p>
        </w:tc>
        <w:tc>
          <w:tcPr>
            <w:tcW w:w="556" w:type="pct"/>
            <w:shd w:val="clear" w:color="auto" w:fill="auto"/>
            <w:noWrap/>
            <w:vAlign w:val="center"/>
          </w:tcPr>
          <w:p>
            <w:pPr>
              <w:pStyle w:val="191"/>
            </w:pPr>
            <w:r>
              <w:t>0.3</w:t>
            </w:r>
            <w:r>
              <w:rPr>
                <w:rFonts w:hint="eastAsia"/>
              </w:rPr>
              <w:t>0</w:t>
            </w:r>
          </w:p>
        </w:tc>
        <w:tc>
          <w:tcPr>
            <w:tcW w:w="556" w:type="pct"/>
            <w:shd w:val="clear" w:color="auto" w:fill="auto"/>
            <w:noWrap/>
            <w:vAlign w:val="center"/>
          </w:tcPr>
          <w:p>
            <w:pPr>
              <w:pStyle w:val="191"/>
            </w:pPr>
            <w:r>
              <w:t>0.4</w:t>
            </w:r>
            <w:r>
              <w:rPr>
                <w:rFonts w:hint="eastAsia"/>
              </w:rPr>
              <w:t>0</w:t>
            </w:r>
          </w:p>
        </w:tc>
        <w:tc>
          <w:tcPr>
            <w:tcW w:w="556" w:type="pct"/>
            <w:shd w:val="clear" w:color="auto" w:fill="auto"/>
            <w:noWrap/>
            <w:vAlign w:val="center"/>
          </w:tcPr>
          <w:p>
            <w:pPr>
              <w:pStyle w:val="191"/>
            </w:pPr>
            <w:r>
              <w:t>0.5</w:t>
            </w:r>
            <w:r>
              <w:rPr>
                <w:rFonts w:hint="eastAsia"/>
              </w:rPr>
              <w:t>0</w:t>
            </w:r>
          </w:p>
        </w:tc>
        <w:tc>
          <w:tcPr>
            <w:tcW w:w="556" w:type="pct"/>
            <w:shd w:val="clear" w:color="auto" w:fill="auto"/>
            <w:noWrap/>
            <w:vAlign w:val="center"/>
          </w:tcPr>
          <w:p>
            <w:pPr>
              <w:pStyle w:val="191"/>
            </w:pPr>
            <w:r>
              <w:t>0.55</w:t>
            </w:r>
          </w:p>
        </w:tc>
        <w:tc>
          <w:tcPr>
            <w:tcW w:w="556" w:type="pct"/>
            <w:shd w:val="clear" w:color="auto" w:fill="auto"/>
            <w:noWrap/>
            <w:vAlign w:val="center"/>
          </w:tcPr>
          <w:p>
            <w:pPr>
              <w:pStyle w:val="191"/>
            </w:pPr>
            <w:r>
              <w:t>0.6</w:t>
            </w:r>
            <w:r>
              <w:rPr>
                <w:rFonts w:hint="eastAsia"/>
              </w:rPr>
              <w:t>0</w:t>
            </w:r>
          </w:p>
        </w:tc>
        <w:tc>
          <w:tcPr>
            <w:tcW w:w="556" w:type="pct"/>
            <w:shd w:val="clear" w:color="auto" w:fill="auto"/>
            <w:noWrap/>
            <w:vAlign w:val="center"/>
          </w:tcPr>
          <w:p>
            <w:pPr>
              <w:pStyle w:val="191"/>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6" w:type="pct"/>
            <w:shd w:val="clear" w:color="auto" w:fill="auto"/>
            <w:noWrap/>
            <w:vAlign w:val="center"/>
          </w:tcPr>
          <w:p>
            <w:pPr>
              <w:pStyle w:val="191"/>
            </w:pPr>
            <w:r>
              <w:t>m</w:t>
            </w:r>
          </w:p>
        </w:tc>
        <w:tc>
          <w:tcPr>
            <w:tcW w:w="556" w:type="pct"/>
            <w:shd w:val="clear" w:color="auto" w:fill="auto"/>
            <w:noWrap/>
            <w:vAlign w:val="center"/>
          </w:tcPr>
          <w:p>
            <w:pPr>
              <w:pStyle w:val="191"/>
            </w:pPr>
            <w:r>
              <w:t>0.125</w:t>
            </w:r>
          </w:p>
        </w:tc>
        <w:tc>
          <w:tcPr>
            <w:tcW w:w="556" w:type="pct"/>
            <w:shd w:val="clear" w:color="auto" w:fill="auto"/>
            <w:noWrap/>
            <w:vAlign w:val="center"/>
          </w:tcPr>
          <w:p>
            <w:pPr>
              <w:pStyle w:val="191"/>
            </w:pPr>
            <w:r>
              <w:t>0.126</w:t>
            </w:r>
          </w:p>
        </w:tc>
        <w:tc>
          <w:tcPr>
            <w:tcW w:w="556" w:type="pct"/>
            <w:shd w:val="clear" w:color="auto" w:fill="auto"/>
            <w:noWrap/>
            <w:vAlign w:val="center"/>
          </w:tcPr>
          <w:p>
            <w:pPr>
              <w:pStyle w:val="191"/>
            </w:pPr>
            <w:r>
              <w:t>0.127</w:t>
            </w:r>
          </w:p>
        </w:tc>
        <w:tc>
          <w:tcPr>
            <w:tcW w:w="556" w:type="pct"/>
            <w:shd w:val="clear" w:color="auto" w:fill="auto"/>
            <w:noWrap/>
            <w:vAlign w:val="center"/>
          </w:tcPr>
          <w:p>
            <w:pPr>
              <w:pStyle w:val="191"/>
            </w:pPr>
            <w:r>
              <w:t>0.129</w:t>
            </w:r>
          </w:p>
        </w:tc>
        <w:tc>
          <w:tcPr>
            <w:tcW w:w="556" w:type="pct"/>
            <w:shd w:val="clear" w:color="auto" w:fill="auto"/>
            <w:noWrap/>
            <w:vAlign w:val="center"/>
          </w:tcPr>
          <w:p>
            <w:pPr>
              <w:pStyle w:val="191"/>
            </w:pPr>
            <w:r>
              <w:t>0.13</w:t>
            </w:r>
          </w:p>
        </w:tc>
        <w:tc>
          <w:tcPr>
            <w:tcW w:w="556" w:type="pct"/>
            <w:shd w:val="clear" w:color="auto" w:fill="auto"/>
            <w:noWrap/>
            <w:vAlign w:val="center"/>
          </w:tcPr>
          <w:p>
            <w:pPr>
              <w:pStyle w:val="191"/>
            </w:pPr>
            <w:r>
              <w:t>0.132</w:t>
            </w:r>
          </w:p>
        </w:tc>
        <w:tc>
          <w:tcPr>
            <w:tcW w:w="556" w:type="pct"/>
            <w:shd w:val="clear" w:color="auto" w:fill="auto"/>
            <w:noWrap/>
            <w:vAlign w:val="center"/>
          </w:tcPr>
          <w:p>
            <w:pPr>
              <w:pStyle w:val="191"/>
            </w:pPr>
            <w:r>
              <w:t>0.134</w:t>
            </w:r>
          </w:p>
        </w:tc>
        <w:tc>
          <w:tcPr>
            <w:tcW w:w="556" w:type="pct"/>
            <w:shd w:val="clear" w:color="auto" w:fill="auto"/>
            <w:noWrap/>
            <w:vAlign w:val="center"/>
          </w:tcPr>
          <w:p>
            <w:pPr>
              <w:pStyle w:val="191"/>
            </w:pPr>
            <w:r>
              <w:t>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6" w:type="pct"/>
            <w:shd w:val="clear" w:color="auto" w:fill="auto"/>
            <w:noWrap/>
            <w:vAlign w:val="center"/>
          </w:tcPr>
          <w:p>
            <w:pPr>
              <w:pStyle w:val="191"/>
            </w:pPr>
            <w:r>
              <w:t>φ</w:t>
            </w:r>
          </w:p>
        </w:tc>
        <w:tc>
          <w:tcPr>
            <w:tcW w:w="556" w:type="pct"/>
            <w:shd w:val="clear" w:color="auto" w:fill="auto"/>
            <w:noWrap/>
            <w:vAlign w:val="center"/>
          </w:tcPr>
          <w:p>
            <w:pPr>
              <w:pStyle w:val="191"/>
            </w:pPr>
            <w:r>
              <w:t>0.7</w:t>
            </w:r>
            <w:r>
              <w:rPr>
                <w:rFonts w:hint="eastAsia"/>
              </w:rPr>
              <w:t>0</w:t>
            </w:r>
          </w:p>
        </w:tc>
        <w:tc>
          <w:tcPr>
            <w:tcW w:w="556" w:type="pct"/>
            <w:shd w:val="clear" w:color="auto" w:fill="auto"/>
            <w:noWrap/>
            <w:vAlign w:val="center"/>
          </w:tcPr>
          <w:p>
            <w:pPr>
              <w:pStyle w:val="191"/>
            </w:pPr>
            <w:r>
              <w:t>0.75</w:t>
            </w:r>
          </w:p>
        </w:tc>
        <w:tc>
          <w:tcPr>
            <w:tcW w:w="556" w:type="pct"/>
            <w:shd w:val="clear" w:color="auto" w:fill="auto"/>
            <w:noWrap/>
            <w:vAlign w:val="center"/>
          </w:tcPr>
          <w:p>
            <w:pPr>
              <w:pStyle w:val="191"/>
            </w:pPr>
            <w:r>
              <w:t>0.8</w:t>
            </w:r>
            <w:r>
              <w:rPr>
                <w:rFonts w:hint="eastAsia"/>
              </w:rPr>
              <w:t>0</w:t>
            </w:r>
          </w:p>
        </w:tc>
        <w:tc>
          <w:tcPr>
            <w:tcW w:w="556" w:type="pct"/>
            <w:shd w:val="clear" w:color="auto" w:fill="auto"/>
            <w:noWrap/>
            <w:vAlign w:val="center"/>
          </w:tcPr>
          <w:p>
            <w:pPr>
              <w:pStyle w:val="191"/>
            </w:pPr>
            <w:r>
              <w:t>0.85</w:t>
            </w:r>
          </w:p>
        </w:tc>
        <w:tc>
          <w:tcPr>
            <w:tcW w:w="556" w:type="pct"/>
            <w:shd w:val="clear" w:color="auto" w:fill="auto"/>
            <w:noWrap/>
            <w:vAlign w:val="center"/>
          </w:tcPr>
          <w:p>
            <w:pPr>
              <w:pStyle w:val="191"/>
            </w:pPr>
            <w:r>
              <w:t>0.9</w:t>
            </w:r>
            <w:r>
              <w:rPr>
                <w:rFonts w:hint="eastAsia"/>
              </w:rPr>
              <w:t>0</w:t>
            </w:r>
          </w:p>
        </w:tc>
        <w:tc>
          <w:tcPr>
            <w:tcW w:w="556" w:type="pct"/>
            <w:shd w:val="clear" w:color="auto" w:fill="auto"/>
            <w:noWrap/>
            <w:vAlign w:val="center"/>
          </w:tcPr>
          <w:p>
            <w:pPr>
              <w:pStyle w:val="191"/>
            </w:pPr>
            <w:r>
              <w:t>0.95</w:t>
            </w:r>
          </w:p>
        </w:tc>
        <w:tc>
          <w:tcPr>
            <w:tcW w:w="556" w:type="pct"/>
            <w:shd w:val="clear" w:color="auto" w:fill="auto"/>
            <w:noWrap/>
            <w:vAlign w:val="center"/>
          </w:tcPr>
          <w:p>
            <w:pPr>
              <w:pStyle w:val="191"/>
            </w:pPr>
            <w:r>
              <w:t>1</w:t>
            </w:r>
            <w:r>
              <w:rPr>
                <w:rFonts w:hint="eastAsia"/>
              </w:rPr>
              <w:t>.0</w:t>
            </w:r>
          </w:p>
        </w:tc>
        <w:tc>
          <w:tcPr>
            <w:tcW w:w="556" w:type="pct"/>
            <w:shd w:val="clear" w:color="auto" w:fill="auto"/>
            <w:noWrap/>
            <w:vAlign w:val="center"/>
          </w:tcPr>
          <w:p>
            <w:pPr>
              <w:pStyle w:val="191"/>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6" w:type="pct"/>
            <w:shd w:val="clear" w:color="auto" w:fill="auto"/>
            <w:noWrap/>
            <w:vAlign w:val="center"/>
          </w:tcPr>
          <w:p>
            <w:pPr>
              <w:pStyle w:val="191"/>
            </w:pPr>
            <w:r>
              <w:t>m</w:t>
            </w:r>
          </w:p>
        </w:tc>
        <w:tc>
          <w:tcPr>
            <w:tcW w:w="556" w:type="pct"/>
            <w:shd w:val="clear" w:color="auto" w:fill="auto"/>
            <w:noWrap/>
            <w:vAlign w:val="center"/>
          </w:tcPr>
          <w:p>
            <w:pPr>
              <w:pStyle w:val="191"/>
            </w:pPr>
            <w:r>
              <w:t>0.138</w:t>
            </w:r>
          </w:p>
        </w:tc>
        <w:tc>
          <w:tcPr>
            <w:tcW w:w="556" w:type="pct"/>
            <w:shd w:val="clear" w:color="auto" w:fill="auto"/>
            <w:noWrap/>
            <w:vAlign w:val="center"/>
          </w:tcPr>
          <w:p>
            <w:pPr>
              <w:pStyle w:val="191"/>
            </w:pPr>
            <w:r>
              <w:t>0.14</w:t>
            </w:r>
          </w:p>
        </w:tc>
        <w:tc>
          <w:tcPr>
            <w:tcW w:w="556" w:type="pct"/>
            <w:shd w:val="clear" w:color="auto" w:fill="auto"/>
            <w:noWrap/>
            <w:vAlign w:val="center"/>
          </w:tcPr>
          <w:p>
            <w:pPr>
              <w:pStyle w:val="191"/>
            </w:pPr>
            <w:r>
              <w:t>0.142</w:t>
            </w:r>
          </w:p>
        </w:tc>
        <w:tc>
          <w:tcPr>
            <w:tcW w:w="556" w:type="pct"/>
            <w:shd w:val="clear" w:color="auto" w:fill="auto"/>
            <w:noWrap/>
            <w:vAlign w:val="center"/>
          </w:tcPr>
          <w:p>
            <w:pPr>
              <w:pStyle w:val="191"/>
            </w:pPr>
            <w:r>
              <w:t>0.145</w:t>
            </w:r>
          </w:p>
        </w:tc>
        <w:tc>
          <w:tcPr>
            <w:tcW w:w="556" w:type="pct"/>
            <w:shd w:val="clear" w:color="auto" w:fill="auto"/>
            <w:noWrap/>
            <w:vAlign w:val="center"/>
          </w:tcPr>
          <w:p>
            <w:pPr>
              <w:pStyle w:val="191"/>
            </w:pPr>
            <w:r>
              <w:t>0.148</w:t>
            </w:r>
          </w:p>
        </w:tc>
        <w:tc>
          <w:tcPr>
            <w:tcW w:w="556" w:type="pct"/>
            <w:shd w:val="clear" w:color="auto" w:fill="auto"/>
            <w:noWrap/>
            <w:vAlign w:val="center"/>
          </w:tcPr>
          <w:p>
            <w:pPr>
              <w:pStyle w:val="191"/>
            </w:pPr>
            <w:r>
              <w:t>0.151</w:t>
            </w:r>
          </w:p>
        </w:tc>
        <w:tc>
          <w:tcPr>
            <w:tcW w:w="556" w:type="pct"/>
            <w:shd w:val="clear" w:color="auto" w:fill="auto"/>
            <w:noWrap/>
            <w:vAlign w:val="center"/>
          </w:tcPr>
          <w:p>
            <w:pPr>
              <w:pStyle w:val="191"/>
            </w:pPr>
            <w:r>
              <w:t>0.154</w:t>
            </w:r>
          </w:p>
        </w:tc>
        <w:tc>
          <w:tcPr>
            <w:tcW w:w="556" w:type="pct"/>
            <w:shd w:val="clear" w:color="auto" w:fill="auto"/>
            <w:noWrap/>
            <w:vAlign w:val="center"/>
          </w:tcPr>
          <w:p>
            <w:pPr>
              <w:pStyle w:val="191"/>
            </w:pPr>
            <w:r>
              <w:t>—</w:t>
            </w:r>
          </w:p>
        </w:tc>
      </w:tr>
    </w:tbl>
    <w:p>
      <w:pPr>
        <w:pStyle w:val="16"/>
        <w:ind w:firstLine="420"/>
        <w:rPr>
          <w:rFonts w:ascii="Times New Roman" w:hAnsi="Times New Roman"/>
          <w:sz w:val="21"/>
          <w:szCs w:val="21"/>
        </w:rPr>
      </w:pPr>
      <w:r>
        <w:rPr>
          <w:rFonts w:ascii="Times New Roman" w:hAnsi="Times New Roman"/>
          <w:sz w:val="21"/>
          <w:szCs w:val="21"/>
        </w:rPr>
        <w:t>注：</w:t>
      </w:r>
      <m:oMath>
        <m:r>
          <m:rPr>
            <m:sty m:val="p"/>
          </m:rPr>
          <w:rPr>
            <w:rFonts w:ascii="Cambria Math" w:hAnsi="Cambria Math"/>
            <w:sz w:val="21"/>
            <w:szCs w:val="21"/>
          </w:rPr>
          <m:t xml:space="preserve"> </m:t>
        </m:r>
        <m:r>
          <m:rPr/>
          <w:rPr>
            <w:rFonts w:ascii="Cambria Math" w:hAnsi="Cambria Math"/>
            <w:sz w:val="21"/>
            <w:szCs w:val="21"/>
          </w:rPr>
          <m:t>ϕ</m:t>
        </m:r>
      </m:oMath>
      <w:r>
        <w:rPr>
          <w:rFonts w:ascii="Times New Roman" w:hAnsi="Times New Roman"/>
          <w:sz w:val="21"/>
          <w:szCs w:val="21"/>
        </w:rPr>
        <w:t>为支承点之间的短边与长边边长之比。</w:t>
      </w:r>
    </w:p>
    <w:p>
      <w:pPr>
        <w:pStyle w:val="186"/>
      </w:pPr>
      <w:r>
        <w:rPr>
          <w:rFonts w:hint="eastAsia"/>
        </w:rPr>
        <w:t>表5.2.8</w:t>
      </w:r>
      <w:r>
        <w:t>-</w:t>
      </w:r>
      <w:r>
        <w:rPr>
          <w:rFonts w:hint="eastAsia"/>
        </w:rPr>
        <w:t xml:space="preserve">2 </w:t>
      </w:r>
      <w:r>
        <w:t>四点</w:t>
      </w:r>
      <w:r>
        <w:rPr>
          <w:rFonts w:hint="eastAsia"/>
        </w:rPr>
        <w:t>支承玻璃板的挠度系数</w:t>
      </w:r>
      <w:r>
        <w:rPr>
          <w:rFonts w:hint="eastAsia" w:ascii="Times New Roman" w:hAnsi="Times New Roman"/>
        </w:rPr>
        <w:t>μ</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1035"/>
        <w:gridCol w:w="1035"/>
        <w:gridCol w:w="1035"/>
        <w:gridCol w:w="1035"/>
        <w:gridCol w:w="1035"/>
        <w:gridCol w:w="1035"/>
        <w:gridCol w:w="1035"/>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2" w:type="pct"/>
            <w:shd w:val="clear" w:color="auto" w:fill="auto"/>
            <w:noWrap/>
            <w:vAlign w:val="center"/>
          </w:tcPr>
          <w:p>
            <w:pPr>
              <w:pStyle w:val="191"/>
            </w:pPr>
            <w:r>
              <w:t>φ</w:t>
            </w:r>
          </w:p>
        </w:tc>
        <w:tc>
          <w:tcPr>
            <w:tcW w:w="557" w:type="pct"/>
            <w:shd w:val="clear" w:color="auto" w:fill="auto"/>
            <w:noWrap/>
            <w:vAlign w:val="center"/>
          </w:tcPr>
          <w:p>
            <w:pPr>
              <w:pStyle w:val="191"/>
            </w:pPr>
            <w:r>
              <w:t>0.01</w:t>
            </w:r>
          </w:p>
        </w:tc>
        <w:tc>
          <w:tcPr>
            <w:tcW w:w="557" w:type="pct"/>
            <w:shd w:val="clear" w:color="auto" w:fill="auto"/>
            <w:noWrap/>
            <w:vAlign w:val="center"/>
          </w:tcPr>
          <w:p>
            <w:pPr>
              <w:pStyle w:val="191"/>
            </w:pPr>
            <w:r>
              <w:t>0.20</w:t>
            </w:r>
          </w:p>
        </w:tc>
        <w:tc>
          <w:tcPr>
            <w:tcW w:w="557" w:type="pct"/>
            <w:shd w:val="clear" w:color="auto" w:fill="auto"/>
            <w:noWrap/>
            <w:vAlign w:val="center"/>
          </w:tcPr>
          <w:p>
            <w:pPr>
              <w:pStyle w:val="191"/>
            </w:pPr>
            <w:r>
              <w:t>0.30</w:t>
            </w:r>
          </w:p>
        </w:tc>
        <w:tc>
          <w:tcPr>
            <w:tcW w:w="557" w:type="pct"/>
            <w:shd w:val="clear" w:color="auto" w:fill="auto"/>
            <w:noWrap/>
            <w:vAlign w:val="center"/>
          </w:tcPr>
          <w:p>
            <w:pPr>
              <w:pStyle w:val="191"/>
            </w:pPr>
            <w:r>
              <w:t>0.40</w:t>
            </w:r>
          </w:p>
        </w:tc>
        <w:tc>
          <w:tcPr>
            <w:tcW w:w="557" w:type="pct"/>
            <w:shd w:val="clear" w:color="auto" w:fill="auto"/>
            <w:noWrap/>
            <w:vAlign w:val="center"/>
          </w:tcPr>
          <w:p>
            <w:pPr>
              <w:pStyle w:val="191"/>
            </w:pPr>
            <w:r>
              <w:t>0.50</w:t>
            </w:r>
          </w:p>
        </w:tc>
        <w:tc>
          <w:tcPr>
            <w:tcW w:w="557" w:type="pct"/>
            <w:shd w:val="clear" w:color="auto" w:fill="auto"/>
            <w:noWrap/>
            <w:vAlign w:val="center"/>
          </w:tcPr>
          <w:p>
            <w:pPr>
              <w:pStyle w:val="191"/>
            </w:pPr>
            <w:r>
              <w:t>0.55</w:t>
            </w:r>
          </w:p>
        </w:tc>
        <w:tc>
          <w:tcPr>
            <w:tcW w:w="557" w:type="pct"/>
            <w:shd w:val="clear" w:color="auto" w:fill="auto"/>
            <w:noWrap/>
            <w:vAlign w:val="center"/>
          </w:tcPr>
          <w:p>
            <w:pPr>
              <w:pStyle w:val="191"/>
            </w:pPr>
            <w:r>
              <w:t>0.60</w:t>
            </w:r>
          </w:p>
        </w:tc>
        <w:tc>
          <w:tcPr>
            <w:tcW w:w="557" w:type="pct"/>
            <w:shd w:val="clear" w:color="auto" w:fill="auto"/>
            <w:noWrap/>
            <w:vAlign w:val="center"/>
          </w:tcPr>
          <w:p>
            <w:pPr>
              <w:pStyle w:val="191"/>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2" w:type="pct"/>
            <w:shd w:val="clear" w:color="auto" w:fill="auto"/>
            <w:noWrap/>
            <w:vAlign w:val="center"/>
          </w:tcPr>
          <w:p>
            <w:pPr>
              <w:pStyle w:val="191"/>
            </w:pPr>
            <w:r>
              <w:t>µ</w:t>
            </w:r>
          </w:p>
        </w:tc>
        <w:tc>
          <w:tcPr>
            <w:tcW w:w="557" w:type="pct"/>
            <w:shd w:val="clear" w:color="auto" w:fill="auto"/>
            <w:noWrap/>
            <w:vAlign w:val="center"/>
          </w:tcPr>
          <w:p>
            <w:pPr>
              <w:pStyle w:val="191"/>
            </w:pPr>
            <w:r>
              <w:t>0.01303</w:t>
            </w:r>
          </w:p>
        </w:tc>
        <w:tc>
          <w:tcPr>
            <w:tcW w:w="557" w:type="pct"/>
            <w:shd w:val="clear" w:color="auto" w:fill="auto"/>
            <w:noWrap/>
            <w:vAlign w:val="center"/>
          </w:tcPr>
          <w:p>
            <w:pPr>
              <w:pStyle w:val="191"/>
            </w:pPr>
            <w:r>
              <w:t>0.01317</w:t>
            </w:r>
          </w:p>
        </w:tc>
        <w:tc>
          <w:tcPr>
            <w:tcW w:w="557" w:type="pct"/>
            <w:shd w:val="clear" w:color="auto" w:fill="auto"/>
            <w:noWrap/>
            <w:vAlign w:val="center"/>
          </w:tcPr>
          <w:p>
            <w:pPr>
              <w:pStyle w:val="191"/>
            </w:pPr>
            <w:r>
              <w:t>0.01335</w:t>
            </w:r>
          </w:p>
        </w:tc>
        <w:tc>
          <w:tcPr>
            <w:tcW w:w="557" w:type="pct"/>
            <w:shd w:val="clear" w:color="auto" w:fill="auto"/>
            <w:noWrap/>
            <w:vAlign w:val="center"/>
          </w:tcPr>
          <w:p>
            <w:pPr>
              <w:pStyle w:val="191"/>
            </w:pPr>
            <w:r>
              <w:t>0.01367</w:t>
            </w:r>
          </w:p>
        </w:tc>
        <w:tc>
          <w:tcPr>
            <w:tcW w:w="557" w:type="pct"/>
            <w:shd w:val="clear" w:color="auto" w:fill="auto"/>
            <w:noWrap/>
            <w:vAlign w:val="center"/>
          </w:tcPr>
          <w:p>
            <w:pPr>
              <w:pStyle w:val="191"/>
            </w:pPr>
            <w:r>
              <w:t>0.01417</w:t>
            </w:r>
          </w:p>
        </w:tc>
        <w:tc>
          <w:tcPr>
            <w:tcW w:w="557" w:type="pct"/>
            <w:shd w:val="clear" w:color="auto" w:fill="auto"/>
            <w:noWrap/>
            <w:vAlign w:val="center"/>
          </w:tcPr>
          <w:p>
            <w:pPr>
              <w:pStyle w:val="191"/>
            </w:pPr>
            <w:r>
              <w:t>0.01451</w:t>
            </w:r>
          </w:p>
        </w:tc>
        <w:tc>
          <w:tcPr>
            <w:tcW w:w="557" w:type="pct"/>
            <w:shd w:val="clear" w:color="auto" w:fill="auto"/>
            <w:noWrap/>
            <w:vAlign w:val="center"/>
          </w:tcPr>
          <w:p>
            <w:pPr>
              <w:pStyle w:val="191"/>
            </w:pPr>
            <w:r>
              <w:t>0.01496</w:t>
            </w:r>
          </w:p>
        </w:tc>
        <w:tc>
          <w:tcPr>
            <w:tcW w:w="557" w:type="pct"/>
            <w:shd w:val="clear" w:color="auto" w:fill="auto"/>
            <w:noWrap/>
            <w:vAlign w:val="center"/>
          </w:tcPr>
          <w:p>
            <w:pPr>
              <w:pStyle w:val="191"/>
            </w:pPr>
            <w:r>
              <w:t>0.01555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2" w:type="pct"/>
            <w:shd w:val="clear" w:color="auto" w:fill="auto"/>
            <w:noWrap/>
            <w:vAlign w:val="center"/>
          </w:tcPr>
          <w:p>
            <w:pPr>
              <w:pStyle w:val="191"/>
            </w:pPr>
            <w:r>
              <w:t>φ</w:t>
            </w:r>
          </w:p>
        </w:tc>
        <w:tc>
          <w:tcPr>
            <w:tcW w:w="557" w:type="pct"/>
            <w:shd w:val="clear" w:color="auto" w:fill="auto"/>
            <w:noWrap/>
            <w:vAlign w:val="center"/>
          </w:tcPr>
          <w:p>
            <w:pPr>
              <w:pStyle w:val="191"/>
            </w:pPr>
            <w:r>
              <w:t>0.70</w:t>
            </w:r>
          </w:p>
        </w:tc>
        <w:tc>
          <w:tcPr>
            <w:tcW w:w="557" w:type="pct"/>
            <w:shd w:val="clear" w:color="auto" w:fill="auto"/>
            <w:noWrap/>
            <w:vAlign w:val="center"/>
          </w:tcPr>
          <w:p>
            <w:pPr>
              <w:pStyle w:val="191"/>
            </w:pPr>
            <w:r>
              <w:t>0.75</w:t>
            </w:r>
          </w:p>
        </w:tc>
        <w:tc>
          <w:tcPr>
            <w:tcW w:w="557" w:type="pct"/>
            <w:shd w:val="clear" w:color="auto" w:fill="auto"/>
            <w:noWrap/>
            <w:vAlign w:val="center"/>
          </w:tcPr>
          <w:p>
            <w:pPr>
              <w:pStyle w:val="191"/>
            </w:pPr>
            <w:r>
              <w:t>0.8</w:t>
            </w:r>
          </w:p>
        </w:tc>
        <w:tc>
          <w:tcPr>
            <w:tcW w:w="557" w:type="pct"/>
            <w:shd w:val="clear" w:color="auto" w:fill="auto"/>
            <w:noWrap/>
            <w:vAlign w:val="center"/>
          </w:tcPr>
          <w:p>
            <w:pPr>
              <w:pStyle w:val="191"/>
            </w:pPr>
            <w:r>
              <w:t>0.85</w:t>
            </w:r>
          </w:p>
        </w:tc>
        <w:tc>
          <w:tcPr>
            <w:tcW w:w="557" w:type="pct"/>
            <w:shd w:val="clear" w:color="auto" w:fill="auto"/>
            <w:noWrap/>
            <w:vAlign w:val="center"/>
          </w:tcPr>
          <w:p>
            <w:pPr>
              <w:pStyle w:val="191"/>
            </w:pPr>
            <w:r>
              <w:t>0.9</w:t>
            </w:r>
          </w:p>
        </w:tc>
        <w:tc>
          <w:tcPr>
            <w:tcW w:w="557" w:type="pct"/>
            <w:shd w:val="clear" w:color="auto" w:fill="auto"/>
            <w:noWrap/>
            <w:vAlign w:val="center"/>
          </w:tcPr>
          <w:p>
            <w:pPr>
              <w:pStyle w:val="191"/>
            </w:pPr>
            <w:r>
              <w:t>0.95</w:t>
            </w:r>
          </w:p>
        </w:tc>
        <w:tc>
          <w:tcPr>
            <w:tcW w:w="557" w:type="pct"/>
            <w:shd w:val="clear" w:color="auto" w:fill="auto"/>
            <w:noWrap/>
            <w:vAlign w:val="center"/>
          </w:tcPr>
          <w:p>
            <w:pPr>
              <w:pStyle w:val="191"/>
            </w:pPr>
            <w:r>
              <w:t>1.0</w:t>
            </w:r>
          </w:p>
        </w:tc>
        <w:tc>
          <w:tcPr>
            <w:tcW w:w="557" w:type="pct"/>
            <w:shd w:val="clear" w:color="auto" w:fill="auto"/>
            <w:noWrap/>
            <w:vAlign w:val="center"/>
          </w:tcPr>
          <w:p>
            <w:pPr>
              <w:pStyle w:val="191"/>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2" w:type="pct"/>
            <w:shd w:val="clear" w:color="auto" w:fill="auto"/>
            <w:noWrap/>
            <w:vAlign w:val="center"/>
          </w:tcPr>
          <w:p>
            <w:pPr>
              <w:pStyle w:val="191"/>
            </w:pPr>
            <w:r>
              <w:t>µ</w:t>
            </w:r>
          </w:p>
        </w:tc>
        <w:tc>
          <w:tcPr>
            <w:tcW w:w="557" w:type="pct"/>
            <w:shd w:val="clear" w:color="auto" w:fill="auto"/>
            <w:noWrap/>
            <w:vAlign w:val="center"/>
          </w:tcPr>
          <w:p>
            <w:pPr>
              <w:pStyle w:val="191"/>
            </w:pPr>
            <w:r>
              <w:t>0.0163</w:t>
            </w:r>
          </w:p>
        </w:tc>
        <w:tc>
          <w:tcPr>
            <w:tcW w:w="557" w:type="pct"/>
            <w:shd w:val="clear" w:color="auto" w:fill="auto"/>
            <w:noWrap/>
            <w:vAlign w:val="center"/>
          </w:tcPr>
          <w:p>
            <w:pPr>
              <w:pStyle w:val="191"/>
            </w:pPr>
            <w:r>
              <w:t>0.01725</w:t>
            </w:r>
          </w:p>
        </w:tc>
        <w:tc>
          <w:tcPr>
            <w:tcW w:w="557" w:type="pct"/>
            <w:shd w:val="clear" w:color="auto" w:fill="auto"/>
            <w:noWrap/>
            <w:vAlign w:val="center"/>
          </w:tcPr>
          <w:p>
            <w:pPr>
              <w:pStyle w:val="191"/>
            </w:pPr>
            <w:r>
              <w:t>0.01842</w:t>
            </w:r>
          </w:p>
        </w:tc>
        <w:tc>
          <w:tcPr>
            <w:tcW w:w="557" w:type="pct"/>
            <w:shd w:val="clear" w:color="auto" w:fill="auto"/>
            <w:noWrap/>
            <w:vAlign w:val="center"/>
          </w:tcPr>
          <w:p>
            <w:pPr>
              <w:pStyle w:val="191"/>
            </w:pPr>
            <w:r>
              <w:t>0.01984</w:t>
            </w:r>
          </w:p>
        </w:tc>
        <w:tc>
          <w:tcPr>
            <w:tcW w:w="557" w:type="pct"/>
            <w:shd w:val="clear" w:color="auto" w:fill="auto"/>
            <w:noWrap/>
            <w:vAlign w:val="center"/>
          </w:tcPr>
          <w:p>
            <w:pPr>
              <w:pStyle w:val="191"/>
            </w:pPr>
            <w:r>
              <w:t>0.02157</w:t>
            </w:r>
          </w:p>
        </w:tc>
        <w:tc>
          <w:tcPr>
            <w:tcW w:w="557" w:type="pct"/>
            <w:shd w:val="clear" w:color="auto" w:fill="auto"/>
            <w:noWrap/>
            <w:vAlign w:val="center"/>
          </w:tcPr>
          <w:p>
            <w:pPr>
              <w:pStyle w:val="191"/>
            </w:pPr>
            <w:r>
              <w:t>0.02363</w:t>
            </w:r>
          </w:p>
        </w:tc>
        <w:tc>
          <w:tcPr>
            <w:tcW w:w="557" w:type="pct"/>
            <w:shd w:val="clear" w:color="auto" w:fill="auto"/>
            <w:noWrap/>
            <w:vAlign w:val="center"/>
          </w:tcPr>
          <w:p>
            <w:pPr>
              <w:pStyle w:val="191"/>
            </w:pPr>
            <w:r>
              <w:t>0.02603</w:t>
            </w:r>
          </w:p>
        </w:tc>
        <w:tc>
          <w:tcPr>
            <w:tcW w:w="557" w:type="pct"/>
            <w:shd w:val="clear" w:color="auto" w:fill="auto"/>
            <w:noWrap/>
            <w:vAlign w:val="center"/>
          </w:tcPr>
          <w:p>
            <w:pPr>
              <w:pStyle w:val="191"/>
            </w:pPr>
            <w:r>
              <w:t>—</w:t>
            </w:r>
          </w:p>
        </w:tc>
      </w:tr>
    </w:tbl>
    <w:p>
      <w:pPr>
        <w:pStyle w:val="16"/>
        <w:spacing w:line="360" w:lineRule="auto"/>
        <w:ind w:firstLine="420"/>
        <w:rPr>
          <w:rFonts w:ascii="Times New Roman" w:hAnsi="Times New Roman"/>
          <w:sz w:val="21"/>
          <w:szCs w:val="21"/>
        </w:rPr>
      </w:pPr>
      <w:r>
        <w:rPr>
          <w:rFonts w:ascii="Times New Roman" w:hAnsi="Times New Roman"/>
          <w:sz w:val="21"/>
          <w:szCs w:val="21"/>
        </w:rPr>
        <w:t>注：</w:t>
      </w:r>
      <m:oMath>
        <m:r>
          <m:rPr>
            <m:sty m:val="p"/>
          </m:rPr>
          <w:rPr>
            <w:rFonts w:ascii="Cambria Math" w:hAnsi="Cambria Math"/>
            <w:sz w:val="21"/>
            <w:szCs w:val="21"/>
          </w:rPr>
          <m:t xml:space="preserve"> </m:t>
        </m:r>
        <m:r>
          <m:rPr/>
          <w:rPr>
            <w:rFonts w:ascii="Cambria Math" w:hAnsi="Cambria Math"/>
            <w:sz w:val="21"/>
            <w:szCs w:val="21"/>
          </w:rPr>
          <m:t>ϕ</m:t>
        </m:r>
      </m:oMath>
      <w:r>
        <w:rPr>
          <w:rFonts w:ascii="Times New Roman" w:hAnsi="Times New Roman"/>
          <w:sz w:val="21"/>
          <w:szCs w:val="21"/>
        </w:rPr>
        <w:t>为支承点之间的短边与长边边长之比。</w:t>
      </w:r>
    </w:p>
    <w:p>
      <w:pPr>
        <w:pStyle w:val="189"/>
      </w:pPr>
      <w:r>
        <w:rPr>
          <w:rFonts w:hint="eastAsia"/>
          <w:b/>
        </w:rPr>
        <w:t xml:space="preserve">5.5.2 </w:t>
      </w:r>
      <w:r>
        <w:t>非四点支承的点支承玻璃面板，其应力和挠度可采用考虑几何</w:t>
      </w:r>
      <w:r>
        <w:rPr>
          <w:rFonts w:hint="eastAsia"/>
        </w:rPr>
        <w:t>非线性的有限元方法分析计算。</w:t>
      </w:r>
    </w:p>
    <w:p>
      <w:pPr>
        <w:pStyle w:val="189"/>
      </w:pPr>
      <w:r>
        <w:rPr>
          <w:rFonts w:hint="eastAsia"/>
          <w:b/>
        </w:rPr>
        <w:t>5</w:t>
      </w:r>
      <w:r>
        <w:rPr>
          <w:b/>
        </w:rPr>
        <w:t>.</w:t>
      </w:r>
      <w:r>
        <w:rPr>
          <w:rFonts w:hint="eastAsia"/>
          <w:b/>
        </w:rPr>
        <w:t>5</w:t>
      </w:r>
      <w:r>
        <w:rPr>
          <w:b/>
        </w:rPr>
        <w:t>.</w:t>
      </w:r>
      <w:r>
        <w:rPr>
          <w:rFonts w:hint="eastAsia"/>
          <w:b/>
        </w:rPr>
        <w:t>3</w:t>
      </w:r>
      <w:r>
        <w:rPr>
          <w:rFonts w:hint="eastAsia"/>
        </w:rPr>
        <w:t xml:space="preserve"> 全玻幕墙</w:t>
      </w:r>
      <w:r>
        <w:t>玻璃面板通过胶缝与玻璃肋连接时，可作为支承于</w:t>
      </w:r>
      <w:r>
        <w:rPr>
          <w:rFonts w:hint="eastAsia"/>
        </w:rPr>
        <w:t>玻璃肋</w:t>
      </w:r>
      <w:r>
        <w:t>的单向简支板设计。</w:t>
      </w:r>
      <w:r>
        <w:rPr>
          <w:rFonts w:hint="eastAsia"/>
        </w:rPr>
        <w:t>面板为单片玻璃时，其应力与挠度可分别按本规范第5.2.3</w:t>
      </w:r>
      <w:r>
        <w:t>条和第</w:t>
      </w:r>
      <w:r>
        <w:rPr>
          <w:rFonts w:hint="eastAsia"/>
        </w:rPr>
        <w:t>5.2.4</w:t>
      </w:r>
      <w:r>
        <w:t>条的规定计算，公式中的a值应取为</w:t>
      </w:r>
      <w:r>
        <w:rPr>
          <w:rFonts w:hint="eastAsia"/>
        </w:rPr>
        <w:t>玻璃面板的跨度，系数</w:t>
      </w:r>
      <w:r>
        <w:t>m和</w:t>
      </w:r>
      <w:r>
        <w:rPr>
          <w:rFonts w:hint="eastAsia" w:ascii="Times New Roman" w:hAnsi="Times New Roman"/>
        </w:rPr>
        <w:t>μ</w:t>
      </w:r>
      <w:r>
        <w:t>可分别取为0.125和0.013；面板为夹层玻璃或中空玻璃时，尚应符合</w:t>
      </w:r>
      <w:r>
        <w:rPr>
          <w:rFonts w:hint="eastAsia"/>
        </w:rPr>
        <w:t>本规范第5</w:t>
      </w:r>
      <w:r>
        <w:t>.2.</w:t>
      </w:r>
      <w:r>
        <w:rPr>
          <w:rFonts w:hint="eastAsia"/>
        </w:rPr>
        <w:t>5</w:t>
      </w:r>
      <w:r>
        <w:t>条或</w:t>
      </w:r>
      <w:r>
        <w:rPr>
          <w:rFonts w:hint="eastAsia"/>
        </w:rPr>
        <w:t>5</w:t>
      </w:r>
      <w:r>
        <w:t>.2.</w:t>
      </w:r>
      <w:r>
        <w:rPr>
          <w:rFonts w:hint="eastAsia"/>
        </w:rPr>
        <w:t>6</w:t>
      </w:r>
      <w:r>
        <w:t>条的规定。</w:t>
      </w:r>
    </w:p>
    <w:p>
      <w:pPr>
        <w:pStyle w:val="189"/>
      </w:pPr>
      <w:r>
        <w:rPr>
          <w:rFonts w:hint="eastAsia"/>
          <w:b/>
        </w:rPr>
        <w:t>5</w:t>
      </w:r>
      <w:r>
        <w:rPr>
          <w:b/>
        </w:rPr>
        <w:t>.</w:t>
      </w:r>
      <w:r>
        <w:rPr>
          <w:rFonts w:hint="eastAsia"/>
          <w:b/>
        </w:rPr>
        <w:t>5</w:t>
      </w:r>
      <w:r>
        <w:rPr>
          <w:b/>
        </w:rPr>
        <w:t>.</w:t>
      </w:r>
      <w:r>
        <w:rPr>
          <w:rFonts w:hint="eastAsia"/>
          <w:b/>
        </w:rPr>
        <w:t xml:space="preserve">4 </w:t>
      </w:r>
      <w:r>
        <w:rPr>
          <w:rFonts w:hint="eastAsia"/>
        </w:rPr>
        <w:t>竖向隐框、半隐框玻璃幕墙中玻璃和铝框之间</w:t>
      </w:r>
      <w:r>
        <w:t>硅硐结构密封胶的计算，应符合下列规定：</w:t>
      </w:r>
    </w:p>
    <w:p>
      <w:pPr>
        <w:ind w:firstLine="420" w:firstLineChars="200"/>
        <w:rPr>
          <w:rFonts w:ascii="Times New Roman" w:hAnsi="Times New Roman"/>
          <w:sz w:val="21"/>
          <w:szCs w:val="21"/>
        </w:rPr>
      </w:pPr>
      <w:r>
        <w:rPr>
          <w:rFonts w:ascii="Times New Roman" w:hAnsi="Times New Roman"/>
          <w:sz w:val="21"/>
          <w:szCs w:val="21"/>
        </w:rPr>
        <w:t>1 粘结宽度</w:t>
      </w:r>
      <m:oMath>
        <m:sSub>
          <m:sSubPr>
            <m:ctrlPr>
              <w:rPr>
                <w:rFonts w:ascii="Cambria Math" w:hAnsi="Cambria Math"/>
                <w:snapToGrid w:val="0"/>
                <w:sz w:val="21"/>
                <w:szCs w:val="21"/>
              </w:rPr>
            </m:ctrlPr>
          </m:sSubPr>
          <m:e>
            <m:r>
              <m:rPr/>
              <w:rPr>
                <w:rFonts w:ascii="Cambria Math" w:hAnsi="Cambria Math"/>
                <w:snapToGrid w:val="0"/>
                <w:sz w:val="21"/>
                <w:szCs w:val="21"/>
              </w:rPr>
              <m:t>c</m:t>
            </m:r>
            <m:ctrlPr>
              <w:rPr>
                <w:rFonts w:ascii="Cambria Math" w:hAnsi="Cambria Math"/>
                <w:snapToGrid w:val="0"/>
                <w:sz w:val="21"/>
                <w:szCs w:val="21"/>
              </w:rPr>
            </m:ctrlPr>
          </m:e>
          <m:sub>
            <m:r>
              <m:rPr/>
              <w:rPr>
                <w:rFonts w:ascii="Cambria Math" w:hAnsi="Cambria Math"/>
                <w:snapToGrid w:val="0"/>
                <w:sz w:val="21"/>
                <w:szCs w:val="21"/>
              </w:rPr>
              <m:t>s</m:t>
            </m:r>
            <m:ctrlPr>
              <w:rPr>
                <w:rFonts w:ascii="Cambria Math" w:hAnsi="Cambria Math"/>
                <w:snapToGrid w:val="0"/>
                <w:sz w:val="21"/>
                <w:szCs w:val="21"/>
              </w:rPr>
            </m:ctrlPr>
          </m:sub>
        </m:sSub>
      </m:oMath>
      <w:r>
        <w:rPr>
          <w:rFonts w:ascii="Times New Roman" w:hAnsi="Times New Roman"/>
          <w:sz w:val="21"/>
          <w:szCs w:val="21"/>
        </w:rPr>
        <w:t>，应根据受力情况分别按下列规定计算。</w:t>
      </w:r>
    </w:p>
    <w:p>
      <w:pPr>
        <w:pStyle w:val="188"/>
        <w:ind w:firstLine="480"/>
      </w:pPr>
      <w:r>
        <w:t>（非抗震设计时，可取第1、3款计算的较大值；抗震设计时，可取第2、3款计算的较大值。）</w:t>
      </w:r>
    </w:p>
    <w:p>
      <w:pPr>
        <w:spacing w:line="360" w:lineRule="auto"/>
        <w:ind w:firstLine="420" w:firstLineChars="200"/>
        <w:rPr>
          <w:rFonts w:ascii="Times New Roman" w:hAnsi="Times New Roman"/>
          <w:snapToGrid w:val="0"/>
          <w:sz w:val="21"/>
          <w:szCs w:val="21"/>
        </w:rPr>
      </w:pPr>
      <w:r>
        <w:rPr>
          <w:rFonts w:ascii="Times New Roman" w:hAnsi="Times New Roman"/>
          <w:bCs/>
          <w:sz w:val="21"/>
          <w:szCs w:val="21"/>
        </w:rPr>
        <w:t xml:space="preserve">1） </w:t>
      </w:r>
      <w:r>
        <w:rPr>
          <w:rFonts w:ascii="Times New Roman" w:hAnsi="Times New Roman"/>
          <w:snapToGrid w:val="0"/>
          <w:sz w:val="21"/>
          <w:szCs w:val="21"/>
        </w:rPr>
        <w:t>在风荷载作用下，粘接宽度</w:t>
      </w:r>
      <m:oMath>
        <m:sSub>
          <m:sSubPr>
            <m:ctrlPr>
              <w:rPr>
                <w:rFonts w:ascii="Cambria Math" w:hAnsi="Cambria Math"/>
                <w:snapToGrid w:val="0"/>
                <w:sz w:val="21"/>
                <w:szCs w:val="21"/>
              </w:rPr>
            </m:ctrlPr>
          </m:sSubPr>
          <m:e>
            <m:r>
              <m:rPr/>
              <w:rPr>
                <w:rFonts w:ascii="Cambria Math" w:hAnsi="Cambria Math"/>
                <w:snapToGrid w:val="0"/>
                <w:sz w:val="21"/>
                <w:szCs w:val="21"/>
              </w:rPr>
              <m:t>c</m:t>
            </m:r>
            <m:ctrlPr>
              <w:rPr>
                <w:rFonts w:ascii="Cambria Math" w:hAnsi="Cambria Math"/>
                <w:snapToGrid w:val="0"/>
                <w:sz w:val="21"/>
                <w:szCs w:val="21"/>
              </w:rPr>
            </m:ctrlPr>
          </m:e>
          <m:sub>
            <m:r>
              <m:rPr/>
              <w:rPr>
                <w:rFonts w:ascii="Cambria Math" w:hAnsi="Cambria Math"/>
                <w:snapToGrid w:val="0"/>
                <w:sz w:val="21"/>
                <w:szCs w:val="21"/>
              </w:rPr>
              <m:t>s</m:t>
            </m:r>
            <m:ctrlPr>
              <w:rPr>
                <w:rFonts w:ascii="Cambria Math" w:hAnsi="Cambria Math"/>
                <w:snapToGrid w:val="0"/>
                <w:sz w:val="21"/>
                <w:szCs w:val="21"/>
              </w:rPr>
            </m:ctrlPr>
          </m:sub>
        </m:sSub>
      </m:oMath>
      <w:r>
        <w:rPr>
          <w:rFonts w:ascii="Times New Roman" w:hAnsi="Times New Roman"/>
          <w:snapToGrid w:val="0"/>
          <w:sz w:val="21"/>
          <w:szCs w:val="21"/>
        </w:rPr>
        <w:t>应按下式计算：</w:t>
      </w:r>
    </w:p>
    <w:tbl>
      <w:tblPr>
        <w:tblStyle w:val="37"/>
        <w:tblW w:w="0" w:type="auto"/>
        <w:jc w:val="right"/>
        <w:tblLayout w:type="fixed"/>
        <w:tblCellMar>
          <w:top w:w="0" w:type="dxa"/>
          <w:left w:w="108" w:type="dxa"/>
          <w:bottom w:w="0" w:type="dxa"/>
          <w:right w:w="108" w:type="dxa"/>
        </w:tblCellMar>
      </w:tblPr>
      <w:tblGrid>
        <w:gridCol w:w="5670"/>
        <w:gridCol w:w="2268"/>
      </w:tblGrid>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rPr>
                <w:rFonts w:ascii="Times New Roman" w:hAnsi="Times New Roman"/>
                <w:snapToGrid w:val="0"/>
                <w:sz w:val="21"/>
                <w:szCs w:val="21"/>
              </w:rPr>
            </w:pPr>
            <m:oMathPara>
              <m:oMathParaPr>
                <m:jc m:val="center"/>
              </m:oMathParaPr>
              <m:oMath>
                <m:sSub>
                  <m:sSubPr>
                    <m:ctrlPr>
                      <w:rPr>
                        <w:rFonts w:ascii="Cambria Math" w:hAnsi="Cambria Math"/>
                        <w:snapToGrid w:val="0"/>
                        <w:sz w:val="21"/>
                        <w:szCs w:val="21"/>
                      </w:rPr>
                    </m:ctrlPr>
                  </m:sSubPr>
                  <m:e>
                    <m:r>
                      <m:rPr/>
                      <w:rPr>
                        <w:rFonts w:ascii="Cambria Math" w:hAnsi="Cambria Math"/>
                        <w:snapToGrid w:val="0"/>
                        <w:sz w:val="21"/>
                        <w:szCs w:val="21"/>
                      </w:rPr>
                      <m:t>c</m:t>
                    </m:r>
                    <m:ctrlPr>
                      <w:rPr>
                        <w:rFonts w:ascii="Cambria Math" w:hAnsi="Cambria Math"/>
                        <w:snapToGrid w:val="0"/>
                        <w:sz w:val="21"/>
                        <w:szCs w:val="21"/>
                      </w:rPr>
                    </m:ctrlPr>
                  </m:e>
                  <m:sub>
                    <m:r>
                      <m:rPr/>
                      <w:rPr>
                        <w:rFonts w:ascii="Cambria Math" w:hAnsi="Cambria Math"/>
                        <w:snapToGrid w:val="0"/>
                        <w:sz w:val="21"/>
                        <w:szCs w:val="21"/>
                      </w:rPr>
                      <m:t>s</m:t>
                    </m:r>
                    <m:ctrlPr>
                      <w:rPr>
                        <w:rFonts w:ascii="Cambria Math" w:hAnsi="Cambria Math"/>
                        <w:snapToGrid w:val="0"/>
                        <w:sz w:val="21"/>
                        <w:szCs w:val="21"/>
                      </w:rPr>
                    </m:ctrlPr>
                  </m:sub>
                </m:sSub>
                <m:r>
                  <m:rPr/>
                  <w:rPr>
                    <w:rFonts w:ascii="Cambria Math" w:hAnsi="Cambria Math"/>
                    <w:snapToGrid w:val="0"/>
                    <w:sz w:val="21"/>
                    <w:szCs w:val="21"/>
                  </w:rPr>
                  <m:t>=</m:t>
                </m:r>
                <m:f>
                  <m:fPr>
                    <m:ctrlPr>
                      <w:rPr>
                        <w:rFonts w:ascii="Cambria Math" w:hAnsi="Cambria Math"/>
                        <w:i/>
                        <w:snapToGrid w:val="0"/>
                        <w:sz w:val="21"/>
                        <w:szCs w:val="21"/>
                      </w:rPr>
                    </m:ctrlPr>
                  </m:fPr>
                  <m:num>
                    <m:r>
                      <m:rPr/>
                      <w:rPr>
                        <w:rFonts w:ascii="Cambria Math" w:hAnsi="Cambria Math"/>
                        <w:snapToGrid w:val="0"/>
                        <w:sz w:val="21"/>
                        <w:szCs w:val="21"/>
                      </w:rPr>
                      <m:t>wa</m:t>
                    </m:r>
                    <m:ctrlPr>
                      <w:rPr>
                        <w:rFonts w:ascii="Cambria Math" w:hAnsi="Cambria Math"/>
                        <w:i/>
                        <w:snapToGrid w:val="0"/>
                        <w:sz w:val="21"/>
                        <w:szCs w:val="21"/>
                      </w:rPr>
                    </m:ctrlPr>
                  </m:num>
                  <m:den>
                    <m:r>
                      <m:rPr/>
                      <w:rPr>
                        <w:rFonts w:ascii="Cambria Math" w:hAnsi="Cambria Math"/>
                        <w:snapToGrid w:val="0"/>
                        <w:sz w:val="21"/>
                        <w:szCs w:val="21"/>
                      </w:rPr>
                      <m:t>2000</m:t>
                    </m:r>
                    <m:sSub>
                      <m:sSubPr>
                        <m:ctrlPr>
                          <w:rPr>
                            <w:rFonts w:ascii="Cambria Math" w:hAnsi="Cambria Math"/>
                            <w:i/>
                            <w:snapToGrid w:val="0"/>
                            <w:sz w:val="21"/>
                            <w:szCs w:val="21"/>
                          </w:rPr>
                        </m:ctrlPr>
                      </m:sSubPr>
                      <m:e>
                        <m:r>
                          <m:rPr/>
                          <w:rPr>
                            <w:rFonts w:ascii="Cambria Math" w:hAnsi="Cambria Math"/>
                            <w:snapToGrid w:val="0"/>
                            <w:sz w:val="21"/>
                            <w:szCs w:val="21"/>
                          </w:rPr>
                          <m:t>f</m:t>
                        </m:r>
                        <m:ctrlPr>
                          <w:rPr>
                            <w:rFonts w:ascii="Cambria Math" w:hAnsi="Cambria Math"/>
                            <w:i/>
                            <w:snapToGrid w:val="0"/>
                            <w:sz w:val="21"/>
                            <w:szCs w:val="21"/>
                          </w:rPr>
                        </m:ctrlPr>
                      </m:e>
                      <m:sub>
                        <m:r>
                          <m:rPr/>
                          <w:rPr>
                            <w:rFonts w:ascii="Cambria Math" w:hAnsi="Cambria Math"/>
                            <w:snapToGrid w:val="0"/>
                            <w:sz w:val="21"/>
                            <w:szCs w:val="21"/>
                          </w:rPr>
                          <m:t>1</m:t>
                        </m:r>
                        <m:ctrlPr>
                          <w:rPr>
                            <w:rFonts w:ascii="Cambria Math" w:hAnsi="Cambria Math"/>
                            <w:i/>
                            <w:snapToGrid w:val="0"/>
                            <w:sz w:val="21"/>
                            <w:szCs w:val="21"/>
                          </w:rPr>
                        </m:ctrlPr>
                      </m:sub>
                    </m:sSub>
                    <m:ctrlPr>
                      <w:rPr>
                        <w:rFonts w:ascii="Cambria Math" w:hAnsi="Cambria Math"/>
                        <w:i/>
                        <w:snapToGrid w:val="0"/>
                        <w:sz w:val="21"/>
                        <w:szCs w:val="21"/>
                      </w:rPr>
                    </m:ctrlPr>
                  </m:den>
                </m:f>
              </m:oMath>
            </m:oMathPara>
          </w:p>
        </w:tc>
        <w:tc>
          <w:tcPr>
            <w:tcW w:w="2268" w:type="dxa"/>
            <w:shd w:val="clear" w:color="auto" w:fill="auto"/>
            <w:vAlign w:val="center"/>
          </w:tcPr>
          <w:p>
            <w:pPr>
              <w:spacing w:line="360" w:lineRule="auto"/>
              <w:jc w:val="right"/>
              <w:rPr>
                <w:rFonts w:ascii="Times New Roman" w:hAnsi="Times New Roman"/>
                <w:sz w:val="21"/>
                <w:szCs w:val="21"/>
              </w:rPr>
            </w:pPr>
            <w:r>
              <w:rPr>
                <w:rFonts w:ascii="Times New Roman" w:hAnsi="Times New Roman"/>
                <w:sz w:val="21"/>
                <w:szCs w:val="21"/>
              </w:rPr>
              <w:t>（5.5.4-1</w:t>
            </w:r>
            <w:r>
              <w:rPr>
                <w:rFonts w:hint="eastAsia" w:ascii="Times New Roman" w:hAnsi="Times New Roman"/>
                <w:sz w:val="21"/>
                <w:szCs w:val="21"/>
              </w:rPr>
              <w:t>）</w:t>
            </w:r>
          </w:p>
        </w:tc>
      </w:tr>
    </w:tbl>
    <w:p>
      <w:pPr>
        <w:pStyle w:val="189"/>
      </w:pPr>
      <w:r>
        <w:rPr>
          <w:rFonts w:hint="eastAsia"/>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sSub>
                  <m:sSubPr>
                    <m:ctrlPr>
                      <w:rPr>
                        <w:rFonts w:ascii="Cambria Math" w:hAnsi="Cambria Math"/>
                        <w:snapToGrid w:val="0"/>
                        <w:sz w:val="21"/>
                        <w:szCs w:val="21"/>
                      </w:rPr>
                    </m:ctrlPr>
                  </m:sSubPr>
                  <m:e>
                    <m:r>
                      <m:rPr/>
                      <w:rPr>
                        <w:rFonts w:ascii="Cambria Math" w:hAnsi="Cambria Math"/>
                        <w:snapToGrid w:val="0"/>
                        <w:sz w:val="21"/>
                        <w:szCs w:val="21"/>
                      </w:rPr>
                      <m:t>c</m:t>
                    </m:r>
                    <m:ctrlPr>
                      <w:rPr>
                        <w:rFonts w:ascii="Cambria Math" w:hAnsi="Cambria Math"/>
                        <w:snapToGrid w:val="0"/>
                        <w:sz w:val="21"/>
                        <w:szCs w:val="21"/>
                      </w:rPr>
                    </m:ctrlPr>
                  </m:e>
                  <m:sub>
                    <m:r>
                      <m:rPr/>
                      <w:rPr>
                        <w:rFonts w:ascii="Cambria Math" w:hAnsi="Cambria Math"/>
                        <w:snapToGrid w:val="0"/>
                        <w:sz w:val="21"/>
                        <w:szCs w:val="21"/>
                      </w:rPr>
                      <m:t>s</m:t>
                    </m:r>
                    <m:ctrlPr>
                      <w:rPr>
                        <w:rFonts w:ascii="Cambria Math" w:hAnsi="Cambria Math"/>
                        <w:snapToGrid w:val="0"/>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z w:val="21"/>
                <w:szCs w:val="21"/>
              </w:rPr>
            </w:pPr>
            <w:r>
              <w:rPr>
                <w:rFonts w:ascii="Times New Roman" w:hAnsi="Times New Roman" w:cs="Times New Roman"/>
                <w:snapToGrid w:val="0"/>
                <w:sz w:val="21"/>
                <w:szCs w:val="21"/>
              </w:rPr>
              <w:t>硅酮结构密封胶的粘接宽度</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r>
                  <m:rPr/>
                  <w:rPr>
                    <w:rFonts w:ascii="Cambria Math" w:hAnsi="Cambria Math"/>
                    <w:snapToGrid w:val="0"/>
                    <w:sz w:val="21"/>
                    <w:szCs w:val="21"/>
                  </w:rPr>
                  <m:t>w</m:t>
                </m:r>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z w:val="21"/>
                <w:szCs w:val="21"/>
              </w:rPr>
            </w:pPr>
            <w:r>
              <w:rPr>
                <w:rFonts w:ascii="Times New Roman" w:hAnsi="Times New Roman" w:cs="Times New Roman"/>
                <w:snapToGrid w:val="0"/>
                <w:sz w:val="21"/>
                <w:szCs w:val="21"/>
              </w:rPr>
              <w:t>作用在计算单元上的风荷载设计值</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kN/m</w:t>
            </w:r>
            <w:r>
              <w:rPr>
                <w:rFonts w:ascii="Times New Roman" w:hAnsi="Times New Roman" w:cs="Times New Roman"/>
                <w:snapToGrid w:val="0"/>
                <w:sz w:val="21"/>
                <w:szCs w:val="21"/>
                <w:vertAlign w:val="superscript"/>
              </w:rPr>
              <w:t>2</w:t>
            </w:r>
            <w:r>
              <w:rPr>
                <w:rFonts w:ascii="Times New Roman" w:hAnsi="Times New Roman" w:cs="Times New Roman"/>
                <w:snapToGrid w:val="0"/>
                <w:sz w:val="21"/>
                <w:szCs w:val="21"/>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napToGrid w:val="0"/>
                <w:sz w:val="21"/>
                <w:szCs w:val="21"/>
              </w:rPr>
            </w:pPr>
            <m:oMathPara>
              <m:oMathParaPr>
                <m:jc m:val="right"/>
              </m:oMathParaPr>
              <m:oMath>
                <m:r>
                  <m:rPr/>
                  <w:rPr>
                    <w:rFonts w:ascii="Cambria Math" w:hAnsi="Cambria Math"/>
                    <w:snapToGrid w:val="0"/>
                    <w:sz w:val="21"/>
                    <w:szCs w:val="21"/>
                  </w:rPr>
                  <m:t>a</m:t>
                </m:r>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napToGrid w:val="0"/>
                <w:sz w:val="21"/>
                <w:szCs w:val="21"/>
              </w:rPr>
            </w:pPr>
            <w:r>
              <w:rPr>
                <w:rFonts w:ascii="Times New Roman" w:hAnsi="Times New Roman" w:cs="Times New Roman"/>
                <w:snapToGrid w:val="0"/>
                <w:sz w:val="21"/>
                <w:szCs w:val="21"/>
              </w:rPr>
              <w:t>矩形玻璃板的短边长度</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napToGrid w:val="0"/>
                <w:sz w:val="21"/>
                <w:szCs w:val="21"/>
              </w:rPr>
            </w:pPr>
            <m:oMathPara>
              <m:oMathParaPr>
                <m:jc m:val="right"/>
              </m:oMathParaPr>
              <m:oMath>
                <m:sSub>
                  <m:sSubPr>
                    <m:ctrlPr>
                      <w:rPr>
                        <w:rFonts w:ascii="Cambria Math" w:hAnsi="Cambria Math"/>
                        <w:i/>
                        <w:snapToGrid w:val="0"/>
                        <w:sz w:val="21"/>
                        <w:szCs w:val="21"/>
                      </w:rPr>
                    </m:ctrlPr>
                  </m:sSubPr>
                  <m:e>
                    <m:r>
                      <m:rPr/>
                      <w:rPr>
                        <w:rFonts w:ascii="Cambria Math" w:hAnsi="Cambria Math"/>
                        <w:snapToGrid w:val="0"/>
                        <w:sz w:val="21"/>
                        <w:szCs w:val="21"/>
                      </w:rPr>
                      <m:t>f</m:t>
                    </m:r>
                    <m:ctrlPr>
                      <w:rPr>
                        <w:rFonts w:ascii="Cambria Math" w:hAnsi="Cambria Math"/>
                        <w:i/>
                        <w:snapToGrid w:val="0"/>
                        <w:sz w:val="21"/>
                        <w:szCs w:val="21"/>
                      </w:rPr>
                    </m:ctrlPr>
                  </m:e>
                  <m:sub>
                    <m:r>
                      <m:rPr/>
                      <w:rPr>
                        <w:rFonts w:ascii="Cambria Math" w:hAnsi="Cambria Math"/>
                        <w:snapToGrid w:val="0"/>
                        <w:sz w:val="21"/>
                        <w:szCs w:val="21"/>
                      </w:rPr>
                      <m:t>1</m:t>
                    </m:r>
                    <m:ctrlPr>
                      <w:rPr>
                        <w:rFonts w:ascii="Cambria Math" w:hAnsi="Cambria Math"/>
                        <w:i/>
                        <w:snapToGrid w:val="0"/>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napToGrid w:val="0"/>
                <w:sz w:val="21"/>
                <w:szCs w:val="21"/>
              </w:rPr>
            </w:pPr>
            <w:r>
              <w:rPr>
                <w:rFonts w:ascii="Times New Roman" w:hAnsi="Times New Roman" w:cs="Times New Roman"/>
                <w:snapToGrid w:val="0"/>
                <w:sz w:val="21"/>
                <w:szCs w:val="21"/>
              </w:rPr>
              <w:t>硅酮结构密封胶在风荷载或地震作用下的强度设计值，取0.2N/mm</w:t>
            </w:r>
            <w:r>
              <w:rPr>
                <w:rFonts w:ascii="Times New Roman" w:hAnsi="Times New Roman" w:cs="Times New Roman"/>
                <w:snapToGrid w:val="0"/>
                <w:sz w:val="21"/>
                <w:szCs w:val="21"/>
                <w:vertAlign w:val="superscript"/>
              </w:rPr>
              <w:t>2</w:t>
            </w:r>
            <w:r>
              <w:rPr>
                <w:rFonts w:ascii="Times New Roman" w:hAnsi="Times New Roman" w:cs="Times New Roman"/>
                <w:snapToGrid w:val="0"/>
                <w:sz w:val="21"/>
                <w:szCs w:val="21"/>
              </w:rPr>
              <w:t>。</w:t>
            </w:r>
          </w:p>
        </w:tc>
      </w:tr>
    </w:tbl>
    <w:p>
      <w:pPr>
        <w:spacing w:line="360" w:lineRule="auto"/>
        <w:ind w:firstLine="420" w:firstLineChars="200"/>
        <w:rPr>
          <w:rFonts w:ascii="Times New Roman" w:hAnsi="Times New Roman"/>
          <w:snapToGrid w:val="0"/>
          <w:sz w:val="21"/>
          <w:szCs w:val="21"/>
        </w:rPr>
      </w:pPr>
      <w:r>
        <w:rPr>
          <w:rFonts w:ascii="Times New Roman" w:hAnsi="Times New Roman"/>
          <w:bCs/>
          <w:sz w:val="21"/>
          <w:szCs w:val="21"/>
        </w:rPr>
        <w:t xml:space="preserve">2） </w:t>
      </w:r>
      <w:r>
        <w:rPr>
          <w:rFonts w:ascii="Times New Roman" w:hAnsi="Times New Roman"/>
          <w:snapToGrid w:val="0"/>
          <w:sz w:val="21"/>
          <w:szCs w:val="21"/>
        </w:rPr>
        <w:t>在风荷载和水平地震作用下，粘接宽度</w:t>
      </w:r>
      <m:oMath>
        <m:sSub>
          <m:sSubPr>
            <m:ctrlPr>
              <w:rPr>
                <w:rFonts w:ascii="Cambria Math" w:hAnsi="Cambria Math"/>
                <w:snapToGrid w:val="0"/>
                <w:sz w:val="21"/>
                <w:szCs w:val="21"/>
              </w:rPr>
            </m:ctrlPr>
          </m:sSubPr>
          <m:e>
            <m:r>
              <m:rPr/>
              <w:rPr>
                <w:rFonts w:ascii="Cambria Math" w:hAnsi="Cambria Math"/>
                <w:snapToGrid w:val="0"/>
                <w:sz w:val="21"/>
                <w:szCs w:val="21"/>
              </w:rPr>
              <m:t>c</m:t>
            </m:r>
            <m:ctrlPr>
              <w:rPr>
                <w:rFonts w:ascii="Cambria Math" w:hAnsi="Cambria Math"/>
                <w:snapToGrid w:val="0"/>
                <w:sz w:val="21"/>
                <w:szCs w:val="21"/>
              </w:rPr>
            </m:ctrlPr>
          </m:e>
          <m:sub>
            <m:r>
              <m:rPr/>
              <w:rPr>
                <w:rFonts w:ascii="Cambria Math" w:hAnsi="Cambria Math"/>
                <w:snapToGrid w:val="0"/>
                <w:sz w:val="21"/>
                <w:szCs w:val="21"/>
              </w:rPr>
              <m:t>s</m:t>
            </m:r>
            <m:ctrlPr>
              <w:rPr>
                <w:rFonts w:ascii="Cambria Math" w:hAnsi="Cambria Math"/>
                <w:snapToGrid w:val="0"/>
                <w:sz w:val="21"/>
                <w:szCs w:val="21"/>
              </w:rPr>
            </m:ctrlPr>
          </m:sub>
        </m:sSub>
      </m:oMath>
      <w:r>
        <w:rPr>
          <w:rFonts w:ascii="Times New Roman" w:hAnsi="Times New Roman"/>
          <w:snapToGrid w:val="0"/>
          <w:sz w:val="21"/>
          <w:szCs w:val="21"/>
        </w:rPr>
        <w:t>应按下式计算：</w:t>
      </w:r>
    </w:p>
    <w:tbl>
      <w:tblPr>
        <w:tblStyle w:val="37"/>
        <w:tblW w:w="0" w:type="auto"/>
        <w:jc w:val="right"/>
        <w:tblLayout w:type="fixed"/>
        <w:tblCellMar>
          <w:top w:w="0" w:type="dxa"/>
          <w:left w:w="108" w:type="dxa"/>
          <w:bottom w:w="0" w:type="dxa"/>
          <w:right w:w="108" w:type="dxa"/>
        </w:tblCellMar>
      </w:tblPr>
      <w:tblGrid>
        <w:gridCol w:w="5670"/>
        <w:gridCol w:w="2268"/>
      </w:tblGrid>
      <w:tr>
        <w:tblPrEx>
          <w:tblCellMar>
            <w:top w:w="0" w:type="dxa"/>
            <w:left w:w="108" w:type="dxa"/>
            <w:bottom w:w="0" w:type="dxa"/>
            <w:right w:w="108" w:type="dxa"/>
          </w:tblCellMar>
        </w:tblPrEx>
        <w:trPr>
          <w:jc w:val="right"/>
        </w:trPr>
        <w:tc>
          <w:tcPr>
            <w:tcW w:w="5670" w:type="dxa"/>
            <w:shd w:val="clear" w:color="auto" w:fill="auto"/>
            <w:vAlign w:val="center"/>
          </w:tcPr>
          <w:p>
            <w:pPr>
              <w:rPr>
                <w:rFonts w:ascii="Times New Roman" w:hAnsi="Times New Roman"/>
                <w:snapToGrid w:val="0"/>
                <w:sz w:val="21"/>
                <w:szCs w:val="21"/>
              </w:rPr>
            </w:pPr>
            <m:oMathPara>
              <m:oMath>
                <m:sSub>
                  <m:sSubPr>
                    <m:ctrlPr>
                      <w:rPr>
                        <w:rFonts w:ascii="Cambria Math" w:hAnsi="Cambria Math"/>
                        <w:snapToGrid w:val="0"/>
                        <w:sz w:val="21"/>
                        <w:szCs w:val="21"/>
                      </w:rPr>
                    </m:ctrlPr>
                  </m:sSubPr>
                  <m:e>
                    <m:r>
                      <m:rPr/>
                      <w:rPr>
                        <w:rFonts w:ascii="Cambria Math" w:hAnsi="Cambria Math"/>
                        <w:snapToGrid w:val="0"/>
                        <w:sz w:val="21"/>
                        <w:szCs w:val="21"/>
                      </w:rPr>
                      <m:t>c</m:t>
                    </m:r>
                    <m:ctrlPr>
                      <w:rPr>
                        <w:rFonts w:ascii="Cambria Math" w:hAnsi="Cambria Math"/>
                        <w:snapToGrid w:val="0"/>
                        <w:sz w:val="21"/>
                        <w:szCs w:val="21"/>
                      </w:rPr>
                    </m:ctrlPr>
                  </m:e>
                  <m:sub>
                    <m:r>
                      <m:rPr/>
                      <w:rPr>
                        <w:rFonts w:ascii="Cambria Math" w:hAnsi="Cambria Math"/>
                        <w:snapToGrid w:val="0"/>
                        <w:sz w:val="21"/>
                        <w:szCs w:val="21"/>
                      </w:rPr>
                      <m:t>s</m:t>
                    </m:r>
                    <m:ctrlPr>
                      <w:rPr>
                        <w:rFonts w:ascii="Cambria Math" w:hAnsi="Cambria Math"/>
                        <w:snapToGrid w:val="0"/>
                        <w:sz w:val="21"/>
                        <w:szCs w:val="21"/>
                      </w:rPr>
                    </m:ctrlPr>
                  </m:sub>
                </m:sSub>
                <m:r>
                  <m:rPr/>
                  <w:rPr>
                    <w:rFonts w:ascii="Cambria Math" w:hAnsi="Cambria Math"/>
                    <w:snapToGrid w:val="0"/>
                    <w:sz w:val="21"/>
                    <w:szCs w:val="21"/>
                  </w:rPr>
                  <m:t>=</m:t>
                </m:r>
                <m:f>
                  <m:fPr>
                    <m:ctrlPr>
                      <w:rPr>
                        <w:rFonts w:ascii="Cambria Math" w:hAnsi="Cambria Math"/>
                        <w:i/>
                        <w:snapToGrid w:val="0"/>
                        <w:sz w:val="21"/>
                        <w:szCs w:val="21"/>
                      </w:rPr>
                    </m:ctrlPr>
                  </m:fPr>
                  <m:num>
                    <m:r>
                      <m:rPr/>
                      <w:rPr>
                        <w:rFonts w:ascii="Cambria Math" w:hAnsi="Cambria Math"/>
                        <w:snapToGrid w:val="0"/>
                        <w:sz w:val="21"/>
                        <w:szCs w:val="21"/>
                      </w:rPr>
                      <m:t>(w+0.5</m:t>
                    </m:r>
                    <m:sSub>
                      <m:sSubPr>
                        <m:ctrlPr>
                          <w:rPr>
                            <w:rFonts w:ascii="Cambria Math" w:hAnsi="Cambria Math"/>
                            <w:i/>
                            <w:snapToGrid w:val="0"/>
                            <w:sz w:val="21"/>
                            <w:szCs w:val="21"/>
                          </w:rPr>
                        </m:ctrlPr>
                      </m:sSubPr>
                      <m:e>
                        <m:r>
                          <m:rPr/>
                          <w:rPr>
                            <w:rFonts w:ascii="Cambria Math" w:hAnsi="Cambria Math"/>
                            <w:snapToGrid w:val="0"/>
                            <w:sz w:val="21"/>
                            <w:szCs w:val="21"/>
                          </w:rPr>
                          <m:t>q</m:t>
                        </m:r>
                        <m:ctrlPr>
                          <w:rPr>
                            <w:rFonts w:ascii="Cambria Math" w:hAnsi="Cambria Math"/>
                            <w:i/>
                            <w:snapToGrid w:val="0"/>
                            <w:sz w:val="21"/>
                            <w:szCs w:val="21"/>
                          </w:rPr>
                        </m:ctrlPr>
                      </m:e>
                      <m:sub>
                        <m:r>
                          <m:rPr/>
                          <w:rPr>
                            <w:rFonts w:ascii="Cambria Math" w:hAnsi="Cambria Math"/>
                            <w:snapToGrid w:val="0"/>
                            <w:sz w:val="21"/>
                            <w:szCs w:val="21"/>
                          </w:rPr>
                          <m:t>E</m:t>
                        </m:r>
                        <m:ctrlPr>
                          <w:rPr>
                            <w:rFonts w:ascii="Cambria Math" w:hAnsi="Cambria Math"/>
                            <w:i/>
                            <w:snapToGrid w:val="0"/>
                            <w:sz w:val="21"/>
                            <w:szCs w:val="21"/>
                          </w:rPr>
                        </m:ctrlPr>
                      </m:sub>
                    </m:sSub>
                    <m:r>
                      <m:rPr/>
                      <w:rPr>
                        <w:rFonts w:ascii="Cambria Math" w:hAnsi="Cambria Math"/>
                        <w:snapToGrid w:val="0"/>
                        <w:sz w:val="21"/>
                        <w:szCs w:val="21"/>
                      </w:rPr>
                      <m:t>)a</m:t>
                    </m:r>
                    <m:ctrlPr>
                      <w:rPr>
                        <w:rFonts w:ascii="Cambria Math" w:hAnsi="Cambria Math"/>
                        <w:i/>
                        <w:snapToGrid w:val="0"/>
                        <w:sz w:val="21"/>
                        <w:szCs w:val="21"/>
                      </w:rPr>
                    </m:ctrlPr>
                  </m:num>
                  <m:den>
                    <m:r>
                      <m:rPr/>
                      <w:rPr>
                        <w:rFonts w:ascii="Cambria Math" w:hAnsi="Cambria Math"/>
                        <w:snapToGrid w:val="0"/>
                        <w:sz w:val="21"/>
                        <w:szCs w:val="21"/>
                      </w:rPr>
                      <m:t>2000</m:t>
                    </m:r>
                    <m:sSub>
                      <m:sSubPr>
                        <m:ctrlPr>
                          <w:rPr>
                            <w:rFonts w:ascii="Cambria Math" w:hAnsi="Cambria Math"/>
                            <w:i/>
                            <w:snapToGrid w:val="0"/>
                            <w:sz w:val="21"/>
                            <w:szCs w:val="21"/>
                          </w:rPr>
                        </m:ctrlPr>
                      </m:sSubPr>
                      <m:e>
                        <m:r>
                          <m:rPr/>
                          <w:rPr>
                            <w:rFonts w:ascii="Cambria Math" w:hAnsi="Cambria Math"/>
                            <w:snapToGrid w:val="0"/>
                            <w:sz w:val="21"/>
                            <w:szCs w:val="21"/>
                          </w:rPr>
                          <m:t>f</m:t>
                        </m:r>
                        <m:ctrlPr>
                          <w:rPr>
                            <w:rFonts w:ascii="Cambria Math" w:hAnsi="Cambria Math"/>
                            <w:i/>
                            <w:snapToGrid w:val="0"/>
                            <w:sz w:val="21"/>
                            <w:szCs w:val="21"/>
                          </w:rPr>
                        </m:ctrlPr>
                      </m:e>
                      <m:sub>
                        <m:r>
                          <m:rPr/>
                          <w:rPr>
                            <w:rFonts w:ascii="Cambria Math" w:hAnsi="Cambria Math"/>
                            <w:snapToGrid w:val="0"/>
                            <w:sz w:val="21"/>
                            <w:szCs w:val="21"/>
                          </w:rPr>
                          <m:t>1</m:t>
                        </m:r>
                        <m:ctrlPr>
                          <w:rPr>
                            <w:rFonts w:ascii="Cambria Math" w:hAnsi="Cambria Math"/>
                            <w:i/>
                            <w:snapToGrid w:val="0"/>
                            <w:sz w:val="21"/>
                            <w:szCs w:val="21"/>
                          </w:rPr>
                        </m:ctrlPr>
                      </m:sub>
                    </m:sSub>
                    <m:ctrlPr>
                      <w:rPr>
                        <w:rFonts w:ascii="Cambria Math" w:hAnsi="Cambria Math"/>
                        <w:i/>
                        <w:snapToGrid w:val="0"/>
                        <w:sz w:val="21"/>
                        <w:szCs w:val="21"/>
                      </w:rPr>
                    </m:ctrlPr>
                  </m:den>
                </m:f>
              </m:oMath>
            </m:oMathPara>
          </w:p>
        </w:tc>
        <w:tc>
          <w:tcPr>
            <w:tcW w:w="2268" w:type="dxa"/>
            <w:shd w:val="clear" w:color="auto" w:fill="auto"/>
            <w:vAlign w:val="center"/>
          </w:tcPr>
          <w:p>
            <w:pPr>
              <w:jc w:val="right"/>
              <w:rPr>
                <w:rFonts w:ascii="Times New Roman" w:hAnsi="Times New Roman"/>
                <w:sz w:val="21"/>
                <w:szCs w:val="21"/>
              </w:rPr>
            </w:pPr>
            <w:r>
              <w:rPr>
                <w:rFonts w:ascii="Times New Roman" w:hAnsi="Times New Roman"/>
                <w:sz w:val="21"/>
                <w:szCs w:val="21"/>
              </w:rPr>
              <w:t>（5.5.4-2</w:t>
            </w:r>
            <w:r>
              <w:rPr>
                <w:rFonts w:hint="eastAsia" w:ascii="Times New Roman" w:hAnsi="Times New Roman"/>
                <w:sz w:val="21"/>
                <w:szCs w:val="21"/>
              </w:rPr>
              <w:t>）</w:t>
            </w:r>
          </w:p>
        </w:tc>
      </w:tr>
    </w:tbl>
    <w:p>
      <w:pPr>
        <w:pStyle w:val="189"/>
        <w:rPr>
          <w:snapToGrid w:val="0"/>
        </w:rPr>
      </w:pPr>
      <w:r>
        <w:rPr>
          <w:snapToGrid w:val="0"/>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sSub>
                  <m:sSubPr>
                    <m:ctrlPr>
                      <w:rPr>
                        <w:rFonts w:ascii="Cambria Math" w:hAnsi="Cambria Math"/>
                        <w:i/>
                        <w:snapToGrid w:val="0"/>
                        <w:sz w:val="21"/>
                        <w:szCs w:val="21"/>
                      </w:rPr>
                    </m:ctrlPr>
                  </m:sSubPr>
                  <m:e>
                    <m:r>
                      <m:rPr/>
                      <w:rPr>
                        <w:rFonts w:ascii="Cambria Math" w:hAnsi="Cambria Math"/>
                        <w:snapToGrid w:val="0"/>
                        <w:sz w:val="21"/>
                        <w:szCs w:val="21"/>
                      </w:rPr>
                      <m:t>q</m:t>
                    </m:r>
                    <m:ctrlPr>
                      <w:rPr>
                        <w:rFonts w:ascii="Cambria Math" w:hAnsi="Cambria Math"/>
                        <w:i/>
                        <w:snapToGrid w:val="0"/>
                        <w:sz w:val="21"/>
                        <w:szCs w:val="21"/>
                      </w:rPr>
                    </m:ctrlPr>
                  </m:e>
                  <m:sub>
                    <m:r>
                      <m:rPr/>
                      <w:rPr>
                        <w:rFonts w:ascii="Cambria Math" w:hAnsi="Cambria Math"/>
                        <w:snapToGrid w:val="0"/>
                        <w:sz w:val="21"/>
                        <w:szCs w:val="21"/>
                      </w:rPr>
                      <m:t>E</m:t>
                    </m:r>
                    <m:ctrlPr>
                      <w:rPr>
                        <w:rFonts w:ascii="Cambria Math" w:hAnsi="Cambria Math"/>
                        <w:i/>
                        <w:snapToGrid w:val="0"/>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sz w:val="21"/>
                <w:szCs w:val="21"/>
              </w:rPr>
            </w:pPr>
            <w:r>
              <w:rPr>
                <w:rFonts w:ascii="Times New Roman" w:hAnsi="Times New Roman"/>
                <w:snapToGrid w:val="0"/>
                <w:sz w:val="21"/>
                <w:szCs w:val="21"/>
              </w:rPr>
              <w:t>作用在计算单元上的地震作用设计值</w:t>
            </w:r>
            <w:r>
              <w:rPr>
                <w:rFonts w:hint="eastAsia" w:ascii="Times New Roman" w:hAnsi="Times New Roman"/>
                <w:snapToGrid w:val="0"/>
                <w:sz w:val="21"/>
                <w:szCs w:val="21"/>
                <w:lang w:eastAsia="zh-CN"/>
              </w:rPr>
              <w:t>（</w:t>
            </w:r>
            <w:r>
              <w:rPr>
                <w:rFonts w:ascii="Times New Roman" w:hAnsi="Times New Roman"/>
                <w:snapToGrid w:val="0"/>
                <w:sz w:val="21"/>
                <w:szCs w:val="21"/>
              </w:rPr>
              <w:t>kN/m</w:t>
            </w:r>
            <w:r>
              <w:rPr>
                <w:rFonts w:ascii="Times New Roman" w:hAnsi="Times New Roman"/>
                <w:snapToGrid w:val="0"/>
                <w:sz w:val="21"/>
                <w:szCs w:val="21"/>
                <w:vertAlign w:val="superscript"/>
              </w:rPr>
              <w:t>2</w:t>
            </w:r>
            <w:r>
              <w:rPr>
                <w:rFonts w:ascii="Times New Roman" w:hAnsi="Times New Roman"/>
                <w:snapToGrid w:val="0"/>
                <w:sz w:val="21"/>
                <w:szCs w:val="21"/>
              </w:rPr>
              <w:t>)。</w:t>
            </w:r>
          </w:p>
        </w:tc>
      </w:tr>
    </w:tbl>
    <w:p>
      <w:pPr>
        <w:spacing w:line="360" w:lineRule="auto"/>
        <w:ind w:firstLine="482"/>
        <w:rPr>
          <w:rFonts w:ascii="Times New Roman" w:hAnsi="Times New Roman"/>
          <w:snapToGrid w:val="0"/>
          <w:sz w:val="21"/>
          <w:szCs w:val="21"/>
        </w:rPr>
      </w:pPr>
      <w:r>
        <w:rPr>
          <w:rFonts w:ascii="Times New Roman" w:hAnsi="Times New Roman"/>
          <w:snapToGrid w:val="0"/>
          <w:sz w:val="21"/>
          <w:szCs w:val="21"/>
        </w:rPr>
        <w:t>3） 在永久荷载作用下，粘接宽度</w:t>
      </w:r>
      <m:oMath>
        <m:sSub>
          <m:sSubPr>
            <m:ctrlPr>
              <w:rPr>
                <w:rFonts w:ascii="Cambria Math" w:hAnsi="Cambria Math"/>
                <w:snapToGrid w:val="0"/>
                <w:sz w:val="21"/>
                <w:szCs w:val="21"/>
              </w:rPr>
            </m:ctrlPr>
          </m:sSubPr>
          <m:e>
            <m:r>
              <m:rPr/>
              <w:rPr>
                <w:rFonts w:ascii="Cambria Math" w:hAnsi="Cambria Math"/>
                <w:snapToGrid w:val="0"/>
                <w:sz w:val="21"/>
                <w:szCs w:val="21"/>
              </w:rPr>
              <m:t>c</m:t>
            </m:r>
            <m:ctrlPr>
              <w:rPr>
                <w:rFonts w:ascii="Cambria Math" w:hAnsi="Cambria Math"/>
                <w:snapToGrid w:val="0"/>
                <w:sz w:val="21"/>
                <w:szCs w:val="21"/>
              </w:rPr>
            </m:ctrlPr>
          </m:e>
          <m:sub>
            <m:r>
              <m:rPr/>
              <w:rPr>
                <w:rFonts w:ascii="Cambria Math" w:hAnsi="Cambria Math"/>
                <w:snapToGrid w:val="0"/>
                <w:sz w:val="21"/>
                <w:szCs w:val="21"/>
              </w:rPr>
              <m:t>s</m:t>
            </m:r>
            <m:ctrlPr>
              <w:rPr>
                <w:rFonts w:ascii="Cambria Math" w:hAnsi="Cambria Math"/>
                <w:snapToGrid w:val="0"/>
                <w:sz w:val="21"/>
                <w:szCs w:val="21"/>
              </w:rPr>
            </m:ctrlPr>
          </m:sub>
        </m:sSub>
      </m:oMath>
      <w:r>
        <w:rPr>
          <w:rFonts w:ascii="Times New Roman" w:hAnsi="Times New Roman"/>
          <w:snapToGrid w:val="0"/>
          <w:sz w:val="21"/>
          <w:szCs w:val="21"/>
        </w:rPr>
        <w:t>应按下式计算：</w:t>
      </w:r>
    </w:p>
    <w:tbl>
      <w:tblPr>
        <w:tblStyle w:val="37"/>
        <w:tblW w:w="0" w:type="auto"/>
        <w:jc w:val="right"/>
        <w:tblLayout w:type="fixed"/>
        <w:tblCellMar>
          <w:top w:w="0" w:type="dxa"/>
          <w:left w:w="108" w:type="dxa"/>
          <w:bottom w:w="0" w:type="dxa"/>
          <w:right w:w="108" w:type="dxa"/>
        </w:tblCellMar>
      </w:tblPr>
      <w:tblGrid>
        <w:gridCol w:w="5670"/>
        <w:gridCol w:w="2268"/>
      </w:tblGrid>
      <w:tr>
        <w:tblPrEx>
          <w:tblCellMar>
            <w:top w:w="0" w:type="dxa"/>
            <w:left w:w="108" w:type="dxa"/>
            <w:bottom w:w="0" w:type="dxa"/>
            <w:right w:w="108" w:type="dxa"/>
          </w:tblCellMar>
        </w:tblPrEx>
        <w:trPr>
          <w:jc w:val="right"/>
        </w:trPr>
        <w:tc>
          <w:tcPr>
            <w:tcW w:w="5670" w:type="dxa"/>
            <w:shd w:val="clear" w:color="auto" w:fill="auto"/>
            <w:vAlign w:val="center"/>
          </w:tcPr>
          <w:p>
            <w:pPr>
              <w:rPr>
                <w:rFonts w:ascii="Times New Roman" w:hAnsi="Times New Roman"/>
                <w:snapToGrid w:val="0"/>
                <w:sz w:val="21"/>
                <w:szCs w:val="21"/>
              </w:rPr>
            </w:pPr>
            <m:oMathPara>
              <m:oMath>
                <m:sSub>
                  <m:sSubPr>
                    <m:ctrlPr>
                      <w:rPr>
                        <w:rFonts w:ascii="Cambria Math" w:hAnsi="Cambria Math"/>
                        <w:snapToGrid w:val="0"/>
                        <w:sz w:val="21"/>
                        <w:szCs w:val="21"/>
                      </w:rPr>
                    </m:ctrlPr>
                  </m:sSubPr>
                  <m:e>
                    <m:r>
                      <m:rPr/>
                      <w:rPr>
                        <w:rFonts w:ascii="Cambria Math" w:hAnsi="Cambria Math"/>
                        <w:snapToGrid w:val="0"/>
                        <w:sz w:val="21"/>
                        <w:szCs w:val="21"/>
                      </w:rPr>
                      <m:t>c</m:t>
                    </m:r>
                    <m:ctrlPr>
                      <w:rPr>
                        <w:rFonts w:ascii="Cambria Math" w:hAnsi="Cambria Math"/>
                        <w:snapToGrid w:val="0"/>
                        <w:sz w:val="21"/>
                        <w:szCs w:val="21"/>
                      </w:rPr>
                    </m:ctrlPr>
                  </m:e>
                  <m:sub>
                    <m:r>
                      <m:rPr/>
                      <w:rPr>
                        <w:rFonts w:ascii="Cambria Math" w:hAnsi="Cambria Math"/>
                        <w:snapToGrid w:val="0"/>
                        <w:sz w:val="21"/>
                        <w:szCs w:val="21"/>
                      </w:rPr>
                      <m:t>s</m:t>
                    </m:r>
                    <m:ctrlPr>
                      <w:rPr>
                        <w:rFonts w:ascii="Cambria Math" w:hAnsi="Cambria Math"/>
                        <w:snapToGrid w:val="0"/>
                        <w:sz w:val="21"/>
                        <w:szCs w:val="21"/>
                      </w:rPr>
                    </m:ctrlPr>
                  </m:sub>
                </m:sSub>
                <m:r>
                  <m:rPr/>
                  <w:rPr>
                    <w:rFonts w:ascii="Cambria Math" w:hAnsi="Cambria Math"/>
                    <w:snapToGrid w:val="0"/>
                    <w:sz w:val="21"/>
                    <w:szCs w:val="21"/>
                  </w:rPr>
                  <m:t>=</m:t>
                </m:r>
                <m:f>
                  <m:fPr>
                    <m:ctrlPr>
                      <w:rPr>
                        <w:rFonts w:ascii="Cambria Math" w:hAnsi="Cambria Math"/>
                        <w:i/>
                        <w:snapToGrid w:val="0"/>
                        <w:sz w:val="21"/>
                        <w:szCs w:val="21"/>
                      </w:rPr>
                    </m:ctrlPr>
                  </m:fPr>
                  <m:num>
                    <m:sSub>
                      <m:sSubPr>
                        <m:ctrlPr>
                          <w:rPr>
                            <w:rFonts w:ascii="Cambria Math" w:hAnsi="Cambria Math"/>
                            <w:i/>
                            <w:snapToGrid w:val="0"/>
                            <w:sz w:val="21"/>
                            <w:szCs w:val="21"/>
                          </w:rPr>
                        </m:ctrlPr>
                      </m:sSubPr>
                      <m:e>
                        <m:r>
                          <m:rPr/>
                          <w:rPr>
                            <w:rFonts w:ascii="Cambria Math" w:hAnsi="Cambria Math"/>
                            <w:snapToGrid w:val="0"/>
                            <w:sz w:val="21"/>
                            <w:szCs w:val="21"/>
                          </w:rPr>
                          <m:t>q</m:t>
                        </m:r>
                        <m:ctrlPr>
                          <w:rPr>
                            <w:rFonts w:ascii="Cambria Math" w:hAnsi="Cambria Math"/>
                            <w:i/>
                            <w:snapToGrid w:val="0"/>
                            <w:sz w:val="21"/>
                            <w:szCs w:val="21"/>
                          </w:rPr>
                        </m:ctrlPr>
                      </m:e>
                      <m:sub>
                        <m:r>
                          <m:rPr/>
                          <w:rPr>
                            <w:rFonts w:ascii="Cambria Math" w:hAnsi="Cambria Math"/>
                            <w:snapToGrid w:val="0"/>
                            <w:sz w:val="21"/>
                            <w:szCs w:val="21"/>
                          </w:rPr>
                          <m:t>G</m:t>
                        </m:r>
                        <m:ctrlPr>
                          <w:rPr>
                            <w:rFonts w:ascii="Cambria Math" w:hAnsi="Cambria Math"/>
                            <w:i/>
                            <w:snapToGrid w:val="0"/>
                            <w:sz w:val="21"/>
                            <w:szCs w:val="21"/>
                          </w:rPr>
                        </m:ctrlPr>
                      </m:sub>
                    </m:sSub>
                    <m:r>
                      <m:rPr/>
                      <w:rPr>
                        <w:rFonts w:ascii="Cambria Math" w:hAnsi="Cambria Math"/>
                        <w:snapToGrid w:val="0"/>
                        <w:sz w:val="21"/>
                        <w:szCs w:val="21"/>
                      </w:rPr>
                      <m:t>ab</m:t>
                    </m:r>
                    <m:ctrlPr>
                      <w:rPr>
                        <w:rFonts w:ascii="Cambria Math" w:hAnsi="Cambria Math"/>
                        <w:i/>
                        <w:snapToGrid w:val="0"/>
                        <w:sz w:val="21"/>
                        <w:szCs w:val="21"/>
                      </w:rPr>
                    </m:ctrlPr>
                  </m:num>
                  <m:den>
                    <m:r>
                      <m:rPr/>
                      <w:rPr>
                        <w:rFonts w:ascii="Cambria Math" w:hAnsi="Cambria Math"/>
                        <w:snapToGrid w:val="0"/>
                        <w:sz w:val="21"/>
                        <w:szCs w:val="21"/>
                      </w:rPr>
                      <m:t>2000(a+b)</m:t>
                    </m:r>
                    <m:sSub>
                      <m:sSubPr>
                        <m:ctrlPr>
                          <w:rPr>
                            <w:rFonts w:ascii="Cambria Math" w:hAnsi="Cambria Math"/>
                            <w:i/>
                            <w:snapToGrid w:val="0"/>
                            <w:sz w:val="21"/>
                            <w:szCs w:val="21"/>
                          </w:rPr>
                        </m:ctrlPr>
                      </m:sSubPr>
                      <m:e>
                        <m:r>
                          <m:rPr/>
                          <w:rPr>
                            <w:rFonts w:ascii="Cambria Math" w:hAnsi="Cambria Math"/>
                            <w:snapToGrid w:val="0"/>
                            <w:sz w:val="21"/>
                            <w:szCs w:val="21"/>
                          </w:rPr>
                          <m:t>f</m:t>
                        </m:r>
                        <m:ctrlPr>
                          <w:rPr>
                            <w:rFonts w:ascii="Cambria Math" w:hAnsi="Cambria Math"/>
                            <w:i/>
                            <w:snapToGrid w:val="0"/>
                            <w:sz w:val="21"/>
                            <w:szCs w:val="21"/>
                          </w:rPr>
                        </m:ctrlPr>
                      </m:e>
                      <m:sub>
                        <m:r>
                          <m:rPr/>
                          <w:rPr>
                            <w:rFonts w:ascii="Cambria Math" w:hAnsi="Cambria Math"/>
                            <w:snapToGrid w:val="0"/>
                            <w:sz w:val="21"/>
                            <w:szCs w:val="21"/>
                          </w:rPr>
                          <m:t>2</m:t>
                        </m:r>
                        <m:ctrlPr>
                          <w:rPr>
                            <w:rFonts w:ascii="Cambria Math" w:hAnsi="Cambria Math"/>
                            <w:i/>
                            <w:snapToGrid w:val="0"/>
                            <w:sz w:val="21"/>
                            <w:szCs w:val="21"/>
                          </w:rPr>
                        </m:ctrlPr>
                      </m:sub>
                    </m:sSub>
                    <m:ctrlPr>
                      <w:rPr>
                        <w:rFonts w:ascii="Cambria Math" w:hAnsi="Cambria Math"/>
                        <w:i/>
                        <w:snapToGrid w:val="0"/>
                        <w:sz w:val="21"/>
                        <w:szCs w:val="21"/>
                      </w:rPr>
                    </m:ctrlPr>
                  </m:den>
                </m:f>
              </m:oMath>
            </m:oMathPara>
          </w:p>
        </w:tc>
        <w:tc>
          <w:tcPr>
            <w:tcW w:w="2268" w:type="dxa"/>
            <w:shd w:val="clear" w:color="auto" w:fill="auto"/>
            <w:vAlign w:val="center"/>
          </w:tcPr>
          <w:p>
            <w:pPr>
              <w:jc w:val="right"/>
              <w:rPr>
                <w:rFonts w:ascii="Times New Roman" w:hAnsi="Times New Roman"/>
                <w:sz w:val="21"/>
                <w:szCs w:val="21"/>
              </w:rPr>
            </w:pPr>
            <w:r>
              <w:rPr>
                <w:rFonts w:ascii="Times New Roman" w:hAnsi="Times New Roman"/>
                <w:sz w:val="21"/>
                <w:szCs w:val="21"/>
              </w:rPr>
              <w:t>（5.5.4-3</w:t>
            </w:r>
            <w:r>
              <w:rPr>
                <w:rFonts w:hint="eastAsia" w:ascii="Times New Roman" w:hAnsi="Times New Roman"/>
                <w:sz w:val="21"/>
                <w:szCs w:val="21"/>
              </w:rPr>
              <w:t>）</w:t>
            </w:r>
          </w:p>
        </w:tc>
      </w:tr>
    </w:tbl>
    <w:p>
      <w:pPr>
        <w:pStyle w:val="189"/>
        <w:rPr>
          <w:snapToGrid w:val="0"/>
        </w:rPr>
      </w:pPr>
      <w:r>
        <w:rPr>
          <w:snapToGrid w:val="0"/>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sSub>
                  <m:sSubPr>
                    <m:ctrlPr>
                      <w:rPr>
                        <w:rFonts w:ascii="Cambria Math" w:hAnsi="Cambria Math"/>
                        <w:i/>
                        <w:snapToGrid w:val="0"/>
                        <w:sz w:val="21"/>
                        <w:szCs w:val="21"/>
                      </w:rPr>
                    </m:ctrlPr>
                  </m:sSubPr>
                  <m:e>
                    <m:r>
                      <m:rPr/>
                      <w:rPr>
                        <w:rFonts w:ascii="Cambria Math" w:hAnsi="Cambria Math"/>
                        <w:snapToGrid w:val="0"/>
                        <w:sz w:val="21"/>
                        <w:szCs w:val="21"/>
                      </w:rPr>
                      <m:t>q</m:t>
                    </m:r>
                    <m:ctrlPr>
                      <w:rPr>
                        <w:rFonts w:ascii="Cambria Math" w:hAnsi="Cambria Math"/>
                        <w:i/>
                        <w:snapToGrid w:val="0"/>
                        <w:sz w:val="21"/>
                        <w:szCs w:val="21"/>
                      </w:rPr>
                    </m:ctrlPr>
                  </m:e>
                  <m:sub>
                    <m:r>
                      <m:rPr/>
                      <w:rPr>
                        <w:rFonts w:ascii="Cambria Math" w:hAnsi="Cambria Math"/>
                        <w:snapToGrid w:val="0"/>
                        <w:sz w:val="21"/>
                        <w:szCs w:val="21"/>
                      </w:rPr>
                      <m:t>G</m:t>
                    </m:r>
                    <m:ctrlPr>
                      <w:rPr>
                        <w:rFonts w:ascii="Cambria Math" w:hAnsi="Cambria Math"/>
                        <w:i/>
                        <w:snapToGrid w:val="0"/>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z w:val="21"/>
                <w:szCs w:val="21"/>
              </w:rPr>
            </w:pPr>
            <w:r>
              <w:rPr>
                <w:rFonts w:ascii="Times New Roman" w:hAnsi="Times New Roman" w:cs="Times New Roman"/>
                <w:snapToGrid w:val="0"/>
                <w:sz w:val="21"/>
                <w:szCs w:val="21"/>
              </w:rPr>
              <w:t>幕墙玻璃单位面积重力荷载设计值</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kN/m</w:t>
            </w:r>
            <w:r>
              <w:rPr>
                <w:rFonts w:ascii="Times New Roman" w:hAnsi="Times New Roman" w:cs="Times New Roman"/>
                <w:snapToGrid w:val="0"/>
                <w:sz w:val="21"/>
                <w:szCs w:val="21"/>
                <w:vertAlign w:val="superscript"/>
              </w:rPr>
              <w:t>2</w:t>
            </w:r>
            <w:r>
              <w:rPr>
                <w:rFonts w:ascii="Times New Roman" w:hAnsi="Times New Roman" w:cs="Times New Roman"/>
                <w:snapToGrid w:val="0"/>
                <w:sz w:val="21"/>
                <w:szCs w:val="21"/>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r>
                  <m:rPr/>
                  <w:rPr>
                    <w:rFonts w:ascii="Cambria Math" w:hAnsi="Cambria Math"/>
                    <w:snapToGrid w:val="0"/>
                    <w:sz w:val="21"/>
                    <w:szCs w:val="21"/>
                  </w:rPr>
                  <m:t>a、b</m:t>
                </m:r>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z w:val="21"/>
                <w:szCs w:val="21"/>
              </w:rPr>
            </w:pPr>
            <w:r>
              <w:rPr>
                <w:rFonts w:ascii="Times New Roman" w:hAnsi="Times New Roman" w:cs="Times New Roman"/>
                <w:snapToGrid w:val="0"/>
                <w:sz w:val="21"/>
                <w:szCs w:val="21"/>
              </w:rPr>
              <w:t>分别为矩形玻璃板的短边和长边长度</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napToGrid w:val="0"/>
                <w:sz w:val="21"/>
                <w:szCs w:val="21"/>
              </w:rPr>
            </w:pPr>
            <m:oMathPara>
              <m:oMathParaPr>
                <m:jc m:val="right"/>
              </m:oMathParaPr>
              <m:oMath>
                <m:sSub>
                  <m:sSubPr>
                    <m:ctrlPr>
                      <w:rPr>
                        <w:rFonts w:ascii="Cambria Math" w:hAnsi="Cambria Math"/>
                        <w:i/>
                        <w:snapToGrid w:val="0"/>
                        <w:sz w:val="21"/>
                        <w:szCs w:val="21"/>
                      </w:rPr>
                    </m:ctrlPr>
                  </m:sSubPr>
                  <m:e>
                    <m:r>
                      <m:rPr/>
                      <w:rPr>
                        <w:rFonts w:ascii="Cambria Math" w:hAnsi="Cambria Math"/>
                        <w:snapToGrid w:val="0"/>
                        <w:sz w:val="21"/>
                        <w:szCs w:val="21"/>
                      </w:rPr>
                      <m:t>f</m:t>
                    </m:r>
                    <m:ctrlPr>
                      <w:rPr>
                        <w:rFonts w:ascii="Cambria Math" w:hAnsi="Cambria Math"/>
                        <w:i/>
                        <w:snapToGrid w:val="0"/>
                        <w:sz w:val="21"/>
                        <w:szCs w:val="21"/>
                      </w:rPr>
                    </m:ctrlPr>
                  </m:e>
                  <m:sub>
                    <m:r>
                      <m:rPr/>
                      <w:rPr>
                        <w:rFonts w:ascii="Cambria Math" w:hAnsi="Cambria Math"/>
                        <w:snapToGrid w:val="0"/>
                        <w:sz w:val="21"/>
                        <w:szCs w:val="21"/>
                      </w:rPr>
                      <m:t>2</m:t>
                    </m:r>
                    <m:ctrlPr>
                      <w:rPr>
                        <w:rFonts w:ascii="Cambria Math" w:hAnsi="Cambria Math"/>
                        <w:i/>
                        <w:snapToGrid w:val="0"/>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napToGrid w:val="0"/>
                <w:sz w:val="21"/>
                <w:szCs w:val="21"/>
              </w:rPr>
            </w:pPr>
            <w:r>
              <w:rPr>
                <w:rFonts w:ascii="Times New Roman" w:hAnsi="Times New Roman" w:cs="Times New Roman"/>
                <w:snapToGrid w:val="0"/>
                <w:sz w:val="21"/>
                <w:szCs w:val="21"/>
              </w:rPr>
              <w:t>硅酮结构密封胶在永久荷载作用下的强度设计值，取0.01N/mm</w:t>
            </w:r>
            <w:r>
              <w:rPr>
                <w:rFonts w:ascii="Times New Roman" w:hAnsi="Times New Roman" w:cs="Times New Roman"/>
                <w:snapToGrid w:val="0"/>
                <w:sz w:val="21"/>
                <w:szCs w:val="21"/>
                <w:vertAlign w:val="superscript"/>
              </w:rPr>
              <w:t>2</w:t>
            </w:r>
            <w:r>
              <w:rPr>
                <w:rFonts w:ascii="Times New Roman" w:hAnsi="Times New Roman" w:cs="Times New Roman"/>
                <w:snapToGrid w:val="0"/>
                <w:sz w:val="21"/>
                <w:szCs w:val="21"/>
              </w:rPr>
              <w:t>。</w:t>
            </w:r>
          </w:p>
        </w:tc>
      </w:tr>
    </w:tbl>
    <w:p>
      <w:pPr>
        <w:spacing w:line="360" w:lineRule="auto"/>
        <w:ind w:firstLine="422" w:firstLineChars="200"/>
        <w:rPr>
          <w:rFonts w:ascii="Times New Roman" w:hAnsi="Times New Roman"/>
          <w:sz w:val="21"/>
          <w:szCs w:val="21"/>
        </w:rPr>
      </w:pPr>
      <w:r>
        <w:rPr>
          <w:rFonts w:ascii="Times New Roman" w:hAnsi="Times New Roman"/>
          <w:b/>
          <w:sz w:val="21"/>
          <w:szCs w:val="21"/>
        </w:rPr>
        <w:t xml:space="preserve">2 </w:t>
      </w:r>
      <w:r>
        <w:rPr>
          <w:rFonts w:ascii="Times New Roman" w:hAnsi="Times New Roman"/>
          <w:sz w:val="21"/>
          <w:szCs w:val="21"/>
        </w:rPr>
        <w:t>粘结厚度</w:t>
      </w:r>
      <m:oMath>
        <m:sSub>
          <m:sSubPr>
            <m:ctrlPr>
              <w:rPr>
                <w:rFonts w:ascii="Cambria Math" w:hAnsi="Cambria Math"/>
                <w:bCs/>
                <w:sz w:val="21"/>
                <w:szCs w:val="21"/>
              </w:rPr>
            </m:ctrlPr>
          </m:sSubPr>
          <m:e>
            <m:r>
              <m:rPr/>
              <w:rPr>
                <w:rFonts w:ascii="Cambria Math" w:hAnsi="Cambria Math"/>
                <w:sz w:val="21"/>
                <w:szCs w:val="21"/>
              </w:rPr>
              <m:t>t</m:t>
            </m:r>
            <m:ctrlPr>
              <w:rPr>
                <w:rFonts w:ascii="Cambria Math" w:hAnsi="Cambria Math"/>
                <w:bCs/>
                <w:i/>
                <w:sz w:val="21"/>
                <w:szCs w:val="21"/>
              </w:rPr>
            </m:ctrlPr>
          </m:e>
          <m:sub>
            <m:r>
              <m:rPr/>
              <w:rPr>
                <w:rFonts w:ascii="Cambria Math" w:hAnsi="Cambria Math"/>
                <w:sz w:val="21"/>
                <w:szCs w:val="21"/>
              </w:rPr>
              <m:t>s</m:t>
            </m:r>
            <m:ctrlPr>
              <w:rPr>
                <w:rFonts w:ascii="Cambria Math" w:hAnsi="Cambria Math"/>
                <w:bCs/>
                <w:sz w:val="21"/>
                <w:szCs w:val="21"/>
              </w:rPr>
            </m:ctrlPr>
          </m:sub>
        </m:sSub>
      </m:oMath>
      <w:r>
        <w:rPr>
          <w:rFonts w:ascii="Times New Roman" w:hAnsi="Times New Roman"/>
          <w:sz w:val="21"/>
          <w:szCs w:val="21"/>
        </w:rPr>
        <w:t>，应按下列规定计算。</w:t>
      </w:r>
    </w:p>
    <w:p>
      <w:pPr>
        <w:jc w:val="center"/>
        <w:rPr>
          <w:rFonts w:ascii="Times New Roman" w:hAnsi="Times New Roman"/>
          <w:snapToGrid w:val="0"/>
        </w:rPr>
      </w:pPr>
      <w:r>
        <w:rPr>
          <w:rFonts w:ascii="Times New Roman" w:hAnsi="Times New Roman"/>
        </w:rPr>
        <w:drawing>
          <wp:inline distT="0" distB="0" distL="0" distR="0">
            <wp:extent cx="2237105" cy="17995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4"/>
                    <a:stretch>
                      <a:fillRect/>
                    </a:stretch>
                  </pic:blipFill>
                  <pic:spPr>
                    <a:xfrm>
                      <a:off x="0" y="0"/>
                      <a:ext cx="2237594" cy="1800000"/>
                    </a:xfrm>
                    <a:prstGeom prst="rect">
                      <a:avLst/>
                    </a:prstGeom>
                  </pic:spPr>
                </pic:pic>
              </a:graphicData>
            </a:graphic>
          </wp:inline>
        </w:drawing>
      </w:r>
    </w:p>
    <w:p>
      <w:pPr>
        <w:pStyle w:val="186"/>
        <w:rPr>
          <w:snapToGrid w:val="0"/>
        </w:rPr>
      </w:pPr>
      <w:r>
        <w:rPr>
          <w:snapToGrid w:val="0"/>
        </w:rPr>
        <w:t>图9.2.1-1 硅酮结构密封胶粘接厚度示意</w:t>
      </w:r>
    </w:p>
    <w:p>
      <w:pPr>
        <w:pStyle w:val="186"/>
        <w:rPr>
          <w:snapToGrid w:val="0"/>
        </w:rPr>
      </w:pPr>
      <w:r>
        <w:rPr>
          <w:snapToGrid w:val="0"/>
        </w:rPr>
        <w:t>1—玻璃面板；2—双面胶条；3—结构硅酮密封胶；4—窗框</w:t>
      </w:r>
    </w:p>
    <w:tbl>
      <w:tblPr>
        <w:tblStyle w:val="37"/>
        <w:tblW w:w="0" w:type="auto"/>
        <w:jc w:val="right"/>
        <w:tblLayout w:type="fixed"/>
        <w:tblCellMar>
          <w:top w:w="0" w:type="dxa"/>
          <w:left w:w="108" w:type="dxa"/>
          <w:bottom w:w="0" w:type="dxa"/>
          <w:right w:w="108" w:type="dxa"/>
        </w:tblCellMar>
      </w:tblPr>
      <w:tblGrid>
        <w:gridCol w:w="5670"/>
        <w:gridCol w:w="2268"/>
      </w:tblGrid>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jc w:val="both"/>
              <w:rPr>
                <w:rFonts w:ascii="Times New Roman" w:hAnsi="Times New Roman"/>
                <w:sz w:val="21"/>
                <w:szCs w:val="21"/>
              </w:rPr>
            </w:pPr>
            <m:oMathPara>
              <m:oMathParaPr>
                <m:jc m:val="center"/>
              </m:oMathParaPr>
              <m:oMath>
                <m:sSub>
                  <m:sSubPr>
                    <m:ctrlPr>
                      <w:rPr>
                        <w:rFonts w:ascii="Cambria Math" w:hAnsi="Cambria Math"/>
                        <w:bCs/>
                        <w:sz w:val="21"/>
                        <w:szCs w:val="21"/>
                      </w:rPr>
                    </m:ctrlPr>
                  </m:sSubPr>
                  <m:e>
                    <m:r>
                      <m:rPr/>
                      <w:rPr>
                        <w:rFonts w:ascii="Cambria Math" w:hAnsi="Cambria Math"/>
                        <w:sz w:val="21"/>
                        <w:szCs w:val="21"/>
                      </w:rPr>
                      <m:t>t</m:t>
                    </m:r>
                    <m:ctrlPr>
                      <w:rPr>
                        <w:rFonts w:ascii="Cambria Math" w:hAnsi="Cambria Math"/>
                        <w:bCs/>
                        <w:i/>
                        <w:sz w:val="21"/>
                        <w:szCs w:val="21"/>
                      </w:rPr>
                    </m:ctrlPr>
                  </m:e>
                  <m:sub>
                    <m:r>
                      <m:rPr/>
                      <w:rPr>
                        <w:rFonts w:ascii="Cambria Math" w:hAnsi="Cambria Math"/>
                        <w:sz w:val="21"/>
                        <w:szCs w:val="21"/>
                      </w:rPr>
                      <m:t>s</m:t>
                    </m:r>
                    <m:ctrlPr>
                      <w:rPr>
                        <w:rFonts w:ascii="Cambria Math" w:hAnsi="Cambria Math"/>
                        <w:bCs/>
                        <w:sz w:val="21"/>
                        <w:szCs w:val="21"/>
                      </w:rPr>
                    </m:ctrlPr>
                  </m:sub>
                </m:sSub>
                <m:r>
                  <m:rPr/>
                  <w:rPr>
                    <w:rFonts w:ascii="Cambria Math" w:hAnsi="Cambria Math"/>
                    <w:sz w:val="21"/>
                    <w:szCs w:val="21"/>
                  </w:rPr>
                  <m:t>≥</m:t>
                </m:r>
                <m:f>
                  <m:fPr>
                    <m:ctrlPr>
                      <w:rPr>
                        <w:rFonts w:ascii="Cambria Math" w:hAnsi="Cambria Math"/>
                        <w:bCs/>
                        <w:i/>
                        <w:sz w:val="21"/>
                        <w:szCs w:val="21"/>
                      </w:rPr>
                    </m:ctrlPr>
                  </m:fPr>
                  <m:num>
                    <m:sSub>
                      <m:sSubPr>
                        <m:ctrlPr>
                          <w:rPr>
                            <w:rFonts w:ascii="Cambria Math" w:hAnsi="Cambria Math"/>
                            <w:bCs/>
                            <w:i/>
                            <w:sz w:val="21"/>
                            <w:szCs w:val="21"/>
                          </w:rPr>
                        </m:ctrlPr>
                      </m:sSubPr>
                      <m:e>
                        <m:r>
                          <m:rPr/>
                          <w:rPr>
                            <w:rFonts w:ascii="Cambria Math" w:hAnsi="Cambria Math"/>
                            <w:sz w:val="21"/>
                            <w:szCs w:val="21"/>
                          </w:rPr>
                          <m:t>u</m:t>
                        </m:r>
                        <m:ctrlPr>
                          <w:rPr>
                            <w:rFonts w:ascii="Cambria Math" w:hAnsi="Cambria Math"/>
                            <w:bCs/>
                            <w:i/>
                            <w:sz w:val="21"/>
                            <w:szCs w:val="21"/>
                          </w:rPr>
                        </m:ctrlPr>
                      </m:e>
                      <m:sub>
                        <m:r>
                          <m:rPr/>
                          <w:rPr>
                            <w:rFonts w:ascii="Cambria Math" w:hAnsi="Cambria Math"/>
                            <w:sz w:val="21"/>
                            <w:szCs w:val="21"/>
                          </w:rPr>
                          <m:t>s</m:t>
                        </m:r>
                        <m:ctrlPr>
                          <w:rPr>
                            <w:rFonts w:ascii="Cambria Math" w:hAnsi="Cambria Math"/>
                            <w:bCs/>
                            <w:i/>
                            <w:sz w:val="21"/>
                            <w:szCs w:val="21"/>
                          </w:rPr>
                        </m:ctrlPr>
                      </m:sub>
                    </m:sSub>
                    <m:ctrlPr>
                      <w:rPr>
                        <w:rFonts w:ascii="Cambria Math" w:hAnsi="Cambria Math"/>
                        <w:bCs/>
                        <w:i/>
                        <w:sz w:val="21"/>
                        <w:szCs w:val="21"/>
                      </w:rPr>
                    </m:ctrlPr>
                  </m:num>
                  <m:den>
                    <m:r>
                      <m:rPr/>
                      <w:rPr>
                        <w:rFonts w:ascii="Cambria Math" w:hAnsi="Cambria Math"/>
                        <w:sz w:val="21"/>
                        <w:szCs w:val="21"/>
                      </w:rPr>
                      <m:t>3δ</m:t>
                    </m:r>
                    <m:ctrlPr>
                      <w:rPr>
                        <w:rFonts w:ascii="Cambria Math" w:hAnsi="Cambria Math"/>
                        <w:bCs/>
                        <w:i/>
                        <w:sz w:val="21"/>
                        <w:szCs w:val="21"/>
                      </w:rPr>
                    </m:ctrlPr>
                  </m:den>
                </m:f>
              </m:oMath>
            </m:oMathPara>
          </w:p>
        </w:tc>
        <w:tc>
          <w:tcPr>
            <w:tcW w:w="2268" w:type="dxa"/>
            <w:shd w:val="clear" w:color="auto" w:fill="auto"/>
            <w:vAlign w:val="center"/>
          </w:tcPr>
          <w:p>
            <w:pPr>
              <w:spacing w:line="360" w:lineRule="auto"/>
              <w:jc w:val="right"/>
              <w:rPr>
                <w:rFonts w:ascii="Times New Roman" w:hAnsi="Times New Roman"/>
                <w:sz w:val="21"/>
                <w:szCs w:val="21"/>
              </w:rPr>
            </w:pPr>
            <w:r>
              <w:rPr>
                <w:rFonts w:ascii="Times New Roman" w:hAnsi="Times New Roman"/>
                <w:sz w:val="21"/>
                <w:szCs w:val="21"/>
              </w:rPr>
              <w:t>（5.5.4-4）</w:t>
            </w:r>
          </w:p>
        </w:tc>
      </w:tr>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rPr>
                <w:rFonts w:ascii="Times New Roman" w:hAnsi="Times New Roman"/>
                <w:sz w:val="21"/>
                <w:szCs w:val="21"/>
              </w:rPr>
            </w:pPr>
            <m:oMathPara>
              <m:oMathParaPr>
                <m:jc m:val="center"/>
              </m:oMathParaPr>
              <m:oMath>
                <m:sSub>
                  <m:sSubPr>
                    <m:ctrlPr>
                      <w:rPr>
                        <w:rFonts w:ascii="Cambria Math" w:hAnsi="Cambria Math"/>
                        <w:bCs/>
                        <w:sz w:val="21"/>
                        <w:szCs w:val="21"/>
                      </w:rPr>
                    </m:ctrlPr>
                  </m:sSubPr>
                  <m:e>
                    <m:r>
                      <m:rPr/>
                      <w:rPr>
                        <w:rFonts w:ascii="Cambria Math" w:hAnsi="Cambria Math"/>
                        <w:sz w:val="21"/>
                        <w:szCs w:val="21"/>
                      </w:rPr>
                      <m:t>u</m:t>
                    </m:r>
                    <m:ctrlPr>
                      <w:rPr>
                        <w:rFonts w:ascii="Cambria Math" w:hAnsi="Cambria Math"/>
                        <w:bCs/>
                        <w:sz w:val="21"/>
                        <w:szCs w:val="21"/>
                      </w:rPr>
                    </m:ctrlPr>
                  </m:e>
                  <m:sub>
                    <m:r>
                      <m:rPr/>
                      <w:rPr>
                        <w:rFonts w:ascii="Cambria Math" w:hAnsi="Cambria Math"/>
                        <w:sz w:val="21"/>
                        <w:szCs w:val="21"/>
                      </w:rPr>
                      <m:t>s</m:t>
                    </m:r>
                    <m:ctrlPr>
                      <w:rPr>
                        <w:rFonts w:ascii="Cambria Math" w:hAnsi="Cambria Math"/>
                        <w:bCs/>
                        <w:sz w:val="21"/>
                        <w:szCs w:val="21"/>
                      </w:rPr>
                    </m:ctrlPr>
                  </m:sub>
                </m:sSub>
                <m:r>
                  <m:rPr/>
                  <w:rPr>
                    <w:rFonts w:ascii="Cambria Math" w:hAnsi="Cambria Math"/>
                    <w:sz w:val="21"/>
                    <w:szCs w:val="21"/>
                  </w:rPr>
                  <m:t>=η</m:t>
                </m:r>
                <m:d>
                  <m:dPr>
                    <m:begChr m:val="["/>
                    <m:endChr m:val="]"/>
                    <m:ctrlPr>
                      <w:rPr>
                        <w:rFonts w:ascii="Cambria Math" w:hAnsi="Cambria Math"/>
                        <w:i/>
                        <w:sz w:val="21"/>
                        <w:szCs w:val="21"/>
                      </w:rPr>
                    </m:ctrlPr>
                  </m:dPr>
                  <m:e>
                    <m:r>
                      <m:rPr/>
                      <w:rPr>
                        <w:rFonts w:ascii="Cambria Math" w:hAnsi="Cambria Math"/>
                        <w:sz w:val="21"/>
                        <w:szCs w:val="21"/>
                      </w:rPr>
                      <m:t>θ</m:t>
                    </m:r>
                    <m:ctrlPr>
                      <w:rPr>
                        <w:rFonts w:ascii="Cambria Math" w:hAnsi="Cambria Math"/>
                        <w:i/>
                        <w:sz w:val="21"/>
                        <w:szCs w:val="21"/>
                      </w:rPr>
                    </m:ctrlPr>
                  </m:e>
                </m:d>
                <m:sSub>
                  <m:sSubPr>
                    <m:ctrlPr>
                      <w:rPr>
                        <w:rFonts w:ascii="Cambria Math" w:hAnsi="Cambria Math"/>
                        <w:bCs/>
                        <w:i/>
                        <w:sz w:val="21"/>
                        <w:szCs w:val="21"/>
                      </w:rPr>
                    </m:ctrlPr>
                  </m:sSubPr>
                  <m:e>
                    <m:r>
                      <m:rPr/>
                      <w:rPr>
                        <w:rFonts w:ascii="Cambria Math" w:hAnsi="Cambria Math"/>
                        <w:sz w:val="21"/>
                        <w:szCs w:val="21"/>
                      </w:rPr>
                      <m:t>ℎ</m:t>
                    </m:r>
                    <m:ctrlPr>
                      <w:rPr>
                        <w:rFonts w:ascii="Cambria Math" w:hAnsi="Cambria Math"/>
                        <w:bCs/>
                        <w:i/>
                        <w:sz w:val="21"/>
                        <w:szCs w:val="21"/>
                      </w:rPr>
                    </m:ctrlPr>
                  </m:e>
                  <m:sub>
                    <m:r>
                      <m:rPr>
                        <m:sty m:val="p"/>
                      </m:rPr>
                      <w:rPr>
                        <w:rFonts w:ascii="Cambria Math" w:hAnsi="Cambria Math"/>
                        <w:sz w:val="21"/>
                        <w:szCs w:val="21"/>
                      </w:rPr>
                      <m:t>g</m:t>
                    </m:r>
                    <m:ctrlPr>
                      <w:rPr>
                        <w:rFonts w:ascii="Cambria Math" w:hAnsi="Cambria Math"/>
                        <w:bCs/>
                        <w:i/>
                        <w:sz w:val="21"/>
                        <w:szCs w:val="21"/>
                      </w:rPr>
                    </m:ctrlPr>
                  </m:sub>
                </m:sSub>
              </m:oMath>
            </m:oMathPara>
          </w:p>
        </w:tc>
        <w:tc>
          <w:tcPr>
            <w:tcW w:w="2268" w:type="dxa"/>
            <w:shd w:val="clear" w:color="auto" w:fill="auto"/>
            <w:vAlign w:val="center"/>
          </w:tcPr>
          <w:p>
            <w:pPr>
              <w:spacing w:line="360" w:lineRule="auto"/>
              <w:jc w:val="right"/>
              <w:rPr>
                <w:rFonts w:ascii="Times New Roman" w:hAnsi="Times New Roman"/>
                <w:sz w:val="21"/>
                <w:szCs w:val="21"/>
              </w:rPr>
            </w:pPr>
            <w:r>
              <w:rPr>
                <w:rFonts w:ascii="Times New Roman" w:hAnsi="Times New Roman"/>
                <w:sz w:val="21"/>
                <w:szCs w:val="21"/>
              </w:rPr>
              <w:t>（5.5.4-5）</w:t>
            </w:r>
          </w:p>
        </w:tc>
      </w:tr>
    </w:tbl>
    <w:p>
      <w:pPr>
        <w:pStyle w:val="189"/>
        <w:rPr>
          <w:snapToGrid w:val="0"/>
        </w:rPr>
      </w:pPr>
      <w:r>
        <w:rPr>
          <w:snapToGrid w:val="0"/>
        </w:rPr>
        <w:t xml:space="preserve">式中： </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sSub>
                  <m:sSubPr>
                    <m:ctrlPr>
                      <w:rPr>
                        <w:rFonts w:ascii="Cambria Math" w:hAnsi="Cambria Math"/>
                        <w:snapToGrid w:val="0"/>
                        <w:sz w:val="21"/>
                        <w:szCs w:val="21"/>
                      </w:rPr>
                    </m:ctrlPr>
                  </m:sSubPr>
                  <m:e>
                    <m:r>
                      <m:rPr/>
                      <w:rPr>
                        <w:rFonts w:ascii="Cambria Math" w:hAnsi="Cambria Math"/>
                        <w:snapToGrid w:val="0"/>
                        <w:sz w:val="21"/>
                        <w:szCs w:val="21"/>
                      </w:rPr>
                      <m:t>t</m:t>
                    </m:r>
                    <m:ctrlPr>
                      <w:rPr>
                        <w:rFonts w:ascii="Cambria Math" w:hAnsi="Cambria Math"/>
                        <w:snapToGrid w:val="0"/>
                        <w:sz w:val="21"/>
                        <w:szCs w:val="21"/>
                      </w:rPr>
                    </m:ctrlPr>
                  </m:e>
                  <m:sub>
                    <m:r>
                      <m:rPr/>
                      <w:rPr>
                        <w:rFonts w:ascii="Cambria Math" w:hAnsi="Cambria Math"/>
                        <w:snapToGrid w:val="0"/>
                        <w:sz w:val="21"/>
                        <w:szCs w:val="21"/>
                      </w:rPr>
                      <m:t>s</m:t>
                    </m:r>
                    <m:ctrlPr>
                      <w:rPr>
                        <w:rFonts w:ascii="Cambria Math" w:hAnsi="Cambria Math"/>
                        <w:snapToGrid w:val="0"/>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z w:val="21"/>
                <w:szCs w:val="21"/>
              </w:rPr>
            </w:pPr>
            <w:r>
              <w:rPr>
                <w:rFonts w:ascii="Times New Roman" w:hAnsi="Times New Roman" w:cs="Times New Roman"/>
                <w:snapToGrid w:val="0"/>
                <w:sz w:val="21"/>
                <w:szCs w:val="21"/>
              </w:rPr>
              <w:t>硅酮结构密封胶的粘接厚度</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d>
                  <m:dPr>
                    <m:begChr m:val="["/>
                    <m:endChr m:val="]"/>
                    <m:ctrlPr>
                      <w:rPr>
                        <w:rFonts w:ascii="Cambria Math" w:hAnsi="Cambria Math"/>
                        <w:i/>
                        <w:sz w:val="21"/>
                        <w:szCs w:val="21"/>
                      </w:rPr>
                    </m:ctrlPr>
                  </m:dPr>
                  <m:e>
                    <m:r>
                      <m:rPr/>
                      <w:rPr>
                        <w:rFonts w:ascii="Cambria Math" w:hAnsi="Cambria Math"/>
                        <w:sz w:val="21"/>
                        <w:szCs w:val="21"/>
                      </w:rPr>
                      <m:t>θ</m:t>
                    </m:r>
                    <m:ctrlPr>
                      <w:rPr>
                        <w:rFonts w:ascii="Cambria Math" w:hAnsi="Cambria Math"/>
                        <w:i/>
                        <w:sz w:val="21"/>
                        <w:szCs w:val="21"/>
                      </w:rPr>
                    </m:ctrlPr>
                  </m:e>
                </m:d>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z w:val="21"/>
                <w:szCs w:val="21"/>
              </w:rPr>
            </w:pPr>
            <w:r>
              <w:rPr>
                <w:rFonts w:ascii="Times New Roman" w:hAnsi="Times New Roman" w:cs="Times New Roman"/>
                <w:snapToGrid w:val="0"/>
                <w:sz w:val="21"/>
                <w:szCs w:val="21"/>
              </w:rPr>
              <w:t>风荷载或多遇烈度地震标准值作用下主体结构的楼层弹性层间位移角限值</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rad)；</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napToGrid w:val="0"/>
                <w:sz w:val="21"/>
                <w:szCs w:val="21"/>
              </w:rPr>
            </w:pPr>
            <m:oMathPara>
              <m:oMathParaPr>
                <m:jc m:val="right"/>
              </m:oMathParaPr>
              <m:oMath>
                <m:sSub>
                  <m:sSubPr>
                    <m:ctrlPr>
                      <w:rPr>
                        <w:rFonts w:ascii="Cambria Math" w:hAnsi="Cambria Math"/>
                        <w:snapToGrid w:val="0"/>
                        <w:sz w:val="21"/>
                        <w:szCs w:val="21"/>
                      </w:rPr>
                    </m:ctrlPr>
                  </m:sSubPr>
                  <m:e>
                    <m:r>
                      <m:rPr/>
                      <w:rPr>
                        <w:rFonts w:ascii="Cambria Math" w:hAnsi="Cambria Math"/>
                        <w:snapToGrid w:val="0"/>
                        <w:sz w:val="21"/>
                        <w:szCs w:val="21"/>
                      </w:rPr>
                      <m:t>u</m:t>
                    </m:r>
                    <m:ctrlPr>
                      <w:rPr>
                        <w:rFonts w:ascii="Cambria Math" w:hAnsi="Cambria Math"/>
                        <w:snapToGrid w:val="0"/>
                        <w:sz w:val="21"/>
                        <w:szCs w:val="21"/>
                      </w:rPr>
                    </m:ctrlPr>
                  </m:e>
                  <m:sub>
                    <m:r>
                      <m:rPr/>
                      <w:rPr>
                        <w:rFonts w:ascii="Cambria Math" w:hAnsi="Cambria Math"/>
                        <w:snapToGrid w:val="0"/>
                        <w:sz w:val="21"/>
                        <w:szCs w:val="21"/>
                      </w:rPr>
                      <m:t>s</m:t>
                    </m:r>
                    <m:ctrlPr>
                      <w:rPr>
                        <w:rFonts w:ascii="Cambria Math" w:hAnsi="Cambria Math"/>
                        <w:snapToGrid w:val="0"/>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napToGrid w:val="0"/>
                <w:sz w:val="21"/>
                <w:szCs w:val="21"/>
              </w:rPr>
            </w:pPr>
            <w:r>
              <w:rPr>
                <w:rFonts w:ascii="Times New Roman" w:hAnsi="Times New Roman" w:cs="Times New Roman"/>
                <w:snapToGrid w:val="0"/>
                <w:sz w:val="21"/>
                <w:szCs w:val="21"/>
              </w:rPr>
              <w:t>玻璃相对于窗框的位移</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mm)，即硅硐结构密封胶沿厚度方向产生的剪切位移；</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napToGrid w:val="0"/>
                <w:sz w:val="21"/>
                <w:szCs w:val="21"/>
              </w:rPr>
            </w:pPr>
            <m:oMathPara>
              <m:oMathParaPr>
                <m:jc m:val="right"/>
              </m:oMathParaPr>
              <m:oMath>
                <m:r>
                  <m:rPr>
                    <m:sty m:val="p"/>
                  </m:rPr>
                  <w:rPr>
                    <w:rFonts w:ascii="Cambria Math" w:hAnsi="Cambria Math"/>
                    <w:snapToGrid w:val="0"/>
                    <w:sz w:val="21"/>
                    <w:szCs w:val="21"/>
                  </w:rPr>
                  <m:t>δ</m:t>
                </m:r>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napToGrid w:val="0"/>
                <w:sz w:val="21"/>
                <w:szCs w:val="21"/>
              </w:rPr>
            </w:pPr>
            <w:r>
              <w:rPr>
                <w:rFonts w:ascii="Times New Roman" w:hAnsi="Times New Roman" w:cs="Times New Roman"/>
                <w:snapToGrid w:val="0"/>
                <w:sz w:val="21"/>
                <w:szCs w:val="21"/>
              </w:rPr>
              <w:t>硅酮结构密封胶拉伸粘接性能试验中受拉应力为0.14N/mm</w:t>
            </w:r>
            <w:r>
              <w:rPr>
                <w:rFonts w:ascii="Times New Roman" w:hAnsi="Times New Roman" w:cs="Times New Roman"/>
                <w:snapToGrid w:val="0"/>
                <w:sz w:val="21"/>
                <w:szCs w:val="21"/>
                <w:vertAlign w:val="superscript"/>
              </w:rPr>
              <w:t>2</w:t>
            </w:r>
            <w:r>
              <w:rPr>
                <w:rFonts w:ascii="Times New Roman" w:hAnsi="Times New Roman" w:cs="Times New Roman"/>
                <w:snapToGrid w:val="0"/>
                <w:sz w:val="21"/>
                <w:szCs w:val="21"/>
              </w:rPr>
              <w:t>时的伸长率；</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napToGrid w:val="0"/>
                <w:sz w:val="21"/>
                <w:szCs w:val="21"/>
              </w:rPr>
            </w:pPr>
            <m:oMathPara>
              <m:oMathParaPr>
                <m:jc m:val="right"/>
              </m:oMathParaPr>
              <m:oMath>
                <m:r>
                  <m:rPr/>
                  <w:rPr>
                    <w:rFonts w:ascii="Cambria Math" w:hAnsi="Cambria Math"/>
                    <w:sz w:val="21"/>
                    <w:szCs w:val="21"/>
                  </w:rPr>
                  <m:t>θ</m:t>
                </m:r>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napToGrid w:val="0"/>
                <w:sz w:val="21"/>
                <w:szCs w:val="21"/>
              </w:rPr>
            </w:pPr>
            <w:r>
              <w:rPr>
                <w:rFonts w:ascii="Times New Roman" w:hAnsi="Times New Roman" w:cs="Times New Roman"/>
                <w:snapToGrid w:val="0"/>
                <w:sz w:val="21"/>
                <w:szCs w:val="21"/>
              </w:rPr>
              <w:t>主体结构侧移时，面板的转动角；</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r>
                  <m:rPr/>
                  <w:rPr>
                    <w:rFonts w:ascii="Cambria Math" w:hAnsi="Cambria Math"/>
                    <w:sz w:val="21"/>
                    <w:szCs w:val="21"/>
                  </w:rPr>
                  <m:t>η</m:t>
                </m:r>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napToGrid w:val="0"/>
                <w:sz w:val="21"/>
                <w:szCs w:val="21"/>
              </w:rPr>
            </w:pPr>
            <w:r>
              <w:rPr>
                <w:rFonts w:ascii="Times New Roman" w:hAnsi="Times New Roman" w:cs="Times New Roman"/>
                <w:sz w:val="21"/>
                <w:szCs w:val="21"/>
              </w:rPr>
              <w:t>位移折减系数，取0.60；</w:t>
            </w:r>
          </w:p>
        </w:tc>
      </w:tr>
      <w:tr>
        <w:tc>
          <w:tcPr>
            <w:tcW w:w="1134" w:type="dxa"/>
            <w:shd w:val="clear" w:color="auto" w:fill="auto"/>
          </w:tcPr>
          <w:p>
            <w:pPr>
              <w:jc w:val="right"/>
              <w:rPr>
                <w:rFonts w:ascii="Times New Roman" w:hAnsi="Times New Roman"/>
                <w:sz w:val="21"/>
                <w:szCs w:val="21"/>
              </w:rPr>
            </w:pPr>
            <m:oMathPara>
              <m:oMathParaPr>
                <m:jc m:val="right"/>
              </m:oMathParaPr>
              <m:oMath>
                <m:sSub>
                  <m:sSubPr>
                    <m:ctrlPr>
                      <w:rPr>
                        <w:rFonts w:ascii="Cambria Math" w:hAnsi="Cambria Math"/>
                        <w:snapToGrid w:val="0"/>
                        <w:sz w:val="21"/>
                        <w:szCs w:val="21"/>
                      </w:rPr>
                    </m:ctrlPr>
                  </m:sSubPr>
                  <m:e>
                    <m:r>
                      <m:rPr/>
                      <w:rPr>
                        <w:rFonts w:ascii="Cambria Math" w:hAnsi="Cambria Math"/>
                        <w:snapToGrid w:val="0"/>
                        <w:sz w:val="21"/>
                        <w:szCs w:val="21"/>
                      </w:rPr>
                      <m:t>ℎ</m:t>
                    </m:r>
                    <m:ctrlPr>
                      <w:rPr>
                        <w:rFonts w:ascii="Cambria Math" w:hAnsi="Cambria Math"/>
                        <w:snapToGrid w:val="0"/>
                        <w:sz w:val="21"/>
                        <w:szCs w:val="21"/>
                      </w:rPr>
                    </m:ctrlPr>
                  </m:e>
                  <m:sub>
                    <m:r>
                      <m:rPr>
                        <m:sty m:val="p"/>
                      </m:rPr>
                      <w:rPr>
                        <w:rFonts w:ascii="Cambria Math" w:hAnsi="Cambria Math"/>
                        <w:snapToGrid w:val="0"/>
                        <w:sz w:val="21"/>
                        <w:szCs w:val="21"/>
                      </w:rPr>
                      <m:t>g</m:t>
                    </m:r>
                    <m:ctrlPr>
                      <w:rPr>
                        <w:rFonts w:ascii="Cambria Math" w:hAnsi="Cambria Math"/>
                        <w:snapToGrid w:val="0"/>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napToGrid w:val="0"/>
                <w:sz w:val="21"/>
                <w:szCs w:val="21"/>
              </w:rPr>
            </w:pPr>
            <w:r>
              <w:rPr>
                <w:rFonts w:ascii="Times New Roman" w:hAnsi="Times New Roman" w:cs="Times New Roman"/>
                <w:snapToGrid w:val="0"/>
                <w:sz w:val="21"/>
                <w:szCs w:val="21"/>
              </w:rPr>
              <w:t>玻玻璃面板高度</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mm)。</w:t>
            </w:r>
          </w:p>
        </w:tc>
      </w:tr>
    </w:tbl>
    <w:p>
      <w:pPr>
        <w:spacing w:line="360" w:lineRule="auto"/>
        <w:ind w:firstLine="420" w:firstLineChars="200"/>
        <w:rPr>
          <w:rFonts w:ascii="Times New Roman" w:hAnsi="Times New Roman"/>
          <w:snapToGrid w:val="0"/>
          <w:sz w:val="21"/>
          <w:szCs w:val="21"/>
        </w:rPr>
      </w:pPr>
      <w:r>
        <w:rPr>
          <w:rFonts w:hint="eastAsia" w:ascii="Times New Roman" w:hAnsi="Times New Roman"/>
          <w:snapToGrid w:val="0"/>
          <w:sz w:val="21"/>
          <w:szCs w:val="21"/>
        </w:rPr>
        <w:t>当硅酮结构胶计算厚度</w:t>
      </w:r>
      <m:oMath>
        <m:sSub>
          <m:sSubPr>
            <m:ctrlPr>
              <w:rPr>
                <w:rFonts w:ascii="Cambria Math" w:hAnsi="Cambria Math"/>
                <w:bCs/>
                <w:sz w:val="21"/>
                <w:szCs w:val="21"/>
              </w:rPr>
            </m:ctrlPr>
          </m:sSubPr>
          <m:e>
            <m:r>
              <m:rPr/>
              <w:rPr>
                <w:rFonts w:ascii="Cambria Math" w:hAnsi="Cambria Math"/>
                <w:sz w:val="21"/>
                <w:szCs w:val="21"/>
              </w:rPr>
              <m:t>t</m:t>
            </m:r>
            <m:ctrlPr>
              <w:rPr>
                <w:rFonts w:ascii="Cambria Math" w:hAnsi="Cambria Math"/>
                <w:bCs/>
                <w:i/>
                <w:sz w:val="21"/>
                <w:szCs w:val="21"/>
              </w:rPr>
            </m:ctrlPr>
          </m:e>
          <m:sub>
            <m:r>
              <m:rPr/>
              <w:rPr>
                <w:rFonts w:ascii="Cambria Math" w:hAnsi="Cambria Math"/>
                <w:sz w:val="21"/>
                <w:szCs w:val="21"/>
              </w:rPr>
              <m:t>s</m:t>
            </m:r>
            <m:ctrlPr>
              <w:rPr>
                <w:rFonts w:ascii="Cambria Math" w:hAnsi="Cambria Math"/>
                <w:bCs/>
                <w:sz w:val="21"/>
                <w:szCs w:val="21"/>
              </w:rPr>
            </m:ctrlPr>
          </m:sub>
        </m:sSub>
      </m:oMath>
      <w:r>
        <w:rPr>
          <w:rFonts w:hint="eastAsia" w:ascii="Times New Roman" w:hAnsi="Times New Roman"/>
          <w:snapToGrid w:val="0"/>
          <w:sz w:val="21"/>
          <w:szCs w:val="21"/>
        </w:rPr>
        <w:t>＞</w:t>
      </w:r>
      <w:r>
        <w:rPr>
          <w:rFonts w:ascii="Times New Roman" w:hAnsi="Times New Roman"/>
          <w:snapToGrid w:val="0"/>
          <w:sz w:val="21"/>
          <w:szCs w:val="21"/>
        </w:rPr>
        <w:t>12mm</w:t>
      </w:r>
      <w:r>
        <w:rPr>
          <w:rFonts w:hint="eastAsia" w:ascii="Times New Roman" w:hAnsi="Times New Roman"/>
          <w:snapToGrid w:val="0"/>
          <w:sz w:val="21"/>
          <w:szCs w:val="21"/>
        </w:rPr>
        <w:t>时，可考虑隐框面板安装间隙的影响，按公式</w:t>
      </w:r>
      <w:r>
        <w:rPr>
          <w:rFonts w:ascii="Times New Roman" w:hAnsi="Times New Roman"/>
          <w:sz w:val="21"/>
          <w:szCs w:val="21"/>
        </w:rPr>
        <w:t>5.2.11</w:t>
      </w:r>
      <w:r>
        <w:rPr>
          <w:rFonts w:ascii="Times New Roman" w:hAnsi="Times New Roman"/>
          <w:snapToGrid w:val="0"/>
          <w:sz w:val="21"/>
          <w:szCs w:val="21"/>
        </w:rPr>
        <w:t>-6</w:t>
      </w:r>
      <w:r>
        <w:rPr>
          <w:rFonts w:hint="eastAsia" w:ascii="Times New Roman" w:hAnsi="Times New Roman"/>
          <w:snapToGrid w:val="0"/>
          <w:sz w:val="21"/>
          <w:szCs w:val="21"/>
        </w:rPr>
        <w:t>计算其吸收主体结构层间位移的能力，按公式</w:t>
      </w:r>
      <w:r>
        <w:rPr>
          <w:rFonts w:ascii="Times New Roman" w:hAnsi="Times New Roman"/>
          <w:sz w:val="21"/>
          <w:szCs w:val="21"/>
        </w:rPr>
        <w:t>5.2.11</w:t>
      </w:r>
      <w:r>
        <w:rPr>
          <w:rFonts w:ascii="Times New Roman" w:hAnsi="Times New Roman"/>
          <w:snapToGrid w:val="0"/>
          <w:sz w:val="21"/>
          <w:szCs w:val="21"/>
        </w:rPr>
        <w:t>-7</w:t>
      </w:r>
      <w:r>
        <w:rPr>
          <w:rFonts w:hint="eastAsia" w:ascii="Times New Roman" w:hAnsi="Times New Roman"/>
          <w:snapToGrid w:val="0"/>
          <w:sz w:val="21"/>
          <w:szCs w:val="21"/>
        </w:rPr>
        <w:t>计算</w:t>
      </w:r>
      <m:oMath>
        <m:sSub>
          <m:sSubPr>
            <m:ctrlPr>
              <w:rPr>
                <w:rFonts w:ascii="Cambria Math" w:hAnsi="Cambria Math"/>
                <w:bCs/>
                <w:sz w:val="21"/>
                <w:szCs w:val="21"/>
              </w:rPr>
            </m:ctrlPr>
          </m:sSubPr>
          <m:e>
            <m:r>
              <m:rPr/>
              <w:rPr>
                <w:rFonts w:ascii="Cambria Math" w:hAnsi="Cambria Math"/>
                <w:sz w:val="21"/>
                <w:szCs w:val="21"/>
              </w:rPr>
              <m:t>u</m:t>
            </m:r>
            <m:ctrlPr>
              <w:rPr>
                <w:rFonts w:ascii="Cambria Math" w:hAnsi="Cambria Math"/>
                <w:bCs/>
                <w:sz w:val="21"/>
                <w:szCs w:val="21"/>
              </w:rPr>
            </m:ctrlPr>
          </m:e>
          <m:sub>
            <m:r>
              <m:rPr/>
              <w:rPr>
                <w:rFonts w:ascii="Cambria Math" w:hAnsi="Cambria Math"/>
                <w:sz w:val="21"/>
                <w:szCs w:val="21"/>
              </w:rPr>
              <m:t>s</m:t>
            </m:r>
            <m:ctrlPr>
              <w:rPr>
                <w:rFonts w:ascii="Cambria Math" w:hAnsi="Cambria Math"/>
                <w:bCs/>
                <w:sz w:val="21"/>
                <w:szCs w:val="21"/>
              </w:rPr>
            </m:ctrlPr>
          </m:sub>
        </m:sSub>
      </m:oMath>
      <w:r>
        <w:rPr>
          <w:rFonts w:hint="eastAsia" w:ascii="Times New Roman" w:hAnsi="Times New Roman"/>
          <w:snapToGrid w:val="0"/>
          <w:sz w:val="21"/>
          <w:szCs w:val="21"/>
        </w:rPr>
        <w:t>，再按公式</w:t>
      </w:r>
      <w:r>
        <w:rPr>
          <w:rFonts w:ascii="Times New Roman" w:hAnsi="Times New Roman"/>
          <w:sz w:val="21"/>
          <w:szCs w:val="21"/>
        </w:rPr>
        <w:t>5.2.11</w:t>
      </w:r>
      <w:r>
        <w:rPr>
          <w:rFonts w:ascii="Times New Roman" w:hAnsi="Times New Roman"/>
          <w:snapToGrid w:val="0"/>
          <w:sz w:val="21"/>
          <w:szCs w:val="21"/>
        </w:rPr>
        <w:t>-4</w:t>
      </w:r>
      <w:r>
        <w:rPr>
          <w:rFonts w:hint="eastAsia" w:ascii="Times New Roman" w:hAnsi="Times New Roman"/>
          <w:snapToGrid w:val="0"/>
          <w:sz w:val="21"/>
          <w:szCs w:val="21"/>
        </w:rPr>
        <w:t>重新计算硅酮结构胶的厚度，满足</w:t>
      </w:r>
      <m:oMath>
        <m:sSub>
          <m:sSubPr>
            <m:ctrlPr>
              <w:rPr>
                <w:rFonts w:ascii="Cambria Math" w:hAnsi="Cambria Math"/>
                <w:bCs/>
                <w:sz w:val="21"/>
                <w:szCs w:val="21"/>
              </w:rPr>
            </m:ctrlPr>
          </m:sSubPr>
          <m:e>
            <m:r>
              <m:rPr/>
              <w:rPr>
                <w:rFonts w:ascii="Cambria Math" w:hAnsi="Cambria Math"/>
                <w:sz w:val="21"/>
                <w:szCs w:val="21"/>
              </w:rPr>
              <m:t>t</m:t>
            </m:r>
            <m:ctrlPr>
              <w:rPr>
                <w:rFonts w:ascii="Cambria Math" w:hAnsi="Cambria Math"/>
                <w:bCs/>
                <w:i/>
                <w:sz w:val="21"/>
                <w:szCs w:val="21"/>
              </w:rPr>
            </m:ctrlPr>
          </m:e>
          <m:sub>
            <m:r>
              <m:rPr/>
              <w:rPr>
                <w:rFonts w:ascii="Cambria Math" w:hAnsi="Cambria Math"/>
                <w:sz w:val="21"/>
                <w:szCs w:val="21"/>
              </w:rPr>
              <m:t>s</m:t>
            </m:r>
            <m:ctrlPr>
              <w:rPr>
                <w:rFonts w:ascii="Cambria Math" w:hAnsi="Cambria Math"/>
                <w:bCs/>
                <w:sz w:val="21"/>
                <w:szCs w:val="21"/>
              </w:rPr>
            </m:ctrlPr>
          </m:sub>
        </m:sSub>
        <m:r>
          <m:rPr/>
          <w:rPr>
            <w:rFonts w:ascii="Cambria Math" w:hAnsi="Cambria Math"/>
            <w:sz w:val="21"/>
            <w:szCs w:val="21"/>
          </w:rPr>
          <m:t>≤12mm</m:t>
        </m:r>
      </m:oMath>
      <w:r>
        <w:rPr>
          <w:rFonts w:hint="eastAsia" w:ascii="Times New Roman" w:hAnsi="Times New Roman"/>
          <w:snapToGrid w:val="0"/>
          <w:sz w:val="21"/>
          <w:szCs w:val="21"/>
        </w:rPr>
        <w:t>时，取</w:t>
      </w:r>
      <m:oMath>
        <m:sSub>
          <m:sSubPr>
            <m:ctrlPr>
              <w:rPr>
                <w:rFonts w:ascii="Cambria Math" w:hAnsi="Cambria Math"/>
                <w:bCs/>
                <w:sz w:val="21"/>
                <w:szCs w:val="21"/>
              </w:rPr>
            </m:ctrlPr>
          </m:sSubPr>
          <m:e>
            <m:r>
              <m:rPr/>
              <w:rPr>
                <w:rFonts w:ascii="Cambria Math" w:hAnsi="Cambria Math"/>
                <w:sz w:val="21"/>
                <w:szCs w:val="21"/>
              </w:rPr>
              <m:t>t</m:t>
            </m:r>
            <m:ctrlPr>
              <w:rPr>
                <w:rFonts w:ascii="Cambria Math" w:hAnsi="Cambria Math"/>
                <w:bCs/>
                <w:i/>
                <w:sz w:val="21"/>
                <w:szCs w:val="21"/>
              </w:rPr>
            </m:ctrlPr>
          </m:e>
          <m:sub>
            <m:r>
              <m:rPr/>
              <w:rPr>
                <w:rFonts w:ascii="Cambria Math" w:hAnsi="Cambria Math"/>
                <w:sz w:val="21"/>
                <w:szCs w:val="21"/>
              </w:rPr>
              <m:t>s</m:t>
            </m:r>
            <m:ctrlPr>
              <w:rPr>
                <w:rFonts w:ascii="Cambria Math" w:hAnsi="Cambria Math"/>
                <w:bCs/>
                <w:sz w:val="21"/>
                <w:szCs w:val="21"/>
              </w:rPr>
            </m:ctrlPr>
          </m:sub>
        </m:sSub>
        <m:r>
          <m:rPr/>
          <w:rPr>
            <w:rFonts w:ascii="Cambria Math" w:hAnsi="Cambria Math"/>
            <w:sz w:val="21"/>
            <w:szCs w:val="21"/>
          </w:rPr>
          <m:t>=12mm</m:t>
        </m:r>
      </m:oMath>
      <w:r>
        <w:rPr>
          <w:rFonts w:hint="eastAsia" w:ascii="Times New Roman" w:hAnsi="Times New Roman"/>
          <w:snapToGrid w:val="0"/>
          <w:sz w:val="21"/>
          <w:szCs w:val="21"/>
        </w:rPr>
        <w:t>。</w:t>
      </w:r>
    </w:p>
    <w:p>
      <w:pPr>
        <w:spacing w:line="360" w:lineRule="auto"/>
        <w:ind w:firstLine="420" w:firstLineChars="200"/>
        <w:rPr>
          <w:rFonts w:ascii="Times New Roman" w:hAnsi="Times New Roman"/>
          <w:snapToGrid w:val="0"/>
          <w:sz w:val="21"/>
          <w:szCs w:val="21"/>
        </w:rPr>
      </w:pPr>
      <m:oMath>
        <m:sSub>
          <m:sSubPr>
            <m:ctrlPr>
              <w:rPr>
                <w:rFonts w:ascii="Cambria Math" w:hAnsi="Cambria Math"/>
                <w:bCs/>
                <w:sz w:val="21"/>
                <w:szCs w:val="21"/>
              </w:rPr>
            </m:ctrlPr>
          </m:sSubPr>
          <m:e>
            <m:r>
              <m:rPr/>
              <w:rPr>
                <w:rFonts w:ascii="Cambria Math" w:hAnsi="Cambria Math"/>
                <w:sz w:val="21"/>
                <w:szCs w:val="21"/>
              </w:rPr>
              <m:t>u</m:t>
            </m:r>
            <m:ctrlPr>
              <w:rPr>
                <w:rFonts w:ascii="Cambria Math" w:hAnsi="Cambria Math"/>
                <w:bCs/>
                <w:sz w:val="21"/>
                <w:szCs w:val="21"/>
              </w:rPr>
            </m:ctrlPr>
          </m:e>
          <m:sub>
            <m:r>
              <m:rPr/>
              <w:rPr>
                <w:rFonts w:ascii="Cambria Math" w:hAnsi="Cambria Math"/>
                <w:sz w:val="21"/>
                <w:szCs w:val="21"/>
              </w:rPr>
              <m:t>s</m:t>
            </m:r>
            <m:ctrlPr>
              <w:rPr>
                <w:rFonts w:ascii="Cambria Math" w:hAnsi="Cambria Math"/>
                <w:bCs/>
                <w:sz w:val="21"/>
                <w:szCs w:val="21"/>
              </w:rPr>
            </m:ctrlPr>
          </m:sub>
        </m:sSub>
      </m:oMath>
      <w:r>
        <w:rPr>
          <w:rFonts w:hint="eastAsia" w:ascii="Times New Roman" w:hAnsi="Times New Roman"/>
          <w:snapToGrid w:val="0"/>
          <w:sz w:val="21"/>
          <w:szCs w:val="21"/>
        </w:rPr>
        <w:t>按公式</w:t>
      </w:r>
      <w:r>
        <w:rPr>
          <w:rFonts w:ascii="Times New Roman" w:hAnsi="Times New Roman"/>
          <w:sz w:val="21"/>
          <w:szCs w:val="21"/>
        </w:rPr>
        <w:t>5.2.11</w:t>
      </w:r>
      <w:r>
        <w:rPr>
          <w:rFonts w:ascii="Times New Roman" w:hAnsi="Times New Roman"/>
          <w:snapToGrid w:val="0"/>
          <w:sz w:val="21"/>
          <w:szCs w:val="21"/>
        </w:rPr>
        <w:t>-6</w:t>
      </w:r>
      <w:r>
        <w:rPr>
          <w:rFonts w:hint="eastAsia" w:ascii="Times New Roman" w:hAnsi="Times New Roman"/>
          <w:snapToGrid w:val="0"/>
          <w:sz w:val="21"/>
          <w:szCs w:val="21"/>
        </w:rPr>
        <w:t>取值后，硅酮结构胶计算厚度</w:t>
      </w:r>
      <m:oMath>
        <m:sSub>
          <m:sSubPr>
            <m:ctrlPr>
              <w:rPr>
                <w:rFonts w:ascii="Cambria Math" w:hAnsi="Cambria Math"/>
                <w:bCs/>
                <w:sz w:val="21"/>
                <w:szCs w:val="21"/>
              </w:rPr>
            </m:ctrlPr>
          </m:sSubPr>
          <m:e>
            <m:r>
              <m:rPr/>
              <w:rPr>
                <w:rFonts w:ascii="Cambria Math" w:hAnsi="Cambria Math"/>
                <w:sz w:val="21"/>
                <w:szCs w:val="21"/>
              </w:rPr>
              <m:t>t</m:t>
            </m:r>
            <m:ctrlPr>
              <w:rPr>
                <w:rFonts w:ascii="Cambria Math" w:hAnsi="Cambria Math"/>
                <w:bCs/>
                <w:i/>
                <w:sz w:val="21"/>
                <w:szCs w:val="21"/>
              </w:rPr>
            </m:ctrlPr>
          </m:e>
          <m:sub>
            <m:r>
              <m:rPr/>
              <w:rPr>
                <w:rFonts w:ascii="Cambria Math" w:hAnsi="Cambria Math"/>
                <w:sz w:val="21"/>
                <w:szCs w:val="21"/>
              </w:rPr>
              <m:t>s</m:t>
            </m:r>
            <m:ctrlPr>
              <w:rPr>
                <w:rFonts w:ascii="Cambria Math" w:hAnsi="Cambria Math"/>
                <w:bCs/>
                <w:sz w:val="21"/>
                <w:szCs w:val="21"/>
              </w:rPr>
            </m:ctrlPr>
          </m:sub>
        </m:sSub>
      </m:oMath>
      <w:r>
        <w:rPr>
          <w:rFonts w:hint="eastAsia" w:ascii="Times New Roman" w:hAnsi="Times New Roman"/>
          <w:snapToGrid w:val="0"/>
          <w:sz w:val="21"/>
          <w:szCs w:val="21"/>
        </w:rPr>
        <w:t>仍大于</w:t>
      </w:r>
      <w:r>
        <w:rPr>
          <w:rFonts w:ascii="Times New Roman" w:hAnsi="Times New Roman"/>
          <w:snapToGrid w:val="0"/>
          <w:sz w:val="21"/>
          <w:szCs w:val="21"/>
        </w:rPr>
        <w:t>12mm</w:t>
      </w:r>
      <w:r>
        <w:rPr>
          <w:rFonts w:hint="eastAsia" w:ascii="Times New Roman" w:hAnsi="Times New Roman"/>
          <w:snapToGrid w:val="0"/>
          <w:sz w:val="21"/>
          <w:szCs w:val="21"/>
        </w:rPr>
        <w:t>时，可调整</w:t>
      </w:r>
      <m:oMath>
        <m:sSub>
          <m:sSubPr>
            <m:ctrlPr>
              <w:rPr>
                <w:rFonts w:ascii="Cambria Math" w:hAnsi="Cambria Math"/>
                <w:snapToGrid w:val="0"/>
                <w:sz w:val="21"/>
                <w:szCs w:val="21"/>
              </w:rPr>
            </m:ctrlPr>
          </m:sSubPr>
          <m:e>
            <m:r>
              <m:rPr/>
              <w:rPr>
                <w:rFonts w:ascii="Cambria Math" w:hAnsi="Cambria Math"/>
                <w:snapToGrid w:val="0"/>
                <w:sz w:val="21"/>
                <w:szCs w:val="21"/>
              </w:rPr>
              <m:t>c</m:t>
            </m:r>
            <m:ctrlPr>
              <w:rPr>
                <w:rFonts w:ascii="Cambria Math" w:hAnsi="Cambria Math"/>
                <w:snapToGrid w:val="0"/>
                <w:sz w:val="21"/>
                <w:szCs w:val="21"/>
              </w:rPr>
            </m:ctrlPr>
          </m:e>
          <m:sub>
            <m:r>
              <m:rPr/>
              <w:rPr>
                <w:rFonts w:ascii="Cambria Math" w:hAnsi="Cambria Math"/>
                <w:snapToGrid w:val="0"/>
                <w:sz w:val="21"/>
                <w:szCs w:val="21"/>
              </w:rPr>
              <m:t>1</m:t>
            </m:r>
            <m:ctrlPr>
              <w:rPr>
                <w:rFonts w:ascii="Cambria Math" w:hAnsi="Cambria Math"/>
                <w:snapToGrid w:val="0"/>
                <w:sz w:val="21"/>
                <w:szCs w:val="21"/>
              </w:rPr>
            </m:ctrlPr>
          </m:sub>
        </m:sSub>
      </m:oMath>
      <w:r>
        <w:rPr>
          <w:rFonts w:hint="eastAsia" w:ascii="Times New Roman" w:hAnsi="Times New Roman"/>
          <w:snapToGrid w:val="0"/>
          <w:sz w:val="21"/>
          <w:szCs w:val="21"/>
        </w:rPr>
        <w:t>和</w:t>
      </w:r>
      <m:oMath>
        <m:sSub>
          <m:sSubPr>
            <m:ctrlPr>
              <w:rPr>
                <w:rFonts w:ascii="Cambria Math" w:hAnsi="Cambria Math"/>
                <w:snapToGrid w:val="0"/>
                <w:sz w:val="21"/>
                <w:szCs w:val="21"/>
              </w:rPr>
            </m:ctrlPr>
          </m:sSubPr>
          <m:e>
            <m:r>
              <m:rPr/>
              <w:rPr>
                <w:rFonts w:ascii="Cambria Math" w:hAnsi="Cambria Math"/>
                <w:snapToGrid w:val="0"/>
                <w:sz w:val="21"/>
                <w:szCs w:val="21"/>
              </w:rPr>
              <m:t>c</m:t>
            </m:r>
            <m:ctrlPr>
              <w:rPr>
                <w:rFonts w:ascii="Cambria Math" w:hAnsi="Cambria Math"/>
                <w:snapToGrid w:val="0"/>
                <w:sz w:val="21"/>
                <w:szCs w:val="21"/>
              </w:rPr>
            </m:ctrlPr>
          </m:e>
          <m:sub>
            <m:r>
              <m:rPr/>
              <w:rPr>
                <w:rFonts w:ascii="Cambria Math" w:hAnsi="Cambria Math"/>
                <w:snapToGrid w:val="0"/>
                <w:sz w:val="21"/>
                <w:szCs w:val="21"/>
              </w:rPr>
              <m:t>2</m:t>
            </m:r>
            <m:ctrlPr>
              <w:rPr>
                <w:rFonts w:ascii="Cambria Math" w:hAnsi="Cambria Math"/>
                <w:snapToGrid w:val="0"/>
                <w:sz w:val="21"/>
                <w:szCs w:val="21"/>
              </w:rPr>
            </m:ctrlPr>
          </m:sub>
        </m:sSub>
      </m:oMath>
      <w:r>
        <w:rPr>
          <w:rFonts w:hint="eastAsia" w:ascii="Times New Roman" w:hAnsi="Times New Roman"/>
          <w:snapToGrid w:val="0"/>
          <w:sz w:val="21"/>
          <w:szCs w:val="21"/>
        </w:rPr>
        <w:t>，使其满足硅酮结构胶计算厚度</w:t>
      </w:r>
      <m:oMath>
        <m:sSub>
          <m:sSubPr>
            <m:ctrlPr>
              <w:rPr>
                <w:rFonts w:ascii="Cambria Math" w:hAnsi="Cambria Math"/>
                <w:bCs/>
                <w:sz w:val="21"/>
                <w:szCs w:val="21"/>
              </w:rPr>
            </m:ctrlPr>
          </m:sSubPr>
          <m:e>
            <m:r>
              <m:rPr/>
              <w:rPr>
                <w:rFonts w:ascii="Cambria Math" w:hAnsi="Cambria Math"/>
                <w:sz w:val="21"/>
                <w:szCs w:val="21"/>
              </w:rPr>
              <m:t>t</m:t>
            </m:r>
            <m:ctrlPr>
              <w:rPr>
                <w:rFonts w:ascii="Cambria Math" w:hAnsi="Cambria Math"/>
                <w:bCs/>
                <w:i/>
                <w:sz w:val="21"/>
                <w:szCs w:val="21"/>
              </w:rPr>
            </m:ctrlPr>
          </m:e>
          <m:sub>
            <m:r>
              <m:rPr/>
              <w:rPr>
                <w:rFonts w:ascii="Cambria Math" w:hAnsi="Cambria Math"/>
                <w:sz w:val="21"/>
                <w:szCs w:val="21"/>
              </w:rPr>
              <m:t>s</m:t>
            </m:r>
            <m:ctrlPr>
              <w:rPr>
                <w:rFonts w:ascii="Cambria Math" w:hAnsi="Cambria Math"/>
                <w:bCs/>
                <w:sz w:val="21"/>
                <w:szCs w:val="21"/>
              </w:rPr>
            </m:ctrlPr>
          </m:sub>
        </m:sSub>
        <m:r>
          <m:rPr/>
          <w:rPr>
            <w:rFonts w:ascii="Cambria Math" w:hAnsi="Cambria Math"/>
            <w:sz w:val="21"/>
            <w:szCs w:val="21"/>
          </w:rPr>
          <m:t>≤12mm</m:t>
        </m:r>
      </m:oMath>
      <w:r>
        <w:rPr>
          <w:rFonts w:hint="eastAsia" w:ascii="Times New Roman" w:hAnsi="Times New Roman"/>
          <w:snapToGrid w:val="0"/>
          <w:sz w:val="21"/>
          <w:szCs w:val="21"/>
        </w:rPr>
        <w:t>，并取</w:t>
      </w:r>
      <m:oMath>
        <m:sSub>
          <m:sSubPr>
            <m:ctrlPr>
              <w:rPr>
                <w:rFonts w:ascii="Cambria Math" w:hAnsi="Cambria Math"/>
                <w:bCs/>
                <w:sz w:val="21"/>
                <w:szCs w:val="21"/>
              </w:rPr>
            </m:ctrlPr>
          </m:sSubPr>
          <m:e>
            <m:r>
              <m:rPr/>
              <w:rPr>
                <w:rFonts w:ascii="Cambria Math" w:hAnsi="Cambria Math"/>
                <w:sz w:val="21"/>
                <w:szCs w:val="21"/>
              </w:rPr>
              <m:t>t</m:t>
            </m:r>
            <m:ctrlPr>
              <w:rPr>
                <w:rFonts w:ascii="Cambria Math" w:hAnsi="Cambria Math"/>
                <w:bCs/>
                <w:i/>
                <w:sz w:val="21"/>
                <w:szCs w:val="21"/>
              </w:rPr>
            </m:ctrlPr>
          </m:e>
          <m:sub>
            <m:r>
              <m:rPr/>
              <w:rPr>
                <w:rFonts w:ascii="Cambria Math" w:hAnsi="Cambria Math"/>
                <w:sz w:val="21"/>
                <w:szCs w:val="21"/>
              </w:rPr>
              <m:t>s</m:t>
            </m:r>
            <m:ctrlPr>
              <w:rPr>
                <w:rFonts w:ascii="Cambria Math" w:hAnsi="Cambria Math"/>
                <w:bCs/>
                <w:sz w:val="21"/>
                <w:szCs w:val="21"/>
              </w:rPr>
            </m:ctrlPr>
          </m:sub>
        </m:sSub>
        <m:r>
          <m:rPr/>
          <w:rPr>
            <w:rFonts w:ascii="Cambria Math" w:hAnsi="Cambria Math"/>
            <w:sz w:val="21"/>
            <w:szCs w:val="21"/>
          </w:rPr>
          <m:t>=12mm</m:t>
        </m:r>
      </m:oMath>
      <w:r>
        <w:rPr>
          <w:rFonts w:hint="eastAsia" w:ascii="Times New Roman" w:hAnsi="Times New Roman"/>
          <w:snapToGrid w:val="0"/>
          <w:sz w:val="21"/>
          <w:szCs w:val="21"/>
        </w:rPr>
        <w:t>。</w:t>
      </w:r>
    </w:p>
    <w:tbl>
      <w:tblPr>
        <w:tblStyle w:val="37"/>
        <w:tblW w:w="0" w:type="auto"/>
        <w:jc w:val="right"/>
        <w:tblLayout w:type="fixed"/>
        <w:tblCellMar>
          <w:top w:w="0" w:type="dxa"/>
          <w:left w:w="108" w:type="dxa"/>
          <w:bottom w:w="0" w:type="dxa"/>
          <w:right w:w="108" w:type="dxa"/>
        </w:tblCellMar>
      </w:tblPr>
      <w:tblGrid>
        <w:gridCol w:w="5670"/>
        <w:gridCol w:w="2268"/>
      </w:tblGrid>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rPr>
                <w:rFonts w:ascii="Times New Roman" w:hAnsi="Times New Roman"/>
                <w:sz w:val="21"/>
                <w:szCs w:val="21"/>
              </w:rPr>
            </w:pPr>
            <m:oMathPara>
              <m:oMathParaPr>
                <m:jc m:val="center"/>
              </m:oMathParaPr>
              <m:oMath>
                <m:r>
                  <m:rPr>
                    <m:sty m:val="p"/>
                  </m:rPr>
                  <w:rPr>
                    <w:rFonts w:ascii="Cambria Math" w:hAnsi="Cambria Math"/>
                    <w:sz w:val="21"/>
                    <w:szCs w:val="21"/>
                  </w:rPr>
                  <m:t>θ=</m:t>
                </m:r>
                <m:f>
                  <m:fPr>
                    <m:ctrlPr>
                      <w:rPr>
                        <w:rFonts w:ascii="Cambria Math" w:hAnsi="Cambria Math"/>
                        <w:sz w:val="21"/>
                        <w:szCs w:val="21"/>
                      </w:rPr>
                    </m:ctrlPr>
                  </m:fPr>
                  <m:num>
                    <m:r>
                      <m:rPr/>
                      <w:rPr>
                        <w:rFonts w:ascii="Cambria Math" w:hAnsi="Cambria Math"/>
                        <w:sz w:val="21"/>
                        <w:szCs w:val="21"/>
                      </w:rPr>
                      <m:t>2</m:t>
                    </m:r>
                    <m:sSub>
                      <m:sSubPr>
                        <m:ctrlPr>
                          <w:rPr>
                            <w:rFonts w:ascii="Cambria Math" w:hAnsi="Cambria Math"/>
                            <w:i/>
                            <w:sz w:val="21"/>
                            <w:szCs w:val="21"/>
                          </w:rPr>
                        </m:ctrlPr>
                      </m:sSubPr>
                      <m:e>
                        <m:r>
                          <m:rPr/>
                          <w:rPr>
                            <w:rFonts w:ascii="Cambria Math" w:hAnsi="Cambria Math"/>
                            <w:sz w:val="21"/>
                            <w:szCs w:val="21"/>
                          </w:rPr>
                          <m:t>c</m:t>
                        </m:r>
                        <m:ctrlPr>
                          <w:rPr>
                            <w:rFonts w:ascii="Cambria Math" w:hAnsi="Cambria Math"/>
                            <w:i/>
                            <w:sz w:val="21"/>
                            <w:szCs w:val="21"/>
                          </w:rPr>
                        </m:ctrlPr>
                      </m:e>
                      <m:sub>
                        <m:r>
                          <m:rPr/>
                          <w:rPr>
                            <w:rFonts w:ascii="Cambria Math" w:hAnsi="Cambria Math"/>
                            <w:sz w:val="21"/>
                            <w:szCs w:val="21"/>
                          </w:rPr>
                          <m:t>1</m:t>
                        </m:r>
                        <m:ctrlPr>
                          <w:rPr>
                            <w:rFonts w:ascii="Cambria Math" w:hAnsi="Cambria Math"/>
                            <w:i/>
                            <w:sz w:val="21"/>
                            <w:szCs w:val="21"/>
                          </w:rPr>
                        </m:ctrlPr>
                      </m:sub>
                    </m:sSub>
                    <m:d>
                      <m:dPr>
                        <m:ctrlPr>
                          <w:rPr>
                            <w:rFonts w:ascii="Cambria Math" w:hAnsi="Cambria Math"/>
                            <w:i/>
                            <w:sz w:val="21"/>
                            <w:szCs w:val="21"/>
                          </w:rPr>
                        </m:ctrlPr>
                      </m:dPr>
                      <m:e>
                        <m:r>
                          <m:rPr/>
                          <w:rPr>
                            <w:rFonts w:ascii="Cambria Math" w:hAnsi="Cambria Math"/>
                            <w:sz w:val="21"/>
                            <w:szCs w:val="21"/>
                          </w:rPr>
                          <m:t>1+</m:t>
                        </m:r>
                        <m:f>
                          <m:fPr>
                            <m:ctrlPr>
                              <w:rPr>
                                <w:rFonts w:ascii="Cambria Math" w:hAnsi="Cambria Math"/>
                                <w:i/>
                                <w:sz w:val="21"/>
                                <w:szCs w:val="21"/>
                              </w:rPr>
                            </m:ctrlPr>
                          </m:fPr>
                          <m:num>
                            <m:sSub>
                              <m:sSubPr>
                                <m:ctrlPr>
                                  <w:rPr>
                                    <w:rFonts w:ascii="Cambria Math" w:hAnsi="Cambria Math"/>
                                    <w:i/>
                                    <w:sz w:val="21"/>
                                    <w:szCs w:val="21"/>
                                  </w:rPr>
                                </m:ctrlPr>
                              </m:sSubPr>
                              <m:e>
                                <m:r>
                                  <m:rPr/>
                                  <w:rPr>
                                    <w:rFonts w:ascii="Cambria Math" w:hAnsi="Cambria Math"/>
                                    <w:sz w:val="21"/>
                                    <w:szCs w:val="21"/>
                                  </w:rPr>
                                  <m:t>l</m:t>
                                </m:r>
                                <m:ctrlPr>
                                  <w:rPr>
                                    <w:rFonts w:ascii="Cambria Math" w:hAnsi="Cambria Math"/>
                                    <w:i/>
                                    <w:sz w:val="21"/>
                                    <w:szCs w:val="21"/>
                                  </w:rPr>
                                </m:ctrlPr>
                              </m:e>
                              <m:sub>
                                <m:r>
                                  <m:rPr/>
                                  <w:rPr>
                                    <w:rFonts w:ascii="Cambria Math" w:hAnsi="Cambria Math"/>
                                    <w:sz w:val="21"/>
                                    <w:szCs w:val="21"/>
                                  </w:rPr>
                                  <m:t>1</m:t>
                                </m:r>
                                <m:ctrlPr>
                                  <w:rPr>
                                    <w:rFonts w:ascii="Cambria Math" w:hAnsi="Cambria Math"/>
                                    <w:i/>
                                    <w:sz w:val="21"/>
                                    <w:szCs w:val="21"/>
                                  </w:rPr>
                                </m:ctrlPr>
                              </m:sub>
                            </m:sSub>
                            <m:ctrlPr>
                              <w:rPr>
                                <w:rFonts w:ascii="Cambria Math" w:hAnsi="Cambria Math"/>
                                <w:i/>
                                <w:sz w:val="21"/>
                                <w:szCs w:val="21"/>
                              </w:rPr>
                            </m:ctrlPr>
                          </m:num>
                          <m:den>
                            <m:sSub>
                              <m:sSubPr>
                                <m:ctrlPr>
                                  <w:rPr>
                                    <w:rFonts w:ascii="Cambria Math" w:hAnsi="Cambria Math"/>
                                    <w:i/>
                                    <w:sz w:val="21"/>
                                    <w:szCs w:val="21"/>
                                  </w:rPr>
                                </m:ctrlPr>
                              </m:sSubPr>
                              <m:e>
                                <m:r>
                                  <m:rPr/>
                                  <w:rPr>
                                    <w:rFonts w:ascii="Cambria Math" w:hAnsi="Cambria Math"/>
                                    <w:sz w:val="21"/>
                                    <w:szCs w:val="21"/>
                                  </w:rPr>
                                  <m:t>l</m:t>
                                </m:r>
                                <m:ctrlPr>
                                  <w:rPr>
                                    <w:rFonts w:ascii="Cambria Math" w:hAnsi="Cambria Math"/>
                                    <w:i/>
                                    <w:sz w:val="21"/>
                                    <w:szCs w:val="21"/>
                                  </w:rPr>
                                </m:ctrlPr>
                              </m:e>
                              <m:sub>
                                <m:r>
                                  <m:rPr/>
                                  <w:rPr>
                                    <w:rFonts w:ascii="Cambria Math" w:hAnsi="Cambria Math"/>
                                    <w:sz w:val="21"/>
                                    <w:szCs w:val="21"/>
                                  </w:rPr>
                                  <m:t>2</m:t>
                                </m:r>
                                <m:ctrlPr>
                                  <w:rPr>
                                    <w:rFonts w:ascii="Cambria Math" w:hAnsi="Cambria Math"/>
                                    <w:i/>
                                    <w:sz w:val="21"/>
                                    <w:szCs w:val="21"/>
                                  </w:rPr>
                                </m:ctrlPr>
                              </m:sub>
                            </m:sSub>
                            <m:ctrlPr>
                              <w:rPr>
                                <w:rFonts w:ascii="Cambria Math" w:hAnsi="Cambria Math"/>
                                <w:i/>
                                <w:sz w:val="21"/>
                                <w:szCs w:val="21"/>
                              </w:rPr>
                            </m:ctrlPr>
                          </m:den>
                        </m:f>
                        <m:r>
                          <m:rPr/>
                          <w:rPr>
                            <w:rFonts w:ascii="Cambria Math" w:hAnsi="Cambria Math"/>
                            <w:sz w:val="21"/>
                            <w:szCs w:val="21"/>
                          </w:rPr>
                          <m:t>×</m:t>
                        </m:r>
                        <m:f>
                          <m:fPr>
                            <m:ctrlPr>
                              <w:rPr>
                                <w:rFonts w:ascii="Cambria Math" w:hAnsi="Cambria Math"/>
                                <w:i/>
                                <w:sz w:val="21"/>
                                <w:szCs w:val="21"/>
                              </w:rPr>
                            </m:ctrlPr>
                          </m:fPr>
                          <m:num>
                            <m:sSub>
                              <m:sSubPr>
                                <m:ctrlPr>
                                  <w:rPr>
                                    <w:rFonts w:ascii="Cambria Math" w:hAnsi="Cambria Math"/>
                                    <w:i/>
                                    <w:sz w:val="21"/>
                                    <w:szCs w:val="21"/>
                                  </w:rPr>
                                </m:ctrlPr>
                              </m:sSubPr>
                              <m:e>
                                <m:r>
                                  <m:rPr/>
                                  <w:rPr>
                                    <w:rFonts w:ascii="Cambria Math" w:hAnsi="Cambria Math"/>
                                    <w:sz w:val="21"/>
                                    <w:szCs w:val="21"/>
                                  </w:rPr>
                                  <m:t>c</m:t>
                                </m:r>
                                <m:ctrlPr>
                                  <w:rPr>
                                    <w:rFonts w:ascii="Cambria Math" w:hAnsi="Cambria Math"/>
                                    <w:i/>
                                    <w:sz w:val="21"/>
                                    <w:szCs w:val="21"/>
                                  </w:rPr>
                                </m:ctrlPr>
                              </m:e>
                              <m:sub>
                                <m:r>
                                  <m:rPr/>
                                  <w:rPr>
                                    <w:rFonts w:ascii="Cambria Math" w:hAnsi="Cambria Math"/>
                                    <w:sz w:val="21"/>
                                    <w:szCs w:val="21"/>
                                  </w:rPr>
                                  <m:t>2</m:t>
                                </m:r>
                                <m:ctrlPr>
                                  <w:rPr>
                                    <w:rFonts w:ascii="Cambria Math" w:hAnsi="Cambria Math"/>
                                    <w:i/>
                                    <w:sz w:val="21"/>
                                    <w:szCs w:val="21"/>
                                  </w:rPr>
                                </m:ctrlPr>
                              </m:sub>
                            </m:sSub>
                            <m:ctrlPr>
                              <w:rPr>
                                <w:rFonts w:ascii="Cambria Math" w:hAnsi="Cambria Math"/>
                                <w:i/>
                                <w:sz w:val="21"/>
                                <w:szCs w:val="21"/>
                              </w:rPr>
                            </m:ctrlPr>
                          </m:num>
                          <m:den>
                            <m:sSub>
                              <m:sSubPr>
                                <m:ctrlPr>
                                  <w:rPr>
                                    <w:rFonts w:ascii="Cambria Math" w:hAnsi="Cambria Math"/>
                                    <w:i/>
                                    <w:sz w:val="21"/>
                                    <w:szCs w:val="21"/>
                                  </w:rPr>
                                </m:ctrlPr>
                              </m:sSubPr>
                              <m:e>
                                <m:r>
                                  <m:rPr/>
                                  <w:rPr>
                                    <w:rFonts w:ascii="Cambria Math" w:hAnsi="Cambria Math"/>
                                    <w:sz w:val="21"/>
                                    <w:szCs w:val="21"/>
                                  </w:rPr>
                                  <m:t>c</m:t>
                                </m:r>
                                <m:ctrlPr>
                                  <w:rPr>
                                    <w:rFonts w:ascii="Cambria Math" w:hAnsi="Cambria Math"/>
                                    <w:i/>
                                    <w:sz w:val="21"/>
                                    <w:szCs w:val="21"/>
                                  </w:rPr>
                                </m:ctrlPr>
                              </m:e>
                              <m:sub>
                                <m:r>
                                  <m:rPr/>
                                  <w:rPr>
                                    <w:rFonts w:ascii="Cambria Math" w:hAnsi="Cambria Math"/>
                                    <w:sz w:val="21"/>
                                    <w:szCs w:val="21"/>
                                  </w:rPr>
                                  <m:t>1</m:t>
                                </m:r>
                                <m:ctrlPr>
                                  <w:rPr>
                                    <w:rFonts w:ascii="Cambria Math" w:hAnsi="Cambria Math"/>
                                    <w:i/>
                                    <w:sz w:val="21"/>
                                    <w:szCs w:val="21"/>
                                  </w:rPr>
                                </m:ctrlPr>
                              </m:sub>
                            </m:sSub>
                            <m:ctrlPr>
                              <w:rPr>
                                <w:rFonts w:ascii="Cambria Math" w:hAnsi="Cambria Math"/>
                                <w:i/>
                                <w:sz w:val="21"/>
                                <w:szCs w:val="21"/>
                              </w:rPr>
                            </m:ctrlPr>
                          </m:den>
                        </m:f>
                        <m:ctrlPr>
                          <w:rPr>
                            <w:rFonts w:ascii="Cambria Math" w:hAnsi="Cambria Math"/>
                            <w:i/>
                            <w:sz w:val="21"/>
                            <w:szCs w:val="21"/>
                          </w:rPr>
                        </m:ctrlPr>
                      </m:e>
                    </m:d>
                    <m:ctrlPr>
                      <w:rPr>
                        <w:rFonts w:ascii="Cambria Math" w:hAnsi="Cambria Math"/>
                        <w:sz w:val="21"/>
                        <w:szCs w:val="21"/>
                      </w:rPr>
                    </m:ctrlPr>
                  </m:num>
                  <m:den>
                    <m:sSub>
                      <m:sSubPr>
                        <m:ctrlPr>
                          <w:rPr>
                            <w:rFonts w:ascii="Cambria Math" w:hAnsi="Cambria Math"/>
                            <w:i/>
                            <w:sz w:val="21"/>
                            <w:szCs w:val="21"/>
                          </w:rPr>
                        </m:ctrlPr>
                      </m:sSubPr>
                      <m:e>
                        <m:r>
                          <m:rPr/>
                          <w:rPr>
                            <w:rFonts w:ascii="Cambria Math" w:hAnsi="Cambria Math"/>
                            <w:sz w:val="21"/>
                            <w:szCs w:val="21"/>
                          </w:rPr>
                          <m:t>l</m:t>
                        </m:r>
                        <m:ctrlPr>
                          <w:rPr>
                            <w:rFonts w:ascii="Cambria Math" w:hAnsi="Cambria Math"/>
                            <w:i/>
                            <w:sz w:val="21"/>
                            <w:szCs w:val="21"/>
                          </w:rPr>
                        </m:ctrlPr>
                      </m:e>
                      <m:sub>
                        <m:r>
                          <m:rPr/>
                          <w:rPr>
                            <w:rFonts w:ascii="Cambria Math" w:hAnsi="Cambria Math"/>
                            <w:sz w:val="21"/>
                            <w:szCs w:val="21"/>
                          </w:rPr>
                          <m:t>1</m:t>
                        </m:r>
                        <m:ctrlPr>
                          <w:rPr>
                            <w:rFonts w:ascii="Cambria Math" w:hAnsi="Cambria Math"/>
                            <w:i/>
                            <w:sz w:val="21"/>
                            <w:szCs w:val="21"/>
                          </w:rPr>
                        </m:ctrlPr>
                      </m:sub>
                    </m:sSub>
                    <m:ctrlPr>
                      <w:rPr>
                        <w:rFonts w:ascii="Cambria Math" w:hAnsi="Cambria Math"/>
                        <w:sz w:val="21"/>
                        <w:szCs w:val="21"/>
                      </w:rPr>
                    </m:ctrlPr>
                  </m:den>
                </m:f>
              </m:oMath>
            </m:oMathPara>
          </w:p>
        </w:tc>
        <w:tc>
          <w:tcPr>
            <w:tcW w:w="2268" w:type="dxa"/>
            <w:shd w:val="clear" w:color="auto" w:fill="auto"/>
            <w:vAlign w:val="center"/>
          </w:tcPr>
          <w:p>
            <w:pPr>
              <w:spacing w:line="360" w:lineRule="auto"/>
              <w:jc w:val="right"/>
              <w:rPr>
                <w:rFonts w:ascii="Times New Roman" w:hAnsi="Times New Roman"/>
                <w:sz w:val="21"/>
                <w:szCs w:val="21"/>
              </w:rPr>
            </w:pPr>
            <w:r>
              <w:rPr>
                <w:rFonts w:ascii="Times New Roman" w:hAnsi="Times New Roman"/>
                <w:sz w:val="21"/>
                <w:szCs w:val="21"/>
              </w:rPr>
              <w:t>（5.5.4-6）</w:t>
            </w:r>
          </w:p>
        </w:tc>
      </w:tr>
      <w:tr>
        <w:tblPrEx>
          <w:tblCellMar>
            <w:top w:w="0" w:type="dxa"/>
            <w:left w:w="108" w:type="dxa"/>
            <w:bottom w:w="0" w:type="dxa"/>
            <w:right w:w="108" w:type="dxa"/>
          </w:tblCellMar>
        </w:tblPrEx>
        <w:trPr>
          <w:jc w:val="right"/>
        </w:trPr>
        <w:tc>
          <w:tcPr>
            <w:tcW w:w="5670" w:type="dxa"/>
            <w:shd w:val="clear" w:color="auto" w:fill="auto"/>
            <w:vAlign w:val="center"/>
          </w:tcPr>
          <w:p>
            <w:pPr>
              <w:spacing w:line="360" w:lineRule="auto"/>
              <w:rPr>
                <w:rFonts w:ascii="Times New Roman" w:hAnsi="Times New Roman"/>
                <w:sz w:val="21"/>
                <w:szCs w:val="21"/>
              </w:rPr>
            </w:pPr>
            <m:oMathPara>
              <m:oMathParaPr>
                <m:jc m:val="center"/>
              </m:oMathParaPr>
              <m:oMath>
                <m:sSub>
                  <m:sSubPr>
                    <m:ctrlPr>
                      <w:rPr>
                        <w:rFonts w:ascii="Cambria Math" w:hAnsi="Cambria Math"/>
                        <w:sz w:val="21"/>
                        <w:szCs w:val="21"/>
                      </w:rPr>
                    </m:ctrlPr>
                  </m:sSubPr>
                  <m:e>
                    <m:r>
                      <m:rPr/>
                      <w:rPr>
                        <w:rFonts w:ascii="Cambria Math" w:hAnsi="Cambria Math"/>
                        <w:sz w:val="21"/>
                        <w:szCs w:val="21"/>
                      </w:rPr>
                      <m:t>μ</m:t>
                    </m:r>
                    <m:ctrlPr>
                      <w:rPr>
                        <w:rFonts w:ascii="Cambria Math" w:hAnsi="Cambria Math"/>
                        <w:sz w:val="21"/>
                        <w:szCs w:val="21"/>
                      </w:rPr>
                    </m:ctrlPr>
                  </m:e>
                  <m:sub>
                    <m:r>
                      <m:rPr/>
                      <w:rPr>
                        <w:rFonts w:ascii="Cambria Math" w:hAnsi="Cambria Math"/>
                        <w:sz w:val="21"/>
                        <w:szCs w:val="21"/>
                      </w:rPr>
                      <m:t>s</m:t>
                    </m:r>
                    <m:ctrlPr>
                      <w:rPr>
                        <w:rFonts w:ascii="Cambria Math" w:hAnsi="Cambria Math"/>
                        <w:sz w:val="21"/>
                        <w:szCs w:val="21"/>
                      </w:rPr>
                    </m:ctrlPr>
                  </m:sub>
                </m:sSub>
                <m:r>
                  <m:rPr/>
                  <w:rPr>
                    <w:rFonts w:ascii="Cambria Math" w:hAnsi="Cambria Math"/>
                    <w:sz w:val="21"/>
                    <w:szCs w:val="21"/>
                  </w:rPr>
                  <m:t>=</m:t>
                </m:r>
                <m:sSub>
                  <m:sSubPr>
                    <m:ctrlPr>
                      <w:rPr>
                        <w:rFonts w:ascii="Cambria Math" w:hAnsi="Cambria Math"/>
                        <w:i/>
                        <w:sz w:val="21"/>
                        <w:szCs w:val="21"/>
                      </w:rPr>
                    </m:ctrlPr>
                  </m:sSubPr>
                  <m:e>
                    <m:r>
                      <m:rPr/>
                      <w:rPr>
                        <w:rFonts w:ascii="Cambria Math" w:hAnsi="Cambria Math"/>
                        <w:sz w:val="21"/>
                        <w:szCs w:val="21"/>
                      </w:rPr>
                      <m:t>η</m:t>
                    </m:r>
                    <m:ctrlPr>
                      <w:rPr>
                        <w:rFonts w:ascii="Cambria Math" w:hAnsi="Cambria Math"/>
                        <w:i/>
                        <w:sz w:val="21"/>
                        <w:szCs w:val="21"/>
                      </w:rPr>
                    </m:ctrlPr>
                  </m:e>
                  <m:sub>
                    <m:r>
                      <m:rPr/>
                      <w:rPr>
                        <w:rFonts w:ascii="Cambria Math" w:hAnsi="Cambria Math"/>
                        <w:sz w:val="21"/>
                        <w:szCs w:val="21"/>
                      </w:rPr>
                      <m:t>1</m:t>
                    </m:r>
                    <m:ctrlPr>
                      <w:rPr>
                        <w:rFonts w:ascii="Cambria Math" w:hAnsi="Cambria Math"/>
                        <w:i/>
                        <w:sz w:val="21"/>
                        <w:szCs w:val="21"/>
                      </w:rPr>
                    </m:ctrlPr>
                  </m:sub>
                </m:sSub>
                <m:d>
                  <m:dPr>
                    <m:begChr m:val="{"/>
                    <m:endChr m:val="}"/>
                    <m:ctrlPr>
                      <w:rPr>
                        <w:rFonts w:ascii="Cambria Math" w:hAnsi="Cambria Math"/>
                        <w:i/>
                        <w:sz w:val="21"/>
                        <w:szCs w:val="21"/>
                      </w:rPr>
                    </m:ctrlPr>
                  </m:dPr>
                  <m:e>
                    <m:r>
                      <m:rPr/>
                      <w:rPr>
                        <w:rFonts w:ascii="Cambria Math" w:hAnsi="Cambria Math"/>
                        <w:sz w:val="21"/>
                        <w:szCs w:val="21"/>
                      </w:rPr>
                      <m:t>[θ]−θ</m:t>
                    </m:r>
                    <m:ctrlPr>
                      <w:rPr>
                        <w:rFonts w:ascii="Cambria Math" w:hAnsi="Cambria Math"/>
                        <w:i/>
                        <w:sz w:val="21"/>
                        <w:szCs w:val="21"/>
                      </w:rPr>
                    </m:ctrlPr>
                  </m:e>
                </m:d>
                <m:sSub>
                  <m:sSubPr>
                    <m:ctrlPr>
                      <w:rPr>
                        <w:rFonts w:ascii="Cambria Math" w:hAnsi="Cambria Math"/>
                        <w:sz w:val="21"/>
                        <w:szCs w:val="21"/>
                      </w:rPr>
                    </m:ctrlPr>
                  </m:sSubPr>
                  <m:e>
                    <m:r>
                      <m:rPr/>
                      <w:rPr>
                        <w:rFonts w:ascii="Cambria Math" w:hAnsi="Cambria Math"/>
                        <w:sz w:val="21"/>
                        <w:szCs w:val="21"/>
                      </w:rPr>
                      <m:t>ℎ</m:t>
                    </m:r>
                    <m:ctrlPr>
                      <w:rPr>
                        <w:rFonts w:ascii="Cambria Math" w:hAnsi="Cambria Math"/>
                        <w:sz w:val="21"/>
                        <w:szCs w:val="21"/>
                      </w:rPr>
                    </m:ctrlPr>
                  </m:e>
                  <m:sub>
                    <m:r>
                      <m:rPr>
                        <m:sty m:val="p"/>
                      </m:rPr>
                      <w:rPr>
                        <w:rFonts w:ascii="Cambria Math" w:hAnsi="Cambria Math"/>
                        <w:sz w:val="21"/>
                        <w:szCs w:val="21"/>
                      </w:rPr>
                      <m:t>g</m:t>
                    </m:r>
                    <m:ctrlPr>
                      <w:rPr>
                        <w:rFonts w:ascii="Cambria Math" w:hAnsi="Cambria Math"/>
                        <w:sz w:val="21"/>
                        <w:szCs w:val="21"/>
                      </w:rPr>
                    </m:ctrlPr>
                  </m:sub>
                </m:sSub>
              </m:oMath>
            </m:oMathPara>
          </w:p>
        </w:tc>
        <w:tc>
          <w:tcPr>
            <w:tcW w:w="2268" w:type="dxa"/>
            <w:shd w:val="clear" w:color="auto" w:fill="auto"/>
            <w:vAlign w:val="center"/>
          </w:tcPr>
          <w:p>
            <w:pPr>
              <w:spacing w:line="360" w:lineRule="auto"/>
              <w:jc w:val="right"/>
              <w:rPr>
                <w:rFonts w:ascii="Times New Roman" w:hAnsi="Times New Roman"/>
                <w:sz w:val="21"/>
                <w:szCs w:val="21"/>
              </w:rPr>
            </w:pPr>
            <w:r>
              <w:rPr>
                <w:rFonts w:ascii="Times New Roman" w:hAnsi="Times New Roman"/>
                <w:sz w:val="21"/>
                <w:szCs w:val="21"/>
              </w:rPr>
              <w:t>（5.5.4-7）</w:t>
            </w:r>
          </w:p>
        </w:tc>
      </w:tr>
    </w:tbl>
    <w:p>
      <w:pPr>
        <w:pStyle w:val="189"/>
        <w:rPr>
          <w:snapToGrid w:val="0"/>
        </w:rPr>
      </w:pPr>
      <w:r>
        <w:rPr>
          <w:snapToGrid w:val="0"/>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sSub>
                  <m:sSubPr>
                    <m:ctrlPr>
                      <w:rPr>
                        <w:rFonts w:ascii="Cambria Math" w:hAnsi="Cambria Math"/>
                        <w:i/>
                        <w:sz w:val="21"/>
                        <w:szCs w:val="21"/>
                      </w:rPr>
                    </m:ctrlPr>
                  </m:sSubPr>
                  <m:e>
                    <m:r>
                      <m:rPr/>
                      <w:rPr>
                        <w:rFonts w:ascii="Cambria Math" w:hAnsi="Cambria Math"/>
                        <w:sz w:val="21"/>
                        <w:szCs w:val="21"/>
                      </w:rPr>
                      <m:t>η</m:t>
                    </m:r>
                    <m:ctrlPr>
                      <w:rPr>
                        <w:rFonts w:ascii="Cambria Math" w:hAnsi="Cambria Math"/>
                        <w:i/>
                        <w:sz w:val="21"/>
                        <w:szCs w:val="21"/>
                      </w:rPr>
                    </m:ctrlPr>
                  </m:e>
                  <m:sub>
                    <m:r>
                      <m:rPr/>
                      <w:rPr>
                        <w:rFonts w:ascii="Cambria Math" w:hAnsi="Cambria Math"/>
                        <w:sz w:val="21"/>
                        <w:szCs w:val="21"/>
                      </w:rPr>
                      <m:t>1</m:t>
                    </m:r>
                    <m:ctrlPr>
                      <w:rPr>
                        <w:rFonts w:ascii="Cambria Math" w:hAnsi="Cambria Math"/>
                        <w:i/>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位移折减系数，取0.80；</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z w:val="21"/>
                <w:szCs w:val="21"/>
              </w:rPr>
            </w:pPr>
            <m:oMathPara>
              <m:oMathParaPr>
                <m:jc m:val="right"/>
              </m:oMathParaPr>
              <m:oMath>
                <m:sSub>
                  <m:sSubPr>
                    <m:ctrlPr>
                      <w:rPr>
                        <w:rFonts w:ascii="Cambria Math" w:hAnsi="Cambria Math"/>
                        <w:snapToGrid w:val="0"/>
                        <w:sz w:val="21"/>
                        <w:szCs w:val="21"/>
                      </w:rPr>
                    </m:ctrlPr>
                  </m:sSubPr>
                  <m:e>
                    <m:r>
                      <m:rPr/>
                      <w:rPr>
                        <w:rFonts w:ascii="Cambria Math" w:hAnsi="Cambria Math"/>
                        <w:snapToGrid w:val="0"/>
                        <w:sz w:val="21"/>
                        <w:szCs w:val="21"/>
                      </w:rPr>
                      <m:t>l</m:t>
                    </m:r>
                    <m:ctrlPr>
                      <w:rPr>
                        <w:rFonts w:ascii="Cambria Math" w:hAnsi="Cambria Math"/>
                        <w:snapToGrid w:val="0"/>
                        <w:sz w:val="21"/>
                        <w:szCs w:val="21"/>
                      </w:rPr>
                    </m:ctrlPr>
                  </m:e>
                  <m:sub>
                    <m:r>
                      <m:rPr>
                        <m:sty m:val="p"/>
                      </m:rPr>
                      <w:rPr>
                        <w:rFonts w:ascii="Cambria Math" w:hAnsi="Cambria Math"/>
                        <w:snapToGrid w:val="0"/>
                        <w:sz w:val="21"/>
                        <w:szCs w:val="21"/>
                      </w:rPr>
                      <m:t>1</m:t>
                    </m:r>
                    <m:ctrlPr>
                      <w:rPr>
                        <w:rFonts w:ascii="Cambria Math" w:hAnsi="Cambria Math"/>
                        <w:snapToGrid w:val="0"/>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z w:val="21"/>
                <w:szCs w:val="21"/>
              </w:rPr>
            </w:pPr>
            <w:r>
              <w:rPr>
                <w:rFonts w:ascii="Times New Roman" w:hAnsi="Times New Roman" w:cs="Times New Roman"/>
                <w:snapToGrid w:val="0"/>
                <w:sz w:val="21"/>
                <w:szCs w:val="21"/>
              </w:rPr>
              <w:t>矩形玻璃板块竖向边长</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napToGrid w:val="0"/>
                <w:sz w:val="21"/>
                <w:szCs w:val="21"/>
              </w:rPr>
            </w:pPr>
            <m:oMathPara>
              <m:oMathParaPr>
                <m:jc m:val="right"/>
              </m:oMathParaPr>
              <m:oMath>
                <m:sSub>
                  <m:sSubPr>
                    <m:ctrlPr>
                      <w:rPr>
                        <w:rFonts w:ascii="Cambria Math" w:hAnsi="Cambria Math"/>
                        <w:snapToGrid w:val="0"/>
                        <w:sz w:val="21"/>
                        <w:szCs w:val="21"/>
                      </w:rPr>
                    </m:ctrlPr>
                  </m:sSubPr>
                  <m:e>
                    <m:r>
                      <m:rPr/>
                      <w:rPr>
                        <w:rFonts w:ascii="Cambria Math" w:hAnsi="Cambria Math"/>
                        <w:snapToGrid w:val="0"/>
                        <w:sz w:val="21"/>
                        <w:szCs w:val="21"/>
                      </w:rPr>
                      <m:t>l</m:t>
                    </m:r>
                    <m:ctrlPr>
                      <w:rPr>
                        <w:rFonts w:ascii="Cambria Math" w:hAnsi="Cambria Math"/>
                        <w:snapToGrid w:val="0"/>
                        <w:sz w:val="21"/>
                        <w:szCs w:val="21"/>
                      </w:rPr>
                    </m:ctrlPr>
                  </m:e>
                  <m:sub>
                    <m:r>
                      <m:rPr>
                        <m:sty m:val="p"/>
                      </m:rPr>
                      <w:rPr>
                        <w:rFonts w:ascii="Cambria Math" w:hAnsi="Cambria Math"/>
                        <w:snapToGrid w:val="0"/>
                        <w:sz w:val="21"/>
                        <w:szCs w:val="21"/>
                      </w:rPr>
                      <m:t>2</m:t>
                    </m:r>
                    <m:ctrlPr>
                      <w:rPr>
                        <w:rFonts w:ascii="Cambria Math" w:hAnsi="Cambria Math"/>
                        <w:snapToGrid w:val="0"/>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napToGrid w:val="0"/>
                <w:sz w:val="21"/>
                <w:szCs w:val="21"/>
              </w:rPr>
            </w:pPr>
            <w:r>
              <w:rPr>
                <w:rFonts w:ascii="Times New Roman" w:hAnsi="Times New Roman" w:cs="Times New Roman"/>
                <w:snapToGrid w:val="0"/>
                <w:sz w:val="21"/>
                <w:szCs w:val="21"/>
              </w:rPr>
              <w:t>矩形玻璃板块横向边长</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napToGrid w:val="0"/>
                <w:sz w:val="21"/>
                <w:szCs w:val="21"/>
              </w:rPr>
            </w:pPr>
            <m:oMathPara>
              <m:oMathParaPr>
                <m:jc m:val="right"/>
              </m:oMathParaPr>
              <m:oMath>
                <m:sSub>
                  <m:sSubPr>
                    <m:ctrlPr>
                      <w:rPr>
                        <w:rFonts w:ascii="Cambria Math" w:hAnsi="Cambria Math"/>
                        <w:snapToGrid w:val="0"/>
                        <w:sz w:val="21"/>
                        <w:szCs w:val="21"/>
                      </w:rPr>
                    </m:ctrlPr>
                  </m:sSubPr>
                  <m:e>
                    <m:r>
                      <m:rPr/>
                      <w:rPr>
                        <w:rFonts w:ascii="Cambria Math" w:hAnsi="Cambria Math"/>
                        <w:snapToGrid w:val="0"/>
                        <w:sz w:val="21"/>
                        <w:szCs w:val="21"/>
                      </w:rPr>
                      <m:t>c</m:t>
                    </m:r>
                    <m:ctrlPr>
                      <w:rPr>
                        <w:rFonts w:ascii="Cambria Math" w:hAnsi="Cambria Math"/>
                        <w:snapToGrid w:val="0"/>
                        <w:sz w:val="21"/>
                        <w:szCs w:val="21"/>
                      </w:rPr>
                    </m:ctrlPr>
                  </m:e>
                  <m:sub>
                    <m:r>
                      <m:rPr>
                        <m:sty m:val="p"/>
                      </m:rPr>
                      <w:rPr>
                        <w:rFonts w:ascii="Cambria Math" w:hAnsi="Cambria Math"/>
                        <w:snapToGrid w:val="0"/>
                        <w:sz w:val="21"/>
                        <w:szCs w:val="21"/>
                      </w:rPr>
                      <m:t>1</m:t>
                    </m:r>
                    <m:ctrlPr>
                      <w:rPr>
                        <w:rFonts w:ascii="Cambria Math" w:hAnsi="Cambria Math"/>
                        <w:snapToGrid w:val="0"/>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napToGrid w:val="0"/>
                <w:sz w:val="21"/>
                <w:szCs w:val="21"/>
              </w:rPr>
            </w:pPr>
            <w:r>
              <w:rPr>
                <w:rFonts w:ascii="Times New Roman" w:hAnsi="Times New Roman" w:cs="Times New Roman"/>
                <w:snapToGrid w:val="0"/>
                <w:sz w:val="21"/>
                <w:szCs w:val="21"/>
              </w:rPr>
              <w:t>玻璃副框与左右边框</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压板</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的最小平均间隙</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mm)，应计入施工偏差值1.5mm；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snapToGrid w:val="0"/>
                <w:sz w:val="21"/>
                <w:szCs w:val="21"/>
              </w:rPr>
            </w:pPr>
            <m:oMathPara>
              <m:oMathParaPr>
                <m:jc m:val="right"/>
              </m:oMathParaPr>
              <m:oMath>
                <m:sSub>
                  <m:sSubPr>
                    <m:ctrlPr>
                      <w:rPr>
                        <w:rFonts w:ascii="Cambria Math" w:hAnsi="Cambria Math"/>
                        <w:snapToGrid w:val="0"/>
                        <w:sz w:val="21"/>
                        <w:szCs w:val="21"/>
                      </w:rPr>
                    </m:ctrlPr>
                  </m:sSubPr>
                  <m:e>
                    <m:r>
                      <m:rPr/>
                      <w:rPr>
                        <w:rFonts w:ascii="Cambria Math" w:hAnsi="Cambria Math"/>
                        <w:snapToGrid w:val="0"/>
                        <w:sz w:val="21"/>
                        <w:szCs w:val="21"/>
                      </w:rPr>
                      <m:t>c</m:t>
                    </m:r>
                    <m:ctrlPr>
                      <w:rPr>
                        <w:rFonts w:ascii="Cambria Math" w:hAnsi="Cambria Math"/>
                        <w:snapToGrid w:val="0"/>
                        <w:sz w:val="21"/>
                        <w:szCs w:val="21"/>
                      </w:rPr>
                    </m:ctrlPr>
                  </m:e>
                  <m:sub>
                    <m:r>
                      <m:rPr>
                        <m:sty m:val="p"/>
                      </m:rPr>
                      <w:rPr>
                        <w:rFonts w:ascii="Cambria Math" w:hAnsi="Cambria Math"/>
                        <w:snapToGrid w:val="0"/>
                        <w:sz w:val="21"/>
                        <w:szCs w:val="21"/>
                      </w:rPr>
                      <m:t>2</m:t>
                    </m:r>
                    <m:ctrlPr>
                      <w:rPr>
                        <w:rFonts w:ascii="Cambria Math" w:hAnsi="Cambria Math"/>
                        <w:snapToGrid w:val="0"/>
                        <w:sz w:val="21"/>
                        <w:szCs w:val="21"/>
                      </w:rPr>
                    </m:ctrlPr>
                  </m:sub>
                </m:sSub>
              </m:oMath>
            </m:oMathPara>
          </w:p>
        </w:tc>
        <w:tc>
          <w:tcPr>
            <w:tcW w:w="851" w:type="dxa"/>
            <w:shd w:val="clear" w:color="auto" w:fill="auto"/>
          </w:tcPr>
          <w:p>
            <w:pPr>
              <w:jc w:val="center"/>
              <w:rPr>
                <w:rFonts w:ascii="Times New Roman" w:hAnsi="Times New Roman"/>
                <w:sz w:val="21"/>
                <w:szCs w:val="21"/>
              </w:rPr>
            </w:pPr>
            <w:r>
              <w:rPr>
                <w:rFonts w:ascii="Times New Roman" w:hAnsi="Times New Roman"/>
                <w:sz w:val="21"/>
                <w:szCs w:val="21"/>
              </w:rPr>
              <w:t>——</w:t>
            </w:r>
          </w:p>
        </w:tc>
        <w:tc>
          <w:tcPr>
            <w:tcW w:w="7195" w:type="dxa"/>
            <w:shd w:val="clear" w:color="auto" w:fill="auto"/>
          </w:tcPr>
          <w:p>
            <w:pPr>
              <w:rPr>
                <w:rFonts w:ascii="Times New Roman" w:hAnsi="Times New Roman" w:cs="Times New Roman"/>
                <w:snapToGrid w:val="0"/>
                <w:sz w:val="21"/>
                <w:szCs w:val="21"/>
              </w:rPr>
            </w:pPr>
            <w:r>
              <w:rPr>
                <w:rFonts w:ascii="Times New Roman" w:hAnsi="Times New Roman" w:cs="Times New Roman"/>
                <w:snapToGrid w:val="0"/>
                <w:sz w:val="21"/>
                <w:szCs w:val="21"/>
              </w:rPr>
              <w:t>玻璃副框与上下边框的平均间隙</w:t>
            </w:r>
            <w:r>
              <w:rPr>
                <w:rFonts w:hint="eastAsia" w:ascii="Times New Roman" w:hAnsi="Times New Roman" w:cs="Times New Roman"/>
                <w:snapToGrid w:val="0"/>
                <w:sz w:val="21"/>
                <w:szCs w:val="21"/>
                <w:lang w:eastAsia="zh-CN"/>
              </w:rPr>
              <w:t>（</w:t>
            </w:r>
            <w:r>
              <w:rPr>
                <w:rFonts w:ascii="Times New Roman" w:hAnsi="Times New Roman" w:cs="Times New Roman"/>
                <w:snapToGrid w:val="0"/>
                <w:sz w:val="21"/>
                <w:szCs w:val="21"/>
              </w:rPr>
              <w:t>mm)，应计入施工偏差值1.5mm。</w:t>
            </w:r>
          </w:p>
        </w:tc>
      </w:tr>
    </w:tbl>
    <w:p>
      <w:pPr>
        <w:pStyle w:val="189"/>
      </w:pPr>
    </w:p>
    <w:p>
      <w:pPr>
        <w:rPr>
          <w:rFonts w:ascii="Times New Roman" w:hAnsi="Times New Roman"/>
        </w:rPr>
        <w:sectPr>
          <w:footerReference r:id="rId12" w:type="default"/>
          <w:pgSz w:w="11906" w:h="16838"/>
          <w:pgMar w:top="1418" w:right="1418" w:bottom="1418" w:left="1418" w:header="851" w:footer="992" w:gutter="0"/>
          <w:cols w:space="720" w:num="1"/>
          <w:docGrid w:linePitch="312" w:charSpace="0"/>
        </w:sectPr>
      </w:pPr>
    </w:p>
    <w:bookmarkEnd w:id="15"/>
    <w:bookmarkEnd w:id="16"/>
    <w:bookmarkEnd w:id="17"/>
    <w:bookmarkEnd w:id="18"/>
    <w:bookmarkEnd w:id="19"/>
    <w:p>
      <w:pPr>
        <w:pStyle w:val="196"/>
        <w:spacing w:before="120"/>
      </w:pPr>
      <w:bookmarkStart w:id="46" w:name="_Toc162996220"/>
      <w:bookmarkStart w:id="47" w:name="_Toc113977156"/>
      <w:r>
        <w:t>6 支承结构计算</w:t>
      </w:r>
      <w:bookmarkEnd w:id="46"/>
    </w:p>
    <w:p>
      <w:pPr>
        <w:pStyle w:val="198"/>
        <w:rPr>
          <w:rFonts w:ascii="Times New Roman" w:hAnsi="Times New Roman"/>
          <w:b w:val="0"/>
          <w:bCs/>
          <w:sz w:val="24"/>
          <w:szCs w:val="24"/>
        </w:rPr>
      </w:pPr>
      <w:bookmarkStart w:id="48" w:name="_Toc162996221"/>
      <w:r>
        <w:rPr>
          <w:rFonts w:ascii="Times New Roman" w:hAnsi="Times New Roman"/>
          <w:sz w:val="24"/>
          <w:szCs w:val="24"/>
        </w:rPr>
        <w:t xml:space="preserve">6.1 </w:t>
      </w:r>
      <w:r>
        <w:rPr>
          <w:rFonts w:ascii="Times New Roman" w:hAnsi="Times New Roman"/>
          <w:b w:val="0"/>
          <w:bCs/>
          <w:sz w:val="24"/>
          <w:szCs w:val="24"/>
        </w:rPr>
        <w:t>一般规定</w:t>
      </w:r>
      <w:bookmarkEnd w:id="48"/>
    </w:p>
    <w:p>
      <w:pPr>
        <w:pStyle w:val="200"/>
      </w:pPr>
      <w:r>
        <w:rPr>
          <w:b/>
        </w:rPr>
        <w:t xml:space="preserve">6.1.1 </w:t>
      </w:r>
      <w:r>
        <w:t>框支承结构的挠度限值应符合下列要求：</w:t>
      </w:r>
    </w:p>
    <w:p>
      <w:pPr>
        <w:pStyle w:val="188"/>
        <w:ind w:firstLine="482"/>
        <w:rPr>
          <w:rFonts w:cs="Times New Roman"/>
        </w:rPr>
      </w:pPr>
      <w:r>
        <w:rPr>
          <w:rFonts w:cs="Times New Roman"/>
          <w:b/>
          <w:bCs w:val="0"/>
        </w:rPr>
        <w:t xml:space="preserve">1 </w:t>
      </w:r>
      <w:r>
        <w:rPr>
          <w:rFonts w:cs="Times New Roman"/>
        </w:rPr>
        <w:t>铝合金构件挠度限值应不大于计算跨度的1/180；</w:t>
      </w:r>
    </w:p>
    <w:p>
      <w:pPr>
        <w:pStyle w:val="188"/>
        <w:ind w:firstLine="482"/>
        <w:rPr>
          <w:rFonts w:cs="Times New Roman"/>
        </w:rPr>
      </w:pPr>
      <w:r>
        <w:rPr>
          <w:rFonts w:cs="Times New Roman"/>
          <w:b/>
          <w:bCs w:val="0"/>
        </w:rPr>
        <w:t xml:space="preserve">2 </w:t>
      </w:r>
      <w:r>
        <w:rPr>
          <w:rFonts w:cs="Times New Roman"/>
        </w:rPr>
        <w:t>钢构件挠度限值应不大于计算跨度的1/250；</w:t>
      </w:r>
    </w:p>
    <w:p>
      <w:pPr>
        <w:pStyle w:val="188"/>
        <w:ind w:firstLine="482"/>
        <w:rPr>
          <w:rFonts w:cs="Times New Roman"/>
        </w:rPr>
      </w:pPr>
      <w:r>
        <w:rPr>
          <w:rFonts w:cs="Times New Roman"/>
          <w:b/>
          <w:bCs w:val="0"/>
        </w:rPr>
        <w:t xml:space="preserve">3 </w:t>
      </w:r>
      <w:r>
        <w:rPr>
          <w:rFonts w:cs="Times New Roman"/>
        </w:rPr>
        <w:t>横梁在自重荷载标准值作用下的挠度应不大于计算跨度的1/500，且不大于3mm；</w:t>
      </w:r>
    </w:p>
    <w:p>
      <w:pPr>
        <w:pStyle w:val="188"/>
        <w:ind w:firstLine="482"/>
        <w:rPr>
          <w:rFonts w:cs="Times New Roman"/>
        </w:rPr>
      </w:pPr>
      <w:r>
        <w:rPr>
          <w:rFonts w:cs="Times New Roman"/>
          <w:b/>
          <w:bCs w:val="0"/>
        </w:rPr>
        <w:t xml:space="preserve">4 </w:t>
      </w:r>
      <w:r>
        <w:rPr>
          <w:rFonts w:cs="Times New Roman"/>
        </w:rPr>
        <w:t>铝合金和钢构件计算跨度不大于15m时绝对挠度不大于30mm，计算跨度大于15m时挠度应不大于计算跨度的1/500；</w:t>
      </w:r>
    </w:p>
    <w:p>
      <w:pPr>
        <w:pStyle w:val="188"/>
        <w:ind w:firstLine="482"/>
        <w:rPr>
          <w:rFonts w:cs="Times New Roman"/>
        </w:rPr>
      </w:pPr>
      <w:r>
        <w:rPr>
          <w:rFonts w:cs="Times New Roman"/>
          <w:b/>
          <w:bCs w:val="0"/>
        </w:rPr>
        <w:t xml:space="preserve">5 </w:t>
      </w:r>
      <w:r>
        <w:rPr>
          <w:rFonts w:cs="Times New Roman"/>
        </w:rPr>
        <w:t>悬挑结构的计算跨度应取其悬挑长度的2倍。</w:t>
      </w:r>
    </w:p>
    <w:p>
      <w:pPr>
        <w:pStyle w:val="200"/>
      </w:pPr>
      <w:r>
        <w:rPr>
          <w:b/>
        </w:rPr>
        <w:t xml:space="preserve">6.1.2 </w:t>
      </w:r>
      <w:r>
        <w:t>在风荷载标准值作用下，玻璃肋的挠度限值应取其计算跨度的1/300，钢板肋的挠度限值应取其计算跨度的1/250，其他材料的肋支承结构挠度限值应按相应规范取值。</w:t>
      </w:r>
    </w:p>
    <w:p>
      <w:pPr>
        <w:pStyle w:val="200"/>
      </w:pPr>
      <w:r>
        <w:rPr>
          <w:b/>
        </w:rPr>
        <w:t xml:space="preserve">6.1.3 </w:t>
      </w:r>
      <w:r>
        <w:t>索结构的挠度限值应符合下列规定：</w:t>
      </w:r>
    </w:p>
    <w:p>
      <w:pPr>
        <w:pStyle w:val="188"/>
        <w:ind w:firstLine="482"/>
        <w:rPr>
          <w:rFonts w:cs="Times New Roman"/>
        </w:rPr>
      </w:pPr>
      <w:r>
        <w:rPr>
          <w:rStyle w:val="192"/>
          <w:rFonts w:ascii="Times New Roman" w:hAnsi="Times New Roman" w:cs="Times New Roman"/>
          <w:b/>
          <w:bCs/>
        </w:rPr>
        <w:t>1</w:t>
      </w:r>
      <w:r>
        <w:rPr>
          <w:rStyle w:val="192"/>
          <w:rFonts w:ascii="Times New Roman" w:hAnsi="Times New Roman" w:cs="Times New Roman"/>
          <w:bCs w:val="0"/>
        </w:rPr>
        <w:t xml:space="preserve"> 幕墙平面单索、索网和索桁架支承体系在风荷载作用下的最大挠度与跨度之比不宜大于1/50，其他索支承结构的最大挠度与跨度之比不宜大于1/200；</w:t>
      </w:r>
    </w:p>
    <w:p>
      <w:pPr>
        <w:pStyle w:val="188"/>
        <w:ind w:firstLine="482"/>
        <w:rPr>
          <w:rFonts w:cs="Times New Roman"/>
        </w:rPr>
      </w:pPr>
      <w:r>
        <w:rPr>
          <w:rStyle w:val="192"/>
          <w:rFonts w:ascii="Times New Roman" w:hAnsi="Times New Roman" w:cs="Times New Roman"/>
          <w:b/>
          <w:bCs w:val="0"/>
          <w:szCs w:val="24"/>
        </w:rPr>
        <w:t>2</w:t>
      </w:r>
      <w:r>
        <w:rPr>
          <w:rStyle w:val="192"/>
          <w:rFonts w:ascii="Times New Roman" w:hAnsi="Times New Roman" w:cs="Times New Roman"/>
          <w:bCs/>
          <w:szCs w:val="24"/>
        </w:rPr>
        <w:t xml:space="preserve"> 采光顶索支承结构的最大挠度与跨度之比不宜超过1/200。</w:t>
      </w:r>
    </w:p>
    <w:p>
      <w:pPr>
        <w:pStyle w:val="200"/>
      </w:pPr>
      <w:r>
        <w:rPr>
          <w:b/>
        </w:rPr>
        <w:t xml:space="preserve">6.1.4 </w:t>
      </w:r>
      <w:r>
        <w:t>桁架结构挠度限值应符合下列规定：</w:t>
      </w:r>
    </w:p>
    <w:p>
      <w:pPr>
        <w:pStyle w:val="188"/>
        <w:ind w:firstLine="482"/>
        <w:rPr>
          <w:rFonts w:cs="Times New Roman"/>
        </w:rPr>
      </w:pPr>
      <w:r>
        <w:rPr>
          <w:rFonts w:cs="Times New Roman"/>
          <w:b/>
          <w:bCs w:val="0"/>
        </w:rPr>
        <w:t xml:space="preserve">1 </w:t>
      </w:r>
      <w:r>
        <w:rPr>
          <w:rFonts w:cs="Times New Roman"/>
        </w:rPr>
        <w:t>钢桁架或空腹桁架在荷载标准值作用下，计算跨度</w:t>
      </w:r>
      <w:r>
        <w:rPr>
          <w:rFonts w:cs="Times New Roman"/>
          <w:i/>
        </w:rPr>
        <w:t>L</w:t>
      </w:r>
      <w:r>
        <w:rPr>
          <w:rFonts w:cs="Times New Roman"/>
        </w:rPr>
        <w:t>不大于15m时挠度不应大于</w:t>
      </w:r>
      <w:r>
        <w:rPr>
          <w:rFonts w:cs="Times New Roman"/>
          <w:i/>
        </w:rPr>
        <w:t>L</w:t>
      </w:r>
      <w:r>
        <w:rPr>
          <w:rFonts w:cs="Times New Roman"/>
        </w:rPr>
        <w:t>/250，计算跨度</w:t>
      </w:r>
      <w:r>
        <w:rPr>
          <w:rFonts w:cs="Times New Roman"/>
          <w:i/>
        </w:rPr>
        <w:t>L</w:t>
      </w:r>
      <w:r>
        <w:rPr>
          <w:rFonts w:cs="Times New Roman"/>
        </w:rPr>
        <w:t>大于15m时挠度不应大于</w:t>
      </w:r>
      <w:r>
        <w:rPr>
          <w:rFonts w:cs="Times New Roman"/>
          <w:i/>
        </w:rPr>
        <w:t>L</w:t>
      </w:r>
      <w:r>
        <w:rPr>
          <w:rFonts w:cs="Times New Roman"/>
        </w:rPr>
        <w:t>/500；</w:t>
      </w:r>
    </w:p>
    <w:p>
      <w:pPr>
        <w:pStyle w:val="188"/>
        <w:ind w:firstLine="482"/>
        <w:rPr>
          <w:rFonts w:cs="Times New Roman"/>
        </w:rPr>
      </w:pPr>
      <w:r>
        <w:rPr>
          <w:rFonts w:cs="Times New Roman"/>
          <w:b/>
          <w:bCs w:val="0"/>
        </w:rPr>
        <w:t xml:space="preserve">2 </w:t>
      </w:r>
      <w:r>
        <w:rPr>
          <w:rFonts w:cs="Times New Roman"/>
        </w:rPr>
        <w:t>钢桁架或空腹桁架在竖向自重荷载标准值作用下，挠度应不大于计算跨度的1/400；</w:t>
      </w:r>
    </w:p>
    <w:p>
      <w:pPr>
        <w:pStyle w:val="188"/>
        <w:ind w:firstLine="482"/>
        <w:rPr>
          <w:rFonts w:cs="Times New Roman"/>
        </w:rPr>
      </w:pPr>
      <w:r>
        <w:rPr>
          <w:rFonts w:cs="Times New Roman"/>
          <w:b/>
          <w:bCs w:val="0"/>
        </w:rPr>
        <w:t xml:space="preserve">3 </w:t>
      </w:r>
      <w:r>
        <w:rPr>
          <w:rFonts w:cs="Times New Roman"/>
        </w:rPr>
        <w:t>悬挑桁架的计算跨度应取其悬挑长度的2倍；</w:t>
      </w:r>
    </w:p>
    <w:p>
      <w:pPr>
        <w:pStyle w:val="188"/>
        <w:ind w:firstLine="482"/>
        <w:rPr>
          <w:rFonts w:cs="Times New Roman"/>
        </w:rPr>
      </w:pPr>
      <w:r>
        <w:rPr>
          <w:rFonts w:cs="Times New Roman"/>
          <w:b/>
          <w:bCs w:val="0"/>
        </w:rPr>
        <w:t xml:space="preserve">4 </w:t>
      </w:r>
      <w:r>
        <w:rPr>
          <w:rFonts w:cs="Times New Roman"/>
        </w:rPr>
        <w:t>索杆桁架的挠度应不大于其支承点距离的1/200。</w:t>
      </w:r>
    </w:p>
    <w:p>
      <w:pPr>
        <w:pStyle w:val="200"/>
      </w:pPr>
      <w:r>
        <w:rPr>
          <w:b/>
        </w:rPr>
        <w:t xml:space="preserve">6.1.5 </w:t>
      </w:r>
      <w:r>
        <w:t>膜结构的变形应符合下列规定：</w:t>
      </w:r>
    </w:p>
    <w:p>
      <w:pPr>
        <w:pStyle w:val="188"/>
        <w:ind w:firstLine="482"/>
        <w:rPr>
          <w:rFonts w:cs="Times New Roman"/>
        </w:rPr>
      </w:pPr>
      <w:r>
        <w:rPr>
          <w:rFonts w:cs="Times New Roman"/>
          <w:b/>
          <w:bCs w:val="0"/>
        </w:rPr>
        <w:t>1</w:t>
      </w:r>
      <w:r>
        <w:rPr>
          <w:rFonts w:cs="Times New Roman"/>
        </w:rPr>
        <w:t xml:space="preserve"> 膜面的相对法向位移不应大于膜单元名义尺度的1/15；</w:t>
      </w:r>
    </w:p>
    <w:p>
      <w:pPr>
        <w:pStyle w:val="188"/>
        <w:ind w:firstLine="482"/>
        <w:rPr>
          <w:rFonts w:cs="Times New Roman"/>
        </w:rPr>
      </w:pPr>
      <w:r>
        <w:rPr>
          <w:rFonts w:cs="Times New Roman"/>
          <w:b/>
          <w:bCs w:val="0"/>
        </w:rPr>
        <w:t>2</w:t>
      </w:r>
      <w:r>
        <w:rPr>
          <w:rFonts w:cs="Times New Roman"/>
        </w:rPr>
        <w:t xml:space="preserve"> 对于整体张拉式和索系支承式膜结构，其最大位移在第一类荷载效应组合下不宜大于跨度的1/250或悬挑长度的1/125；在第二类荷载效应组合下不宜大于跨度的1/200或悬挑长度的1/100；</w:t>
      </w:r>
    </w:p>
    <w:p>
      <w:pPr>
        <w:pStyle w:val="188"/>
        <w:ind w:firstLine="482"/>
        <w:rPr>
          <w:rFonts w:cs="Times New Roman"/>
        </w:rPr>
      </w:pPr>
      <w:r>
        <w:rPr>
          <w:rFonts w:cs="Times New Roman"/>
          <w:b/>
          <w:bCs w:val="0"/>
        </w:rPr>
        <w:t>3</w:t>
      </w:r>
      <w:r>
        <w:rPr>
          <w:rFonts w:cs="Times New Roman"/>
        </w:rPr>
        <w:t xml:space="preserve"> 对于桅杆顶点，在第二类荷载效应组合下，其侧向位移值不宜大于桅杆长度的1/250；</w:t>
      </w:r>
    </w:p>
    <w:p>
      <w:pPr>
        <w:pStyle w:val="188"/>
        <w:ind w:firstLine="482"/>
        <w:rPr>
          <w:rFonts w:cs="Times New Roman"/>
        </w:rPr>
      </w:pPr>
      <w:r>
        <w:rPr>
          <w:rFonts w:cs="Times New Roman"/>
          <w:b/>
          <w:bCs w:val="0"/>
        </w:rPr>
        <w:t>4</w:t>
      </w:r>
      <w:r>
        <w:rPr>
          <w:rFonts w:cs="Times New Roman"/>
        </w:rPr>
        <w:t xml:space="preserve"> 对于骨架支承式膜结构，其骨架最大位移应符合有关骨架结构设计标准的规定。</w:t>
      </w:r>
    </w:p>
    <w:p>
      <w:pPr>
        <w:pStyle w:val="198"/>
        <w:rPr>
          <w:rFonts w:ascii="Times New Roman" w:hAnsi="Times New Roman"/>
        </w:rPr>
      </w:pPr>
      <w:bookmarkStart w:id="49" w:name="_Toc162996222"/>
      <w:r>
        <w:rPr>
          <w:rFonts w:ascii="Times New Roman" w:hAnsi="Times New Roman"/>
          <w:sz w:val="24"/>
          <w:szCs w:val="24"/>
        </w:rPr>
        <w:t>6.2</w:t>
      </w:r>
      <w:r>
        <w:rPr>
          <w:rFonts w:ascii="Times New Roman" w:hAnsi="Times New Roman"/>
        </w:rPr>
        <w:t xml:space="preserve"> </w:t>
      </w:r>
      <w:r>
        <w:rPr>
          <w:rFonts w:ascii="Times New Roman" w:hAnsi="Times New Roman"/>
          <w:b w:val="0"/>
          <w:bCs/>
          <w:sz w:val="24"/>
          <w:szCs w:val="24"/>
        </w:rPr>
        <w:t>框支承结构</w:t>
      </w:r>
      <w:bookmarkEnd w:id="49"/>
    </w:p>
    <w:p>
      <w:pPr>
        <w:pStyle w:val="200"/>
      </w:pPr>
      <w:r>
        <w:rPr>
          <w:b/>
        </w:rPr>
        <w:t>6.2.1</w:t>
      </w:r>
      <w:r>
        <w:t xml:space="preserve"> 型材主要受力部位的厚度，应符合下列规定：</w:t>
      </w:r>
    </w:p>
    <w:p>
      <w:pPr>
        <w:pStyle w:val="188"/>
        <w:ind w:firstLine="482"/>
        <w:rPr>
          <w:rFonts w:cs="Times New Roman"/>
        </w:rPr>
      </w:pPr>
      <w:r>
        <w:rPr>
          <w:rFonts w:cs="Times New Roman"/>
          <w:b/>
          <w:bCs w:val="0"/>
        </w:rPr>
        <w:t>1</w:t>
      </w:r>
      <w:r>
        <w:rPr>
          <w:rFonts w:cs="Times New Roman"/>
        </w:rPr>
        <w:t xml:space="preserve"> 横梁及偏心受压立柱截面自由挑出部位</w:t>
      </w:r>
      <w:r>
        <w:rPr>
          <w:rFonts w:hint="eastAsia" w:cs="Times New Roman"/>
          <w:lang w:eastAsia="zh-CN"/>
        </w:rPr>
        <w:t>（</w:t>
      </w:r>
      <w:r>
        <w:rPr>
          <w:rFonts w:cs="Times New Roman"/>
        </w:rPr>
        <w:t>图6.2.1</w:t>
      </w:r>
      <w:r>
        <w:rPr>
          <w:rFonts w:cs="Times New Roman"/>
          <w:i/>
          <w:iCs/>
        </w:rPr>
        <w:t>a</w:t>
      </w:r>
      <w:r>
        <w:rPr>
          <w:rFonts w:hint="eastAsia" w:cs="Times New Roman"/>
          <w:i/>
          <w:iCs/>
          <w:lang w:eastAsia="zh-CN"/>
        </w:rPr>
        <w:t>）</w:t>
      </w:r>
      <w:r>
        <w:rPr>
          <w:rFonts w:cs="Times New Roman"/>
        </w:rPr>
        <w:t>和双侧加劲部位</w:t>
      </w:r>
      <w:r>
        <w:rPr>
          <w:rFonts w:hint="eastAsia" w:cs="Times New Roman"/>
          <w:lang w:eastAsia="zh-CN"/>
        </w:rPr>
        <w:t>（</w:t>
      </w:r>
      <w:r>
        <w:rPr>
          <w:rFonts w:cs="Times New Roman"/>
        </w:rPr>
        <w:t>图6.2.1</w:t>
      </w:r>
      <w:r>
        <w:rPr>
          <w:rFonts w:cs="Times New Roman"/>
          <w:i/>
          <w:iCs/>
        </w:rPr>
        <w:t>b</w:t>
      </w:r>
      <w:r>
        <w:rPr>
          <w:rFonts w:hint="eastAsia" w:cs="Times New Roman"/>
          <w:i/>
          <w:iCs/>
          <w:lang w:eastAsia="zh-CN"/>
        </w:rPr>
        <w:t>）</w:t>
      </w:r>
      <w:r>
        <w:rPr>
          <w:rFonts w:cs="Times New Roman"/>
        </w:rPr>
        <w:t>的宽厚比</w:t>
      </w:r>
      <w:r>
        <w:rPr>
          <w:rFonts w:cs="Times New Roman"/>
          <w:i/>
          <w:iCs/>
        </w:rPr>
        <w:t>b</w:t>
      </w:r>
      <w:r>
        <w:rPr>
          <w:rFonts w:cs="Times New Roman"/>
          <w:i/>
          <w:iCs/>
          <w:vertAlign w:val="subscript"/>
        </w:rPr>
        <w:t>0</w:t>
      </w:r>
      <w:r>
        <w:rPr>
          <w:rFonts w:cs="Times New Roman"/>
          <w:i/>
          <w:iCs/>
        </w:rPr>
        <w:t>/t</w:t>
      </w:r>
      <w:r>
        <w:rPr>
          <w:rFonts w:cs="Times New Roman"/>
        </w:rPr>
        <w:t>应满足表6.2.1的要求或符合现行国家标准《铝合金结构设计规范》GB 50429及《冷弯薄壁型钢结构技术规范》GB 50018的规定。</w:t>
      </w:r>
    </w:p>
    <w:p>
      <w:pPr>
        <w:pStyle w:val="202"/>
        <w:rPr>
          <w:rFonts w:cs="Times New Roman"/>
        </w:rPr>
      </w:pPr>
      <w:r>
        <w:rPr>
          <w:rFonts w:cs="Times New Roman"/>
        </w:rPr>
        <w:drawing>
          <wp:inline distT="0" distB="0" distL="0" distR="0">
            <wp:extent cx="3305810" cy="106807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95"/>
                    <a:stretch>
                      <a:fillRect/>
                    </a:stretch>
                  </pic:blipFill>
                  <pic:spPr>
                    <a:xfrm>
                      <a:off x="0" y="0"/>
                      <a:ext cx="3317585" cy="1072351"/>
                    </a:xfrm>
                    <a:prstGeom prst="rect">
                      <a:avLst/>
                    </a:prstGeom>
                  </pic:spPr>
                </pic:pic>
              </a:graphicData>
            </a:graphic>
          </wp:inline>
        </w:drawing>
      </w:r>
    </w:p>
    <w:p>
      <w:pPr>
        <w:pStyle w:val="202"/>
        <w:rPr>
          <w:rFonts w:cs="Times New Roman"/>
        </w:rPr>
      </w:pPr>
      <w:r>
        <w:rPr>
          <w:rFonts w:cs="Times New Roman"/>
        </w:rPr>
        <w:t>（</w:t>
      </w:r>
      <w:r>
        <w:rPr>
          <w:rFonts w:cs="Times New Roman"/>
          <w:i/>
          <w:iCs/>
        </w:rPr>
        <w:t>a</w:t>
      </w:r>
      <w:r>
        <w:rPr>
          <w:rFonts w:cs="Times New Roman"/>
        </w:rPr>
        <w:t>）                          （</w:t>
      </w:r>
      <w:r>
        <w:rPr>
          <w:rFonts w:cs="Times New Roman"/>
          <w:i/>
          <w:iCs/>
        </w:rPr>
        <w:t>b</w:t>
      </w:r>
      <w:r>
        <w:rPr>
          <w:rFonts w:cs="Times New Roman"/>
        </w:rPr>
        <w:t>）</w:t>
      </w:r>
    </w:p>
    <w:p>
      <w:pPr>
        <w:pStyle w:val="202"/>
        <w:rPr>
          <w:rFonts w:cs="Times New Roman"/>
        </w:rPr>
      </w:pPr>
      <w:r>
        <w:rPr>
          <w:rFonts w:cs="Times New Roman"/>
        </w:rPr>
        <w:t>图6.2.1 截面部位示意</w:t>
      </w:r>
    </w:p>
    <w:p>
      <w:pPr>
        <w:pStyle w:val="202"/>
        <w:rPr>
          <w:rFonts w:cs="Times New Roman"/>
        </w:rPr>
      </w:pPr>
      <w:r>
        <w:rPr>
          <w:rFonts w:cs="Times New Roman"/>
        </w:rPr>
        <w:t>表6.2.1 截面宽厚比b</w:t>
      </w:r>
      <w:r>
        <w:rPr>
          <w:rFonts w:cs="Times New Roman"/>
          <w:vertAlign w:val="subscript"/>
        </w:rPr>
        <w:t>0</w:t>
      </w:r>
      <w:r>
        <w:rPr>
          <w:rFonts w:cs="Times New Roman"/>
        </w:rPr>
        <w:t>/t限值</w:t>
      </w:r>
    </w:p>
    <w:tbl>
      <w:tblPr>
        <w:tblStyle w:val="38"/>
        <w:tblW w:w="475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336"/>
        <w:gridCol w:w="1336"/>
        <w:gridCol w:w="1337"/>
        <w:gridCol w:w="1339"/>
        <w:gridCol w:w="1339"/>
        <w:gridCol w:w="1339"/>
        <w:gridCol w:w="133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4" w:type="pct"/>
            <w:vMerge w:val="restart"/>
            <w:vAlign w:val="center"/>
          </w:tcPr>
          <w:p>
            <w:pPr>
              <w:pStyle w:val="203"/>
              <w:spacing w:line="360" w:lineRule="auto"/>
              <w:rPr>
                <w:rFonts w:ascii="Times New Roman" w:cs="Times New Roman"/>
              </w:rPr>
            </w:pPr>
            <w:r>
              <w:rPr>
                <w:rFonts w:ascii="Times New Roman" w:cs="Times New Roman"/>
              </w:rPr>
              <w:t>截面部位</w:t>
            </w:r>
          </w:p>
        </w:tc>
        <w:tc>
          <w:tcPr>
            <w:tcW w:w="2857" w:type="pct"/>
            <w:gridSpan w:val="4"/>
            <w:vAlign w:val="center"/>
          </w:tcPr>
          <w:p>
            <w:pPr>
              <w:pStyle w:val="203"/>
              <w:spacing w:line="360" w:lineRule="auto"/>
              <w:rPr>
                <w:rFonts w:ascii="Times New Roman" w:cs="Times New Roman"/>
              </w:rPr>
            </w:pPr>
            <w:r>
              <w:rPr>
                <w:rFonts w:ascii="Times New Roman" w:cs="Times New Roman"/>
              </w:rPr>
              <w:t>铝型材</w:t>
            </w:r>
          </w:p>
        </w:tc>
        <w:tc>
          <w:tcPr>
            <w:tcW w:w="1429" w:type="pct"/>
            <w:gridSpan w:val="2"/>
            <w:vAlign w:val="center"/>
          </w:tcPr>
          <w:p>
            <w:pPr>
              <w:pStyle w:val="203"/>
              <w:spacing w:line="360" w:lineRule="auto"/>
              <w:rPr>
                <w:rFonts w:ascii="Times New Roman" w:cs="Times New Roman"/>
              </w:rPr>
            </w:pPr>
            <w:r>
              <w:rPr>
                <w:rFonts w:ascii="Times New Roman" w:cs="Times New Roman"/>
              </w:rPr>
              <w:t>钢型材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4" w:type="pct"/>
            <w:vMerge w:val="continue"/>
            <w:vAlign w:val="center"/>
          </w:tcPr>
          <w:p>
            <w:pPr>
              <w:pStyle w:val="203"/>
              <w:spacing w:line="360" w:lineRule="auto"/>
              <w:rPr>
                <w:rFonts w:ascii="Times New Roman" w:cs="Times New Roman"/>
              </w:rPr>
            </w:pPr>
          </w:p>
        </w:tc>
        <w:tc>
          <w:tcPr>
            <w:tcW w:w="714" w:type="pct"/>
            <w:vAlign w:val="center"/>
          </w:tcPr>
          <w:p>
            <w:pPr>
              <w:pStyle w:val="203"/>
              <w:spacing w:line="360" w:lineRule="auto"/>
              <w:rPr>
                <w:rFonts w:ascii="Times New Roman" w:cs="Times New Roman"/>
              </w:rPr>
            </w:pPr>
            <w:r>
              <w:rPr>
                <w:rFonts w:ascii="Times New Roman" w:cs="Times New Roman"/>
              </w:rPr>
              <w:t>6063-T5</w:t>
            </w:r>
          </w:p>
        </w:tc>
        <w:tc>
          <w:tcPr>
            <w:tcW w:w="714" w:type="pct"/>
            <w:vAlign w:val="center"/>
          </w:tcPr>
          <w:p>
            <w:pPr>
              <w:pStyle w:val="203"/>
              <w:spacing w:line="360" w:lineRule="auto"/>
              <w:rPr>
                <w:rFonts w:ascii="Times New Roman" w:cs="Times New Roman"/>
              </w:rPr>
            </w:pPr>
            <w:r>
              <w:rPr>
                <w:rFonts w:ascii="Times New Roman" w:cs="Times New Roman"/>
              </w:rPr>
              <w:t>6063A-T5</w:t>
            </w:r>
          </w:p>
        </w:tc>
        <w:tc>
          <w:tcPr>
            <w:tcW w:w="715" w:type="pct"/>
            <w:vAlign w:val="center"/>
          </w:tcPr>
          <w:p>
            <w:pPr>
              <w:pStyle w:val="203"/>
              <w:rPr>
                <w:rFonts w:ascii="Times New Roman" w:cs="Times New Roman"/>
              </w:rPr>
            </w:pPr>
            <w:r>
              <w:rPr>
                <w:rFonts w:ascii="Times New Roman" w:cs="Times New Roman"/>
              </w:rPr>
              <w:t>6063-T6</w:t>
            </w:r>
          </w:p>
          <w:p>
            <w:pPr>
              <w:pStyle w:val="203"/>
              <w:rPr>
                <w:rFonts w:ascii="Times New Roman" w:cs="Times New Roman"/>
              </w:rPr>
            </w:pPr>
            <w:r>
              <w:rPr>
                <w:rFonts w:ascii="Times New Roman" w:cs="Times New Roman"/>
              </w:rPr>
              <w:t>6063A-T6</w:t>
            </w:r>
          </w:p>
        </w:tc>
        <w:tc>
          <w:tcPr>
            <w:tcW w:w="715" w:type="pct"/>
            <w:vAlign w:val="center"/>
          </w:tcPr>
          <w:p>
            <w:pPr>
              <w:pStyle w:val="203"/>
              <w:spacing w:line="360" w:lineRule="auto"/>
              <w:rPr>
                <w:rFonts w:ascii="Times New Roman" w:cs="Times New Roman"/>
              </w:rPr>
            </w:pPr>
            <w:r>
              <w:rPr>
                <w:rFonts w:ascii="Times New Roman" w:cs="Times New Roman"/>
              </w:rPr>
              <w:t>6061-T6</w:t>
            </w:r>
          </w:p>
        </w:tc>
        <w:tc>
          <w:tcPr>
            <w:tcW w:w="715" w:type="pct"/>
            <w:vAlign w:val="center"/>
          </w:tcPr>
          <w:p>
            <w:pPr>
              <w:pStyle w:val="203"/>
              <w:spacing w:line="360" w:lineRule="auto"/>
              <w:rPr>
                <w:rFonts w:ascii="Times New Roman" w:cs="Times New Roman"/>
              </w:rPr>
            </w:pPr>
            <w:r>
              <w:rPr>
                <w:rFonts w:ascii="Times New Roman" w:cs="Times New Roman"/>
              </w:rPr>
              <w:t>Q235</w:t>
            </w:r>
          </w:p>
        </w:tc>
        <w:tc>
          <w:tcPr>
            <w:tcW w:w="715" w:type="pct"/>
            <w:vAlign w:val="center"/>
          </w:tcPr>
          <w:p>
            <w:pPr>
              <w:pStyle w:val="203"/>
              <w:spacing w:line="360" w:lineRule="auto"/>
              <w:rPr>
                <w:rFonts w:ascii="Times New Roman" w:cs="Times New Roman"/>
              </w:rPr>
            </w:pPr>
            <w:r>
              <w:rPr>
                <w:rFonts w:ascii="Times New Roman" w:cs="Times New Roman"/>
              </w:rPr>
              <w:t>Q355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4" w:type="pct"/>
            <w:vAlign w:val="center"/>
          </w:tcPr>
          <w:p>
            <w:pPr>
              <w:pStyle w:val="203"/>
              <w:spacing w:line="360" w:lineRule="auto"/>
              <w:rPr>
                <w:rFonts w:ascii="Times New Roman" w:cs="Times New Roman"/>
              </w:rPr>
            </w:pPr>
            <w:r>
              <w:rPr>
                <w:rFonts w:ascii="Times New Roman" w:cs="Times New Roman"/>
              </w:rPr>
              <w:t>自由挑出</w:t>
            </w:r>
          </w:p>
        </w:tc>
        <w:tc>
          <w:tcPr>
            <w:tcW w:w="714" w:type="pct"/>
            <w:vAlign w:val="center"/>
          </w:tcPr>
          <w:p>
            <w:pPr>
              <w:pStyle w:val="203"/>
              <w:spacing w:line="360" w:lineRule="auto"/>
              <w:rPr>
                <w:rFonts w:ascii="Times New Roman" w:cs="Times New Roman"/>
              </w:rPr>
            </w:pPr>
            <w:r>
              <w:rPr>
                <w:rFonts w:ascii="Times New Roman" w:cs="Times New Roman"/>
              </w:rPr>
              <w:t>17</w:t>
            </w:r>
          </w:p>
        </w:tc>
        <w:tc>
          <w:tcPr>
            <w:tcW w:w="714" w:type="pct"/>
            <w:vAlign w:val="center"/>
          </w:tcPr>
          <w:p>
            <w:pPr>
              <w:pStyle w:val="203"/>
              <w:spacing w:line="360" w:lineRule="auto"/>
              <w:rPr>
                <w:rFonts w:ascii="Times New Roman" w:cs="Times New Roman"/>
              </w:rPr>
            </w:pPr>
            <w:r>
              <w:rPr>
                <w:rFonts w:ascii="Times New Roman" w:cs="Times New Roman"/>
              </w:rPr>
              <w:t>15</w:t>
            </w:r>
          </w:p>
        </w:tc>
        <w:tc>
          <w:tcPr>
            <w:tcW w:w="715" w:type="pct"/>
            <w:vAlign w:val="center"/>
          </w:tcPr>
          <w:p>
            <w:pPr>
              <w:pStyle w:val="203"/>
              <w:spacing w:line="360" w:lineRule="auto"/>
              <w:rPr>
                <w:rFonts w:ascii="Times New Roman" w:cs="Times New Roman"/>
              </w:rPr>
            </w:pPr>
            <w:r>
              <w:rPr>
                <w:rFonts w:ascii="Times New Roman" w:cs="Times New Roman"/>
              </w:rPr>
              <w:t>13</w:t>
            </w:r>
          </w:p>
        </w:tc>
        <w:tc>
          <w:tcPr>
            <w:tcW w:w="715" w:type="pct"/>
            <w:vAlign w:val="center"/>
          </w:tcPr>
          <w:p>
            <w:pPr>
              <w:pStyle w:val="203"/>
              <w:spacing w:line="360" w:lineRule="auto"/>
              <w:rPr>
                <w:rFonts w:ascii="Times New Roman" w:cs="Times New Roman"/>
              </w:rPr>
            </w:pPr>
            <w:r>
              <w:rPr>
                <w:rFonts w:ascii="Times New Roman" w:cs="Times New Roman"/>
              </w:rPr>
              <w:t>12</w:t>
            </w:r>
          </w:p>
        </w:tc>
        <w:tc>
          <w:tcPr>
            <w:tcW w:w="715" w:type="pct"/>
            <w:vAlign w:val="center"/>
          </w:tcPr>
          <w:p>
            <w:pPr>
              <w:pStyle w:val="203"/>
              <w:spacing w:line="360" w:lineRule="auto"/>
              <w:rPr>
                <w:rFonts w:ascii="Times New Roman" w:cs="Times New Roman"/>
              </w:rPr>
            </w:pPr>
            <w:r>
              <w:rPr>
                <w:rFonts w:ascii="Times New Roman" w:cs="Times New Roman"/>
              </w:rPr>
              <w:t>15</w:t>
            </w:r>
          </w:p>
        </w:tc>
        <w:tc>
          <w:tcPr>
            <w:tcW w:w="715" w:type="pct"/>
            <w:vAlign w:val="center"/>
          </w:tcPr>
          <w:p>
            <w:pPr>
              <w:pStyle w:val="203"/>
              <w:spacing w:line="360" w:lineRule="auto"/>
              <w:rPr>
                <w:rFonts w:ascii="Times New Roman" w:cs="Times New Roman"/>
              </w:rPr>
            </w:pPr>
            <w:r>
              <w:rPr>
                <w:rFonts w:ascii="Times New Roman" w:cs="Times New Roman"/>
              </w:rPr>
              <w:t>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4" w:type="pct"/>
            <w:vAlign w:val="center"/>
          </w:tcPr>
          <w:p>
            <w:pPr>
              <w:pStyle w:val="203"/>
              <w:spacing w:line="360" w:lineRule="auto"/>
              <w:rPr>
                <w:rFonts w:ascii="Times New Roman" w:cs="Times New Roman"/>
              </w:rPr>
            </w:pPr>
            <w:r>
              <w:rPr>
                <w:rFonts w:ascii="Times New Roman" w:cs="Times New Roman"/>
              </w:rPr>
              <w:t>双侧加劲</w:t>
            </w:r>
          </w:p>
        </w:tc>
        <w:tc>
          <w:tcPr>
            <w:tcW w:w="714" w:type="pct"/>
            <w:vAlign w:val="center"/>
          </w:tcPr>
          <w:p>
            <w:pPr>
              <w:pStyle w:val="203"/>
              <w:spacing w:line="360" w:lineRule="auto"/>
              <w:rPr>
                <w:rFonts w:ascii="Times New Roman" w:cs="Times New Roman"/>
              </w:rPr>
            </w:pPr>
            <w:r>
              <w:rPr>
                <w:rFonts w:ascii="Times New Roman" w:cs="Times New Roman"/>
              </w:rPr>
              <w:t>50</w:t>
            </w:r>
          </w:p>
        </w:tc>
        <w:tc>
          <w:tcPr>
            <w:tcW w:w="714" w:type="pct"/>
            <w:vAlign w:val="center"/>
          </w:tcPr>
          <w:p>
            <w:pPr>
              <w:pStyle w:val="203"/>
              <w:spacing w:line="360" w:lineRule="auto"/>
              <w:rPr>
                <w:rFonts w:ascii="Times New Roman" w:cs="Times New Roman"/>
              </w:rPr>
            </w:pPr>
            <w:r>
              <w:rPr>
                <w:rFonts w:ascii="Times New Roman" w:cs="Times New Roman"/>
              </w:rPr>
              <w:t>45</w:t>
            </w:r>
          </w:p>
        </w:tc>
        <w:tc>
          <w:tcPr>
            <w:tcW w:w="715" w:type="pct"/>
            <w:vAlign w:val="center"/>
          </w:tcPr>
          <w:p>
            <w:pPr>
              <w:pStyle w:val="203"/>
              <w:spacing w:line="360" w:lineRule="auto"/>
              <w:rPr>
                <w:rFonts w:ascii="Times New Roman" w:cs="Times New Roman"/>
              </w:rPr>
            </w:pPr>
            <w:r>
              <w:rPr>
                <w:rFonts w:ascii="Times New Roman" w:cs="Times New Roman"/>
              </w:rPr>
              <w:t>40</w:t>
            </w:r>
          </w:p>
        </w:tc>
        <w:tc>
          <w:tcPr>
            <w:tcW w:w="715" w:type="pct"/>
            <w:vAlign w:val="center"/>
          </w:tcPr>
          <w:p>
            <w:pPr>
              <w:pStyle w:val="203"/>
              <w:spacing w:line="360" w:lineRule="auto"/>
              <w:rPr>
                <w:rFonts w:ascii="Times New Roman" w:cs="Times New Roman"/>
              </w:rPr>
            </w:pPr>
            <w:r>
              <w:rPr>
                <w:rFonts w:ascii="Times New Roman" w:cs="Times New Roman"/>
              </w:rPr>
              <w:t>35</w:t>
            </w:r>
          </w:p>
        </w:tc>
        <w:tc>
          <w:tcPr>
            <w:tcW w:w="715" w:type="pct"/>
            <w:vAlign w:val="center"/>
          </w:tcPr>
          <w:p>
            <w:pPr>
              <w:pStyle w:val="203"/>
              <w:spacing w:line="360" w:lineRule="auto"/>
              <w:rPr>
                <w:rFonts w:ascii="Times New Roman" w:cs="Times New Roman"/>
              </w:rPr>
            </w:pPr>
            <w:r>
              <w:rPr>
                <w:rFonts w:ascii="Times New Roman" w:cs="Times New Roman"/>
              </w:rPr>
              <w:t>40</w:t>
            </w:r>
          </w:p>
        </w:tc>
        <w:tc>
          <w:tcPr>
            <w:tcW w:w="715" w:type="pct"/>
            <w:vAlign w:val="center"/>
          </w:tcPr>
          <w:p>
            <w:pPr>
              <w:pStyle w:val="203"/>
              <w:spacing w:line="360" w:lineRule="auto"/>
              <w:rPr>
                <w:rFonts w:ascii="Times New Roman" w:cs="Times New Roman"/>
              </w:rPr>
            </w:pPr>
            <w:r>
              <w:rPr>
                <w:rFonts w:ascii="Times New Roman" w:cs="Times New Roman"/>
              </w:rPr>
              <w:t>33</w:t>
            </w:r>
          </w:p>
        </w:tc>
      </w:tr>
    </w:tbl>
    <w:p>
      <w:pPr>
        <w:pStyle w:val="188"/>
        <w:ind w:firstLine="420"/>
        <w:rPr>
          <w:rFonts w:cs="Times New Roman"/>
          <w:sz w:val="21"/>
          <w:szCs w:val="21"/>
        </w:rPr>
      </w:pPr>
      <w:r>
        <w:rPr>
          <w:rFonts w:cs="Times New Roman"/>
          <w:sz w:val="21"/>
          <w:szCs w:val="21"/>
        </w:rPr>
        <w:t>注：表中数值为上限。</w:t>
      </w:r>
    </w:p>
    <w:p>
      <w:pPr>
        <w:pStyle w:val="188"/>
        <w:ind w:firstLine="482"/>
        <w:rPr>
          <w:rFonts w:cs="Times New Roman"/>
        </w:rPr>
      </w:pPr>
      <w:r>
        <w:rPr>
          <w:rFonts w:cs="Times New Roman"/>
          <w:b/>
          <w:bCs w:val="0"/>
        </w:rPr>
        <w:t>2</w:t>
      </w:r>
      <w:r>
        <w:rPr>
          <w:rFonts w:cs="Times New Roman"/>
        </w:rPr>
        <w:t xml:space="preserve"> 铝合金横梁跨度不大于1.2m时，其截面主要受力部位的厚度应不小于2.0mm；跨度大于1.2m时，其截面主要受力部位的厚度应不小于2.5mm；</w:t>
      </w:r>
    </w:p>
    <w:p>
      <w:pPr>
        <w:pStyle w:val="188"/>
        <w:ind w:firstLine="482"/>
        <w:rPr>
          <w:rFonts w:cs="Times New Roman"/>
        </w:rPr>
      </w:pPr>
      <w:r>
        <w:rPr>
          <w:rFonts w:cs="Times New Roman"/>
          <w:b/>
          <w:bCs w:val="0"/>
        </w:rPr>
        <w:t>3</w:t>
      </w:r>
      <w:r>
        <w:rPr>
          <w:rFonts w:cs="Times New Roman"/>
        </w:rPr>
        <w:t xml:space="preserve"> 铝型材立柱截面开口部位的厚度应不小于3.0mm，闭口部位的厚度不应小于2.5mm；</w:t>
      </w:r>
    </w:p>
    <w:p>
      <w:pPr>
        <w:pStyle w:val="188"/>
        <w:ind w:firstLine="482"/>
        <w:rPr>
          <w:rFonts w:cs="Times New Roman"/>
        </w:rPr>
      </w:pPr>
      <w:r>
        <w:rPr>
          <w:rFonts w:cs="Times New Roman"/>
          <w:b/>
          <w:bCs w:val="0"/>
        </w:rPr>
        <w:t>4</w:t>
      </w:r>
      <w:r>
        <w:rPr>
          <w:rFonts w:cs="Times New Roman"/>
        </w:rPr>
        <w:t xml:space="preserve"> 钢型材截面主要受力部位的厚度不应小于3.0mm，处于潮湿或腐蚀条件下的钢型材厚度可按计算厚度增加1.0mm；</w:t>
      </w:r>
    </w:p>
    <w:p>
      <w:pPr>
        <w:pStyle w:val="188"/>
        <w:ind w:firstLine="482"/>
        <w:rPr>
          <w:rFonts w:cs="Times New Roman"/>
        </w:rPr>
      </w:pPr>
      <w:r>
        <w:rPr>
          <w:rFonts w:cs="Times New Roman"/>
          <w:b/>
          <w:bCs w:val="0"/>
        </w:rPr>
        <w:t>5</w:t>
      </w:r>
      <w:r>
        <w:rPr>
          <w:rFonts w:cs="Times New Roman"/>
        </w:rPr>
        <w:t xml:space="preserve"> 型材孔壁与螺钉之间直接采用螺纹受力连接时，其截面厚度不宜小于螺钉的公称直径</w:t>
      </w:r>
      <w:r>
        <w:rPr>
          <w:rFonts w:cs="Times New Roman"/>
          <w:i/>
          <w:iCs/>
        </w:rPr>
        <w:t>d</w:t>
      </w:r>
      <w:r>
        <w:rPr>
          <w:rFonts w:cs="Times New Roman"/>
        </w:rPr>
        <w:t>，不应小于0.8</w:t>
      </w:r>
      <w:r>
        <w:rPr>
          <w:rFonts w:cs="Times New Roman"/>
          <w:i/>
          <w:iCs/>
        </w:rPr>
        <w:t>d</w:t>
      </w:r>
      <w:r>
        <w:rPr>
          <w:rFonts w:cs="Times New Roman"/>
        </w:rPr>
        <w:t>。不满足时可对型材局部加强，局部加强的宽度不应小于2.5</w:t>
      </w:r>
      <w:r>
        <w:rPr>
          <w:rFonts w:cs="Times New Roman"/>
          <w:i/>
          <w:iCs/>
        </w:rPr>
        <w:t>d</w:t>
      </w:r>
      <w:r>
        <w:rPr>
          <w:rFonts w:cs="Times New Roman"/>
        </w:rPr>
        <w:t>。</w:t>
      </w:r>
    </w:p>
    <w:p>
      <w:pPr>
        <w:pStyle w:val="200"/>
      </w:pPr>
      <w:r>
        <w:rPr>
          <w:b/>
        </w:rPr>
        <w:t xml:space="preserve">6.2.2 </w:t>
      </w:r>
      <w:r>
        <w:t>明框幕墙固定面板的压板应连续条形布置，压板不得单边悬空。压板与幕墙框架宜采用不锈钢材质的螺钉或螺栓连接，并按计算确定螺钉或螺栓直径与数量。螺钉或螺栓直径不应小于5mm，间距不大于400mm。</w:t>
      </w:r>
    </w:p>
    <w:p>
      <w:pPr>
        <w:pStyle w:val="200"/>
      </w:pPr>
      <w:r>
        <w:rPr>
          <w:b/>
        </w:rPr>
        <w:t xml:space="preserve">6.2.3 </w:t>
      </w:r>
      <w:r>
        <w:t>横梁与立柱宜采用铰接的连接构造，并符合下列规定：</w:t>
      </w:r>
    </w:p>
    <w:p>
      <w:pPr>
        <w:pStyle w:val="188"/>
        <w:ind w:firstLine="482"/>
        <w:rPr>
          <w:rFonts w:cs="Times New Roman"/>
        </w:rPr>
      </w:pPr>
      <w:r>
        <w:rPr>
          <w:rFonts w:cs="Times New Roman"/>
          <w:b/>
          <w:bCs w:val="0"/>
        </w:rPr>
        <w:t>1</w:t>
      </w:r>
      <w:r>
        <w:rPr>
          <w:rFonts w:cs="Times New Roman"/>
        </w:rPr>
        <w:t xml:space="preserve"> 采用钢销钉或弹簧销钉连接时，销钉直径不应小于6.0mm，销钉材质宜为不锈钢，插销处铝合金立柱局部壁厚不应小于销钉的公称直径。</w:t>
      </w:r>
    </w:p>
    <w:p>
      <w:pPr>
        <w:pStyle w:val="188"/>
        <w:ind w:firstLine="482"/>
        <w:rPr>
          <w:rFonts w:cs="Times New Roman"/>
        </w:rPr>
      </w:pPr>
      <w:r>
        <w:rPr>
          <w:rFonts w:cs="Times New Roman"/>
          <w:b/>
        </w:rPr>
        <w:t xml:space="preserve">2 </w:t>
      </w:r>
      <w:r>
        <w:rPr>
          <w:rFonts w:cs="Times New Roman"/>
        </w:rPr>
        <w:t>横梁与立柱采用角码连接时，每个连接点的螺钉或螺栓不应少于2个，横梁为开口型材时宜不少于3个。角码壁厚不应小于被连接横梁和立柱中较大者的壁厚，且不小于0.8</w:t>
      </w:r>
      <w:r>
        <w:rPr>
          <w:rFonts w:cs="Times New Roman"/>
          <w:i/>
          <w:iCs/>
        </w:rPr>
        <w:t>d</w:t>
      </w:r>
      <w:r>
        <w:rPr>
          <w:rFonts w:cs="Times New Roman"/>
        </w:rPr>
        <w:t>。螺钉或螺栓直径</w:t>
      </w:r>
      <w:r>
        <w:rPr>
          <w:rFonts w:cs="Times New Roman"/>
          <w:i/>
          <w:iCs/>
        </w:rPr>
        <w:t>d</w:t>
      </w:r>
      <w:r>
        <w:rPr>
          <w:rFonts w:cs="Times New Roman"/>
        </w:rPr>
        <w:t>不应小于6mm，不应采用沉头、半沉头螺钉或螺栓。</w:t>
      </w:r>
    </w:p>
    <w:p>
      <w:pPr>
        <w:pStyle w:val="200"/>
      </w:pPr>
      <w:r>
        <w:rPr>
          <w:b/>
        </w:rPr>
        <w:t xml:space="preserve">6.2.4 </w:t>
      </w:r>
      <w:r>
        <w:t>钢横梁与钢立柱采用焊接连接时，每间隔12m应设一处水平向滑移铰接端，同一区段内横梁和立柱的连接构造应一致。</w:t>
      </w:r>
    </w:p>
    <w:p>
      <w:pPr>
        <w:pStyle w:val="200"/>
      </w:pPr>
      <w:r>
        <w:rPr>
          <w:b/>
        </w:rPr>
        <w:t xml:space="preserve">6.2.5 </w:t>
      </w:r>
      <w:r>
        <w:t>横梁、立柱截面宜为封闭矩形，当采用开口截面型材时，应按薄壁弯扭构件设计和计算。</w:t>
      </w:r>
    </w:p>
    <w:p>
      <w:pPr>
        <w:pStyle w:val="200"/>
      </w:pPr>
      <w:r>
        <w:rPr>
          <w:b/>
        </w:rPr>
        <w:t xml:space="preserve">6.2.6 </w:t>
      </w:r>
      <w:r>
        <w:t>立柱宜采用上端悬挂方式。当采用层内长短双跨连续梁形式时，长短跨比不宜大于10。立柱下端支承时，应作压弯构件设计，对受弯平面内和平面外作受压稳定验算。</w:t>
      </w:r>
    </w:p>
    <w:p>
      <w:pPr>
        <w:pStyle w:val="200"/>
      </w:pPr>
      <w:r>
        <w:rPr>
          <w:b/>
        </w:rPr>
        <w:t xml:space="preserve">6.2.7 </w:t>
      </w:r>
      <w:r>
        <w:t>构件式幕墙上、下立柱的连接插芯宜采用与立柱相同的材质。插芯一端与立柱固定连接，另一端应能滑动伸缩。插芯单端与立柱的结合长度不应小于型材长边边长，且不小于120mm。插芯应有足够的刚度，壁厚不应小于立柱的壁厚。</w:t>
      </w:r>
    </w:p>
    <w:p>
      <w:pPr>
        <w:pStyle w:val="200"/>
      </w:pPr>
      <w:r>
        <w:rPr>
          <w:b/>
        </w:rPr>
        <w:t xml:space="preserve">6.2.8 </w:t>
      </w:r>
      <w:r>
        <w:t>单元板块上端悬挑长度可取不大于支点至单元板块下端长度的 1/10，且不宜大400mm；单元板块下端悬挑长度不宜大于400mm。</w:t>
      </w:r>
    </w:p>
    <w:p>
      <w:pPr>
        <w:pStyle w:val="200"/>
      </w:pPr>
      <w:r>
        <w:rPr>
          <w:b/>
        </w:rPr>
        <w:t xml:space="preserve">6.2.9 </w:t>
      </w:r>
      <w:r>
        <w:t>横梁受弯承载力计算，应符合下列规定：</w:t>
      </w:r>
    </w:p>
    <w:p>
      <w:pPr>
        <w:pStyle w:val="188"/>
        <w:ind w:firstLine="482"/>
        <w:rPr>
          <w:rFonts w:cs="Times New Roman"/>
        </w:rPr>
      </w:pPr>
      <w:r>
        <w:rPr>
          <w:rFonts w:cs="Times New Roman"/>
          <w:b/>
          <w:bCs w:val="0"/>
        </w:rPr>
        <w:t>1</w:t>
      </w:r>
      <w:r>
        <w:rPr>
          <w:rFonts w:cs="Times New Roman"/>
        </w:rPr>
        <w:t xml:space="preserve"> 对称截面横梁受弯承载力可按下列公式计算：</w:t>
      </w:r>
    </w:p>
    <w:tbl>
      <w:tblPr>
        <w:tblStyle w:val="37"/>
        <w:tblW w:w="5000" w:type="pct"/>
        <w:jc w:val="right"/>
        <w:tblLayout w:type="fixed"/>
        <w:tblCellMar>
          <w:top w:w="0" w:type="dxa"/>
          <w:left w:w="108" w:type="dxa"/>
          <w:bottom w:w="0" w:type="dxa"/>
          <w:right w:w="108" w:type="dxa"/>
        </w:tblCellMar>
      </w:tblPr>
      <w:tblGrid>
        <w:gridCol w:w="1093"/>
        <w:gridCol w:w="523"/>
        <w:gridCol w:w="689"/>
        <w:gridCol w:w="3949"/>
        <w:gridCol w:w="2499"/>
        <w:gridCol w:w="1101"/>
      </w:tblGrid>
      <w:tr>
        <w:tblPrEx>
          <w:tblCellMar>
            <w:top w:w="0" w:type="dxa"/>
            <w:left w:w="108" w:type="dxa"/>
            <w:bottom w:w="0" w:type="dxa"/>
            <w:right w:w="108" w:type="dxa"/>
          </w:tblCellMar>
        </w:tblPrEx>
        <w:trPr>
          <w:gridAfter w:val="1"/>
          <w:wAfter w:w="953" w:type="dxa"/>
          <w:jc w:val="right"/>
        </w:trPr>
        <w:tc>
          <w:tcPr>
            <w:tcW w:w="6686" w:type="dxa"/>
            <w:gridSpan w:val="4"/>
            <w:shd w:val="clear" w:color="auto" w:fill="auto"/>
            <w:vAlign w:val="center"/>
          </w:tcPr>
          <w:p>
            <w:pPr>
              <w:spacing w:line="360" w:lineRule="auto"/>
              <w:jc w:val="center"/>
              <w:rPr>
                <w:rFonts w:ascii="Times New Roman" w:hAnsi="Times New Roman" w:cs="Times New Roman"/>
              </w:rPr>
            </w:pPr>
            <m:oMathPara>
              <m:oMathParaPr>
                <m:jc m:val="center"/>
              </m:oMathParaPr>
              <m:oMath>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ctrlPr>
                      <w:rPr>
                        <w:rFonts w:ascii="Cambria Math" w:hAnsi="Cambria Math" w:cs="Times New Roman"/>
                        <w:i/>
                      </w:rPr>
                    </m:ctrlPr>
                  </m:num>
                  <m:den>
                    <m:r>
                      <m:rPr/>
                      <w:rPr>
                        <w:rFonts w:ascii="Cambria Math" w:hAnsi="Cambria Math" w:cs="Times New Roman"/>
                      </w:rPr>
                      <m:t>γ</m:t>
                    </m:r>
                    <m:sSub>
                      <m:sSubPr>
                        <m:ctrlPr>
                          <w:rPr>
                            <w:rFonts w:ascii="Cambria Math" w:hAnsi="Cambria Math" w:cs="Times New Roman"/>
                            <w:i/>
                          </w:rPr>
                        </m:ctrlPr>
                      </m:sSubPr>
                      <m:e>
                        <m:r>
                          <m:rPr/>
                          <w:rPr>
                            <w:rFonts w:ascii="Cambria Math" w:hAnsi="Cambria Math" w:cs="Times New Roman"/>
                          </w:rPr>
                          <m:t>W</m:t>
                        </m:r>
                        <m:ctrlPr>
                          <w:rPr>
                            <w:rFonts w:ascii="Cambria Math" w:hAnsi="Cambria Math" w:cs="Times New Roman"/>
                            <w:i/>
                          </w:rPr>
                        </m:ctrlPr>
                      </m:e>
                      <m:sub>
                        <m:r>
                          <m:rPr/>
                          <w:rPr>
                            <w:rFonts w:ascii="Cambria Math" w:hAnsi="Cambria Math" w:cs="Times New Roman"/>
                          </w:rPr>
                          <m:t>nx</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ctrlPr>
                      <w:rPr>
                        <w:rFonts w:ascii="Cambria Math" w:hAnsi="Cambria Math" w:cs="Times New Roman"/>
                        <w:i/>
                      </w:rPr>
                    </m:ctrlPr>
                  </m:num>
                  <m:den>
                    <m:r>
                      <m:rPr/>
                      <w:rPr>
                        <w:rFonts w:ascii="Cambria Math" w:hAnsi="Cambria Math" w:cs="Times New Roman"/>
                      </w:rPr>
                      <m:t>γ</m:t>
                    </m:r>
                    <m:sSub>
                      <m:sSubPr>
                        <m:ctrlPr>
                          <w:rPr>
                            <w:rFonts w:ascii="Cambria Math" w:hAnsi="Cambria Math" w:cs="Times New Roman"/>
                            <w:i/>
                          </w:rPr>
                        </m:ctrlPr>
                      </m:sSubPr>
                      <m:e>
                        <m:r>
                          <m:rPr/>
                          <w:rPr>
                            <w:rFonts w:ascii="Cambria Math" w:hAnsi="Cambria Math" w:cs="Times New Roman"/>
                          </w:rPr>
                          <m:t>W</m:t>
                        </m:r>
                        <m:ctrlPr>
                          <w:rPr>
                            <w:rFonts w:ascii="Cambria Math" w:hAnsi="Cambria Math" w:cs="Times New Roman"/>
                            <w:i/>
                          </w:rPr>
                        </m:ctrlPr>
                      </m:e>
                      <m:sub>
                        <m:r>
                          <m:rPr/>
                          <w:rPr>
                            <w:rFonts w:ascii="Cambria Math" w:hAnsi="Cambria Math" w:cs="Times New Roman"/>
                          </w:rPr>
                          <m:t>ny</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≤f</m:t>
                </m:r>
              </m:oMath>
            </m:oMathPara>
          </w:p>
        </w:tc>
        <w:tc>
          <w:tcPr>
            <w:tcW w:w="2675" w:type="dxa"/>
            <w:shd w:val="clear" w:color="auto" w:fill="auto"/>
            <w:vAlign w:val="center"/>
          </w:tcPr>
          <w:p>
            <w:pPr>
              <w:spacing w:line="360" w:lineRule="auto"/>
              <w:jc w:val="right"/>
              <w:rPr>
                <w:rFonts w:ascii="Times New Roman" w:hAnsi="Times New Roman" w:cs="Times New Roman"/>
                <w:sz w:val="21"/>
                <w:szCs w:val="21"/>
              </w:rPr>
            </w:pPr>
            <w:r>
              <w:rPr>
                <w:rFonts w:ascii="Times New Roman" w:hAnsi="Times New Roman" w:cs="Times New Roman"/>
                <w:kern w:val="2"/>
              </w:rPr>
              <w:t>（6.2.9）</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r>
              <w:rPr>
                <w:rFonts w:ascii="Times New Roman" w:hAnsi="Times New Roman" w:cs="Times New Roman"/>
              </w:rPr>
              <w:t>式中：</w:t>
            </w:r>
          </w:p>
        </w:tc>
        <w:tc>
          <w:tcPr>
            <w:tcW w:w="5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w:rPr>
                        <w:rFonts w:ascii="Cambria Math" w:hAnsi="Cambria Math" w:cs="Times New Roman"/>
                      </w:rPr>
                      <m:t>M</m:t>
                    </m:r>
                    <m:ctrlPr>
                      <w:rPr>
                        <w:rFonts w:ascii="Cambria Math" w:hAnsi="Cambria Math" w:cs="Times New Roman"/>
                      </w:rPr>
                    </m:ctrlPr>
                  </m:e>
                  <m:sub>
                    <m:r>
                      <m:rPr/>
                      <w:rPr>
                        <w:rFonts w:ascii="Cambria Math" w:hAnsi="Cambria Math" w:cs="Times New Roman"/>
                      </w:rPr>
                      <m:t>x</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gridSpan w:val="3"/>
            <w:shd w:val="clear" w:color="auto" w:fill="auto"/>
          </w:tcPr>
          <w:p>
            <w:pPr>
              <w:pStyle w:val="189"/>
            </w:pPr>
            <w:r>
              <w:t>横梁绕截面x轴</w:t>
            </w:r>
            <w:r>
              <w:rPr>
                <w:rFonts w:hint="eastAsia"/>
                <w:lang w:eastAsia="zh-CN"/>
              </w:rPr>
              <w:t>（</w:t>
            </w:r>
            <w:r>
              <w:t>平行于幕墙平面方向</w:t>
            </w:r>
            <w:r>
              <w:rPr>
                <w:rFonts w:hint="eastAsia"/>
                <w:lang w:eastAsia="zh-CN"/>
              </w:rPr>
              <w:t>）</w:t>
            </w:r>
            <w:r>
              <w:t>的弯矩设计值</w:t>
            </w:r>
            <w:r>
              <w:rPr>
                <w:rFonts w:hint="eastAsia"/>
                <w:lang w:eastAsia="zh-CN"/>
              </w:rPr>
              <w:t>（</w:t>
            </w:r>
            <w:r>
              <w:t>N·mm)；</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i/>
              </w:rPr>
            </w:pPr>
            <m:oMathPara>
              <m:oMathParaPr>
                <m:jc m:val="right"/>
              </m:oMathParaPr>
              <m:oMath>
                <m:sSub>
                  <m:sSubPr>
                    <m:ctrlPr>
                      <w:rPr>
                        <w:rFonts w:ascii="Cambria Math" w:hAnsi="Cambria Math" w:cs="Times New Roman"/>
                      </w:rPr>
                    </m:ctrlPr>
                  </m:sSubPr>
                  <m:e>
                    <m:r>
                      <m:rPr/>
                      <w:rPr>
                        <w:rFonts w:ascii="Cambria Math" w:hAnsi="Cambria Math" w:cs="Times New Roman"/>
                      </w:rPr>
                      <m:t>M</m:t>
                    </m:r>
                    <m:ctrlPr>
                      <w:rPr>
                        <w:rFonts w:ascii="Cambria Math" w:hAnsi="Cambria Math" w:cs="Times New Roman"/>
                      </w:rPr>
                    </m:ctrlPr>
                  </m:e>
                  <m:sub>
                    <m:r>
                      <m:rPr/>
                      <w:rPr>
                        <w:rFonts w:ascii="Cambria Math" w:hAnsi="Cambria Math" w:cs="Times New Roman"/>
                      </w:rPr>
                      <m:t>y</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gridSpan w:val="3"/>
            <w:shd w:val="clear" w:color="auto" w:fill="auto"/>
          </w:tcPr>
          <w:p>
            <w:pPr>
              <w:pStyle w:val="189"/>
            </w:pPr>
            <w:r>
              <w:t>横梁绕截面y轴</w:t>
            </w:r>
            <w:r>
              <w:rPr>
                <w:rFonts w:hint="eastAsia"/>
                <w:lang w:eastAsia="zh-CN"/>
              </w:rPr>
              <w:t>（</w:t>
            </w:r>
            <w:r>
              <w:t>垂直于幕墙平面方向</w:t>
            </w:r>
            <w:r>
              <w:rPr>
                <w:rFonts w:hint="eastAsia"/>
                <w:lang w:eastAsia="zh-CN"/>
              </w:rPr>
              <w:t>）</w:t>
            </w:r>
            <w:r>
              <w:t>的弯矩设计值</w:t>
            </w:r>
            <w:r>
              <w:rPr>
                <w:rFonts w:hint="eastAsia"/>
                <w:lang w:eastAsia="zh-CN"/>
              </w:rPr>
              <w:t>（</w:t>
            </w:r>
            <w:r>
              <w:t>N·mm)；</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W</m:t>
                    </m:r>
                    <m:ctrlPr>
                      <w:rPr>
                        <w:rFonts w:ascii="Cambria Math" w:hAnsi="Cambria Math" w:cs="Times New Roman"/>
                      </w:rPr>
                    </m:ctrlPr>
                  </m:e>
                  <m:sub>
                    <m:r>
                      <m:rPr/>
                      <w:rPr>
                        <w:rFonts w:ascii="Cambria Math" w:hAnsi="Cambria Math" w:cs="Times New Roman"/>
                      </w:rPr>
                      <m:t>nx</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gridSpan w:val="3"/>
            <w:shd w:val="clear" w:color="auto" w:fill="auto"/>
          </w:tcPr>
          <w:p>
            <w:pPr>
              <w:pStyle w:val="189"/>
            </w:pPr>
            <w:r>
              <w:t>横梁截面绕截面x轴</w:t>
            </w:r>
            <w:r>
              <w:rPr>
                <w:rFonts w:hint="eastAsia"/>
                <w:lang w:eastAsia="zh-CN"/>
              </w:rPr>
              <w:t>（</w:t>
            </w:r>
            <w:r>
              <w:t>幕墙平面内方向</w:t>
            </w:r>
            <w:r>
              <w:rPr>
                <w:rFonts w:hint="eastAsia"/>
                <w:lang w:eastAsia="zh-CN"/>
              </w:rPr>
              <w:t>）</w:t>
            </w:r>
            <w:r>
              <w:t>的净截面最小抵抗矩</w:t>
            </w:r>
            <w:r>
              <w:rPr>
                <w:rFonts w:hint="eastAsia"/>
                <w:lang w:eastAsia="zh-CN"/>
              </w:rPr>
              <w:t>（</w:t>
            </w:r>
            <w:r>
              <w:t>mm</w:t>
            </w:r>
            <w:r>
              <w:rPr>
                <w:vertAlign w:val="superscript"/>
              </w:rPr>
              <w:t>3</w:t>
            </w:r>
            <w:r>
              <w:t>)；</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W</m:t>
                    </m:r>
                    <m:ctrlPr>
                      <w:rPr>
                        <w:rFonts w:ascii="Cambria Math" w:hAnsi="Cambria Math" w:cs="Times New Roman"/>
                      </w:rPr>
                    </m:ctrlPr>
                  </m:e>
                  <m:sub>
                    <m:r>
                      <m:rPr/>
                      <w:rPr>
                        <w:rFonts w:ascii="Cambria Math" w:hAnsi="Cambria Math" w:cs="Times New Roman"/>
                      </w:rPr>
                      <m:t>ny</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gridSpan w:val="3"/>
            <w:shd w:val="clear" w:color="auto" w:fill="auto"/>
          </w:tcPr>
          <w:p>
            <w:pPr>
              <w:pStyle w:val="189"/>
            </w:pPr>
            <w:r>
              <w:t>横梁截面绕截面y轴</w:t>
            </w:r>
            <w:r>
              <w:rPr>
                <w:rFonts w:hint="eastAsia"/>
                <w:lang w:eastAsia="zh-CN"/>
              </w:rPr>
              <w:t>（</w:t>
            </w:r>
            <w:r>
              <w:t>幕墙平面内方向</w:t>
            </w:r>
            <w:r>
              <w:rPr>
                <w:rFonts w:hint="eastAsia"/>
                <w:lang w:eastAsia="zh-CN"/>
              </w:rPr>
              <w:t>）</w:t>
            </w:r>
            <w:r>
              <w:t>的净截面最小抵抗矩</w:t>
            </w:r>
            <w:r>
              <w:rPr>
                <w:rFonts w:hint="eastAsia"/>
                <w:lang w:eastAsia="zh-CN"/>
              </w:rPr>
              <w:t>（</w:t>
            </w:r>
            <w:r>
              <w:t>mm</w:t>
            </w:r>
            <w:r>
              <w:rPr>
                <w:vertAlign w:val="superscript"/>
              </w:rPr>
              <w:t>3</w:t>
            </w:r>
            <w:r>
              <w:t>)；</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snapToGrid w:val="0"/>
              </w:rPr>
            </w:pPr>
          </w:p>
        </w:tc>
        <w:tc>
          <w:tcPr>
            <w:tcW w:w="534" w:type="dxa"/>
            <w:shd w:val="clear" w:color="auto" w:fill="auto"/>
          </w:tcPr>
          <w:p>
            <w:pPr>
              <w:spacing w:line="360" w:lineRule="auto"/>
              <w:jc w:val="right"/>
              <w:rPr>
                <w:rFonts w:ascii="Times New Roman" w:hAnsi="Times New Roman" w:cs="Times New Roman"/>
                <w:bCs/>
              </w:rPr>
            </w:pPr>
            <m:oMathPara>
              <m:oMathParaPr>
                <m:jc m:val="right"/>
              </m:oMathParaPr>
              <m:oMath>
                <m:r>
                  <m:rPr/>
                  <w:rPr>
                    <w:rFonts w:ascii="Cambria Math" w:hAnsi="Cambria Math" w:cs="Times New Roman"/>
                    <w:snapToGrid w:val="0"/>
                  </w:rPr>
                  <m:t>γ</m:t>
                </m:r>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gridSpan w:val="3"/>
            <w:shd w:val="clear" w:color="auto" w:fill="auto"/>
          </w:tcPr>
          <w:p>
            <w:pPr>
              <w:pStyle w:val="189"/>
            </w:pPr>
            <w:r>
              <w:t>塑性发展系数，弱硬化铝型材取1.0，强硬化铝型材和钢型材取1.05；</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i/>
              </w:rPr>
            </w:pPr>
            <m:oMathPara>
              <m:oMathParaPr>
                <m:jc m:val="right"/>
              </m:oMathParaPr>
              <m:oMath>
                <m:r>
                  <m:rPr/>
                  <w:rPr>
                    <w:rFonts w:ascii="Cambria Math" w:hAnsi="Cambria Math" w:cs="Times New Roman"/>
                  </w:rPr>
                  <m:t>f</m:t>
                </m:r>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gridSpan w:val="3"/>
            <w:shd w:val="clear" w:color="auto" w:fill="auto"/>
          </w:tcPr>
          <w:p>
            <w:pPr>
              <w:pStyle w:val="189"/>
            </w:pPr>
            <w:r>
              <w:t>型材的强度设计值</w:t>
            </w:r>
            <w:r>
              <w:rPr>
                <w:rFonts w:hint="eastAsia"/>
                <w:lang w:eastAsia="zh-CN"/>
              </w:rPr>
              <w:t>（</w:t>
            </w:r>
            <w:r>
              <w:t>N/mm</w:t>
            </w:r>
            <w:r>
              <w:rPr>
                <w:vertAlign w:val="superscript"/>
              </w:rPr>
              <w:t>2</w:t>
            </w:r>
            <w:r>
              <w:t>)。</w:t>
            </w:r>
          </w:p>
        </w:tc>
      </w:tr>
    </w:tbl>
    <w:p>
      <w:pPr>
        <w:pStyle w:val="188"/>
        <w:ind w:firstLine="482"/>
        <w:rPr>
          <w:rFonts w:cs="Times New Roman"/>
          <w:b/>
        </w:rPr>
      </w:pPr>
      <w:r>
        <w:rPr>
          <w:rFonts w:cs="Times New Roman"/>
          <w:b/>
          <w:bCs w:val="0"/>
        </w:rPr>
        <w:t>2</w:t>
      </w:r>
      <w:r>
        <w:rPr>
          <w:rFonts w:cs="Times New Roman"/>
        </w:rPr>
        <w:t xml:space="preserve"> 非对称截面横梁应按斜弯曲或弯扭构件计算，开口薄壁横梁应按弯扭构件计算。</w:t>
      </w:r>
    </w:p>
    <w:p>
      <w:pPr>
        <w:pStyle w:val="200"/>
      </w:pPr>
      <w:r>
        <w:rPr>
          <w:b/>
        </w:rPr>
        <w:t xml:space="preserve">6.2.10 </w:t>
      </w:r>
      <w:r>
        <w:t>横梁截面受剪承载力应符合下式要求：</w:t>
      </w:r>
    </w:p>
    <w:tbl>
      <w:tblPr>
        <w:tblStyle w:val="37"/>
        <w:tblW w:w="5000" w:type="pct"/>
        <w:jc w:val="right"/>
        <w:tblLayout w:type="fixed"/>
        <w:tblCellMar>
          <w:top w:w="0" w:type="dxa"/>
          <w:left w:w="108" w:type="dxa"/>
          <w:bottom w:w="0" w:type="dxa"/>
          <w:right w:w="108" w:type="dxa"/>
        </w:tblCellMar>
      </w:tblPr>
      <w:tblGrid>
        <w:gridCol w:w="962"/>
        <w:gridCol w:w="385"/>
        <w:gridCol w:w="758"/>
        <w:gridCol w:w="4579"/>
        <w:gridCol w:w="2671"/>
        <w:gridCol w:w="499"/>
      </w:tblGrid>
      <w:tr>
        <w:tblPrEx>
          <w:tblCellMar>
            <w:top w:w="0" w:type="dxa"/>
            <w:left w:w="108" w:type="dxa"/>
            <w:bottom w:w="0" w:type="dxa"/>
            <w:right w:w="108" w:type="dxa"/>
          </w:tblCellMar>
        </w:tblPrEx>
        <w:trPr>
          <w:gridAfter w:val="1"/>
          <w:wAfter w:w="906" w:type="dxa"/>
          <w:jc w:val="right"/>
        </w:trPr>
        <w:tc>
          <w:tcPr>
            <w:tcW w:w="6393" w:type="dxa"/>
            <w:gridSpan w:val="4"/>
            <w:shd w:val="clear" w:color="auto" w:fill="auto"/>
            <w:vAlign w:val="center"/>
          </w:tcPr>
          <w:p>
            <w:pPr>
              <w:spacing w:line="360" w:lineRule="auto"/>
              <w:jc w:val="center"/>
              <w:rPr>
                <w:rFonts w:ascii="Times New Roman" w:hAnsi="Times New Roman" w:cs="Times New Roman"/>
              </w:rPr>
            </w:pPr>
            <m:oMathPara>
              <m:oMathParaPr>
                <m:jc m:val="center"/>
              </m:oMathParaPr>
              <m:oMath>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sSub>
                  <m:sSubPr>
                    <m:ctrlPr>
                      <w:rPr>
                        <w:rFonts w:ascii="Cambria Math" w:hAnsi="Cambria Math" w:cs="Times New Roman"/>
                        <w:bCs/>
                        <w:i/>
                      </w:rPr>
                    </m:ctrlPr>
                  </m:sSubPr>
                  <m:e>
                    <m:r>
                      <m:rPr/>
                      <w:rPr>
                        <w:rFonts w:ascii="Cambria Math" w:hAnsi="Cambria Math" w:cs="Times New Roman"/>
                      </w:rPr>
                      <m:t>f</m:t>
                    </m:r>
                    <m:ctrlPr>
                      <w:rPr>
                        <w:rFonts w:ascii="Cambria Math" w:hAnsi="Cambria Math" w:cs="Times New Roman"/>
                        <w:bCs/>
                        <w:i/>
                      </w:rPr>
                    </m:ctrlPr>
                  </m:e>
                  <m:sub>
                    <m:r>
                      <m:rPr>
                        <m:sty m:val="p"/>
                      </m:rPr>
                      <w:rPr>
                        <w:rFonts w:ascii="Cambria Math" w:hAnsi="Cambria Math" w:cs="Times New Roman"/>
                      </w:rPr>
                      <m:t>v</m:t>
                    </m:r>
                    <m:ctrlPr>
                      <w:rPr>
                        <w:rFonts w:ascii="Cambria Math" w:hAnsi="Cambria Math" w:cs="Times New Roman"/>
                        <w:bCs/>
                        <w:i/>
                      </w:rPr>
                    </m:ctrlPr>
                  </m:sub>
                </m:sSub>
              </m:oMath>
            </m:oMathPara>
          </w:p>
        </w:tc>
        <w:tc>
          <w:tcPr>
            <w:tcW w:w="2555" w:type="dxa"/>
            <w:shd w:val="clear" w:color="auto" w:fill="auto"/>
            <w:vAlign w:val="center"/>
          </w:tcPr>
          <w:p>
            <w:pPr>
              <w:spacing w:line="360" w:lineRule="auto"/>
              <w:jc w:val="right"/>
              <w:rPr>
                <w:rFonts w:ascii="Times New Roman" w:hAnsi="Times New Roman" w:cs="Times New Roman"/>
                <w:sz w:val="21"/>
                <w:szCs w:val="21"/>
              </w:rPr>
            </w:pPr>
            <w:r>
              <w:rPr>
                <w:rFonts w:ascii="Times New Roman" w:hAnsi="Times New Roman" w:cs="Times New Roman"/>
                <w:kern w:val="2"/>
              </w:rPr>
              <w:t>（6.2.10-1）</w:t>
            </w:r>
          </w:p>
        </w:tc>
      </w:tr>
      <w:tr>
        <w:tblPrEx>
          <w:tblCellMar>
            <w:top w:w="0" w:type="dxa"/>
            <w:left w:w="108" w:type="dxa"/>
            <w:bottom w:w="0" w:type="dxa"/>
            <w:right w:w="108" w:type="dxa"/>
          </w:tblCellMar>
        </w:tblPrEx>
        <w:trPr>
          <w:gridAfter w:val="1"/>
          <w:wAfter w:w="906" w:type="dxa"/>
          <w:jc w:val="right"/>
        </w:trPr>
        <w:tc>
          <w:tcPr>
            <w:tcW w:w="6393" w:type="dxa"/>
            <w:gridSpan w:val="4"/>
            <w:shd w:val="clear" w:color="auto" w:fill="auto"/>
            <w:vAlign w:val="center"/>
          </w:tcPr>
          <w:p>
            <w:pPr>
              <w:spacing w:line="360" w:lineRule="auto"/>
              <w:jc w:val="center"/>
              <w:rPr>
                <w:rFonts w:ascii="Times New Roman" w:hAnsi="Times New Roman" w:cs="Times New Roman"/>
              </w:rPr>
            </w:pPr>
            <m:oMathPara>
              <m:oMathParaPr>
                <m:jc m:val="center"/>
              </m:oMathParaPr>
              <m:oMath>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sSub>
                  <m:sSubPr>
                    <m:ctrlPr>
                      <w:rPr>
                        <w:rFonts w:ascii="Cambria Math" w:hAnsi="Cambria Math" w:cs="Times New Roman"/>
                        <w:bCs/>
                        <w:i/>
                      </w:rPr>
                    </m:ctrlPr>
                  </m:sSubPr>
                  <m:e>
                    <m:r>
                      <m:rPr/>
                      <w:rPr>
                        <w:rFonts w:ascii="Cambria Math" w:hAnsi="Cambria Math" w:cs="Times New Roman"/>
                      </w:rPr>
                      <m:t>f</m:t>
                    </m:r>
                    <m:ctrlPr>
                      <w:rPr>
                        <w:rFonts w:ascii="Cambria Math" w:hAnsi="Cambria Math" w:cs="Times New Roman"/>
                        <w:bCs/>
                        <w:i/>
                      </w:rPr>
                    </m:ctrlPr>
                  </m:e>
                  <m:sub>
                    <m:r>
                      <m:rPr>
                        <m:sty m:val="p"/>
                      </m:rPr>
                      <w:rPr>
                        <w:rFonts w:ascii="Cambria Math" w:hAnsi="Cambria Math" w:cs="Times New Roman"/>
                      </w:rPr>
                      <m:t>v</m:t>
                    </m:r>
                    <m:ctrlPr>
                      <w:rPr>
                        <w:rFonts w:ascii="Cambria Math" w:hAnsi="Cambria Math" w:cs="Times New Roman"/>
                        <w:bCs/>
                        <w:i/>
                      </w:rPr>
                    </m:ctrlPr>
                  </m:sub>
                </m:sSub>
              </m:oMath>
            </m:oMathPara>
          </w:p>
        </w:tc>
        <w:tc>
          <w:tcPr>
            <w:tcW w:w="2555" w:type="dxa"/>
            <w:shd w:val="clear" w:color="auto" w:fill="auto"/>
            <w:vAlign w:val="center"/>
          </w:tcPr>
          <w:p>
            <w:pPr>
              <w:spacing w:line="360" w:lineRule="auto"/>
              <w:jc w:val="right"/>
              <w:rPr>
                <w:rFonts w:ascii="Times New Roman" w:hAnsi="Times New Roman" w:cs="Times New Roman"/>
                <w:sz w:val="21"/>
                <w:szCs w:val="21"/>
              </w:rPr>
            </w:pPr>
            <w:r>
              <w:rPr>
                <w:rFonts w:ascii="Times New Roman" w:hAnsi="Times New Roman" w:cs="Times New Roman"/>
                <w:kern w:val="2"/>
              </w:rPr>
              <w:t>（6.2.10-2）</w:t>
            </w:r>
          </w:p>
        </w:tc>
      </w:tr>
      <w:tr>
        <w:tblPrEx>
          <w:tblCellMar>
            <w:top w:w="0" w:type="dxa"/>
            <w:left w:w="108" w:type="dxa"/>
            <w:bottom w:w="0" w:type="dxa"/>
            <w:right w:w="108" w:type="dxa"/>
          </w:tblCellMar>
        </w:tblPrEx>
        <w:tc>
          <w:tcPr>
            <w:tcW w:w="959" w:type="dxa"/>
          </w:tcPr>
          <w:p>
            <w:pPr>
              <w:spacing w:line="360" w:lineRule="auto"/>
              <w:jc w:val="right"/>
              <w:rPr>
                <w:rFonts w:ascii="Times New Roman" w:hAnsi="Times New Roman" w:cs="Times New Roman"/>
              </w:rPr>
            </w:pPr>
            <w:r>
              <w:rPr>
                <w:rFonts w:ascii="Times New Roman" w:hAnsi="Times New Roman" w:cs="Times New Roman"/>
              </w:rPr>
              <w:t>式中：</w:t>
            </w:r>
          </w:p>
        </w:tc>
        <w:tc>
          <w:tcPr>
            <w:tcW w:w="380"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w:rPr>
                        <w:rFonts w:ascii="Cambria Math" w:hAnsi="Cambria Math" w:cs="Times New Roman"/>
                      </w:rPr>
                      <m:t>V</m:t>
                    </m:r>
                    <m:ctrlPr>
                      <w:rPr>
                        <w:rFonts w:ascii="Cambria Math" w:hAnsi="Cambria Math" w:cs="Times New Roman"/>
                      </w:rPr>
                    </m:ctrlPr>
                  </m:e>
                  <m:sub>
                    <m:r>
                      <m:rPr/>
                      <w:rPr>
                        <w:rFonts w:ascii="Cambria Math" w:hAnsi="Cambria Math" w:cs="Times New Roman"/>
                      </w:rPr>
                      <m:t>x</m:t>
                    </m:r>
                    <m:ctrlPr>
                      <w:rPr>
                        <w:rFonts w:ascii="Cambria Math" w:hAnsi="Cambria Math" w:cs="Times New Roman"/>
                      </w:rPr>
                    </m:ctrlPr>
                  </m:sub>
                </m:sSub>
              </m:oMath>
            </m:oMathPara>
          </w:p>
        </w:tc>
        <w:tc>
          <w:tcPr>
            <w:tcW w:w="754"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761" w:type="dxa"/>
            <w:gridSpan w:val="3"/>
            <w:shd w:val="clear" w:color="auto" w:fill="auto"/>
          </w:tcPr>
          <w:p>
            <w:pPr>
              <w:pStyle w:val="189"/>
            </w:pPr>
            <w:r>
              <w:t>横梁水平方向</w:t>
            </w:r>
            <w:r>
              <w:rPr>
                <w:rFonts w:hint="eastAsia"/>
                <w:lang w:eastAsia="zh-CN"/>
              </w:rPr>
              <w:t>（</w:t>
            </w:r>
            <w:r>
              <w:t>x轴</w:t>
            </w:r>
            <w:r>
              <w:rPr>
                <w:rFonts w:hint="eastAsia"/>
                <w:lang w:eastAsia="zh-CN"/>
              </w:rPr>
              <w:t>）</w:t>
            </w:r>
            <w:r>
              <w:t>的剪力设计值</w:t>
            </w:r>
            <w:r>
              <w:rPr>
                <w:rFonts w:hint="eastAsia"/>
                <w:lang w:eastAsia="zh-CN"/>
              </w:rPr>
              <w:t>（</w:t>
            </w:r>
            <w:r>
              <w:t>N)；</w:t>
            </w:r>
          </w:p>
        </w:tc>
      </w:tr>
      <w:tr>
        <w:tblPrEx>
          <w:tblCellMar>
            <w:top w:w="0" w:type="dxa"/>
            <w:left w:w="108" w:type="dxa"/>
            <w:bottom w:w="0" w:type="dxa"/>
            <w:right w:w="108" w:type="dxa"/>
          </w:tblCellMar>
        </w:tblPrEx>
        <w:tc>
          <w:tcPr>
            <w:tcW w:w="959" w:type="dxa"/>
          </w:tcPr>
          <w:p>
            <w:pPr>
              <w:spacing w:line="360" w:lineRule="auto"/>
              <w:jc w:val="right"/>
              <w:rPr>
                <w:rFonts w:ascii="Times New Roman" w:hAnsi="Times New Roman" w:cs="Times New Roman"/>
              </w:rPr>
            </w:pPr>
          </w:p>
        </w:tc>
        <w:tc>
          <w:tcPr>
            <w:tcW w:w="380" w:type="dxa"/>
            <w:shd w:val="clear" w:color="auto" w:fill="auto"/>
          </w:tcPr>
          <w:p>
            <w:pPr>
              <w:spacing w:line="360" w:lineRule="auto"/>
              <w:jc w:val="right"/>
              <w:rPr>
                <w:rFonts w:ascii="Times New Roman" w:hAnsi="Times New Roman" w:cs="Times New Roman"/>
                <w:bCs/>
                <w:i/>
              </w:rPr>
            </w:pPr>
            <m:oMathPara>
              <m:oMathParaPr>
                <m:jc m:val="right"/>
              </m:oMathParaPr>
              <m:oMath>
                <m:sSub>
                  <m:sSubPr>
                    <m:ctrlPr>
                      <w:rPr>
                        <w:rFonts w:ascii="Cambria Math" w:hAnsi="Cambria Math" w:cs="Times New Roman"/>
                      </w:rPr>
                    </m:ctrlPr>
                  </m:sSubPr>
                  <m:e>
                    <m:r>
                      <m:rPr/>
                      <w:rPr>
                        <w:rFonts w:ascii="Cambria Math" w:hAnsi="Cambria Math" w:cs="Times New Roman"/>
                      </w:rPr>
                      <m:t>V</m:t>
                    </m:r>
                    <m:ctrlPr>
                      <w:rPr>
                        <w:rFonts w:ascii="Cambria Math" w:hAnsi="Cambria Math" w:cs="Times New Roman"/>
                      </w:rPr>
                    </m:ctrlPr>
                  </m:e>
                  <m:sub>
                    <m:r>
                      <m:rPr/>
                      <w:rPr>
                        <w:rFonts w:ascii="Cambria Math" w:hAnsi="Cambria Math" w:cs="Times New Roman"/>
                      </w:rPr>
                      <m:t>y</m:t>
                    </m:r>
                    <m:ctrlPr>
                      <w:rPr>
                        <w:rFonts w:ascii="Cambria Math" w:hAnsi="Cambria Math" w:cs="Times New Roman"/>
                      </w:rPr>
                    </m:ctrlPr>
                  </m:sub>
                </m:sSub>
              </m:oMath>
            </m:oMathPara>
          </w:p>
        </w:tc>
        <w:tc>
          <w:tcPr>
            <w:tcW w:w="754"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761" w:type="dxa"/>
            <w:gridSpan w:val="3"/>
            <w:shd w:val="clear" w:color="auto" w:fill="auto"/>
          </w:tcPr>
          <w:p>
            <w:pPr>
              <w:pStyle w:val="189"/>
            </w:pPr>
            <w:r>
              <w:t>横梁竖直方向</w:t>
            </w:r>
            <w:r>
              <w:rPr>
                <w:rFonts w:hint="eastAsia"/>
                <w:lang w:eastAsia="zh-CN"/>
              </w:rPr>
              <w:t>（</w:t>
            </w:r>
            <w:r>
              <w:t>y轴</w:t>
            </w:r>
            <w:r>
              <w:rPr>
                <w:rFonts w:hint="eastAsia"/>
                <w:lang w:eastAsia="zh-CN"/>
              </w:rPr>
              <w:t>）</w:t>
            </w:r>
            <w:r>
              <w:t>的剪力设计值</w:t>
            </w:r>
            <w:r>
              <w:rPr>
                <w:rFonts w:hint="eastAsia"/>
                <w:lang w:eastAsia="zh-CN"/>
              </w:rPr>
              <w:t>（</w:t>
            </w:r>
            <w:r>
              <w:t>N)；</w:t>
            </w:r>
          </w:p>
        </w:tc>
      </w:tr>
      <w:tr>
        <w:tblPrEx>
          <w:tblCellMar>
            <w:top w:w="0" w:type="dxa"/>
            <w:left w:w="108" w:type="dxa"/>
            <w:bottom w:w="0" w:type="dxa"/>
            <w:right w:w="108" w:type="dxa"/>
          </w:tblCellMar>
        </w:tblPrEx>
        <w:tc>
          <w:tcPr>
            <w:tcW w:w="959" w:type="dxa"/>
          </w:tcPr>
          <w:p>
            <w:pPr>
              <w:spacing w:line="360" w:lineRule="auto"/>
              <w:jc w:val="right"/>
              <w:rPr>
                <w:rFonts w:ascii="Times New Roman" w:hAnsi="Times New Roman" w:cs="Times New Roman"/>
              </w:rPr>
            </w:pPr>
          </w:p>
        </w:tc>
        <w:tc>
          <w:tcPr>
            <w:tcW w:w="380"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S</m:t>
                    </m:r>
                    <m:ctrlPr>
                      <w:rPr>
                        <w:rFonts w:ascii="Cambria Math" w:hAnsi="Cambria Math" w:cs="Times New Roman"/>
                      </w:rPr>
                    </m:ctrlPr>
                  </m:e>
                  <m:sub>
                    <m:r>
                      <m:rPr/>
                      <w:rPr>
                        <w:rFonts w:ascii="Cambria Math" w:hAnsi="Cambria Math" w:cs="Times New Roman"/>
                      </w:rPr>
                      <m:t>x</m:t>
                    </m:r>
                    <m:ctrlPr>
                      <w:rPr>
                        <w:rFonts w:ascii="Cambria Math" w:hAnsi="Cambria Math" w:cs="Times New Roman"/>
                      </w:rPr>
                    </m:ctrlPr>
                  </m:sub>
                </m:sSub>
              </m:oMath>
            </m:oMathPara>
          </w:p>
        </w:tc>
        <w:tc>
          <w:tcPr>
            <w:tcW w:w="754"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761" w:type="dxa"/>
            <w:gridSpan w:val="3"/>
            <w:shd w:val="clear" w:color="auto" w:fill="auto"/>
          </w:tcPr>
          <w:p>
            <w:pPr>
              <w:pStyle w:val="189"/>
            </w:pPr>
            <w:r>
              <w:t>横梁截面绕x轴的毛截面最大面积矩</w:t>
            </w:r>
            <w:r>
              <w:rPr>
                <w:rFonts w:hint="eastAsia"/>
                <w:lang w:eastAsia="zh-CN"/>
              </w:rPr>
              <w:t>（</w:t>
            </w:r>
            <w:r>
              <w:t>mm</w:t>
            </w:r>
            <w:r>
              <w:rPr>
                <w:vertAlign w:val="superscript"/>
              </w:rPr>
              <w:t>3</w:t>
            </w:r>
            <w:r>
              <w:t>)；</w:t>
            </w:r>
          </w:p>
        </w:tc>
      </w:tr>
      <w:tr>
        <w:tblPrEx>
          <w:tblCellMar>
            <w:top w:w="0" w:type="dxa"/>
            <w:left w:w="108" w:type="dxa"/>
            <w:bottom w:w="0" w:type="dxa"/>
            <w:right w:w="108" w:type="dxa"/>
          </w:tblCellMar>
        </w:tblPrEx>
        <w:tc>
          <w:tcPr>
            <w:tcW w:w="959" w:type="dxa"/>
          </w:tcPr>
          <w:p>
            <w:pPr>
              <w:spacing w:line="360" w:lineRule="auto"/>
              <w:jc w:val="right"/>
              <w:rPr>
                <w:rFonts w:ascii="Times New Roman" w:hAnsi="Times New Roman" w:cs="Times New Roman"/>
              </w:rPr>
            </w:pPr>
          </w:p>
        </w:tc>
        <w:tc>
          <w:tcPr>
            <w:tcW w:w="380"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S</m:t>
                    </m:r>
                    <m:ctrlPr>
                      <w:rPr>
                        <w:rFonts w:ascii="Cambria Math" w:hAnsi="Cambria Math" w:cs="Times New Roman"/>
                      </w:rPr>
                    </m:ctrlPr>
                  </m:e>
                  <m:sub>
                    <m:r>
                      <m:rPr/>
                      <w:rPr>
                        <w:rFonts w:ascii="Cambria Math" w:hAnsi="Cambria Math" w:cs="Times New Roman"/>
                      </w:rPr>
                      <m:t>y</m:t>
                    </m:r>
                    <m:ctrlPr>
                      <w:rPr>
                        <w:rFonts w:ascii="Cambria Math" w:hAnsi="Cambria Math" w:cs="Times New Roman"/>
                      </w:rPr>
                    </m:ctrlPr>
                  </m:sub>
                </m:sSub>
              </m:oMath>
            </m:oMathPara>
          </w:p>
        </w:tc>
        <w:tc>
          <w:tcPr>
            <w:tcW w:w="754"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761" w:type="dxa"/>
            <w:gridSpan w:val="3"/>
            <w:shd w:val="clear" w:color="auto" w:fill="auto"/>
          </w:tcPr>
          <w:p>
            <w:pPr>
              <w:pStyle w:val="189"/>
            </w:pPr>
            <w:r>
              <w:t>横梁截面绕y轴的毛截面最大面积矩</w:t>
            </w:r>
            <w:r>
              <w:rPr>
                <w:rFonts w:hint="eastAsia"/>
                <w:lang w:eastAsia="zh-CN"/>
              </w:rPr>
              <w:t>（</w:t>
            </w:r>
            <w:r>
              <w:t>mm</w:t>
            </w:r>
            <w:r>
              <w:rPr>
                <w:vertAlign w:val="superscript"/>
              </w:rPr>
              <w:t>3</w:t>
            </w:r>
            <w:r>
              <w:t>)；</w:t>
            </w:r>
          </w:p>
        </w:tc>
      </w:tr>
      <w:tr>
        <w:tblPrEx>
          <w:tblCellMar>
            <w:top w:w="0" w:type="dxa"/>
            <w:left w:w="108" w:type="dxa"/>
            <w:bottom w:w="0" w:type="dxa"/>
            <w:right w:w="108" w:type="dxa"/>
          </w:tblCellMar>
        </w:tblPrEx>
        <w:tc>
          <w:tcPr>
            <w:tcW w:w="959" w:type="dxa"/>
          </w:tcPr>
          <w:p>
            <w:pPr>
              <w:spacing w:line="360" w:lineRule="auto"/>
              <w:jc w:val="right"/>
              <w:rPr>
                <w:rFonts w:ascii="Times New Roman" w:hAnsi="Times New Roman" w:cs="Times New Roman"/>
              </w:rPr>
            </w:pPr>
          </w:p>
        </w:tc>
        <w:tc>
          <w:tcPr>
            <w:tcW w:w="380"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I</m:t>
                    </m:r>
                    <m:ctrlPr>
                      <w:rPr>
                        <w:rFonts w:ascii="Cambria Math" w:hAnsi="Cambria Math" w:cs="Times New Roman"/>
                      </w:rPr>
                    </m:ctrlPr>
                  </m:e>
                  <m:sub>
                    <m:r>
                      <m:rPr/>
                      <w:rPr>
                        <w:rFonts w:ascii="Cambria Math" w:hAnsi="Cambria Math" w:cs="Times New Roman"/>
                      </w:rPr>
                      <m:t>x</m:t>
                    </m:r>
                    <m:ctrlPr>
                      <w:rPr>
                        <w:rFonts w:ascii="Cambria Math" w:hAnsi="Cambria Math" w:cs="Times New Roman"/>
                      </w:rPr>
                    </m:ctrlPr>
                  </m:sub>
                </m:sSub>
              </m:oMath>
            </m:oMathPara>
          </w:p>
        </w:tc>
        <w:tc>
          <w:tcPr>
            <w:tcW w:w="754"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761" w:type="dxa"/>
            <w:gridSpan w:val="3"/>
            <w:shd w:val="clear" w:color="auto" w:fill="auto"/>
          </w:tcPr>
          <w:p>
            <w:pPr>
              <w:pStyle w:val="189"/>
            </w:pPr>
            <w:r>
              <w:t>横梁截面绕x轴的毛截面惯性矩</w:t>
            </w:r>
            <w:r>
              <w:rPr>
                <w:rFonts w:hint="eastAsia"/>
                <w:lang w:eastAsia="zh-CN"/>
              </w:rPr>
              <w:t>（</w:t>
            </w:r>
            <w:r>
              <w:t>mm</w:t>
            </w:r>
            <w:r>
              <w:rPr>
                <w:vertAlign w:val="superscript"/>
              </w:rPr>
              <w:t>4</w:t>
            </w:r>
            <w:r>
              <w:t>)；</w:t>
            </w:r>
          </w:p>
        </w:tc>
      </w:tr>
      <w:tr>
        <w:tblPrEx>
          <w:tblCellMar>
            <w:top w:w="0" w:type="dxa"/>
            <w:left w:w="108" w:type="dxa"/>
            <w:bottom w:w="0" w:type="dxa"/>
            <w:right w:w="108" w:type="dxa"/>
          </w:tblCellMar>
        </w:tblPrEx>
        <w:tc>
          <w:tcPr>
            <w:tcW w:w="959" w:type="dxa"/>
          </w:tcPr>
          <w:p>
            <w:pPr>
              <w:spacing w:line="360" w:lineRule="auto"/>
              <w:jc w:val="right"/>
              <w:rPr>
                <w:rFonts w:ascii="Times New Roman" w:hAnsi="Times New Roman" w:cs="Times New Roman"/>
              </w:rPr>
            </w:pPr>
          </w:p>
        </w:tc>
        <w:tc>
          <w:tcPr>
            <w:tcW w:w="380"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I</m:t>
                    </m:r>
                    <m:ctrlPr>
                      <w:rPr>
                        <w:rFonts w:ascii="Cambria Math" w:hAnsi="Cambria Math" w:cs="Times New Roman"/>
                      </w:rPr>
                    </m:ctrlPr>
                  </m:e>
                  <m:sub>
                    <m:r>
                      <m:rPr/>
                      <w:rPr>
                        <w:rFonts w:ascii="Cambria Math" w:hAnsi="Cambria Math" w:cs="Times New Roman"/>
                      </w:rPr>
                      <m:t>y</m:t>
                    </m:r>
                    <m:ctrlPr>
                      <w:rPr>
                        <w:rFonts w:ascii="Cambria Math" w:hAnsi="Cambria Math" w:cs="Times New Roman"/>
                      </w:rPr>
                    </m:ctrlPr>
                  </m:sub>
                </m:sSub>
              </m:oMath>
            </m:oMathPara>
          </w:p>
        </w:tc>
        <w:tc>
          <w:tcPr>
            <w:tcW w:w="754"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761" w:type="dxa"/>
            <w:gridSpan w:val="3"/>
            <w:shd w:val="clear" w:color="auto" w:fill="auto"/>
          </w:tcPr>
          <w:p>
            <w:pPr>
              <w:pStyle w:val="189"/>
            </w:pPr>
            <w:r>
              <w:t>横梁截面绕y轴的毛截面惯性矩</w:t>
            </w:r>
            <w:r>
              <w:rPr>
                <w:rFonts w:hint="eastAsia"/>
                <w:lang w:eastAsia="zh-CN"/>
              </w:rPr>
              <w:t>（</w:t>
            </w:r>
            <w:r>
              <w:t>mm</w:t>
            </w:r>
            <w:r>
              <w:rPr>
                <w:vertAlign w:val="superscript"/>
              </w:rPr>
              <w:t>4</w:t>
            </w:r>
            <w:r>
              <w:t>)；</w:t>
            </w:r>
          </w:p>
        </w:tc>
      </w:tr>
      <w:tr>
        <w:tblPrEx>
          <w:tblCellMar>
            <w:top w:w="0" w:type="dxa"/>
            <w:left w:w="108" w:type="dxa"/>
            <w:bottom w:w="0" w:type="dxa"/>
            <w:right w:w="108" w:type="dxa"/>
          </w:tblCellMar>
        </w:tblPrEx>
        <w:tc>
          <w:tcPr>
            <w:tcW w:w="959" w:type="dxa"/>
          </w:tcPr>
          <w:p>
            <w:pPr>
              <w:spacing w:line="360" w:lineRule="auto"/>
              <w:jc w:val="right"/>
              <w:rPr>
                <w:rFonts w:ascii="Times New Roman" w:hAnsi="Times New Roman" w:cs="Times New Roman"/>
              </w:rPr>
            </w:pPr>
          </w:p>
        </w:tc>
        <w:tc>
          <w:tcPr>
            <w:tcW w:w="380"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t</m:t>
                    </m:r>
                    <m:ctrlPr>
                      <w:rPr>
                        <w:rFonts w:ascii="Cambria Math" w:hAnsi="Cambria Math" w:cs="Times New Roman"/>
                      </w:rPr>
                    </m:ctrlPr>
                  </m:e>
                  <m:sub>
                    <m:r>
                      <m:rPr/>
                      <w:rPr>
                        <w:rFonts w:ascii="Cambria Math" w:hAnsi="Cambria Math" w:cs="Times New Roman"/>
                      </w:rPr>
                      <m:t>x</m:t>
                    </m:r>
                    <m:ctrlPr>
                      <w:rPr>
                        <w:rFonts w:ascii="Cambria Math" w:hAnsi="Cambria Math" w:cs="Times New Roman"/>
                      </w:rPr>
                    </m:ctrlPr>
                  </m:sub>
                </m:sSub>
              </m:oMath>
            </m:oMathPara>
          </w:p>
        </w:tc>
        <w:tc>
          <w:tcPr>
            <w:tcW w:w="754"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761" w:type="dxa"/>
            <w:gridSpan w:val="3"/>
            <w:shd w:val="clear" w:color="auto" w:fill="auto"/>
          </w:tcPr>
          <w:p>
            <w:pPr>
              <w:pStyle w:val="189"/>
            </w:pPr>
            <w:r>
              <w:t>横梁截面垂直于x轴腹板的截面总宽度</w:t>
            </w:r>
            <w:r>
              <w:rPr>
                <w:rFonts w:hint="eastAsia"/>
                <w:lang w:eastAsia="zh-CN"/>
              </w:rPr>
              <w:t>（</w:t>
            </w:r>
            <w:r>
              <w:t>mm)；</w:t>
            </w:r>
          </w:p>
        </w:tc>
      </w:tr>
      <w:tr>
        <w:tblPrEx>
          <w:tblCellMar>
            <w:top w:w="0" w:type="dxa"/>
            <w:left w:w="108" w:type="dxa"/>
            <w:bottom w:w="0" w:type="dxa"/>
            <w:right w:w="108" w:type="dxa"/>
          </w:tblCellMar>
        </w:tblPrEx>
        <w:tc>
          <w:tcPr>
            <w:tcW w:w="959" w:type="dxa"/>
          </w:tcPr>
          <w:p>
            <w:pPr>
              <w:spacing w:line="360" w:lineRule="auto"/>
              <w:jc w:val="right"/>
              <w:rPr>
                <w:rFonts w:ascii="Times New Roman" w:hAnsi="Times New Roman" w:cs="Times New Roman"/>
              </w:rPr>
            </w:pPr>
          </w:p>
        </w:tc>
        <w:tc>
          <w:tcPr>
            <w:tcW w:w="380"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t</m:t>
                    </m:r>
                    <m:ctrlPr>
                      <w:rPr>
                        <w:rFonts w:ascii="Cambria Math" w:hAnsi="Cambria Math" w:cs="Times New Roman"/>
                      </w:rPr>
                    </m:ctrlPr>
                  </m:e>
                  <m:sub>
                    <m:r>
                      <m:rPr/>
                      <w:rPr>
                        <w:rFonts w:ascii="Cambria Math" w:hAnsi="Cambria Math" w:cs="Times New Roman"/>
                      </w:rPr>
                      <m:t>y</m:t>
                    </m:r>
                    <m:ctrlPr>
                      <w:rPr>
                        <w:rFonts w:ascii="Cambria Math" w:hAnsi="Cambria Math" w:cs="Times New Roman"/>
                      </w:rPr>
                    </m:ctrlPr>
                  </m:sub>
                </m:sSub>
              </m:oMath>
            </m:oMathPara>
          </w:p>
        </w:tc>
        <w:tc>
          <w:tcPr>
            <w:tcW w:w="754"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761" w:type="dxa"/>
            <w:gridSpan w:val="3"/>
            <w:shd w:val="clear" w:color="auto" w:fill="auto"/>
          </w:tcPr>
          <w:p>
            <w:pPr>
              <w:pStyle w:val="189"/>
            </w:pPr>
            <w:r>
              <w:t>横梁截面垂直于y轴腹板的截面总宽度</w:t>
            </w:r>
            <w:r>
              <w:rPr>
                <w:rFonts w:hint="eastAsia"/>
                <w:lang w:eastAsia="zh-CN"/>
              </w:rPr>
              <w:t>（</w:t>
            </w:r>
            <w:r>
              <w:t>mm)；</w:t>
            </w:r>
          </w:p>
        </w:tc>
      </w:tr>
      <w:tr>
        <w:tblPrEx>
          <w:tblCellMar>
            <w:top w:w="0" w:type="dxa"/>
            <w:left w:w="108" w:type="dxa"/>
            <w:bottom w:w="0" w:type="dxa"/>
            <w:right w:w="108" w:type="dxa"/>
          </w:tblCellMar>
        </w:tblPrEx>
        <w:tc>
          <w:tcPr>
            <w:tcW w:w="959" w:type="dxa"/>
          </w:tcPr>
          <w:p>
            <w:pPr>
              <w:spacing w:line="360" w:lineRule="auto"/>
              <w:jc w:val="right"/>
              <w:rPr>
                <w:rFonts w:ascii="Times New Roman" w:hAnsi="Times New Roman" w:cs="Times New Roman"/>
                <w:bCs/>
              </w:rPr>
            </w:pPr>
          </w:p>
        </w:tc>
        <w:tc>
          <w:tcPr>
            <w:tcW w:w="380" w:type="dxa"/>
            <w:shd w:val="clear" w:color="auto" w:fill="auto"/>
          </w:tcPr>
          <w:p>
            <w:pPr>
              <w:spacing w:line="360" w:lineRule="auto"/>
              <w:jc w:val="right"/>
              <w:rPr>
                <w:rFonts w:ascii="Times New Roman" w:hAnsi="Times New Roman" w:cs="Times New Roman"/>
                <w:bCs/>
                <w:i/>
              </w:rPr>
            </w:pPr>
            <m:oMathPara>
              <m:oMathParaPr>
                <m:jc m:val="right"/>
              </m:oMathParaPr>
              <m:oMath>
                <m:sSub>
                  <m:sSubPr>
                    <m:ctrlPr>
                      <w:rPr>
                        <w:rFonts w:ascii="Cambria Math" w:hAnsi="Cambria Math" w:cs="Times New Roman"/>
                        <w:bCs/>
                        <w:i/>
                      </w:rPr>
                    </m:ctrlPr>
                  </m:sSubPr>
                  <m:e>
                    <m:r>
                      <m:rPr/>
                      <w:rPr>
                        <w:rFonts w:ascii="Cambria Math" w:hAnsi="Cambria Math" w:cs="Times New Roman"/>
                      </w:rPr>
                      <m:t>f</m:t>
                    </m:r>
                    <m:ctrlPr>
                      <w:rPr>
                        <w:rFonts w:ascii="Cambria Math" w:hAnsi="Cambria Math" w:cs="Times New Roman"/>
                        <w:bCs/>
                        <w:i/>
                      </w:rPr>
                    </m:ctrlPr>
                  </m:e>
                  <m:sub>
                    <m:r>
                      <m:rPr>
                        <m:sty m:val="p"/>
                      </m:rPr>
                      <w:rPr>
                        <w:rFonts w:ascii="Cambria Math" w:hAnsi="Cambria Math" w:cs="Times New Roman"/>
                      </w:rPr>
                      <m:t>v</m:t>
                    </m:r>
                    <m:ctrlPr>
                      <w:rPr>
                        <w:rFonts w:ascii="Cambria Math" w:hAnsi="Cambria Math" w:cs="Times New Roman"/>
                        <w:bCs/>
                        <w:i/>
                      </w:rPr>
                    </m:ctrlPr>
                  </m:sub>
                </m:sSub>
              </m:oMath>
            </m:oMathPara>
          </w:p>
        </w:tc>
        <w:tc>
          <w:tcPr>
            <w:tcW w:w="754"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761" w:type="dxa"/>
            <w:gridSpan w:val="3"/>
            <w:shd w:val="clear" w:color="auto" w:fill="auto"/>
          </w:tcPr>
          <w:p>
            <w:pPr>
              <w:pStyle w:val="189"/>
            </w:pPr>
            <w:r>
              <w:t>型材抗剪强度设计值</w:t>
            </w:r>
            <w:r>
              <w:rPr>
                <w:rFonts w:hint="eastAsia"/>
                <w:lang w:eastAsia="zh-CN"/>
              </w:rPr>
              <w:t>（</w:t>
            </w:r>
            <w:r>
              <w:t>N/mm</w:t>
            </w:r>
            <w:r>
              <w:rPr>
                <w:vertAlign w:val="superscript"/>
              </w:rPr>
              <w:t>2</w:t>
            </w:r>
            <w:r>
              <w:t>)。</w:t>
            </w:r>
          </w:p>
        </w:tc>
      </w:tr>
    </w:tbl>
    <w:p>
      <w:pPr>
        <w:pStyle w:val="200"/>
      </w:pPr>
      <w:r>
        <w:rPr>
          <w:b/>
        </w:rPr>
        <w:t xml:space="preserve">6.2.11 </w:t>
      </w:r>
      <w:r>
        <w:t>承受轴向拉力和弯矩作用的立柱，其承载力应符合下式要求：</w:t>
      </w:r>
    </w:p>
    <w:tbl>
      <w:tblPr>
        <w:tblStyle w:val="37"/>
        <w:tblW w:w="5000" w:type="pct"/>
        <w:jc w:val="right"/>
        <w:tblLayout w:type="fixed"/>
        <w:tblCellMar>
          <w:top w:w="0" w:type="dxa"/>
          <w:left w:w="108" w:type="dxa"/>
          <w:bottom w:w="0" w:type="dxa"/>
          <w:right w:w="108" w:type="dxa"/>
        </w:tblCellMar>
      </w:tblPr>
      <w:tblGrid>
        <w:gridCol w:w="1095"/>
        <w:gridCol w:w="389"/>
        <w:gridCol w:w="764"/>
        <w:gridCol w:w="4007"/>
        <w:gridCol w:w="2499"/>
        <w:gridCol w:w="1101"/>
      </w:tblGrid>
      <w:tr>
        <w:tblPrEx>
          <w:tblCellMar>
            <w:top w:w="0" w:type="dxa"/>
            <w:left w:w="108" w:type="dxa"/>
            <w:bottom w:w="0" w:type="dxa"/>
            <w:right w:w="108" w:type="dxa"/>
          </w:tblCellMar>
        </w:tblPrEx>
        <w:trPr>
          <w:gridAfter w:val="1"/>
          <w:wAfter w:w="906" w:type="dxa"/>
          <w:jc w:val="right"/>
        </w:trPr>
        <w:tc>
          <w:tcPr>
            <w:tcW w:w="6393" w:type="dxa"/>
            <w:gridSpan w:val="4"/>
            <w:shd w:val="clear" w:color="auto" w:fill="auto"/>
            <w:vAlign w:val="center"/>
          </w:tcPr>
          <w:p>
            <w:pPr>
              <w:spacing w:line="360" w:lineRule="auto"/>
              <w:jc w:val="center"/>
              <w:rPr>
                <w:rFonts w:ascii="Times New Roman" w:hAnsi="Times New Roman" w:cs="Times New Roman"/>
              </w:rPr>
            </w:pPr>
            <m:oMathPara>
              <m:oMathParaPr>
                <m:jc m:val="center"/>
              </m:oMathParaPr>
              <m:oMath>
                <m:f>
                  <m:fPr>
                    <m:ctrlPr>
                      <w:rPr>
                        <w:rFonts w:ascii="Cambria Math" w:hAnsi="Cambria Math" w:cs="Times New Roman"/>
                        <w:i/>
                      </w:rPr>
                    </m:ctrlPr>
                  </m:fPr>
                  <m:num>
                    <m:r>
                      <m:rPr/>
                      <w:rPr>
                        <w:rFonts w:ascii="Cambria Math" w:hAnsi="Cambria Math" w:cs="Times New Roman"/>
                      </w:rPr>
                      <m:t>N</m:t>
                    </m:r>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n</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M</m:t>
                    </m:r>
                    <m:ctrlPr>
                      <w:rPr>
                        <w:rFonts w:ascii="Cambria Math" w:hAnsi="Cambria Math" w:cs="Times New Roman"/>
                        <w:i/>
                      </w:rPr>
                    </m:ctrlPr>
                  </m:num>
                  <m:den>
                    <m:r>
                      <m:rPr/>
                      <w:rPr>
                        <w:rFonts w:ascii="Cambria Math" w:hAnsi="Cambria Math" w:cs="Times New Roman"/>
                      </w:rPr>
                      <m:t>γ</m:t>
                    </m:r>
                    <m:sSub>
                      <m:sSubPr>
                        <m:ctrlPr>
                          <w:rPr>
                            <w:rFonts w:ascii="Cambria Math" w:hAnsi="Cambria Math" w:cs="Times New Roman"/>
                            <w:i/>
                          </w:rPr>
                        </m:ctrlPr>
                      </m:sSubPr>
                      <m:e>
                        <m:r>
                          <m:rPr/>
                          <w:rPr>
                            <w:rFonts w:ascii="Cambria Math" w:hAnsi="Cambria Math" w:cs="Times New Roman"/>
                          </w:rPr>
                          <m:t>W</m:t>
                        </m:r>
                        <m:ctrlPr>
                          <w:rPr>
                            <w:rFonts w:ascii="Cambria Math" w:hAnsi="Cambria Math" w:cs="Times New Roman"/>
                            <w:i/>
                          </w:rPr>
                        </m:ctrlPr>
                      </m:e>
                      <m:sub>
                        <m:r>
                          <m:rPr/>
                          <w:rPr>
                            <w:rFonts w:ascii="Cambria Math" w:hAnsi="Cambria Math" w:cs="Times New Roman"/>
                          </w:rPr>
                          <m:t>n</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≤f</m:t>
                </m:r>
              </m:oMath>
            </m:oMathPara>
          </w:p>
        </w:tc>
        <w:tc>
          <w:tcPr>
            <w:tcW w:w="2555" w:type="dxa"/>
            <w:shd w:val="clear" w:color="auto" w:fill="auto"/>
            <w:vAlign w:val="center"/>
          </w:tcPr>
          <w:p>
            <w:pPr>
              <w:spacing w:line="360" w:lineRule="auto"/>
              <w:jc w:val="right"/>
              <w:rPr>
                <w:rFonts w:ascii="Times New Roman" w:hAnsi="Times New Roman" w:cs="Times New Roman"/>
                <w:sz w:val="21"/>
                <w:szCs w:val="21"/>
              </w:rPr>
            </w:pPr>
            <w:r>
              <w:rPr>
                <w:rFonts w:ascii="Times New Roman" w:hAnsi="Times New Roman" w:cs="Times New Roman"/>
                <w:kern w:val="2"/>
              </w:rPr>
              <w:t>（6.2.11）</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r>
              <w:rPr>
                <w:rFonts w:ascii="Times New Roman" w:hAnsi="Times New Roman" w:cs="Times New Roman"/>
              </w:rPr>
              <w:t>式中：</w:t>
            </w:r>
          </w:p>
        </w:tc>
        <w:tc>
          <w:tcPr>
            <w:tcW w:w="38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N</m:t>
                </m:r>
              </m:oMath>
            </m:oMathPara>
          </w:p>
        </w:tc>
        <w:tc>
          <w:tcPr>
            <w:tcW w:w="760"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619" w:type="dxa"/>
            <w:gridSpan w:val="3"/>
            <w:shd w:val="clear" w:color="auto" w:fill="auto"/>
          </w:tcPr>
          <w:p>
            <w:pPr>
              <w:pStyle w:val="189"/>
            </w:pPr>
            <w:r>
              <w:t>立柱的轴力设计值</w:t>
            </w:r>
            <w:r>
              <w:rPr>
                <w:rFonts w:hint="eastAsia"/>
                <w:lang w:eastAsia="zh-CN"/>
              </w:rPr>
              <w:t>（</w:t>
            </w:r>
            <w:r>
              <w:t>N)；</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bCs/>
                <w:i/>
              </w:rPr>
            </w:pPr>
            <m:oMathPara>
              <m:oMathParaPr>
                <m:jc m:val="right"/>
              </m:oMathParaPr>
              <m:oMath>
                <m:r>
                  <m:rPr/>
                  <w:rPr>
                    <w:rFonts w:ascii="Cambria Math" w:hAnsi="Cambria Math" w:cs="Times New Roman"/>
                  </w:rPr>
                  <m:t>M</m:t>
                </m:r>
              </m:oMath>
            </m:oMathPara>
          </w:p>
        </w:tc>
        <w:tc>
          <w:tcPr>
            <w:tcW w:w="760"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619" w:type="dxa"/>
            <w:gridSpan w:val="3"/>
            <w:shd w:val="clear" w:color="auto" w:fill="auto"/>
          </w:tcPr>
          <w:p>
            <w:pPr>
              <w:pStyle w:val="189"/>
            </w:pPr>
            <w:r>
              <w:t>立柱的弯矩设计值</w:t>
            </w:r>
            <w:r>
              <w:rPr>
                <w:rFonts w:hint="eastAsia"/>
                <w:lang w:eastAsia="zh-CN"/>
              </w:rPr>
              <w:t>（</w:t>
            </w:r>
            <w:r>
              <w:t>N·mm)；</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A</m:t>
                    </m:r>
                    <m:ctrlPr>
                      <w:rPr>
                        <w:rFonts w:ascii="Cambria Math" w:hAnsi="Cambria Math" w:cs="Times New Roman"/>
                      </w:rPr>
                    </m:ctrlPr>
                  </m:e>
                  <m:sub>
                    <m:r>
                      <m:rPr/>
                      <w:rPr>
                        <w:rFonts w:ascii="Cambria Math" w:hAnsi="Cambria Math" w:cs="Times New Roman"/>
                      </w:rPr>
                      <m:t>n</m:t>
                    </m:r>
                    <m:ctrlPr>
                      <w:rPr>
                        <w:rFonts w:ascii="Cambria Math" w:hAnsi="Cambria Math" w:cs="Times New Roman"/>
                      </w:rPr>
                    </m:ctrlPr>
                  </m:sub>
                </m:sSub>
              </m:oMath>
            </m:oMathPara>
          </w:p>
        </w:tc>
        <w:tc>
          <w:tcPr>
            <w:tcW w:w="760"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619" w:type="dxa"/>
            <w:gridSpan w:val="3"/>
            <w:shd w:val="clear" w:color="auto" w:fill="auto"/>
          </w:tcPr>
          <w:p>
            <w:pPr>
              <w:pStyle w:val="189"/>
            </w:pPr>
            <w:r>
              <w:t>立柱的净截面面积</w:t>
            </w:r>
            <w:r>
              <w:rPr>
                <w:rFonts w:hint="eastAsia"/>
                <w:lang w:eastAsia="zh-CN"/>
              </w:rPr>
              <w:t>（</w:t>
            </w:r>
            <w:r>
              <w:t>mm</w:t>
            </w:r>
            <w:r>
              <w:rPr>
                <w:vertAlign w:val="superscript"/>
              </w:rPr>
              <w:t>2</w:t>
            </w:r>
            <w:r>
              <w:t>)；</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W</m:t>
                    </m:r>
                    <m:ctrlPr>
                      <w:rPr>
                        <w:rFonts w:ascii="Cambria Math" w:hAnsi="Cambria Math" w:cs="Times New Roman"/>
                      </w:rPr>
                    </m:ctrlPr>
                  </m:e>
                  <m:sub>
                    <m:r>
                      <m:rPr/>
                      <w:rPr>
                        <w:rFonts w:ascii="Cambria Math" w:hAnsi="Cambria Math" w:cs="Times New Roman"/>
                      </w:rPr>
                      <m:t>n</m:t>
                    </m:r>
                    <m:ctrlPr>
                      <w:rPr>
                        <w:rFonts w:ascii="Cambria Math" w:hAnsi="Cambria Math" w:cs="Times New Roman"/>
                      </w:rPr>
                    </m:ctrlPr>
                  </m:sub>
                </m:sSub>
              </m:oMath>
            </m:oMathPara>
          </w:p>
        </w:tc>
        <w:tc>
          <w:tcPr>
            <w:tcW w:w="760"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619" w:type="dxa"/>
            <w:gridSpan w:val="3"/>
            <w:shd w:val="clear" w:color="auto" w:fill="auto"/>
          </w:tcPr>
          <w:p>
            <w:pPr>
              <w:pStyle w:val="189"/>
            </w:pPr>
            <w:r>
              <w:t>立柱在弯矩作用方向的净截面最小抵抗矩</w:t>
            </w:r>
            <w:r>
              <w:rPr>
                <w:rFonts w:hint="eastAsia"/>
                <w:lang w:eastAsia="zh-CN"/>
              </w:rPr>
              <w:t>（</w:t>
            </w:r>
            <w:r>
              <w:t>mm</w:t>
            </w:r>
            <w:r>
              <w:rPr>
                <w:vertAlign w:val="superscript"/>
              </w:rPr>
              <w:t>3</w:t>
            </w:r>
            <w:r>
              <w:t>)；</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snapToGrid w:val="0"/>
              </w:rPr>
            </w:pPr>
          </w:p>
        </w:tc>
        <w:tc>
          <w:tcPr>
            <w:tcW w:w="384" w:type="dxa"/>
            <w:shd w:val="clear" w:color="auto" w:fill="auto"/>
          </w:tcPr>
          <w:p>
            <w:pPr>
              <w:spacing w:line="360" w:lineRule="auto"/>
              <w:jc w:val="right"/>
              <w:rPr>
                <w:rFonts w:ascii="Times New Roman" w:hAnsi="Times New Roman" w:cs="Times New Roman"/>
                <w:bCs/>
              </w:rPr>
            </w:pPr>
            <m:oMathPara>
              <m:oMathParaPr>
                <m:jc m:val="right"/>
              </m:oMathParaPr>
              <m:oMath>
                <m:r>
                  <m:rPr/>
                  <w:rPr>
                    <w:rFonts w:ascii="Cambria Math" w:hAnsi="Cambria Math" w:cs="Times New Roman"/>
                    <w:snapToGrid w:val="0"/>
                  </w:rPr>
                  <m:t>γ</m:t>
                </m:r>
              </m:oMath>
            </m:oMathPara>
          </w:p>
        </w:tc>
        <w:tc>
          <w:tcPr>
            <w:tcW w:w="760"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619" w:type="dxa"/>
            <w:gridSpan w:val="3"/>
            <w:shd w:val="clear" w:color="auto" w:fill="auto"/>
          </w:tcPr>
          <w:p>
            <w:pPr>
              <w:pStyle w:val="189"/>
            </w:pPr>
            <w:r>
              <w:t>塑性发展系数，弱硬化铝型材取1.0，强硬化铝型材和钢可取1.05；</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bCs/>
                <w:i/>
              </w:rPr>
            </w:pPr>
            <m:oMathPara>
              <m:oMathParaPr>
                <m:jc m:val="right"/>
              </m:oMathParaPr>
              <m:oMath>
                <m:r>
                  <m:rPr/>
                  <w:rPr>
                    <w:rFonts w:ascii="Cambria Math" w:hAnsi="Cambria Math" w:cs="Times New Roman"/>
                  </w:rPr>
                  <m:t>f</m:t>
                </m:r>
              </m:oMath>
            </m:oMathPara>
          </w:p>
        </w:tc>
        <w:tc>
          <w:tcPr>
            <w:tcW w:w="760"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619" w:type="dxa"/>
            <w:gridSpan w:val="3"/>
            <w:shd w:val="clear" w:color="auto" w:fill="auto"/>
          </w:tcPr>
          <w:p>
            <w:pPr>
              <w:pStyle w:val="189"/>
            </w:pPr>
            <w:r>
              <w:t>型材的强度设计值 (N/mm</w:t>
            </w:r>
            <w:r>
              <w:rPr>
                <w:vertAlign w:val="superscript"/>
              </w:rPr>
              <w:t>2</w:t>
            </w:r>
            <w:r>
              <w:t>)。</w:t>
            </w:r>
          </w:p>
        </w:tc>
      </w:tr>
    </w:tbl>
    <w:p>
      <w:pPr>
        <w:pStyle w:val="189"/>
      </w:pPr>
      <w:r>
        <w:rPr>
          <w:b/>
        </w:rPr>
        <w:t xml:space="preserve">6.2.12 </w:t>
      </w:r>
      <w:r>
        <w:t>承受轴压力和弯矩作用的立柱，其在弯矩平面内的稳定性应符合下式要求：</w:t>
      </w:r>
    </w:p>
    <w:tbl>
      <w:tblPr>
        <w:tblStyle w:val="37"/>
        <w:tblW w:w="5000" w:type="pct"/>
        <w:jc w:val="right"/>
        <w:tblLayout w:type="fixed"/>
        <w:tblCellMar>
          <w:top w:w="0" w:type="dxa"/>
          <w:left w:w="108" w:type="dxa"/>
          <w:bottom w:w="0" w:type="dxa"/>
          <w:right w:w="108" w:type="dxa"/>
        </w:tblCellMar>
      </w:tblPr>
      <w:tblGrid>
        <w:gridCol w:w="1094"/>
        <w:gridCol w:w="389"/>
        <w:gridCol w:w="905"/>
        <w:gridCol w:w="4008"/>
        <w:gridCol w:w="2555"/>
        <w:gridCol w:w="904"/>
      </w:tblGrid>
      <w:tr>
        <w:tblPrEx>
          <w:tblCellMar>
            <w:top w:w="0" w:type="dxa"/>
            <w:left w:w="108" w:type="dxa"/>
            <w:bottom w:w="0" w:type="dxa"/>
            <w:right w:w="108" w:type="dxa"/>
          </w:tblCellMar>
        </w:tblPrEx>
        <w:trPr>
          <w:gridAfter w:val="1"/>
          <w:wAfter w:w="906" w:type="dxa"/>
          <w:jc w:val="right"/>
        </w:trPr>
        <w:tc>
          <w:tcPr>
            <w:tcW w:w="6393" w:type="dxa"/>
            <w:gridSpan w:val="4"/>
            <w:shd w:val="clear" w:color="auto" w:fill="auto"/>
            <w:vAlign w:val="center"/>
          </w:tcPr>
          <w:p>
            <w:pPr>
              <w:spacing w:line="360" w:lineRule="auto"/>
              <w:jc w:val="center"/>
              <w:rPr>
                <w:rFonts w:ascii="Times New Roman" w:hAnsi="Times New Roman" w:cs="Times New Roman"/>
              </w:rPr>
            </w:pPr>
            <m:oMathPara>
              <m:oMathParaPr>
                <m:jc m:val="center"/>
              </m:oMathParaPr>
              <m:oMath>
                <m:f>
                  <m:fPr>
                    <m:ctrlPr>
                      <w:rPr>
                        <w:rFonts w:ascii="Cambria Math" w:hAnsi="Cambria Math" w:cs="Times New Roman"/>
                        <w:i/>
                      </w:rPr>
                    </m:ctrlPr>
                  </m:fPr>
                  <m:num>
                    <m:r>
                      <m:rPr/>
                      <w:rPr>
                        <w:rFonts w:ascii="Cambria Math" w:hAnsi="Cambria Math" w:cs="Times New Roman"/>
                      </w:rPr>
                      <m:t>N</m:t>
                    </m:r>
                    <m:ctrlPr>
                      <w:rPr>
                        <w:rFonts w:ascii="Cambria Math" w:hAnsi="Cambria Math" w:cs="Times New Roman"/>
                        <w:i/>
                      </w:rPr>
                    </m:ctrlPr>
                  </m:num>
                  <m:den>
                    <m:r>
                      <m:rPr/>
                      <w:rPr>
                        <w:rFonts w:ascii="Cambria Math" w:hAnsi="Cambria Math" w:cs="Times New Roman"/>
                      </w:rPr>
                      <m:t>φA</m:t>
                    </m:r>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M</m:t>
                    </m:r>
                    <m:ctrlPr>
                      <w:rPr>
                        <w:rFonts w:ascii="Cambria Math" w:hAnsi="Cambria Math" w:cs="Times New Roman"/>
                        <w:i/>
                      </w:rPr>
                    </m:ctrlPr>
                  </m:num>
                  <m:den>
                    <m:r>
                      <m:rPr/>
                      <w:rPr>
                        <w:rFonts w:ascii="Cambria Math" w:hAnsi="Cambria Math" w:cs="Times New Roman"/>
                      </w:rPr>
                      <m:t>γW</m:t>
                    </m:r>
                    <m:d>
                      <m:dPr>
                        <m:ctrlPr>
                          <w:rPr>
                            <w:rFonts w:ascii="Cambria Math" w:hAnsi="Cambria Math" w:cs="Times New Roman"/>
                            <w:i/>
                          </w:rPr>
                        </m:ctrlPr>
                      </m:dPr>
                      <m:e>
                        <m:r>
                          <m:rPr/>
                          <w:rPr>
                            <w:rFonts w:ascii="Cambria Math" w:hAnsi="Cambria Math" w:cs="Times New Roman"/>
                          </w:rPr>
                          <m:t>1−0.8N/</m:t>
                        </m:r>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ctrlPr>
                          <w:rPr>
                            <w:rFonts w:ascii="Cambria Math" w:hAnsi="Cambria Math" w:cs="Times New Roman"/>
                            <w:i/>
                          </w:rPr>
                        </m:ctrlPr>
                      </m:e>
                    </m:d>
                    <m:ctrlPr>
                      <w:rPr>
                        <w:rFonts w:ascii="Cambria Math" w:hAnsi="Cambria Math" w:cs="Times New Roman"/>
                        <w:i/>
                      </w:rPr>
                    </m:ctrlPr>
                  </m:den>
                </m:f>
                <m:r>
                  <m:rPr/>
                  <w:rPr>
                    <w:rFonts w:ascii="Cambria Math" w:hAnsi="Cambria Math" w:cs="Times New Roman"/>
                  </w:rPr>
                  <m:t>≤f</m:t>
                </m:r>
              </m:oMath>
            </m:oMathPara>
          </w:p>
        </w:tc>
        <w:tc>
          <w:tcPr>
            <w:tcW w:w="2555" w:type="dxa"/>
            <w:shd w:val="clear" w:color="auto" w:fill="auto"/>
            <w:vAlign w:val="center"/>
          </w:tcPr>
          <w:p>
            <w:pPr>
              <w:spacing w:line="360" w:lineRule="auto"/>
              <w:jc w:val="right"/>
              <w:rPr>
                <w:rFonts w:ascii="Times New Roman" w:hAnsi="Times New Roman" w:cs="Times New Roman"/>
                <w:kern w:val="2"/>
              </w:rPr>
            </w:pPr>
            <w:r>
              <w:rPr>
                <w:rFonts w:ascii="Times New Roman" w:hAnsi="Times New Roman" w:cs="Times New Roman"/>
                <w:kern w:val="2"/>
              </w:rPr>
              <w:t>（6.2.12-1）</w:t>
            </w:r>
          </w:p>
        </w:tc>
      </w:tr>
      <w:tr>
        <w:tblPrEx>
          <w:tblCellMar>
            <w:top w:w="0" w:type="dxa"/>
            <w:left w:w="108" w:type="dxa"/>
            <w:bottom w:w="0" w:type="dxa"/>
            <w:right w:w="108" w:type="dxa"/>
          </w:tblCellMar>
        </w:tblPrEx>
        <w:trPr>
          <w:gridAfter w:val="1"/>
          <w:wAfter w:w="906" w:type="dxa"/>
          <w:jc w:val="right"/>
        </w:trPr>
        <w:tc>
          <w:tcPr>
            <w:tcW w:w="6393" w:type="dxa"/>
            <w:gridSpan w:val="4"/>
            <w:shd w:val="clear" w:color="auto" w:fill="auto"/>
            <w:vAlign w:val="center"/>
          </w:tcPr>
          <w:p>
            <w:pPr>
              <w:spacing w:line="360" w:lineRule="auto"/>
              <w:jc w:val="center"/>
              <w:rPr>
                <w:rFonts w:ascii="Cambria Math" w:hAnsi="Cambria Math" w:cs="Times New Roman"/>
                <w:oMath/>
              </w:rPr>
            </w:pPr>
            <m:oMathPara>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m:rPr/>
                          <w:rPr>
                            <w:rFonts w:ascii="Cambria Math" w:hAnsi="Cambria Math" w:cs="Times New Roman"/>
                          </w:rPr>
                          <m:t>π</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EA</m:t>
                    </m:r>
                    <m:ctrlPr>
                      <w:rPr>
                        <w:rFonts w:ascii="Cambria Math" w:hAnsi="Cambria Math" w:cs="Times New Roman"/>
                        <w:i/>
                      </w:rPr>
                    </m:ctrlPr>
                  </m:num>
                  <m:den>
                    <m:r>
                      <m:rPr/>
                      <w:rPr>
                        <w:rFonts w:ascii="Cambria Math" w:hAnsi="Cambria Math" w:cs="Times New Roman"/>
                      </w:rPr>
                      <m:t>1.1</m:t>
                    </m:r>
                    <m:sSup>
                      <m:sSupPr>
                        <m:ctrlPr>
                          <w:rPr>
                            <w:rFonts w:ascii="Cambria Math" w:hAnsi="Cambria Math" w:cs="Times New Roman"/>
                            <w:i/>
                          </w:rPr>
                        </m:ctrlPr>
                      </m:sSupPr>
                      <m:e>
                        <m:r>
                          <m:rPr/>
                          <w:rPr>
                            <w:rFonts w:ascii="Cambria Math" w:hAnsi="Cambria Math" w:cs="Times New Roman"/>
                          </w:rPr>
                          <m:t>λ</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den>
                </m:f>
                <m:r>
                  <m:rPr>
                    <m:sty m:val="p"/>
                  </m:rPr>
                  <w:rPr>
                    <w:rFonts w:ascii="Cambria Math" w:hAnsi="Cambria Math" w:cs="Times New Roman"/>
                  </w:rPr>
                  <m:t xml:space="preserve">   </m:t>
                </m:r>
              </m:oMath>
            </m:oMathPara>
          </w:p>
        </w:tc>
        <w:tc>
          <w:tcPr>
            <w:tcW w:w="2555" w:type="dxa"/>
            <w:shd w:val="clear" w:color="auto" w:fill="auto"/>
            <w:vAlign w:val="center"/>
          </w:tcPr>
          <w:p>
            <w:pPr>
              <w:spacing w:line="360" w:lineRule="auto"/>
              <w:jc w:val="right"/>
              <w:rPr>
                <w:rFonts w:ascii="Times New Roman" w:hAnsi="Times New Roman" w:cs="Times New Roman"/>
                <w:kern w:val="2"/>
              </w:rPr>
            </w:pPr>
            <w:r>
              <w:rPr>
                <w:rFonts w:ascii="Times New Roman" w:hAnsi="Times New Roman" w:cs="Times New Roman"/>
                <w:kern w:val="2"/>
              </w:rPr>
              <w:t>（6.2.12-2）</w:t>
            </w:r>
          </w:p>
        </w:tc>
      </w:tr>
      <w:tr>
        <w:tblPrEx>
          <w:tblCellMar>
            <w:top w:w="0" w:type="dxa"/>
            <w:left w:w="108" w:type="dxa"/>
            <w:bottom w:w="0" w:type="dxa"/>
            <w:right w:w="108" w:type="dxa"/>
          </w:tblCellMar>
        </w:tblPrEx>
        <w:trPr>
          <w:gridAfter w:val="1"/>
          <w:wAfter w:w="906" w:type="dxa"/>
          <w:jc w:val="right"/>
        </w:trPr>
        <w:tc>
          <w:tcPr>
            <w:tcW w:w="6393" w:type="dxa"/>
            <w:gridSpan w:val="4"/>
            <w:shd w:val="clear" w:color="auto" w:fill="auto"/>
            <w:vAlign w:val="center"/>
          </w:tcPr>
          <w:p>
            <w:pPr>
              <w:spacing w:line="360" w:lineRule="auto"/>
              <w:jc w:val="center"/>
              <w:rPr>
                <w:rFonts w:ascii="Cambria Math" w:hAnsi="Cambria Math" w:cs="Times New Roman"/>
                <w:oMath/>
              </w:rPr>
            </w:pPr>
            <m:oMathPara>
              <m:oMath>
                <m:r>
                  <m:rPr/>
                  <w:rPr>
                    <w:rFonts w:ascii="Cambria Math" w:hAnsi="Cambria Math" w:cs="Times New Roman"/>
                  </w:rPr>
                  <m:t>λ=l/i</m:t>
                </m:r>
              </m:oMath>
            </m:oMathPara>
          </w:p>
        </w:tc>
        <w:tc>
          <w:tcPr>
            <w:tcW w:w="2555" w:type="dxa"/>
            <w:shd w:val="clear" w:color="auto" w:fill="auto"/>
            <w:vAlign w:val="center"/>
          </w:tcPr>
          <w:p>
            <w:pPr>
              <w:spacing w:line="360" w:lineRule="auto"/>
              <w:jc w:val="right"/>
              <w:rPr>
                <w:rFonts w:ascii="Times New Roman" w:hAnsi="Times New Roman" w:cs="Times New Roman"/>
                <w:kern w:val="2"/>
              </w:rPr>
            </w:pPr>
            <w:r>
              <w:rPr>
                <w:rFonts w:ascii="Times New Roman" w:hAnsi="Times New Roman" w:cs="Times New Roman"/>
                <w:kern w:val="2"/>
              </w:rPr>
              <w:t>（6.2.12-3）</w:t>
            </w:r>
          </w:p>
        </w:tc>
      </w:tr>
      <w:tr>
        <w:tblPrEx>
          <w:tblCellMar>
            <w:top w:w="0" w:type="dxa"/>
            <w:left w:w="108" w:type="dxa"/>
            <w:bottom w:w="0" w:type="dxa"/>
            <w:right w:w="108" w:type="dxa"/>
          </w:tblCellMar>
        </w:tblPrEx>
        <w:trPr>
          <w:gridAfter w:val="1"/>
          <w:wAfter w:w="906" w:type="dxa"/>
          <w:jc w:val="right"/>
        </w:trPr>
        <w:tc>
          <w:tcPr>
            <w:tcW w:w="6393" w:type="dxa"/>
            <w:gridSpan w:val="4"/>
            <w:shd w:val="clear" w:color="auto" w:fill="auto"/>
            <w:vAlign w:val="center"/>
          </w:tcPr>
          <w:p>
            <w:pPr>
              <w:spacing w:line="360" w:lineRule="auto"/>
              <w:jc w:val="center"/>
              <w:rPr>
                <w:rFonts w:ascii="Cambria Math" w:hAnsi="Cambria Math" w:cs="Times New Roman"/>
                <w:oMath/>
              </w:rPr>
            </w:pPr>
            <m:oMathPara>
              <m:oMath>
                <m:r>
                  <m:rPr/>
                  <w:rPr>
                    <w:rFonts w:ascii="Cambria Math" w:hAnsi="Cambria Math" w:cs="Times New Roman"/>
                  </w:rPr>
                  <m:t>i=</m:t>
                </m:r>
                <m:rad>
                  <m:radPr>
                    <m:degHide m:val="1"/>
                    <m:ctrlPr>
                      <w:rPr>
                        <w:rFonts w:ascii="Cambria Math" w:hAnsi="Cambria Math" w:cs="Times New Roman"/>
                        <w:i/>
                      </w:rPr>
                    </m:ctrlPr>
                  </m:radPr>
                  <m:deg>
                    <m:ctrlPr>
                      <w:rPr>
                        <w:rFonts w:ascii="Cambria Math" w:hAnsi="Cambria Math" w:cs="Times New Roman"/>
                        <w:i/>
                      </w:rPr>
                    </m:ctrlPr>
                  </m:deg>
                  <m:e>
                    <m:f>
                      <m:fPr>
                        <m:ctrlPr>
                          <w:rPr>
                            <w:rFonts w:ascii="Cambria Math" w:hAnsi="Cambria Math" w:cs="Times New Roman"/>
                            <w:i/>
                          </w:rPr>
                        </m:ctrlPr>
                      </m:fPr>
                      <m:num>
                        <m:r>
                          <m:rPr/>
                          <w:rPr>
                            <w:rFonts w:ascii="Cambria Math" w:hAnsi="Cambria Math" w:cs="Times New Roman"/>
                          </w:rPr>
                          <m:t>I</m:t>
                        </m:r>
                        <m:ctrlPr>
                          <w:rPr>
                            <w:rFonts w:ascii="Cambria Math" w:hAnsi="Cambria Math" w:cs="Times New Roman"/>
                            <w:i/>
                          </w:rPr>
                        </m:ctrlPr>
                      </m:num>
                      <m:den>
                        <m:r>
                          <m:rPr/>
                          <w:rPr>
                            <w:rFonts w:ascii="Cambria Math" w:hAnsi="Cambria Math" w:cs="Times New Roman"/>
                          </w:rPr>
                          <m:t>A</m:t>
                        </m:r>
                        <m:ctrlPr>
                          <w:rPr>
                            <w:rFonts w:ascii="Cambria Math" w:hAnsi="Cambria Math" w:cs="Times New Roman"/>
                            <w:i/>
                          </w:rPr>
                        </m:ctrlPr>
                      </m:den>
                    </m:f>
                    <m:ctrlPr>
                      <w:rPr>
                        <w:rFonts w:ascii="Cambria Math" w:hAnsi="Cambria Math" w:cs="Times New Roman"/>
                        <w:i/>
                      </w:rPr>
                    </m:ctrlPr>
                  </m:e>
                </m:rad>
              </m:oMath>
            </m:oMathPara>
          </w:p>
        </w:tc>
        <w:tc>
          <w:tcPr>
            <w:tcW w:w="2555" w:type="dxa"/>
            <w:shd w:val="clear" w:color="auto" w:fill="auto"/>
            <w:vAlign w:val="center"/>
          </w:tcPr>
          <w:p>
            <w:pPr>
              <w:spacing w:line="360" w:lineRule="auto"/>
              <w:jc w:val="right"/>
              <w:rPr>
                <w:rFonts w:ascii="Times New Roman" w:hAnsi="Times New Roman" w:cs="Times New Roman"/>
                <w:kern w:val="2"/>
              </w:rPr>
            </w:pPr>
            <w:r>
              <w:rPr>
                <w:rFonts w:ascii="Times New Roman" w:hAnsi="Times New Roman" w:cs="Times New Roman"/>
                <w:kern w:val="2"/>
              </w:rPr>
              <w:t>（6.2.12-4）</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r>
              <w:rPr>
                <w:rFonts w:ascii="Times New Roman" w:hAnsi="Times New Roman" w:cs="Times New Roman"/>
              </w:rPr>
              <w:t>式中：</w:t>
            </w:r>
          </w:p>
        </w:tc>
        <w:tc>
          <w:tcPr>
            <w:tcW w:w="38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N</m:t>
                </m:r>
              </m:oMath>
            </m:oMathPara>
          </w:p>
        </w:tc>
        <w:tc>
          <w:tcPr>
            <w:tcW w:w="90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8" w:type="dxa"/>
            <w:gridSpan w:val="3"/>
            <w:shd w:val="clear" w:color="auto" w:fill="auto"/>
          </w:tcPr>
          <w:p>
            <w:pPr>
              <w:pStyle w:val="189"/>
            </w:pPr>
            <w:r>
              <w:t>立柱的轴压力设计值</w:t>
            </w:r>
            <w:r>
              <w:rPr>
                <w:rFonts w:hint="eastAsia"/>
                <w:lang w:eastAsia="zh-CN"/>
              </w:rPr>
              <w:t>（</w:t>
            </w:r>
            <w:r>
              <w:t>N)；</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w:rPr>
                        <w:rFonts w:ascii="Cambria Math" w:hAnsi="Cambria Math" w:cs="Times New Roman"/>
                      </w:rPr>
                      <m:t>N</m:t>
                    </m:r>
                    <m:ctrlPr>
                      <w:rPr>
                        <w:rFonts w:ascii="Cambria Math" w:hAnsi="Cambria Math" w:cs="Times New Roman"/>
                      </w:rPr>
                    </m:ctrlPr>
                  </m:e>
                  <m:sub>
                    <m:r>
                      <m:rPr/>
                      <w:rPr>
                        <w:rFonts w:ascii="Cambria Math" w:hAnsi="Cambria Math" w:cs="Times New Roman"/>
                      </w:rPr>
                      <m:t>E</m:t>
                    </m:r>
                    <m:ctrlPr>
                      <w:rPr>
                        <w:rFonts w:ascii="Cambria Math" w:hAnsi="Cambria Math" w:cs="Times New Roman"/>
                      </w:rPr>
                    </m:ctrlPr>
                  </m:sub>
                </m:sSub>
              </m:oMath>
            </m:oMathPara>
          </w:p>
        </w:tc>
        <w:tc>
          <w:tcPr>
            <w:tcW w:w="90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8" w:type="dxa"/>
            <w:gridSpan w:val="3"/>
            <w:shd w:val="clear" w:color="auto" w:fill="auto"/>
          </w:tcPr>
          <w:p>
            <w:pPr>
              <w:pStyle w:val="189"/>
            </w:pPr>
            <w:r>
              <w:t>临界轴压力</w:t>
            </w:r>
            <w:r>
              <w:rPr>
                <w:rFonts w:hint="eastAsia"/>
                <w:lang w:eastAsia="zh-CN"/>
              </w:rPr>
              <w:t>（</w:t>
            </w:r>
            <w:r>
              <w:t>N)；</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bCs/>
                <w:i/>
              </w:rPr>
            </w:pPr>
            <m:oMathPara>
              <m:oMathParaPr>
                <m:jc m:val="right"/>
              </m:oMathParaPr>
              <m:oMath>
                <m:r>
                  <m:rPr/>
                  <w:rPr>
                    <w:rFonts w:ascii="Cambria Math" w:hAnsi="Cambria Math" w:cs="Times New Roman"/>
                  </w:rPr>
                  <m:t>M</m:t>
                </m:r>
              </m:oMath>
            </m:oMathPara>
          </w:p>
        </w:tc>
        <w:tc>
          <w:tcPr>
            <w:tcW w:w="90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8" w:type="dxa"/>
            <w:gridSpan w:val="3"/>
            <w:shd w:val="clear" w:color="auto" w:fill="auto"/>
          </w:tcPr>
          <w:p>
            <w:pPr>
              <w:pStyle w:val="189"/>
            </w:pPr>
            <w:r>
              <w:t>立柱的最大弯矩设计值</w:t>
            </w:r>
            <w:r>
              <w:rPr>
                <w:rFonts w:hint="eastAsia"/>
                <w:lang w:eastAsia="zh-CN"/>
              </w:rPr>
              <w:t>（</w:t>
            </w:r>
            <w:r>
              <w:t>N·mm)；</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bCs/>
                <w:i/>
              </w:rPr>
            </w:pPr>
            <m:oMathPara>
              <m:oMathParaPr>
                <m:jc m:val="right"/>
              </m:oMathParaPr>
              <m:oMath>
                <m:r>
                  <m:rPr/>
                  <w:rPr>
                    <w:rFonts w:ascii="Cambria Math" w:hAnsi="Cambria Math" w:cs="Times New Roman"/>
                  </w:rPr>
                  <m:t>φ</m:t>
                </m:r>
              </m:oMath>
            </m:oMathPara>
          </w:p>
        </w:tc>
        <w:tc>
          <w:tcPr>
            <w:tcW w:w="90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8" w:type="dxa"/>
            <w:gridSpan w:val="3"/>
            <w:shd w:val="clear" w:color="auto" w:fill="auto"/>
          </w:tcPr>
          <w:p>
            <w:pPr>
              <w:pStyle w:val="189"/>
            </w:pPr>
            <w:r>
              <w:t>弯矩作用平面内的轴心受压稳定系数，可按表6.2.12采用；</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bCs/>
              </w:rPr>
            </w:pPr>
            <m:oMathPara>
              <m:oMathParaPr>
                <m:jc m:val="right"/>
              </m:oMathParaPr>
              <m:oMath>
                <m:r>
                  <m:rPr/>
                  <w:rPr>
                    <w:rFonts w:ascii="Cambria Math" w:hAnsi="Cambria Math" w:cs="Times New Roman"/>
                  </w:rPr>
                  <m:t>A</m:t>
                </m:r>
              </m:oMath>
            </m:oMathPara>
          </w:p>
        </w:tc>
        <w:tc>
          <w:tcPr>
            <w:tcW w:w="90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8" w:type="dxa"/>
            <w:gridSpan w:val="3"/>
            <w:shd w:val="clear" w:color="auto" w:fill="auto"/>
          </w:tcPr>
          <w:p>
            <w:pPr>
              <w:pStyle w:val="189"/>
            </w:pPr>
            <w:r>
              <w:t>立柱的毛截面面积</w:t>
            </w:r>
            <w:r>
              <w:rPr>
                <w:rFonts w:hint="eastAsia"/>
                <w:lang w:eastAsia="zh-CN"/>
              </w:rPr>
              <w:t>（</w:t>
            </w:r>
            <w:r>
              <w:t>mm</w:t>
            </w:r>
            <w:r>
              <w:rPr>
                <w:vertAlign w:val="superscript"/>
              </w:rPr>
              <w:t>2</w:t>
            </w:r>
            <w:r>
              <w:t>)；</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bCs/>
              </w:rPr>
            </w:pPr>
            <m:oMathPara>
              <m:oMathParaPr>
                <m:jc m:val="right"/>
              </m:oMathParaPr>
              <m:oMath>
                <m:r>
                  <m:rPr/>
                  <w:rPr>
                    <w:rFonts w:ascii="Cambria Math" w:hAnsi="Cambria Math" w:cs="Times New Roman"/>
                  </w:rPr>
                  <m:t>W</m:t>
                </m:r>
              </m:oMath>
            </m:oMathPara>
          </w:p>
        </w:tc>
        <w:tc>
          <w:tcPr>
            <w:tcW w:w="90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8" w:type="dxa"/>
            <w:gridSpan w:val="3"/>
            <w:shd w:val="clear" w:color="auto" w:fill="auto"/>
          </w:tcPr>
          <w:p>
            <w:pPr>
              <w:pStyle w:val="189"/>
            </w:pPr>
            <w:r>
              <w:t>在弯矩作用方向上较大受压侧的毛截面抵抗矩</w:t>
            </w:r>
            <w:r>
              <w:rPr>
                <w:rFonts w:hint="eastAsia"/>
                <w:lang w:eastAsia="zh-CN"/>
              </w:rPr>
              <w:t>（</w:t>
            </w:r>
            <w:r>
              <w:t>mm</w:t>
            </w:r>
            <w:r>
              <w:rPr>
                <w:vertAlign w:val="superscript"/>
              </w:rPr>
              <w:t>3</w:t>
            </w:r>
            <w:r>
              <w:t>)；</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bCs/>
              </w:rPr>
            </w:pPr>
            <m:oMathPara>
              <m:oMathParaPr>
                <m:jc m:val="right"/>
              </m:oMathParaPr>
              <m:oMath>
                <m:r>
                  <m:rPr/>
                  <w:rPr>
                    <w:rFonts w:ascii="Cambria Math" w:hAnsi="Cambria Math" w:cs="Times New Roman"/>
                  </w:rPr>
                  <m:t>λ</m:t>
                </m:r>
              </m:oMath>
            </m:oMathPara>
          </w:p>
        </w:tc>
        <w:tc>
          <w:tcPr>
            <w:tcW w:w="90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8" w:type="dxa"/>
            <w:gridSpan w:val="3"/>
            <w:shd w:val="clear" w:color="auto" w:fill="auto"/>
          </w:tcPr>
          <w:p>
            <w:pPr>
              <w:pStyle w:val="189"/>
            </w:pPr>
            <w:r>
              <w:t>长细比；</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bCs/>
              </w:rPr>
            </w:pPr>
            <m:oMathPara>
              <m:oMathParaPr>
                <m:jc m:val="right"/>
              </m:oMathParaPr>
              <m:oMath>
                <m:r>
                  <m:rPr/>
                  <w:rPr>
                    <w:rFonts w:ascii="Cambria Math" w:hAnsi="Cambria Math" w:cs="Times New Roman"/>
                  </w:rPr>
                  <m:t>l</m:t>
                </m:r>
              </m:oMath>
            </m:oMathPara>
          </w:p>
        </w:tc>
        <w:tc>
          <w:tcPr>
            <w:tcW w:w="90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8" w:type="dxa"/>
            <w:gridSpan w:val="3"/>
            <w:shd w:val="clear" w:color="auto" w:fill="auto"/>
          </w:tcPr>
          <w:p>
            <w:pPr>
              <w:pStyle w:val="189"/>
            </w:pPr>
            <w:r>
              <w:t>计算长度(mm)，两端简支</w:t>
            </w:r>
            <m:oMath>
              <m:r>
                <m:rPr/>
                <w:rPr>
                  <w:rFonts w:ascii="Cambria Math" w:hAnsi="Cambria Math"/>
                </w:rPr>
                <m:t>l</m:t>
              </m:r>
            </m:oMath>
            <w:r>
              <w:t>=L，一端简支一端固结</w:t>
            </w:r>
            <m:oMath>
              <m:r>
                <m:rPr/>
                <w:rPr>
                  <w:rFonts w:ascii="Cambria Math" w:hAnsi="Cambria Math"/>
                </w:rPr>
                <m:t>l</m:t>
              </m:r>
            </m:oMath>
            <w:r>
              <w:t>=0.7L，两端固结</w:t>
            </w:r>
            <m:oMath>
              <m:r>
                <m:rPr/>
                <w:rPr>
                  <w:rFonts w:ascii="Cambria Math" w:hAnsi="Cambria Math"/>
                </w:rPr>
                <m:t>l</m:t>
              </m:r>
            </m:oMath>
            <w:r>
              <w:t>=0.5L，悬臂式立柱</w:t>
            </w:r>
            <m:oMath>
              <m:r>
                <m:rPr/>
                <w:rPr>
                  <w:rFonts w:ascii="Cambria Math" w:hAnsi="Cambria Math"/>
                </w:rPr>
                <m:t>l</m:t>
              </m:r>
            </m:oMath>
            <w:r>
              <w:t>=2L，L为立柱支承长度；</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bCs/>
              </w:rPr>
            </w:pPr>
            <m:oMathPara>
              <m:oMathParaPr>
                <m:jc m:val="right"/>
              </m:oMathParaPr>
              <m:oMath>
                <m:r>
                  <m:rPr/>
                  <w:rPr>
                    <w:rFonts w:ascii="Cambria Math" w:hAnsi="Cambria Math" w:cs="Times New Roman"/>
                  </w:rPr>
                  <m:t>i</m:t>
                </m:r>
              </m:oMath>
            </m:oMathPara>
          </w:p>
        </w:tc>
        <w:tc>
          <w:tcPr>
            <w:tcW w:w="90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8" w:type="dxa"/>
            <w:gridSpan w:val="3"/>
            <w:shd w:val="clear" w:color="auto" w:fill="auto"/>
          </w:tcPr>
          <w:p>
            <w:pPr>
              <w:pStyle w:val="189"/>
            </w:pPr>
            <w:r>
              <w:t>核心半径</w:t>
            </w:r>
            <w:r>
              <w:rPr>
                <w:rFonts w:hint="eastAsia"/>
                <w:lang w:eastAsia="zh-CN"/>
              </w:rPr>
              <w:t>（</w:t>
            </w:r>
            <w:r>
              <w:t>mm)；</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snapToGrid w:val="0"/>
              </w:rPr>
            </w:pPr>
          </w:p>
        </w:tc>
        <w:tc>
          <w:tcPr>
            <w:tcW w:w="384" w:type="dxa"/>
            <w:shd w:val="clear" w:color="auto" w:fill="auto"/>
          </w:tcPr>
          <w:p>
            <w:pPr>
              <w:spacing w:line="360" w:lineRule="auto"/>
              <w:jc w:val="right"/>
              <w:rPr>
                <w:rFonts w:ascii="Times New Roman" w:hAnsi="Times New Roman" w:cs="Times New Roman"/>
                <w:bCs/>
              </w:rPr>
            </w:pPr>
            <m:oMathPara>
              <m:oMathParaPr>
                <m:jc m:val="right"/>
              </m:oMathParaPr>
              <m:oMath>
                <m:r>
                  <m:rPr/>
                  <w:rPr>
                    <w:rFonts w:ascii="Cambria Math" w:hAnsi="Cambria Math" w:cs="Times New Roman"/>
                    <w:snapToGrid w:val="0"/>
                  </w:rPr>
                  <m:t>γ</m:t>
                </m:r>
              </m:oMath>
            </m:oMathPara>
          </w:p>
        </w:tc>
        <w:tc>
          <w:tcPr>
            <w:tcW w:w="90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8" w:type="dxa"/>
            <w:gridSpan w:val="3"/>
            <w:shd w:val="clear" w:color="auto" w:fill="auto"/>
          </w:tcPr>
          <w:p>
            <w:pPr>
              <w:pStyle w:val="189"/>
            </w:pPr>
            <w:r>
              <w:t>塑性发展系数，弱硬化铝型材取1.0，强硬化铝型材和钢可取1.05；</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bCs/>
                <w:i/>
              </w:rPr>
            </w:pPr>
            <m:oMathPara>
              <m:oMathParaPr>
                <m:jc m:val="right"/>
              </m:oMathParaPr>
              <m:oMath>
                <m:r>
                  <m:rPr/>
                  <w:rPr>
                    <w:rFonts w:ascii="Cambria Math" w:hAnsi="Cambria Math" w:cs="Times New Roman"/>
                  </w:rPr>
                  <m:t>f</m:t>
                </m:r>
              </m:oMath>
            </m:oMathPara>
          </w:p>
        </w:tc>
        <w:tc>
          <w:tcPr>
            <w:tcW w:w="90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8" w:type="dxa"/>
            <w:gridSpan w:val="3"/>
            <w:shd w:val="clear" w:color="auto" w:fill="auto"/>
          </w:tcPr>
          <w:p>
            <w:pPr>
              <w:pStyle w:val="189"/>
            </w:pPr>
            <w:r>
              <w:t>型材的强度设计值 (N/mm</w:t>
            </w:r>
            <w:r>
              <w:rPr>
                <w:vertAlign w:val="superscript"/>
              </w:rPr>
              <w:t>2</w:t>
            </w:r>
            <w:r>
              <w:t>)；</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38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I</m:t>
                </m:r>
              </m:oMath>
            </m:oMathPara>
          </w:p>
        </w:tc>
        <w:tc>
          <w:tcPr>
            <w:tcW w:w="90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8" w:type="dxa"/>
            <w:gridSpan w:val="3"/>
            <w:shd w:val="clear" w:color="auto" w:fill="auto"/>
          </w:tcPr>
          <w:p>
            <w:pPr>
              <w:pStyle w:val="189"/>
            </w:pPr>
            <w:r>
              <w:t>受弯平面内的截面惯性矩</w:t>
            </w:r>
            <w:r>
              <w:rPr>
                <w:rFonts w:hint="eastAsia"/>
                <w:lang w:eastAsia="zh-CN"/>
              </w:rPr>
              <w:t>（</w:t>
            </w:r>
            <w:r>
              <w:t>mm</w:t>
            </w:r>
            <w:r>
              <w:rPr>
                <w:vertAlign w:val="superscript"/>
              </w:rPr>
              <w:t>4</w:t>
            </w:r>
            <w:r>
              <w:t>)。</w:t>
            </w:r>
          </w:p>
        </w:tc>
      </w:tr>
    </w:tbl>
    <w:p>
      <w:pPr>
        <w:pStyle w:val="202"/>
        <w:rPr>
          <w:rFonts w:cs="Times New Roman"/>
        </w:rPr>
      </w:pPr>
      <w:r>
        <w:rPr>
          <w:rFonts w:cs="Times New Roman"/>
        </w:rPr>
        <w:t xml:space="preserve">表6.2.12 </w:t>
      </w:r>
      <w:r>
        <w:rPr>
          <w:rFonts w:eastAsia="黑体" w:cs="Times New Roman"/>
          <w:b w:val="0"/>
          <w:bCs/>
        </w:rPr>
        <w:t>轴心受压柱的稳定系数</w:t>
      </w:r>
    </w:p>
    <w:tbl>
      <w:tblPr>
        <w:tblStyle w:val="38"/>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286"/>
        <w:gridCol w:w="1892"/>
        <w:gridCol w:w="1892"/>
        <w:gridCol w:w="1892"/>
        <w:gridCol w:w="189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160" w:type="pct"/>
            <w:vAlign w:val="center"/>
          </w:tcPr>
          <w:p>
            <w:pPr>
              <w:pStyle w:val="203"/>
              <w:spacing w:line="360" w:lineRule="auto"/>
              <w:rPr>
                <w:rFonts w:ascii="Times New Roman" w:cs="Times New Roman"/>
              </w:rPr>
            </w:pPr>
            <w:r>
              <w:rPr>
                <w:rFonts w:ascii="Times New Roman" w:cs="Times New Roman"/>
              </w:rPr>
              <w:t>长细比或特征值</w:t>
            </w:r>
          </w:p>
        </w:tc>
        <w:tc>
          <w:tcPr>
            <w:tcW w:w="1920" w:type="pct"/>
            <w:gridSpan w:val="2"/>
            <w:vAlign w:val="center"/>
          </w:tcPr>
          <w:p>
            <w:pPr>
              <w:pStyle w:val="203"/>
              <w:spacing w:line="360" w:lineRule="auto"/>
              <w:rPr>
                <w:rFonts w:ascii="Times New Roman" w:cs="Times New Roman"/>
              </w:rPr>
            </w:pPr>
            <w:r>
              <w:rPr>
                <w:rFonts w:ascii="Times New Roman" w:cs="Times New Roman"/>
              </w:rPr>
              <w:t>铝    型    材</w:t>
            </w:r>
          </w:p>
        </w:tc>
        <w:tc>
          <w:tcPr>
            <w:tcW w:w="1920" w:type="pct"/>
            <w:gridSpan w:val="2"/>
            <w:vAlign w:val="center"/>
          </w:tcPr>
          <w:p>
            <w:pPr>
              <w:pStyle w:val="203"/>
              <w:spacing w:line="360" w:lineRule="auto"/>
              <w:rPr>
                <w:rFonts w:ascii="Times New Roman" w:cs="Times New Roman"/>
              </w:rPr>
            </w:pPr>
            <w:r>
              <w:rPr>
                <w:rFonts w:ascii="Times New Roman" w:cs="Times New Roman"/>
              </w:rPr>
              <w:t>钢    型    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160" w:type="pct"/>
            <w:vAlign w:val="center"/>
          </w:tcPr>
          <w:p>
            <w:pPr>
              <w:pStyle w:val="203"/>
              <w:rPr>
                <w:rFonts w:ascii="Times New Roman" w:cs="Times New Roman"/>
              </w:rPr>
            </w:pPr>
            <w:r>
              <w:rPr>
                <w:rFonts w:ascii="Times New Roman" w:cs="Times New Roman"/>
              </w:rPr>
              <w:t>钢：长细比</w:t>
            </w:r>
            <m:oMath>
              <m:r>
                <m:rPr/>
                <w:rPr>
                  <w:rFonts w:ascii="Cambria Math" w:hAnsi="Cambria Math" w:cs="Times New Roman"/>
                </w:rPr>
                <m:t>λ</m:t>
              </m:r>
            </m:oMath>
          </w:p>
          <w:p>
            <w:pPr>
              <w:pStyle w:val="203"/>
              <w:rPr>
                <w:rFonts w:ascii="Times New Roman" w:cs="Times New Roman"/>
              </w:rPr>
            </w:pPr>
            <w:r>
              <w:rPr>
                <w:rFonts w:ascii="Times New Roman" w:cs="Times New Roman"/>
              </w:rPr>
              <w:t>铝：</w:t>
            </w:r>
            <m:oMath>
              <m:r>
                <m:rPr/>
                <w:rPr>
                  <w:rFonts w:ascii="Cambria Math" w:hAnsi="Cambria Math" w:cs="Times New Roman"/>
                </w:rPr>
                <m:t xml:space="preserve"> λ</m:t>
              </m:r>
              <m:rad>
                <m:radPr>
                  <m:degHide m:val="1"/>
                  <m:ctrlPr>
                    <w:rPr>
                      <w:rFonts w:ascii="Cambria Math" w:hAnsi="Cambria Math" w:cs="Times New Roman"/>
                      <w:i/>
                    </w:rPr>
                  </m:ctrlPr>
                </m:radPr>
                <m:deg>
                  <m:ctrlPr>
                    <w:rPr>
                      <w:rFonts w:ascii="Cambria Math" w:hAnsi="Cambria Math" w:cs="Times New Roman"/>
                      <w:i/>
                    </w:rPr>
                  </m:ctrlPr>
                </m:deg>
                <m:e>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0.2</m:t>
                          </m:r>
                          <m:ctrlPr>
                            <w:rPr>
                              <w:rFonts w:ascii="Cambria Math" w:hAnsi="Cambria Math" w:cs="Times New Roman"/>
                              <w:i/>
                            </w:rPr>
                          </m:ctrlPr>
                        </m:sub>
                      </m:sSub>
                      <m:ctrlPr>
                        <w:rPr>
                          <w:rFonts w:ascii="Cambria Math" w:hAnsi="Cambria Math" w:cs="Times New Roman"/>
                          <w:i/>
                        </w:rPr>
                      </m:ctrlPr>
                    </m:num>
                    <m:den>
                      <m:r>
                        <m:rPr/>
                        <w:rPr>
                          <w:rFonts w:ascii="Cambria Math" w:hAnsi="Cambria Math" w:cs="Times New Roman"/>
                        </w:rPr>
                        <m:t>240</m:t>
                      </m:r>
                      <m:ctrlPr>
                        <w:rPr>
                          <w:rFonts w:ascii="Cambria Math" w:hAnsi="Cambria Math" w:cs="Times New Roman"/>
                          <w:i/>
                        </w:rPr>
                      </m:ctrlPr>
                    </m:den>
                  </m:f>
                  <m:ctrlPr>
                    <w:rPr>
                      <w:rFonts w:ascii="Cambria Math" w:hAnsi="Cambria Math" w:cs="Times New Roman"/>
                      <w:i/>
                    </w:rPr>
                  </m:ctrlPr>
                </m:e>
              </m:rad>
            </m:oMath>
          </w:p>
        </w:tc>
        <w:tc>
          <w:tcPr>
            <w:tcW w:w="960" w:type="pct"/>
            <w:vAlign w:val="center"/>
          </w:tcPr>
          <w:p>
            <w:pPr>
              <w:pStyle w:val="203"/>
              <w:rPr>
                <w:rFonts w:ascii="Times New Roman" w:cs="Times New Roman"/>
              </w:rPr>
            </w:pPr>
            <w:r>
              <w:rPr>
                <w:rFonts w:ascii="Times New Roman" w:cs="Times New Roman"/>
              </w:rPr>
              <w:t>6060-T5</w:t>
            </w:r>
          </w:p>
          <w:p>
            <w:pPr>
              <w:pStyle w:val="203"/>
              <w:rPr>
                <w:rFonts w:ascii="Times New Roman" w:cs="Times New Roman"/>
              </w:rPr>
            </w:pPr>
            <w:r>
              <w:rPr>
                <w:rFonts w:ascii="Times New Roman" w:cs="Times New Roman"/>
              </w:rPr>
              <w:t>6063-T5</w:t>
            </w:r>
          </w:p>
          <w:p>
            <w:pPr>
              <w:pStyle w:val="203"/>
              <w:rPr>
                <w:rFonts w:ascii="Times New Roman" w:cs="Times New Roman"/>
              </w:rPr>
            </w:pPr>
            <w:r>
              <w:rPr>
                <w:rFonts w:ascii="Times New Roman" w:cs="Times New Roman"/>
              </w:rPr>
              <w:t>6063A-T5</w:t>
            </w:r>
          </w:p>
        </w:tc>
        <w:tc>
          <w:tcPr>
            <w:tcW w:w="960" w:type="pct"/>
            <w:vAlign w:val="center"/>
          </w:tcPr>
          <w:p>
            <w:pPr>
              <w:pStyle w:val="203"/>
              <w:rPr>
                <w:rFonts w:ascii="Times New Roman" w:cs="Times New Roman"/>
              </w:rPr>
            </w:pPr>
            <w:r>
              <w:rPr>
                <w:rFonts w:ascii="Times New Roman" w:cs="Times New Roman"/>
              </w:rPr>
              <w:t>6061-T6</w:t>
            </w:r>
          </w:p>
          <w:p>
            <w:pPr>
              <w:pStyle w:val="203"/>
              <w:rPr>
                <w:rFonts w:ascii="Times New Roman" w:cs="Times New Roman"/>
              </w:rPr>
            </w:pPr>
            <w:r>
              <w:rPr>
                <w:rFonts w:ascii="Times New Roman" w:cs="Times New Roman"/>
              </w:rPr>
              <w:t>6063-T6</w:t>
            </w:r>
          </w:p>
          <w:p>
            <w:pPr>
              <w:pStyle w:val="203"/>
              <w:rPr>
                <w:rFonts w:ascii="Times New Roman" w:cs="Times New Roman"/>
              </w:rPr>
            </w:pPr>
            <w:r>
              <w:rPr>
                <w:rFonts w:ascii="Times New Roman" w:cs="Times New Roman"/>
              </w:rPr>
              <w:t>6063A-T6</w:t>
            </w:r>
          </w:p>
        </w:tc>
        <w:tc>
          <w:tcPr>
            <w:tcW w:w="960" w:type="pct"/>
            <w:vAlign w:val="center"/>
          </w:tcPr>
          <w:p>
            <w:pPr>
              <w:pStyle w:val="203"/>
              <w:rPr>
                <w:rFonts w:ascii="Times New Roman" w:cs="Times New Roman"/>
              </w:rPr>
            </w:pPr>
            <w:r>
              <w:rPr>
                <w:rFonts w:ascii="Times New Roman" w:cs="Times New Roman"/>
              </w:rPr>
              <w:t>Q235</w:t>
            </w:r>
          </w:p>
        </w:tc>
        <w:tc>
          <w:tcPr>
            <w:tcW w:w="960" w:type="pct"/>
            <w:vAlign w:val="center"/>
          </w:tcPr>
          <w:p>
            <w:pPr>
              <w:pStyle w:val="203"/>
              <w:rPr>
                <w:rFonts w:ascii="Times New Roman" w:cs="Times New Roman"/>
              </w:rPr>
            </w:pPr>
            <w:r>
              <w:rPr>
                <w:rFonts w:ascii="Times New Roman" w:cs="Times New Roman"/>
              </w:rPr>
              <w:t>Q355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160" w:type="pct"/>
            <w:vAlign w:val="center"/>
          </w:tcPr>
          <w:p>
            <w:pPr>
              <w:pStyle w:val="203"/>
              <w:spacing w:line="360" w:lineRule="auto"/>
              <w:rPr>
                <w:rFonts w:ascii="Times New Roman" w:cs="Times New Roman"/>
              </w:rPr>
            </w:pPr>
            <w:r>
              <w:rPr>
                <w:rFonts w:ascii="Times New Roman" w:cs="Times New Roman"/>
              </w:rPr>
              <w:t>20</w:t>
            </w:r>
          </w:p>
          <w:p>
            <w:pPr>
              <w:pStyle w:val="203"/>
              <w:spacing w:line="360" w:lineRule="auto"/>
              <w:rPr>
                <w:rFonts w:ascii="Times New Roman" w:cs="Times New Roman"/>
              </w:rPr>
            </w:pPr>
            <w:r>
              <w:rPr>
                <w:rFonts w:ascii="Times New Roman" w:cs="Times New Roman"/>
              </w:rPr>
              <w:t>40</w:t>
            </w:r>
          </w:p>
          <w:p>
            <w:pPr>
              <w:pStyle w:val="203"/>
              <w:spacing w:line="360" w:lineRule="auto"/>
              <w:rPr>
                <w:rFonts w:ascii="Times New Roman" w:cs="Times New Roman"/>
              </w:rPr>
            </w:pPr>
            <w:r>
              <w:rPr>
                <w:rFonts w:ascii="Times New Roman" w:cs="Times New Roman"/>
              </w:rPr>
              <w:t>60</w:t>
            </w:r>
          </w:p>
          <w:p>
            <w:pPr>
              <w:pStyle w:val="203"/>
              <w:spacing w:line="360" w:lineRule="auto"/>
              <w:rPr>
                <w:rFonts w:ascii="Times New Roman" w:cs="Times New Roman"/>
              </w:rPr>
            </w:pPr>
            <w:r>
              <w:rPr>
                <w:rFonts w:ascii="Times New Roman" w:cs="Times New Roman"/>
              </w:rPr>
              <w:t>80</w:t>
            </w:r>
          </w:p>
          <w:p>
            <w:pPr>
              <w:pStyle w:val="203"/>
              <w:spacing w:line="360" w:lineRule="auto"/>
              <w:rPr>
                <w:rFonts w:ascii="Times New Roman" w:cs="Times New Roman"/>
              </w:rPr>
            </w:pPr>
            <w:r>
              <w:rPr>
                <w:rFonts w:ascii="Times New Roman" w:cs="Times New Roman"/>
              </w:rPr>
              <w:t>90</w:t>
            </w:r>
          </w:p>
          <w:p>
            <w:pPr>
              <w:pStyle w:val="203"/>
              <w:spacing w:line="360" w:lineRule="auto"/>
              <w:rPr>
                <w:rFonts w:ascii="Times New Roman" w:cs="Times New Roman"/>
              </w:rPr>
            </w:pPr>
            <w:r>
              <w:rPr>
                <w:rFonts w:ascii="Times New Roman" w:cs="Times New Roman"/>
              </w:rPr>
              <w:t>100</w:t>
            </w:r>
          </w:p>
          <w:p>
            <w:pPr>
              <w:pStyle w:val="203"/>
              <w:spacing w:line="360" w:lineRule="auto"/>
              <w:rPr>
                <w:rFonts w:ascii="Times New Roman" w:cs="Times New Roman"/>
              </w:rPr>
            </w:pPr>
            <w:r>
              <w:rPr>
                <w:rFonts w:ascii="Times New Roman" w:cs="Times New Roman"/>
              </w:rPr>
              <w:t>110</w:t>
            </w:r>
          </w:p>
          <w:p>
            <w:pPr>
              <w:pStyle w:val="203"/>
              <w:spacing w:line="360" w:lineRule="auto"/>
              <w:rPr>
                <w:rFonts w:ascii="Times New Roman" w:cs="Times New Roman"/>
              </w:rPr>
            </w:pPr>
            <w:r>
              <w:rPr>
                <w:rFonts w:ascii="Times New Roman" w:cs="Times New Roman"/>
              </w:rPr>
              <w:t>120</w:t>
            </w:r>
          </w:p>
          <w:p>
            <w:pPr>
              <w:pStyle w:val="203"/>
              <w:spacing w:line="360" w:lineRule="auto"/>
              <w:rPr>
                <w:rFonts w:ascii="Times New Roman" w:cs="Times New Roman"/>
              </w:rPr>
            </w:pPr>
            <w:r>
              <w:rPr>
                <w:rFonts w:ascii="Times New Roman" w:cs="Times New Roman"/>
              </w:rPr>
              <w:t>130</w:t>
            </w:r>
          </w:p>
          <w:p>
            <w:pPr>
              <w:pStyle w:val="203"/>
              <w:spacing w:line="360" w:lineRule="auto"/>
              <w:rPr>
                <w:rFonts w:ascii="Times New Roman" w:cs="Times New Roman"/>
              </w:rPr>
            </w:pPr>
            <w:r>
              <w:rPr>
                <w:rFonts w:ascii="Times New Roman" w:cs="Times New Roman"/>
              </w:rPr>
              <w:t>140</w:t>
            </w:r>
          </w:p>
          <w:p>
            <w:pPr>
              <w:pStyle w:val="203"/>
              <w:spacing w:line="360" w:lineRule="auto"/>
              <w:rPr>
                <w:rFonts w:ascii="Times New Roman" w:cs="Times New Roman"/>
              </w:rPr>
            </w:pPr>
            <w:r>
              <w:rPr>
                <w:rFonts w:ascii="Times New Roman" w:cs="Times New Roman"/>
              </w:rPr>
              <w:t>150</w:t>
            </w:r>
          </w:p>
        </w:tc>
        <w:tc>
          <w:tcPr>
            <w:tcW w:w="960" w:type="pct"/>
            <w:vAlign w:val="center"/>
          </w:tcPr>
          <w:p>
            <w:pPr>
              <w:pStyle w:val="203"/>
              <w:spacing w:line="360" w:lineRule="auto"/>
              <w:rPr>
                <w:rFonts w:ascii="Times New Roman" w:cs="Times New Roman"/>
              </w:rPr>
            </w:pPr>
            <w:r>
              <w:rPr>
                <w:rFonts w:ascii="Times New Roman" w:cs="Times New Roman"/>
              </w:rPr>
              <w:t xml:space="preserve">0.90 </w:t>
            </w:r>
          </w:p>
          <w:p>
            <w:pPr>
              <w:pStyle w:val="203"/>
              <w:spacing w:line="360" w:lineRule="auto"/>
              <w:rPr>
                <w:rFonts w:ascii="Times New Roman" w:cs="Times New Roman"/>
              </w:rPr>
            </w:pPr>
            <w:r>
              <w:rPr>
                <w:rFonts w:ascii="Times New Roman" w:cs="Times New Roman"/>
              </w:rPr>
              <w:t>0.73</w:t>
            </w:r>
          </w:p>
          <w:p>
            <w:pPr>
              <w:pStyle w:val="203"/>
              <w:spacing w:line="360" w:lineRule="auto"/>
              <w:rPr>
                <w:rFonts w:ascii="Times New Roman" w:cs="Times New Roman"/>
              </w:rPr>
            </w:pPr>
            <w:r>
              <w:rPr>
                <w:rFonts w:ascii="Times New Roman" w:cs="Times New Roman"/>
              </w:rPr>
              <w:t>0.51</w:t>
            </w:r>
          </w:p>
          <w:p>
            <w:pPr>
              <w:pStyle w:val="203"/>
              <w:spacing w:line="360" w:lineRule="auto"/>
              <w:rPr>
                <w:rFonts w:ascii="Times New Roman" w:cs="Times New Roman"/>
              </w:rPr>
            </w:pPr>
            <w:r>
              <w:rPr>
                <w:rFonts w:ascii="Times New Roman" w:cs="Times New Roman"/>
              </w:rPr>
              <w:t>0.34</w:t>
            </w:r>
          </w:p>
          <w:p>
            <w:pPr>
              <w:pStyle w:val="203"/>
              <w:spacing w:line="360" w:lineRule="auto"/>
              <w:rPr>
                <w:rFonts w:ascii="Times New Roman" w:cs="Times New Roman"/>
              </w:rPr>
            </w:pPr>
            <w:r>
              <w:rPr>
                <w:rFonts w:ascii="Times New Roman" w:cs="Times New Roman"/>
              </w:rPr>
              <w:t>0.28</w:t>
            </w:r>
          </w:p>
          <w:p>
            <w:pPr>
              <w:pStyle w:val="203"/>
              <w:spacing w:line="360" w:lineRule="auto"/>
              <w:rPr>
                <w:rFonts w:ascii="Times New Roman" w:cs="Times New Roman"/>
              </w:rPr>
            </w:pPr>
            <w:r>
              <w:rPr>
                <w:rFonts w:ascii="Times New Roman" w:cs="Times New Roman"/>
              </w:rPr>
              <w:t>0.23</w:t>
            </w:r>
          </w:p>
          <w:p>
            <w:pPr>
              <w:pStyle w:val="203"/>
              <w:spacing w:line="360" w:lineRule="auto"/>
              <w:rPr>
                <w:rFonts w:ascii="Times New Roman" w:cs="Times New Roman"/>
              </w:rPr>
            </w:pPr>
            <w:r>
              <w:rPr>
                <w:rFonts w:ascii="Times New Roman" w:cs="Times New Roman"/>
              </w:rPr>
              <w:t>0.20</w:t>
            </w:r>
          </w:p>
          <w:p>
            <w:pPr>
              <w:pStyle w:val="203"/>
              <w:spacing w:line="360" w:lineRule="auto"/>
              <w:rPr>
                <w:rFonts w:ascii="Times New Roman" w:cs="Times New Roman"/>
              </w:rPr>
            </w:pPr>
            <w:r>
              <w:rPr>
                <w:rFonts w:ascii="Times New Roman" w:cs="Times New Roman"/>
              </w:rPr>
              <w:t>0.17</w:t>
            </w:r>
          </w:p>
          <w:p>
            <w:pPr>
              <w:pStyle w:val="203"/>
              <w:spacing w:line="360" w:lineRule="auto"/>
              <w:rPr>
                <w:rFonts w:ascii="Times New Roman" w:cs="Times New Roman"/>
              </w:rPr>
            </w:pPr>
            <w:r>
              <w:rPr>
                <w:rFonts w:ascii="Times New Roman" w:cs="Times New Roman"/>
              </w:rPr>
              <w:t>0.15</w:t>
            </w:r>
          </w:p>
          <w:p>
            <w:pPr>
              <w:pStyle w:val="203"/>
              <w:spacing w:line="360" w:lineRule="auto"/>
              <w:rPr>
                <w:rFonts w:ascii="Times New Roman" w:cs="Times New Roman"/>
              </w:rPr>
            </w:pPr>
            <w:r>
              <w:rPr>
                <w:rFonts w:ascii="Times New Roman" w:cs="Times New Roman"/>
              </w:rPr>
              <w:t>0.13</w:t>
            </w:r>
          </w:p>
          <w:p>
            <w:pPr>
              <w:pStyle w:val="203"/>
              <w:spacing w:line="360" w:lineRule="auto"/>
              <w:rPr>
                <w:rFonts w:ascii="Times New Roman" w:cs="Times New Roman"/>
              </w:rPr>
            </w:pPr>
            <w:r>
              <w:rPr>
                <w:rFonts w:ascii="Times New Roman" w:cs="Times New Roman"/>
              </w:rPr>
              <w:t>0.11</w:t>
            </w:r>
          </w:p>
        </w:tc>
        <w:tc>
          <w:tcPr>
            <w:tcW w:w="960" w:type="pct"/>
            <w:vAlign w:val="center"/>
          </w:tcPr>
          <w:p>
            <w:pPr>
              <w:pStyle w:val="203"/>
              <w:spacing w:line="360" w:lineRule="auto"/>
              <w:rPr>
                <w:rFonts w:ascii="Times New Roman" w:cs="Times New Roman"/>
              </w:rPr>
            </w:pPr>
            <w:r>
              <w:rPr>
                <w:rFonts w:ascii="Times New Roman" w:cs="Times New Roman"/>
              </w:rPr>
              <w:t>0.95</w:t>
            </w:r>
          </w:p>
          <w:p>
            <w:pPr>
              <w:pStyle w:val="203"/>
              <w:spacing w:line="360" w:lineRule="auto"/>
              <w:rPr>
                <w:rFonts w:ascii="Times New Roman" w:cs="Times New Roman"/>
              </w:rPr>
            </w:pPr>
            <w:r>
              <w:rPr>
                <w:rFonts w:ascii="Times New Roman" w:cs="Times New Roman"/>
              </w:rPr>
              <w:t>0.82</w:t>
            </w:r>
          </w:p>
          <w:p>
            <w:pPr>
              <w:pStyle w:val="203"/>
              <w:spacing w:line="360" w:lineRule="auto"/>
              <w:rPr>
                <w:rFonts w:ascii="Times New Roman" w:cs="Times New Roman"/>
              </w:rPr>
            </w:pPr>
            <w:r>
              <w:rPr>
                <w:rFonts w:ascii="Times New Roman" w:cs="Times New Roman"/>
              </w:rPr>
              <w:t>0.58</w:t>
            </w:r>
          </w:p>
          <w:p>
            <w:pPr>
              <w:pStyle w:val="203"/>
              <w:spacing w:line="360" w:lineRule="auto"/>
              <w:rPr>
                <w:rFonts w:ascii="Times New Roman" w:cs="Times New Roman"/>
              </w:rPr>
            </w:pPr>
            <w:r>
              <w:rPr>
                <w:rFonts w:ascii="Times New Roman" w:cs="Times New Roman"/>
              </w:rPr>
              <w:t>0.38</w:t>
            </w:r>
          </w:p>
          <w:p>
            <w:pPr>
              <w:pStyle w:val="203"/>
              <w:spacing w:line="360" w:lineRule="auto"/>
              <w:rPr>
                <w:rFonts w:ascii="Times New Roman" w:cs="Times New Roman"/>
              </w:rPr>
            </w:pPr>
            <w:r>
              <w:rPr>
                <w:rFonts w:ascii="Times New Roman" w:cs="Times New Roman"/>
              </w:rPr>
              <w:t>0.31</w:t>
            </w:r>
          </w:p>
          <w:p>
            <w:pPr>
              <w:pStyle w:val="203"/>
              <w:spacing w:line="360" w:lineRule="auto"/>
              <w:rPr>
                <w:rFonts w:ascii="Times New Roman" w:cs="Times New Roman"/>
              </w:rPr>
            </w:pPr>
            <w:r>
              <w:rPr>
                <w:rFonts w:ascii="Times New Roman" w:cs="Times New Roman"/>
              </w:rPr>
              <w:t>0.25</w:t>
            </w:r>
          </w:p>
          <w:p>
            <w:pPr>
              <w:pStyle w:val="203"/>
              <w:spacing w:line="360" w:lineRule="auto"/>
              <w:rPr>
                <w:rFonts w:ascii="Times New Roman" w:cs="Times New Roman"/>
              </w:rPr>
            </w:pPr>
            <w:r>
              <w:rPr>
                <w:rFonts w:ascii="Times New Roman" w:cs="Times New Roman"/>
              </w:rPr>
              <w:t>0.21</w:t>
            </w:r>
          </w:p>
          <w:p>
            <w:pPr>
              <w:pStyle w:val="203"/>
              <w:spacing w:line="360" w:lineRule="auto"/>
              <w:rPr>
                <w:rFonts w:ascii="Times New Roman" w:cs="Times New Roman"/>
              </w:rPr>
            </w:pPr>
            <w:r>
              <w:rPr>
                <w:rFonts w:ascii="Times New Roman" w:cs="Times New Roman"/>
              </w:rPr>
              <w:t>0.18</w:t>
            </w:r>
          </w:p>
          <w:p>
            <w:pPr>
              <w:pStyle w:val="203"/>
              <w:spacing w:line="360" w:lineRule="auto"/>
              <w:rPr>
                <w:rFonts w:ascii="Times New Roman" w:cs="Times New Roman"/>
              </w:rPr>
            </w:pPr>
            <w:r>
              <w:rPr>
                <w:rFonts w:ascii="Times New Roman" w:cs="Times New Roman"/>
              </w:rPr>
              <w:t>0.16</w:t>
            </w:r>
          </w:p>
          <w:p>
            <w:pPr>
              <w:pStyle w:val="203"/>
              <w:spacing w:line="360" w:lineRule="auto"/>
              <w:rPr>
                <w:rFonts w:ascii="Times New Roman" w:cs="Times New Roman"/>
              </w:rPr>
            </w:pPr>
            <w:r>
              <w:rPr>
                <w:rFonts w:ascii="Times New Roman" w:cs="Times New Roman"/>
              </w:rPr>
              <w:t>0.14</w:t>
            </w:r>
          </w:p>
          <w:p>
            <w:pPr>
              <w:pStyle w:val="203"/>
              <w:spacing w:line="360" w:lineRule="auto"/>
              <w:rPr>
                <w:rFonts w:ascii="Times New Roman" w:cs="Times New Roman"/>
              </w:rPr>
            </w:pPr>
            <w:r>
              <w:rPr>
                <w:rFonts w:ascii="Times New Roman" w:cs="Times New Roman"/>
              </w:rPr>
              <w:t>0.12</w:t>
            </w:r>
          </w:p>
        </w:tc>
        <w:tc>
          <w:tcPr>
            <w:tcW w:w="960" w:type="pct"/>
            <w:vAlign w:val="center"/>
          </w:tcPr>
          <w:p>
            <w:pPr>
              <w:pStyle w:val="203"/>
              <w:spacing w:line="360" w:lineRule="auto"/>
              <w:rPr>
                <w:rFonts w:ascii="Times New Roman" w:cs="Times New Roman"/>
              </w:rPr>
            </w:pPr>
            <w:r>
              <w:rPr>
                <w:rFonts w:ascii="Times New Roman" w:cs="Times New Roman"/>
              </w:rPr>
              <w:t>0.97</w:t>
            </w:r>
          </w:p>
          <w:p>
            <w:pPr>
              <w:pStyle w:val="203"/>
              <w:spacing w:line="360" w:lineRule="auto"/>
              <w:rPr>
                <w:rFonts w:ascii="Times New Roman" w:cs="Times New Roman"/>
              </w:rPr>
            </w:pPr>
            <w:r>
              <w:rPr>
                <w:rFonts w:ascii="Times New Roman" w:cs="Times New Roman"/>
              </w:rPr>
              <w:t>0.90</w:t>
            </w:r>
          </w:p>
          <w:p>
            <w:pPr>
              <w:pStyle w:val="203"/>
              <w:spacing w:line="360" w:lineRule="auto"/>
              <w:rPr>
                <w:rFonts w:ascii="Times New Roman" w:cs="Times New Roman"/>
              </w:rPr>
            </w:pPr>
            <w:r>
              <w:rPr>
                <w:rFonts w:ascii="Times New Roman" w:cs="Times New Roman"/>
              </w:rPr>
              <w:t>0.81</w:t>
            </w:r>
          </w:p>
          <w:p>
            <w:pPr>
              <w:pStyle w:val="203"/>
              <w:spacing w:line="360" w:lineRule="auto"/>
              <w:rPr>
                <w:rFonts w:ascii="Times New Roman" w:cs="Times New Roman"/>
              </w:rPr>
            </w:pPr>
            <w:r>
              <w:rPr>
                <w:rFonts w:ascii="Times New Roman" w:cs="Times New Roman"/>
              </w:rPr>
              <w:t>0.69</w:t>
            </w:r>
          </w:p>
          <w:p>
            <w:pPr>
              <w:pStyle w:val="203"/>
              <w:spacing w:line="360" w:lineRule="auto"/>
              <w:rPr>
                <w:rFonts w:ascii="Times New Roman" w:cs="Times New Roman"/>
              </w:rPr>
            </w:pPr>
            <w:r>
              <w:rPr>
                <w:rFonts w:ascii="Times New Roman" w:cs="Times New Roman"/>
              </w:rPr>
              <w:t>0.62</w:t>
            </w:r>
          </w:p>
          <w:p>
            <w:pPr>
              <w:pStyle w:val="203"/>
              <w:spacing w:line="360" w:lineRule="auto"/>
              <w:rPr>
                <w:rFonts w:ascii="Times New Roman" w:cs="Times New Roman"/>
              </w:rPr>
            </w:pPr>
            <w:r>
              <w:rPr>
                <w:rFonts w:ascii="Times New Roman" w:cs="Times New Roman"/>
              </w:rPr>
              <w:t>0.56</w:t>
            </w:r>
          </w:p>
          <w:p>
            <w:pPr>
              <w:pStyle w:val="203"/>
              <w:spacing w:line="360" w:lineRule="auto"/>
              <w:rPr>
                <w:rFonts w:ascii="Times New Roman" w:cs="Times New Roman"/>
              </w:rPr>
            </w:pPr>
            <w:r>
              <w:rPr>
                <w:rFonts w:ascii="Times New Roman" w:cs="Times New Roman"/>
              </w:rPr>
              <w:t>0.49</w:t>
            </w:r>
          </w:p>
          <w:p>
            <w:pPr>
              <w:pStyle w:val="203"/>
              <w:spacing w:line="360" w:lineRule="auto"/>
              <w:rPr>
                <w:rFonts w:ascii="Times New Roman" w:cs="Times New Roman"/>
              </w:rPr>
            </w:pPr>
            <w:r>
              <w:rPr>
                <w:rFonts w:ascii="Times New Roman" w:cs="Times New Roman"/>
              </w:rPr>
              <w:t>0.44</w:t>
            </w:r>
          </w:p>
          <w:p>
            <w:pPr>
              <w:pStyle w:val="203"/>
              <w:spacing w:line="360" w:lineRule="auto"/>
              <w:rPr>
                <w:rFonts w:ascii="Times New Roman" w:cs="Times New Roman"/>
              </w:rPr>
            </w:pPr>
            <w:r>
              <w:rPr>
                <w:rFonts w:ascii="Times New Roman" w:cs="Times New Roman"/>
              </w:rPr>
              <w:t>0.39</w:t>
            </w:r>
          </w:p>
          <w:p>
            <w:pPr>
              <w:pStyle w:val="203"/>
              <w:spacing w:line="360" w:lineRule="auto"/>
              <w:rPr>
                <w:rFonts w:ascii="Times New Roman" w:cs="Times New Roman"/>
              </w:rPr>
            </w:pPr>
            <w:r>
              <w:rPr>
                <w:rFonts w:ascii="Times New Roman" w:cs="Times New Roman"/>
              </w:rPr>
              <w:t>0.35</w:t>
            </w:r>
          </w:p>
          <w:p>
            <w:pPr>
              <w:pStyle w:val="203"/>
              <w:spacing w:line="360" w:lineRule="auto"/>
              <w:rPr>
                <w:rFonts w:ascii="Times New Roman" w:cs="Times New Roman"/>
              </w:rPr>
            </w:pPr>
            <w:r>
              <w:rPr>
                <w:rFonts w:ascii="Times New Roman" w:cs="Times New Roman"/>
              </w:rPr>
              <w:t>0.31</w:t>
            </w:r>
          </w:p>
        </w:tc>
        <w:tc>
          <w:tcPr>
            <w:tcW w:w="960" w:type="pct"/>
            <w:vAlign w:val="center"/>
          </w:tcPr>
          <w:p>
            <w:pPr>
              <w:pStyle w:val="203"/>
              <w:spacing w:line="360" w:lineRule="auto"/>
              <w:rPr>
                <w:rFonts w:ascii="Times New Roman" w:cs="Times New Roman"/>
              </w:rPr>
            </w:pPr>
            <w:r>
              <w:rPr>
                <w:rFonts w:ascii="Times New Roman" w:cs="Times New Roman"/>
              </w:rPr>
              <w:t>0.96</w:t>
            </w:r>
          </w:p>
          <w:p>
            <w:pPr>
              <w:pStyle w:val="203"/>
              <w:spacing w:line="360" w:lineRule="auto"/>
              <w:rPr>
                <w:rFonts w:ascii="Times New Roman" w:cs="Times New Roman"/>
              </w:rPr>
            </w:pPr>
            <w:r>
              <w:rPr>
                <w:rFonts w:ascii="Times New Roman" w:cs="Times New Roman"/>
              </w:rPr>
              <w:t>0.88</w:t>
            </w:r>
          </w:p>
          <w:p>
            <w:pPr>
              <w:pStyle w:val="203"/>
              <w:spacing w:line="360" w:lineRule="auto"/>
              <w:rPr>
                <w:rFonts w:ascii="Times New Roman" w:cs="Times New Roman"/>
              </w:rPr>
            </w:pPr>
            <w:r>
              <w:rPr>
                <w:rFonts w:ascii="Times New Roman" w:cs="Times New Roman"/>
              </w:rPr>
              <w:t>0.73</w:t>
            </w:r>
          </w:p>
          <w:p>
            <w:pPr>
              <w:pStyle w:val="203"/>
              <w:spacing w:line="360" w:lineRule="auto"/>
              <w:rPr>
                <w:rFonts w:ascii="Times New Roman" w:cs="Times New Roman"/>
              </w:rPr>
            </w:pPr>
            <w:r>
              <w:rPr>
                <w:rFonts w:ascii="Times New Roman" w:cs="Times New Roman"/>
              </w:rPr>
              <w:t>0.58</w:t>
            </w:r>
          </w:p>
          <w:p>
            <w:pPr>
              <w:pStyle w:val="203"/>
              <w:spacing w:line="360" w:lineRule="auto"/>
              <w:rPr>
                <w:rFonts w:ascii="Times New Roman" w:cs="Times New Roman"/>
              </w:rPr>
            </w:pPr>
            <w:r>
              <w:rPr>
                <w:rFonts w:ascii="Times New Roman" w:cs="Times New Roman"/>
              </w:rPr>
              <w:t>0.50</w:t>
            </w:r>
          </w:p>
          <w:p>
            <w:pPr>
              <w:pStyle w:val="203"/>
              <w:spacing w:line="360" w:lineRule="auto"/>
              <w:rPr>
                <w:rFonts w:ascii="Times New Roman" w:cs="Times New Roman"/>
              </w:rPr>
            </w:pPr>
            <w:r>
              <w:rPr>
                <w:rFonts w:ascii="Times New Roman" w:cs="Times New Roman"/>
              </w:rPr>
              <w:t>0.43</w:t>
            </w:r>
          </w:p>
          <w:p>
            <w:pPr>
              <w:pStyle w:val="203"/>
              <w:spacing w:line="360" w:lineRule="auto"/>
              <w:rPr>
                <w:rFonts w:ascii="Times New Roman" w:cs="Times New Roman"/>
              </w:rPr>
            </w:pPr>
            <w:r>
              <w:rPr>
                <w:rFonts w:ascii="Times New Roman" w:cs="Times New Roman"/>
              </w:rPr>
              <w:t>0.37</w:t>
            </w:r>
          </w:p>
          <w:p>
            <w:pPr>
              <w:pStyle w:val="203"/>
              <w:spacing w:line="360" w:lineRule="auto"/>
              <w:rPr>
                <w:rFonts w:ascii="Times New Roman" w:cs="Times New Roman"/>
              </w:rPr>
            </w:pPr>
            <w:r>
              <w:rPr>
                <w:rFonts w:ascii="Times New Roman" w:cs="Times New Roman"/>
              </w:rPr>
              <w:t>0.32</w:t>
            </w:r>
          </w:p>
          <w:p>
            <w:pPr>
              <w:pStyle w:val="203"/>
              <w:spacing w:line="360" w:lineRule="auto"/>
              <w:rPr>
                <w:rFonts w:ascii="Times New Roman" w:cs="Times New Roman"/>
              </w:rPr>
            </w:pPr>
            <w:r>
              <w:rPr>
                <w:rFonts w:ascii="Times New Roman" w:cs="Times New Roman"/>
              </w:rPr>
              <w:t>0.28</w:t>
            </w:r>
          </w:p>
          <w:p>
            <w:pPr>
              <w:pStyle w:val="203"/>
              <w:spacing w:line="360" w:lineRule="auto"/>
              <w:rPr>
                <w:rFonts w:ascii="Times New Roman" w:cs="Times New Roman"/>
              </w:rPr>
            </w:pPr>
            <w:r>
              <w:rPr>
                <w:rFonts w:ascii="Times New Roman" w:cs="Times New Roman"/>
              </w:rPr>
              <w:t>0.25</w:t>
            </w:r>
          </w:p>
          <w:p>
            <w:pPr>
              <w:pStyle w:val="203"/>
              <w:spacing w:line="360" w:lineRule="auto"/>
              <w:rPr>
                <w:rFonts w:ascii="Times New Roman" w:cs="Times New Roman"/>
              </w:rPr>
            </w:pPr>
            <w:r>
              <w:rPr>
                <w:rFonts w:ascii="Times New Roman" w:cs="Times New Roman"/>
              </w:rPr>
              <w:t>0.21</w:t>
            </w:r>
          </w:p>
        </w:tc>
      </w:tr>
    </w:tbl>
    <w:p>
      <w:pPr>
        <w:pStyle w:val="189"/>
        <w:rPr>
          <w:sz w:val="21"/>
        </w:rPr>
      </w:pPr>
      <w:r>
        <w:rPr>
          <w:sz w:val="21"/>
        </w:rPr>
        <w:t>注：</w:t>
      </w:r>
      <m:oMath>
        <m:sSub>
          <m:sSubPr>
            <m:ctrlPr>
              <w:rPr>
                <w:rFonts w:ascii="Cambria Math" w:hAnsi="Cambria Math"/>
                <w:i/>
                <w:sz w:val="21"/>
              </w:rPr>
            </m:ctrlPr>
          </m:sSubPr>
          <m:e>
            <m:r>
              <m:rPr/>
              <w:rPr>
                <w:rFonts w:ascii="Cambria Math" w:hAnsi="Cambria Math"/>
                <w:sz w:val="21"/>
              </w:rPr>
              <m:t>f</m:t>
            </m:r>
            <m:ctrlPr>
              <w:rPr>
                <w:rFonts w:ascii="Cambria Math" w:hAnsi="Cambria Math"/>
                <w:i/>
                <w:sz w:val="21"/>
              </w:rPr>
            </m:ctrlPr>
          </m:e>
          <m:sub>
            <m:r>
              <m:rPr>
                <m:sty m:val="p"/>
              </m:rPr>
              <w:rPr>
                <w:rFonts w:ascii="Cambria Math" w:hAnsi="Cambria Math"/>
                <w:sz w:val="21"/>
              </w:rPr>
              <m:t>a</m:t>
            </m:r>
            <m:ctrlPr>
              <w:rPr>
                <w:rFonts w:ascii="Cambria Math" w:hAnsi="Cambria Math"/>
                <w:i/>
                <w:sz w:val="21"/>
              </w:rPr>
            </m:ctrlPr>
          </m:sub>
        </m:sSub>
      </m:oMath>
      <w:r>
        <w:rPr>
          <w:sz w:val="21"/>
        </w:rPr>
        <w:t>——铝合金材料的规定非比例伸长应力，也称为名义屈服强度。</w:t>
      </w:r>
    </w:p>
    <w:p>
      <w:pPr>
        <w:pStyle w:val="200"/>
      </w:pPr>
      <w:r>
        <w:rPr>
          <w:b/>
        </w:rPr>
        <w:t xml:space="preserve">6.2.13 </w:t>
      </w:r>
      <w:r>
        <w:t>承受轴压力和弯矩作用的立柱，其长细比不应大于150。</w:t>
      </w:r>
    </w:p>
    <w:p>
      <w:pPr>
        <w:pStyle w:val="200"/>
      </w:pPr>
      <w:r>
        <w:rPr>
          <w:b/>
        </w:rPr>
        <w:t xml:space="preserve">6.2.14 </w:t>
      </w:r>
      <w:r>
        <w:t>钢铝组合截面立柱设计：</w:t>
      </w:r>
    </w:p>
    <w:p>
      <w:pPr>
        <w:pStyle w:val="188"/>
        <w:ind w:firstLine="482"/>
        <w:rPr>
          <w:rFonts w:cs="Times New Roman"/>
        </w:rPr>
      </w:pPr>
      <w:r>
        <w:rPr>
          <w:rFonts w:cs="Times New Roman"/>
          <w:b/>
          <w:bCs w:val="0"/>
        </w:rPr>
        <w:t>1</w:t>
      </w:r>
      <w:r>
        <w:rPr>
          <w:rFonts w:cs="Times New Roman"/>
        </w:rPr>
        <w:t xml:space="preserve"> 钢铝组合截面中，不参与组合截面共同工作的铝材部分，仍须按实际受力状况进行局部受力和连接部位计算。</w:t>
      </w:r>
    </w:p>
    <w:p>
      <w:pPr>
        <w:pStyle w:val="188"/>
        <w:ind w:firstLine="482"/>
        <w:rPr>
          <w:rFonts w:cs="Times New Roman"/>
        </w:rPr>
      </w:pPr>
      <w:r>
        <w:rPr>
          <w:rFonts w:cs="Times New Roman"/>
          <w:b/>
          <w:bCs w:val="0"/>
        </w:rPr>
        <w:t>2</w:t>
      </w:r>
      <w:r>
        <w:rPr>
          <w:rFonts w:cs="Times New Roman"/>
        </w:rPr>
        <w:t xml:space="preserve"> 钢铝共同工作的组合截面强度计算，可按刚度分配原理，分别按下式计算：</w:t>
      </w:r>
    </w:p>
    <w:tbl>
      <w:tblPr>
        <w:tblStyle w:val="37"/>
        <w:tblW w:w="4750" w:type="pct"/>
        <w:jc w:val="right"/>
        <w:tblLayout w:type="fixed"/>
        <w:tblCellMar>
          <w:top w:w="0" w:type="dxa"/>
          <w:left w:w="108" w:type="dxa"/>
          <w:bottom w:w="0" w:type="dxa"/>
          <w:right w:w="108" w:type="dxa"/>
        </w:tblCellMar>
      </w:tblPr>
      <w:tblGrid>
        <w:gridCol w:w="6686"/>
        <w:gridCol w:w="2675"/>
      </w:tblGrid>
      <w:tr>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al</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al</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w:rPr>
                            <w:rFonts w:ascii="Cambria Math" w:hAnsi="Cambria Math" w:cs="Times New Roman"/>
                          </w:rPr>
                          <m:t>al</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al</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w:rPr>
                            <w:rFonts w:ascii="Cambria Math" w:hAnsi="Cambria Math" w:cs="Times New Roman"/>
                          </w:rPr>
                          <m:t>al</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s</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w:rPr>
                            <w:rFonts w:ascii="Cambria Math" w:hAnsi="Cambria Math" w:cs="Times New Roman"/>
                          </w:rPr>
                          <m:t>s</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∙q∙</m:t>
                </m:r>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w:rPr>
                        <w:rFonts w:ascii="Cambria Math" w:hAnsi="Cambria Math" w:cs="Times New Roman"/>
                      </w:rPr>
                      <m:t>F</m:t>
                    </m:r>
                    <m:ctrlPr>
                      <w:rPr>
                        <w:rFonts w:ascii="Cambria Math" w:hAnsi="Cambria Math" w:cs="Times New Roman"/>
                        <w:i/>
                      </w:rPr>
                    </m:ctrlPr>
                  </m:sub>
                </m:sSub>
              </m:oMath>
            </m:oMathPara>
          </w:p>
        </w:tc>
        <w:tc>
          <w:tcPr>
            <w:tcW w:w="2521" w:type="dxa"/>
            <w:shd w:val="clear" w:color="auto" w:fill="auto"/>
            <w:vAlign w:val="center"/>
          </w:tcPr>
          <w:p>
            <w:pPr>
              <w:spacing w:line="360" w:lineRule="auto"/>
              <w:jc w:val="right"/>
              <w:rPr>
                <w:rFonts w:ascii="Times New Roman" w:hAnsi="Times New Roman" w:cs="Times New Roman"/>
                <w:kern w:val="2"/>
              </w:rPr>
            </w:pPr>
            <w:r>
              <w:rPr>
                <w:rFonts w:ascii="Times New Roman" w:hAnsi="Times New Roman" w:cs="Times New Roman"/>
                <w:kern w:val="2"/>
              </w:rPr>
              <w:t>（6.2.14-1）</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Cambria Math" w:hAnsi="Cambria Math" w:cs="Times New Roman"/>
                <w:oMath/>
              </w:rPr>
            </w:pPr>
            <m:oMathPara>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s</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s</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w:rPr>
                            <w:rFonts w:ascii="Cambria Math" w:hAnsi="Cambria Math" w:cs="Times New Roman"/>
                          </w:rPr>
                          <m:t>s</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al</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w:rPr>
                            <w:rFonts w:ascii="Cambria Math" w:hAnsi="Cambria Math" w:cs="Times New Roman"/>
                          </w:rPr>
                          <m:t>al</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s</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w:rPr>
                            <w:rFonts w:ascii="Cambria Math" w:hAnsi="Cambria Math" w:cs="Times New Roman"/>
                          </w:rPr>
                          <m:t>s</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∙q</m:t>
                </m:r>
              </m:oMath>
            </m:oMathPara>
          </w:p>
        </w:tc>
        <w:tc>
          <w:tcPr>
            <w:tcW w:w="2521" w:type="dxa"/>
            <w:shd w:val="clear" w:color="auto" w:fill="auto"/>
            <w:vAlign w:val="center"/>
          </w:tcPr>
          <w:p>
            <w:pPr>
              <w:spacing w:line="360" w:lineRule="auto"/>
              <w:jc w:val="right"/>
              <w:rPr>
                <w:rFonts w:ascii="Times New Roman" w:hAnsi="Times New Roman" w:cs="Times New Roman"/>
                <w:kern w:val="2"/>
              </w:rPr>
            </w:pPr>
            <w:r>
              <w:rPr>
                <w:rFonts w:ascii="Times New Roman" w:hAnsi="Times New Roman" w:cs="Times New Roman"/>
                <w:kern w:val="2"/>
              </w:rPr>
              <w:t>（6.2.14-2）</w:t>
            </w:r>
          </w:p>
        </w:tc>
      </w:tr>
    </w:tbl>
    <w:p>
      <w:pPr>
        <w:pStyle w:val="189"/>
      </w:pPr>
    </w:p>
    <w:tbl>
      <w:tblPr>
        <w:tblStyle w:val="37"/>
        <w:tblW w:w="10314" w:type="dxa"/>
        <w:tblInd w:w="0" w:type="dxa"/>
        <w:tblLayout w:type="fixed"/>
        <w:tblCellMar>
          <w:top w:w="0" w:type="dxa"/>
          <w:left w:w="108" w:type="dxa"/>
          <w:bottom w:w="0" w:type="dxa"/>
          <w:right w:w="108" w:type="dxa"/>
        </w:tblCellMar>
      </w:tblPr>
      <w:tblGrid>
        <w:gridCol w:w="1134"/>
        <w:gridCol w:w="534"/>
        <w:gridCol w:w="708"/>
        <w:gridCol w:w="7938"/>
      </w:tblGrid>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r>
              <w:rPr>
                <w:rFonts w:ascii="Times New Roman" w:hAnsi="Times New Roman" w:cs="Times New Roman"/>
              </w:rPr>
              <w:t>式中：</w:t>
            </w:r>
          </w:p>
        </w:tc>
        <w:tc>
          <w:tcPr>
            <w:tcW w:w="5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q</m:t>
                </m:r>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作用在立柱上的荷载值</w:t>
            </w:r>
            <w:r>
              <w:rPr>
                <w:rFonts w:hint="eastAsia"/>
                <w:lang w:eastAsia="zh-CN"/>
              </w:rPr>
              <w:t>（</w:t>
            </w:r>
            <w:r>
              <w:t>N/mm)；</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w:rPr>
                        <w:rFonts w:ascii="Cambria Math" w:hAnsi="Cambria Math" w:cs="Times New Roman"/>
                      </w:rPr>
                      <m:t>q</m:t>
                    </m:r>
                    <m:ctrlPr>
                      <w:rPr>
                        <w:rFonts w:ascii="Cambria Math" w:hAnsi="Cambria Math" w:cs="Times New Roman"/>
                      </w:rPr>
                    </m:ctrlPr>
                  </m:e>
                  <m:sub>
                    <m:r>
                      <m:rPr/>
                      <w:rPr>
                        <w:rFonts w:ascii="Cambria Math" w:hAnsi="Cambria Math" w:cs="Times New Roman"/>
                      </w:rPr>
                      <m:t>al</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组合截面上铝材承受的荷载值</w:t>
            </w:r>
            <w:r>
              <w:rPr>
                <w:rFonts w:hint="eastAsia"/>
                <w:lang w:eastAsia="zh-CN"/>
              </w:rPr>
              <w:t>（</w:t>
            </w:r>
            <w:r>
              <w:t>N/mm)；</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i/>
              </w:rPr>
            </w:pPr>
            <m:oMathPara>
              <m:oMathParaPr>
                <m:jc m:val="right"/>
              </m:oMathParaPr>
              <m:oMath>
                <m:sSub>
                  <m:sSubPr>
                    <m:ctrlPr>
                      <w:rPr>
                        <w:rFonts w:ascii="Cambria Math" w:hAnsi="Cambria Math" w:cs="Times New Roman"/>
                      </w:rPr>
                    </m:ctrlPr>
                  </m:sSubPr>
                  <m:e>
                    <m:r>
                      <m:rPr/>
                      <w:rPr>
                        <w:rFonts w:ascii="Cambria Math" w:hAnsi="Cambria Math" w:cs="Times New Roman"/>
                      </w:rPr>
                      <m:t>q</m:t>
                    </m:r>
                    <m:ctrlPr>
                      <w:rPr>
                        <w:rFonts w:ascii="Cambria Math" w:hAnsi="Cambria Math" w:cs="Times New Roman"/>
                      </w:rPr>
                    </m:ctrlPr>
                  </m:e>
                  <m:sub>
                    <m:r>
                      <m:rPr/>
                      <w:rPr>
                        <w:rFonts w:ascii="Cambria Math" w:hAnsi="Cambria Math" w:cs="Times New Roman"/>
                      </w:rPr>
                      <m:t>s</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组合截面上钢材承受的荷载值</w:t>
            </w:r>
            <w:r>
              <w:rPr>
                <w:rFonts w:hint="eastAsia"/>
                <w:lang w:eastAsia="zh-CN"/>
              </w:rPr>
              <w:t>（</w:t>
            </w:r>
            <w:r>
              <w:t>N/mm)；</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i/>
              </w:rPr>
            </w:pPr>
            <m:oMathPara>
              <m:oMathParaPr>
                <m:jc m:val="right"/>
              </m:oMathParaPr>
              <m:oMath>
                <m:sSub>
                  <m:sSubPr>
                    <m:ctrlPr>
                      <w:rPr>
                        <w:rFonts w:ascii="Cambria Math" w:hAnsi="Cambria Math" w:cs="Times New Roman"/>
                      </w:rPr>
                    </m:ctrlPr>
                  </m:sSubPr>
                  <m:e>
                    <m:r>
                      <m:rPr/>
                      <w:rPr>
                        <w:rFonts w:ascii="Cambria Math" w:hAnsi="Cambria Math" w:cs="Times New Roman"/>
                      </w:rPr>
                      <m:t>E</m:t>
                    </m:r>
                    <m:ctrlPr>
                      <w:rPr>
                        <w:rFonts w:ascii="Cambria Math" w:hAnsi="Cambria Math" w:cs="Times New Roman"/>
                      </w:rPr>
                    </m:ctrlPr>
                  </m:e>
                  <m:sub>
                    <m:r>
                      <m:rPr/>
                      <w:rPr>
                        <w:rFonts w:ascii="Cambria Math" w:hAnsi="Cambria Math" w:cs="Times New Roman"/>
                      </w:rPr>
                      <m:t>al</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铝材的弹性模量</w:t>
            </w:r>
            <w:r>
              <w:rPr>
                <w:rFonts w:hint="eastAsia"/>
                <w:lang w:eastAsia="zh-CN"/>
              </w:rPr>
              <w:t>（</w:t>
            </w:r>
            <w:r>
              <w:t>N/mm</w:t>
            </w:r>
            <w:r>
              <w:rPr>
                <w:vertAlign w:val="superscript"/>
              </w:rPr>
              <w:t>2</w:t>
            </w:r>
            <w:r>
              <w:t>)；</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E</m:t>
                    </m:r>
                    <m:ctrlPr>
                      <w:rPr>
                        <w:rFonts w:ascii="Cambria Math" w:hAnsi="Cambria Math" w:cs="Times New Roman"/>
                      </w:rPr>
                    </m:ctrlPr>
                  </m:e>
                  <m:sub>
                    <m:r>
                      <m:rPr/>
                      <w:rPr>
                        <w:rFonts w:ascii="Cambria Math" w:hAnsi="Cambria Math" w:cs="Times New Roman"/>
                      </w:rPr>
                      <m:t>s</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钢材的弹性模量</w:t>
            </w:r>
            <w:r>
              <w:rPr>
                <w:rFonts w:hint="eastAsia"/>
                <w:lang w:eastAsia="zh-CN"/>
              </w:rPr>
              <w:t>（</w:t>
            </w:r>
            <w:r>
              <w:t>N/mm</w:t>
            </w:r>
            <w:r>
              <w:rPr>
                <w:vertAlign w:val="superscript"/>
              </w:rPr>
              <w:t>2</w:t>
            </w:r>
            <w:r>
              <w:t>)；</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i/>
              </w:rPr>
            </w:pPr>
            <m:oMathPara>
              <m:oMathParaPr>
                <m:jc m:val="right"/>
              </m:oMathParaPr>
              <m:oMath>
                <m:sSub>
                  <m:sSubPr>
                    <m:ctrlPr>
                      <w:rPr>
                        <w:rFonts w:ascii="Cambria Math" w:hAnsi="Cambria Math" w:cs="Times New Roman"/>
                      </w:rPr>
                    </m:ctrlPr>
                  </m:sSubPr>
                  <m:e>
                    <m:r>
                      <m:rPr/>
                      <w:rPr>
                        <w:rFonts w:ascii="Cambria Math" w:hAnsi="Cambria Math" w:cs="Times New Roman"/>
                      </w:rPr>
                      <m:t>I</m:t>
                    </m:r>
                    <m:ctrlPr>
                      <w:rPr>
                        <w:rFonts w:ascii="Cambria Math" w:hAnsi="Cambria Math" w:cs="Times New Roman"/>
                      </w:rPr>
                    </m:ctrlPr>
                  </m:e>
                  <m:sub>
                    <m:r>
                      <m:rPr/>
                      <w:rPr>
                        <w:rFonts w:ascii="Cambria Math" w:hAnsi="Cambria Math" w:cs="Times New Roman"/>
                      </w:rPr>
                      <m:t>al</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组合截面中铝材独立的截面惯性距</w:t>
            </w:r>
            <w:r>
              <w:rPr>
                <w:rFonts w:hint="eastAsia"/>
                <w:lang w:eastAsia="zh-CN"/>
              </w:rPr>
              <w:t>（</w:t>
            </w:r>
            <w:r>
              <w:t>mm</w:t>
            </w:r>
            <w:r>
              <w:rPr>
                <w:vertAlign w:val="superscript"/>
              </w:rPr>
              <w:t>4</w:t>
            </w:r>
            <w:r>
              <w:t>)；</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rPr>
                      <m:t>I</m:t>
                    </m:r>
                    <m:ctrlPr>
                      <w:rPr>
                        <w:rFonts w:ascii="Cambria Math" w:hAnsi="Cambria Math" w:cs="Times New Roman"/>
                      </w:rPr>
                    </m:ctrlPr>
                  </m:e>
                  <m:sub>
                    <m:r>
                      <m:rPr/>
                      <w:rPr>
                        <w:rFonts w:ascii="Cambria Math" w:hAnsi="Cambria Math" w:cs="Times New Roman"/>
                      </w:rPr>
                      <m:t>s</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组合截面中钢材独立的截面惯性距</w:t>
            </w:r>
            <w:r>
              <w:rPr>
                <w:rFonts w:hint="eastAsia"/>
                <w:lang w:eastAsia="zh-CN"/>
              </w:rPr>
              <w:t>（</w:t>
            </w:r>
            <w:r>
              <w:t>mm</w:t>
            </w:r>
            <w:r>
              <w:rPr>
                <w:vertAlign w:val="superscript"/>
              </w:rPr>
              <w:t>4</w:t>
            </w:r>
            <w:r>
              <w:t>)；</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w:rPr>
                        <w:rFonts w:ascii="Cambria Math" w:hAnsi="Cambria Math" w:cs="Times New Roman"/>
                        <w:snapToGrid w:val="0"/>
                      </w:rPr>
                      <m:t>γ</m:t>
                    </m:r>
                    <m:ctrlPr>
                      <w:rPr>
                        <w:rFonts w:ascii="Cambria Math" w:hAnsi="Cambria Math" w:cs="Times New Roman"/>
                      </w:rPr>
                    </m:ctrlPr>
                  </m:e>
                  <m:sub>
                    <m:r>
                      <m:rPr/>
                      <w:rPr>
                        <w:rFonts w:ascii="Cambria Math" w:hAnsi="Cambria Math" w:cs="Times New Roman"/>
                      </w:rPr>
                      <m:t>F</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调整系数取1.05。</w:t>
            </w:r>
          </w:p>
        </w:tc>
      </w:tr>
    </w:tbl>
    <w:p>
      <w:pPr>
        <w:pStyle w:val="188"/>
        <w:ind w:firstLine="482"/>
        <w:rPr>
          <w:rFonts w:cs="Times New Roman"/>
        </w:rPr>
      </w:pPr>
      <w:r>
        <w:rPr>
          <w:rFonts w:cs="Times New Roman"/>
          <w:b/>
          <w:bCs w:val="0"/>
        </w:rPr>
        <w:t>3</w:t>
      </w:r>
      <w:r>
        <w:rPr>
          <w:rFonts w:cs="Times New Roman"/>
        </w:rPr>
        <w:t xml:space="preserve"> 钢铝共同工作的组合截面，应按式</w:t>
      </w:r>
      <w:r>
        <w:rPr>
          <w:rFonts w:cs="Times New Roman"/>
          <w:kern w:val="2"/>
        </w:rPr>
        <w:t>6.2.14-3~6.2.14-7</w:t>
      </w:r>
      <w:r>
        <w:rPr>
          <w:rFonts w:cs="Times New Roman"/>
        </w:rPr>
        <w:t>计算型材间的剪力传递，并按计算要求设置抗剪螺栓或螺钉，如图6.2.14所示。</w:t>
      </w:r>
    </w:p>
    <w:p>
      <w:pPr>
        <w:pStyle w:val="202"/>
        <w:rPr>
          <w:rFonts w:cs="Times New Roman"/>
        </w:rPr>
      </w:pPr>
      <w:r>
        <w:rPr>
          <w:rFonts w:cs="Times New Roman"/>
        </w:rPr>
        <w:drawing>
          <wp:inline distT="0" distB="0" distL="0" distR="0">
            <wp:extent cx="1891665" cy="255714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96"/>
                    <a:srcRect/>
                    <a:stretch>
                      <a:fillRect/>
                    </a:stretch>
                  </pic:blipFill>
                  <pic:spPr>
                    <a:xfrm>
                      <a:off x="0" y="0"/>
                      <a:ext cx="1916581" cy="2590380"/>
                    </a:xfrm>
                    <a:prstGeom prst="rect">
                      <a:avLst/>
                    </a:prstGeom>
                    <a:noFill/>
                    <a:ln w="9525">
                      <a:noFill/>
                      <a:miter lim="800000"/>
                      <a:headEnd/>
                      <a:tailEnd/>
                    </a:ln>
                  </pic:spPr>
                </pic:pic>
              </a:graphicData>
            </a:graphic>
          </wp:inline>
        </w:drawing>
      </w:r>
    </w:p>
    <w:p>
      <w:pPr>
        <w:pStyle w:val="202"/>
        <w:rPr>
          <w:rFonts w:cs="Times New Roman"/>
        </w:rPr>
      </w:pPr>
      <w:r>
        <w:rPr>
          <w:rFonts w:cs="Times New Roman"/>
        </w:rPr>
        <w:t>图6.2.14 抗剪连接示意</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V∙</m:t>
                    </m:r>
                    <m:sSub>
                      <m:sSubPr>
                        <m:ctrlPr>
                          <w:rPr>
                            <w:rFonts w:ascii="Cambria Math" w:hAnsi="Cambria Math" w:cs="Times New Roman"/>
                          </w:rPr>
                        </m:ctrlPr>
                      </m:sSubPr>
                      <m:e>
                        <m:r>
                          <m:rPr>
                            <m:sty m:val="p"/>
                          </m:rPr>
                          <w:rPr>
                            <w:rFonts w:ascii="Cambria Math" w:hAnsi="Cambria Math" w:cs="Times New Roman"/>
                          </w:rPr>
                          <m:t>S</m:t>
                        </m:r>
                        <m:ctrlPr>
                          <w:rPr>
                            <w:rFonts w:ascii="Cambria Math" w:hAnsi="Cambria Math" w:cs="Times New Roman"/>
                          </w:rPr>
                        </m:ctrlPr>
                      </m:e>
                      <m:sub>
                        <m:r>
                          <m:rPr>
                            <m:sty m:val="p"/>
                          </m:rPr>
                          <w:rPr>
                            <w:rFonts w:ascii="Cambria Math" w:hAnsi="Cambria Math" w:cs="Times New Roman"/>
                          </w:rPr>
                          <m:t>lx</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l</m:t>
                        </m:r>
                        <m:ctrlPr>
                          <w:rPr>
                            <w:rFonts w:ascii="Cambria Math" w:hAnsi="Cambria Math" w:cs="Times New Roman"/>
                          </w:rPr>
                        </m:ctrlPr>
                      </m:e>
                      <m:sub>
                        <m:r>
                          <m:rPr>
                            <m:sty m:val="p"/>
                          </m:rPr>
                          <w:rPr>
                            <w:rFonts w:ascii="Cambria Math" w:hAnsi="Cambria Math" w:cs="Times New Roman"/>
                          </w:rPr>
                          <m:t>1</m:t>
                        </m:r>
                        <m:ctrlPr>
                          <w:rPr>
                            <w:rFonts w:ascii="Cambria Math" w:hAnsi="Cambria Math" w:cs="Times New Roman"/>
                          </w:rPr>
                        </m:ctrlPr>
                      </m:sub>
                    </m:sSub>
                    <m:ctrlPr>
                      <w:rPr>
                        <w:rFonts w:ascii="Cambria Math" w:hAnsi="Cambria Math" w:cs="Times New Roman"/>
                      </w:rPr>
                    </m:ctrlPr>
                  </m:num>
                  <m:den>
                    <m:sSub>
                      <m:sSubPr>
                        <m:ctrlPr>
                          <w:rPr>
                            <w:rFonts w:ascii="Cambria Math" w:hAnsi="Cambria Math" w:cs="Times New Roman"/>
                          </w:rPr>
                        </m:ctrlPr>
                      </m:sSubPr>
                      <m:e>
                        <m:r>
                          <m:rPr>
                            <m:sty m:val="p"/>
                          </m:rPr>
                          <w:rPr>
                            <w:rFonts w:ascii="Cambria Math" w:hAnsi="Cambria Math" w:cs="Times New Roman"/>
                          </w:rPr>
                          <m:t>I</m:t>
                        </m:r>
                        <m:ctrlPr>
                          <w:rPr>
                            <w:rFonts w:ascii="Cambria Math" w:hAnsi="Cambria Math" w:cs="Times New Roman"/>
                          </w:rPr>
                        </m:ctrlPr>
                      </m:e>
                      <m:sub>
                        <m:r>
                          <m:rPr>
                            <m:sty m:val="p"/>
                          </m:rPr>
                          <w:rPr>
                            <w:rFonts w:ascii="Cambria Math" w:hAnsi="Cambria Math" w:cs="Times New Roman"/>
                          </w:rPr>
                          <m:t>lx</m:t>
                        </m:r>
                        <m:ctrlPr>
                          <w:rPr>
                            <w:rFonts w:ascii="Cambria Math" w:hAnsi="Cambria Math" w:cs="Times New Roman"/>
                          </w:rPr>
                        </m:ctrlPr>
                      </m:sub>
                    </m:sSub>
                    <m:r>
                      <m:rPr>
                        <m:sty m:val="p"/>
                      </m:rPr>
                      <w:rPr>
                        <w:rFonts w:ascii="Cambria Math" w:hAnsi="Cambria Math" w:cs="Times New Roman"/>
                      </w:rPr>
                      <m:t>∙n</m:t>
                    </m:r>
                    <m:ctrlPr>
                      <w:rPr>
                        <w:rFonts w:ascii="Cambria Math" w:hAnsi="Cambria Math" w:cs="Times New Roman"/>
                      </w:rPr>
                    </m:ctrlPr>
                  </m:den>
                </m:f>
              </m:oMath>
            </m:oMathPara>
          </w:p>
        </w:tc>
        <w:tc>
          <w:tcPr>
            <w:tcW w:w="2521" w:type="dxa"/>
            <w:shd w:val="clear" w:color="auto" w:fill="auto"/>
            <w:vAlign w:val="center"/>
          </w:tcPr>
          <w:p>
            <w:pPr>
              <w:spacing w:line="360" w:lineRule="auto"/>
              <w:jc w:val="right"/>
              <w:rPr>
                <w:rFonts w:ascii="Times New Roman" w:hAnsi="Times New Roman" w:cs="Times New Roman"/>
                <w:kern w:val="2"/>
              </w:rPr>
            </w:pPr>
            <w:r>
              <w:rPr>
                <w:rFonts w:ascii="Times New Roman" w:hAnsi="Times New Roman" w:cs="Times New Roman"/>
                <w:kern w:val="2"/>
              </w:rPr>
              <w:t>（6.2.14-3）</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r>
                          <m:rPr>
                            <m:sty m:val="p"/>
                          </m:rPr>
                          <w:rPr>
                            <w:rFonts w:ascii="Cambria Math" w:hAnsi="Cambria Math" w:cs="Times New Roman"/>
                          </w:rPr>
                          <m:t>l</m:t>
                        </m:r>
                        <m:ctrlPr>
                          <w:rPr>
                            <w:rFonts w:ascii="Cambria Math" w:hAnsi="Cambria Math" w:cs="Times New Roman"/>
                          </w:rPr>
                        </m:ctrlPr>
                      </m:sub>
                    </m:sSub>
                    <m:ctrlPr>
                      <w:rPr>
                        <w:rFonts w:ascii="Cambria Math" w:hAnsi="Cambria Math" w:cs="Times New Roman"/>
                      </w:rPr>
                    </m:ctrlPr>
                  </m:num>
                  <m:den>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r>
                          <m:rPr>
                            <m:sty m:val="p"/>
                          </m:rPr>
                          <w:rPr>
                            <w:rFonts w:ascii="Cambria Math" w:hAnsi="Cambria Math" w:cs="Times New Roman"/>
                          </w:rPr>
                          <m:t>g</m:t>
                        </m:r>
                        <m:ctrlPr>
                          <w:rPr>
                            <w:rFonts w:ascii="Cambria Math" w:hAnsi="Cambria Math" w:cs="Times New Roman"/>
                          </w:rPr>
                        </m:ctrlPr>
                      </m:sub>
                    </m:sSub>
                    <m:ctrlPr>
                      <w:rPr>
                        <w:rFonts w:ascii="Cambria Math" w:hAnsi="Cambria Math" w:cs="Times New Roman"/>
                      </w:rPr>
                    </m:ctrlPr>
                  </m:den>
                </m:f>
              </m:oMath>
            </m:oMathPara>
          </w:p>
        </w:tc>
        <w:tc>
          <w:tcPr>
            <w:tcW w:w="2521" w:type="dxa"/>
            <w:shd w:val="clear" w:color="auto" w:fill="auto"/>
            <w:vAlign w:val="center"/>
          </w:tcPr>
          <w:p>
            <w:pPr>
              <w:spacing w:line="360" w:lineRule="auto"/>
              <w:jc w:val="right"/>
              <w:rPr>
                <w:rFonts w:ascii="Times New Roman" w:hAnsi="Times New Roman" w:cs="Times New Roman"/>
                <w:kern w:val="2"/>
              </w:rPr>
            </w:pPr>
            <w:r>
              <w:rPr>
                <w:rFonts w:ascii="Times New Roman" w:hAnsi="Times New Roman" w:cs="Times New Roman"/>
                <w:kern w:val="2"/>
              </w:rPr>
              <w:t>（6.2.14-4）</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y</m:t>
                    </m:r>
                    <m:ctrlPr>
                      <w:rPr>
                        <w:rFonts w:ascii="Cambria Math" w:hAnsi="Cambria Math" w:cs="Times New Roman"/>
                        <w:i/>
                      </w:rPr>
                    </m:ctrlPr>
                  </m:e>
                  <m:sub>
                    <m:r>
                      <m:rPr/>
                      <w:rPr>
                        <w:rFonts w:ascii="Cambria Math" w:hAnsi="Cambria Math" w:cs="Times New Roman"/>
                      </w:rPr>
                      <m:t>l0</m:t>
                    </m:r>
                    <m:ctrlPr>
                      <w:rPr>
                        <w:rFonts w:ascii="Cambria Math" w:hAnsi="Cambria Math" w:cs="Times New Roman"/>
                        <w:i/>
                      </w:rPr>
                    </m:ctrlP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g0</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h</m:t>
                        </m:r>
                        <m:ctrlPr>
                          <w:rPr>
                            <w:rFonts w:ascii="Cambria Math" w:hAnsi="Cambria Math" w:cs="Times New Roman"/>
                          </w:rPr>
                        </m:ctrlPr>
                      </m:e>
                      <m:sub>
                        <m:r>
                          <m:rPr>
                            <m:sty m:val="p"/>
                          </m:rPr>
                          <w:rPr>
                            <w:rFonts w:ascii="Cambria Math" w:hAnsi="Cambria Math" w:cs="Times New Roman"/>
                          </w:rPr>
                          <m:t>0</m:t>
                        </m:r>
                        <m:ctrlPr>
                          <w:rPr>
                            <w:rFonts w:ascii="Cambria Math" w:hAnsi="Cambria Math" w:cs="Times New Roman"/>
                          </w:rPr>
                        </m:ctrlPr>
                      </m:sub>
                    </m:sSub>
                    <m:ctrlPr>
                      <w:rPr>
                        <w:rFonts w:ascii="Cambria Math" w:hAnsi="Cambria Math" w:cs="Times New Roman"/>
                      </w:rPr>
                    </m:ctrlPr>
                  </m:num>
                  <m:den>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l0</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g0</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ctrlPr>
                      <w:rPr>
                        <w:rFonts w:ascii="Cambria Math" w:hAnsi="Cambria Math" w:cs="Times New Roman"/>
                      </w:rPr>
                    </m:ctrlPr>
                  </m:den>
                </m:f>
              </m:oMath>
            </m:oMathPara>
          </w:p>
        </w:tc>
        <w:tc>
          <w:tcPr>
            <w:tcW w:w="2521" w:type="dxa"/>
            <w:shd w:val="clear" w:color="auto" w:fill="auto"/>
            <w:vAlign w:val="center"/>
          </w:tcPr>
          <w:p>
            <w:pPr>
              <w:spacing w:line="360" w:lineRule="auto"/>
              <w:jc w:val="right"/>
              <w:rPr>
                <w:rFonts w:ascii="Times New Roman" w:hAnsi="Times New Roman" w:cs="Times New Roman"/>
                <w:kern w:val="2"/>
              </w:rPr>
            </w:pPr>
            <w:r>
              <w:rPr>
                <w:rFonts w:ascii="Times New Roman" w:hAnsi="Times New Roman" w:cs="Times New Roman"/>
                <w:kern w:val="2"/>
              </w:rPr>
              <w:t>（6.2.14-5）</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S</m:t>
                    </m:r>
                    <m:ctrlPr>
                      <w:rPr>
                        <w:rFonts w:ascii="Cambria Math" w:hAnsi="Cambria Math" w:cs="Times New Roman"/>
                      </w:rPr>
                    </m:ctrlPr>
                  </m:e>
                  <m:sub>
                    <m:r>
                      <m:rPr>
                        <m:sty m:val="p"/>
                      </m:rPr>
                      <w:rPr>
                        <w:rFonts w:ascii="Cambria Math" w:hAnsi="Cambria Math" w:cs="Times New Roman"/>
                      </w:rPr>
                      <m:t>lx</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l0</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y</m:t>
                    </m:r>
                    <m:ctrlPr>
                      <w:rPr>
                        <w:rFonts w:ascii="Cambria Math" w:hAnsi="Cambria Math" w:cs="Times New Roman"/>
                      </w:rPr>
                    </m:ctrlPr>
                  </m:e>
                  <m:sub>
                    <m:r>
                      <m:rPr>
                        <m:sty m:val="p"/>
                      </m:rPr>
                      <w:rPr>
                        <w:rFonts w:ascii="Cambria Math" w:hAnsi="Cambria Math" w:cs="Times New Roman"/>
                      </w:rPr>
                      <m:t>l0</m:t>
                    </m:r>
                    <m:ctrlPr>
                      <w:rPr>
                        <w:rFonts w:ascii="Cambria Math" w:hAnsi="Cambria Math" w:cs="Times New Roman"/>
                      </w:rPr>
                    </m:ctrlPr>
                  </m:sub>
                </m:sSub>
              </m:oMath>
            </m:oMathPara>
          </w:p>
        </w:tc>
        <w:tc>
          <w:tcPr>
            <w:tcW w:w="2521" w:type="dxa"/>
            <w:shd w:val="clear" w:color="auto" w:fill="auto"/>
            <w:vAlign w:val="center"/>
          </w:tcPr>
          <w:p>
            <w:pPr>
              <w:spacing w:line="360" w:lineRule="auto"/>
              <w:jc w:val="right"/>
              <w:rPr>
                <w:rFonts w:ascii="Times New Roman" w:hAnsi="Times New Roman" w:cs="Times New Roman"/>
                <w:kern w:val="2"/>
              </w:rPr>
            </w:pPr>
            <w:r>
              <w:rPr>
                <w:rFonts w:ascii="Times New Roman" w:hAnsi="Times New Roman" w:cs="Times New Roman"/>
                <w:kern w:val="2"/>
              </w:rPr>
              <w:t>（6.2.14-6）</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I</m:t>
                    </m:r>
                    <m:ctrlPr>
                      <w:rPr>
                        <w:rFonts w:ascii="Cambria Math" w:hAnsi="Cambria Math" w:cs="Times New Roman"/>
                      </w:rPr>
                    </m:ctrlPr>
                  </m:e>
                  <m:sub>
                    <m:r>
                      <m:rPr>
                        <m:sty m:val="p"/>
                      </m:rPr>
                      <w:rPr>
                        <w:rFonts w:ascii="Cambria Math" w:hAnsi="Cambria Math" w:cs="Times New Roman"/>
                      </w:rPr>
                      <m:t>lx</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I</m:t>
                    </m:r>
                    <m:ctrlPr>
                      <w:rPr>
                        <w:rFonts w:ascii="Cambria Math" w:hAnsi="Cambria Math" w:cs="Times New Roman"/>
                      </w:rPr>
                    </m:ctrlPr>
                  </m:e>
                  <m:sub>
                    <m:r>
                      <m:rPr>
                        <m:sty m:val="p"/>
                      </m:rPr>
                      <w:rPr>
                        <w:rFonts w:ascii="Cambria Math" w:hAnsi="Cambria Math" w:cs="Times New Roman"/>
                      </w:rPr>
                      <m:t>lx0</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l0</m:t>
                    </m:r>
                    <m:ctrlPr>
                      <w:rPr>
                        <w:rFonts w:ascii="Cambria Math" w:hAnsi="Cambria Math" w:cs="Times New Roman"/>
                      </w:rPr>
                    </m:ctrlPr>
                  </m:sub>
                </m:sSub>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y</m:t>
                    </m:r>
                    <m:ctrlPr>
                      <w:rPr>
                        <w:rFonts w:ascii="Cambria Math" w:hAnsi="Cambria Math" w:cs="Times New Roman"/>
                      </w:rPr>
                    </m:ctrlPr>
                  </m:e>
                  <m:sub>
                    <m:r>
                      <m:rPr>
                        <m:sty m:val="p"/>
                      </m:rPr>
                      <w:rPr>
                        <w:rFonts w:ascii="Cambria Math" w:hAnsi="Cambria Math" w:cs="Times New Roman"/>
                      </w:rPr>
                      <m:t>l0</m:t>
                    </m:r>
                    <m:ctrlPr>
                      <w:rPr>
                        <w:rFonts w:ascii="Cambria Math" w:hAnsi="Cambria Math" w:cs="Times New Roman"/>
                      </w:rPr>
                    </m:ctrlPr>
                  </m:sub>
                  <m:sup>
                    <m:r>
                      <m:rPr>
                        <m:sty m:val="p"/>
                      </m:rPr>
                      <w:rPr>
                        <w:rFonts w:ascii="Cambria Math" w:hAnsi="Cambria Math" w:cs="Times New Roman"/>
                      </w:rPr>
                      <m:t>2</m:t>
                    </m:r>
                    <m:ctrlPr>
                      <w:rPr>
                        <w:rFonts w:ascii="Cambria Math" w:hAnsi="Cambria Math" w:cs="Times New Roman"/>
                      </w:rPr>
                    </m:ctrlPr>
                  </m:sup>
                </m:sSubSup>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I</m:t>
                        </m:r>
                        <m:ctrlPr>
                          <w:rPr>
                            <w:rFonts w:ascii="Cambria Math" w:hAnsi="Cambria Math" w:cs="Times New Roman"/>
                          </w:rPr>
                        </m:ctrlPr>
                      </m:e>
                      <m:sub>
                        <m:r>
                          <m:rPr>
                            <m:sty m:val="p"/>
                          </m:rPr>
                          <w:rPr>
                            <w:rFonts w:ascii="Cambria Math" w:hAnsi="Cambria Math" w:cs="Times New Roman"/>
                          </w:rPr>
                          <m:t>gx0</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g0</m:t>
                        </m:r>
                        <m:ctrlPr>
                          <w:rPr>
                            <w:rFonts w:ascii="Cambria Math" w:hAnsi="Cambria Math" w:cs="Times New Roman"/>
                          </w:rPr>
                        </m:ctrlPr>
                      </m:sub>
                    </m:sSub>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h</m:t>
                            </m:r>
                            <m:ctrlPr>
                              <w:rPr>
                                <w:rFonts w:ascii="Cambria Math" w:hAnsi="Cambria Math" w:cs="Times New Roman"/>
                              </w:rPr>
                            </m:ctrlPr>
                          </m:e>
                          <m:sub>
                            <m:r>
                              <m:rPr>
                                <m:sty m:val="p"/>
                              </m:rPr>
                              <w:rPr>
                                <w:rFonts w:ascii="Cambria Math" w:hAnsi="Cambria Math" w:cs="Times New Roman"/>
                              </w:rPr>
                              <m:t>0</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y</m:t>
                            </m:r>
                            <m:ctrlPr>
                              <w:rPr>
                                <w:rFonts w:ascii="Cambria Math" w:hAnsi="Cambria Math" w:cs="Times New Roman"/>
                              </w:rPr>
                            </m:ctrlPr>
                          </m:e>
                          <m:sub>
                            <m:r>
                              <m:rPr>
                                <m:sty m:val="p"/>
                              </m:rPr>
                              <w:rPr>
                                <w:rFonts w:ascii="Cambria Math" w:hAnsi="Cambria Math" w:cs="Times New Roman"/>
                              </w:rPr>
                              <m:t>l0</m:t>
                            </m:r>
                            <m:ctrlPr>
                              <w:rPr>
                                <w:rFonts w:ascii="Cambria Math" w:hAnsi="Cambria Math" w:cs="Times New Roman"/>
                              </w:rPr>
                            </m:ctrlPr>
                          </m:sub>
                        </m:sSub>
                        <m:r>
                          <m:rPr>
                            <m:sty m:val="p"/>
                          </m:rPr>
                          <w:rPr>
                            <w:rFonts w:ascii="Cambria Math" w:hAnsi="Cambria Math" w:cs="Times New Roman"/>
                          </w:rPr>
                          <m:t>)</m:t>
                        </m:r>
                        <m:ctrlPr>
                          <w:rPr>
                            <w:rFonts w:ascii="Cambria Math" w:hAnsi="Cambria Math" w:cs="Times New Roman"/>
                          </w:rPr>
                        </m:ctrlPr>
                      </m:e>
                      <m:sup>
                        <m:r>
                          <m:rPr>
                            <m:sty m:val="p"/>
                          </m:rPr>
                          <w:rPr>
                            <w:rFonts w:ascii="Cambria Math" w:hAnsi="Cambria Math" w:cs="Times New Roman"/>
                          </w:rPr>
                          <m:t>2</m:t>
                        </m:r>
                        <m:ctrlPr>
                          <w:rPr>
                            <w:rFonts w:ascii="Cambria Math" w:hAnsi="Cambria Math" w:cs="Times New Roman"/>
                          </w:rPr>
                        </m:ctrlPr>
                      </m:sup>
                    </m:sSup>
                    <m:ctrlPr>
                      <w:rPr>
                        <w:rFonts w:ascii="Cambria Math" w:hAnsi="Cambria Math" w:cs="Times New Roman"/>
                      </w:rPr>
                    </m:ctrlPr>
                  </m:num>
                  <m:den>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ctrlPr>
                      <w:rPr>
                        <w:rFonts w:ascii="Cambria Math" w:hAnsi="Cambria Math" w:cs="Times New Roman"/>
                      </w:rPr>
                    </m:ctrlPr>
                  </m:den>
                </m:f>
              </m:oMath>
            </m:oMathPara>
          </w:p>
        </w:tc>
        <w:tc>
          <w:tcPr>
            <w:tcW w:w="2521" w:type="dxa"/>
            <w:shd w:val="clear" w:color="auto" w:fill="auto"/>
            <w:vAlign w:val="center"/>
          </w:tcPr>
          <w:p>
            <w:pPr>
              <w:spacing w:line="360" w:lineRule="auto"/>
              <w:jc w:val="right"/>
              <w:rPr>
                <w:rFonts w:ascii="Times New Roman" w:hAnsi="Times New Roman" w:cs="Times New Roman"/>
                <w:kern w:val="2"/>
              </w:rPr>
            </w:pPr>
            <w:r>
              <w:rPr>
                <w:rFonts w:ascii="Times New Roman" w:hAnsi="Times New Roman" w:cs="Times New Roman"/>
                <w:kern w:val="2"/>
              </w:rPr>
              <w:t>（6.2.14-7）</w:t>
            </w:r>
          </w:p>
        </w:tc>
      </w:tr>
    </w:tbl>
    <w:p>
      <w:pPr>
        <w:pStyle w:val="189"/>
      </w:pPr>
    </w:p>
    <w:tbl>
      <w:tblPr>
        <w:tblStyle w:val="37"/>
        <w:tblW w:w="10314" w:type="dxa"/>
        <w:tblInd w:w="0" w:type="dxa"/>
        <w:tblLayout w:type="fixed"/>
        <w:tblCellMar>
          <w:top w:w="0" w:type="dxa"/>
          <w:left w:w="108" w:type="dxa"/>
          <w:bottom w:w="0" w:type="dxa"/>
          <w:right w:w="108" w:type="dxa"/>
        </w:tblCellMar>
      </w:tblPr>
      <w:tblGrid>
        <w:gridCol w:w="1134"/>
        <w:gridCol w:w="534"/>
        <w:gridCol w:w="708"/>
        <w:gridCol w:w="7938"/>
      </w:tblGrid>
      <w:tr>
        <w:tc>
          <w:tcPr>
            <w:tcW w:w="1134" w:type="dxa"/>
          </w:tcPr>
          <w:p>
            <w:pPr>
              <w:spacing w:line="360" w:lineRule="auto"/>
              <w:jc w:val="right"/>
              <w:rPr>
                <w:rFonts w:ascii="Times New Roman" w:hAnsi="Times New Roman" w:cs="Times New Roman"/>
              </w:rPr>
            </w:pPr>
            <w:r>
              <w:rPr>
                <w:rFonts w:ascii="Times New Roman" w:hAnsi="Times New Roman" w:cs="Times New Roman"/>
              </w:rPr>
              <w:t>式中：</w:t>
            </w:r>
          </w:p>
        </w:tc>
        <w:tc>
          <w:tcPr>
            <w:tcW w:w="534" w:type="dxa"/>
            <w:shd w:val="clear" w:color="auto" w:fill="auto"/>
          </w:tcPr>
          <w:p>
            <w:pPr>
              <w:spacing w:line="360" w:lineRule="auto"/>
              <w:jc w:val="right"/>
              <w:rPr>
                <w:rFonts w:ascii="Times New Roman" w:hAnsi="Times New Roman" w:cs="Times New Roman"/>
              </w:rPr>
            </w:pPr>
            <m:oMathPara>
              <m:oMathParaPr>
                <m:jc m:val="right"/>
              </m:oMathParaPr>
              <m:oMath>
                <m:r>
                  <m:rPr>
                    <m:sty m:val="p"/>
                  </m:rPr>
                  <w:rPr>
                    <w:rFonts w:ascii="Cambria Math" w:hAnsi="Cambria Math" w:cs="Times New Roman"/>
                  </w:rPr>
                  <m:t>V</m:t>
                </m:r>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作用在钢铝截面上的剪力值</w:t>
            </w:r>
            <w:r>
              <w:rPr>
                <w:rFonts w:hint="eastAsia"/>
                <w:lang w:eastAsia="zh-CN"/>
              </w:rPr>
              <w:t>（</w:t>
            </w:r>
            <w:r>
              <w:t>N)；</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m:sty m:val="p"/>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l0</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铝合金型材截面积</w:t>
            </w:r>
            <w:r>
              <w:rPr>
                <w:rFonts w:hint="eastAsia"/>
                <w:lang w:eastAsia="zh-CN"/>
              </w:rPr>
              <w:t>（</w:t>
            </w:r>
            <w:r>
              <w:t>mm</w:t>
            </w:r>
            <w:r>
              <w:rPr>
                <w:vertAlign w:val="superscript"/>
              </w:rPr>
              <w:t>2</w:t>
            </w:r>
            <w:r>
              <w:t>)；</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i/>
              </w:rPr>
            </w:pPr>
            <m:oMathPara>
              <m:oMathParaPr>
                <m:jc m:val="right"/>
              </m:oMathParaPr>
              <m:oMath>
                <m:sSub>
                  <m:sSubPr>
                    <m:ctrlPr>
                      <w:rPr>
                        <w:rFonts w:ascii="Cambria Math" w:hAnsi="Cambria Math" w:cs="Times New Roman"/>
                      </w:rPr>
                    </m:ctrlPr>
                  </m:sSubPr>
                  <m:e>
                    <m:r>
                      <m:rPr>
                        <m:sty m:val="p"/>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g0</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钢型材截面积</w:t>
            </w:r>
            <w:r>
              <w:rPr>
                <w:rFonts w:hint="eastAsia"/>
                <w:lang w:eastAsia="zh-CN"/>
              </w:rPr>
              <w:t>（</w:t>
            </w:r>
            <w:r>
              <w:t>mm</w:t>
            </w:r>
            <w:r>
              <w:rPr>
                <w:vertAlign w:val="superscript"/>
              </w:rPr>
              <w:t>2</w:t>
            </w:r>
            <w:r>
              <w:t>)；</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i/>
              </w:rPr>
            </w:pPr>
            <m:oMathPara>
              <m:oMathParaPr>
                <m:jc m:val="right"/>
              </m:oMathParaPr>
              <m:oMath>
                <m:sSub>
                  <m:sSubPr>
                    <m:ctrlPr>
                      <w:rPr>
                        <w:rFonts w:ascii="Cambria Math" w:hAnsi="Cambria Math" w:cs="Times New Roman"/>
                      </w:rPr>
                    </m:ctrlPr>
                  </m:sSubPr>
                  <m:e>
                    <m:r>
                      <m:rPr>
                        <m:sty m:val="p"/>
                      </m:rPr>
                      <w:rPr>
                        <w:rFonts w:ascii="Cambria Math" w:hAnsi="Cambria Math" w:cs="Times New Roman"/>
                      </w:rPr>
                      <m:t>I</m:t>
                    </m:r>
                    <m:ctrlPr>
                      <w:rPr>
                        <w:rFonts w:ascii="Cambria Math" w:hAnsi="Cambria Math" w:cs="Times New Roman"/>
                      </w:rPr>
                    </m:ctrlPr>
                  </m:e>
                  <m:sub>
                    <m:r>
                      <m:rPr>
                        <m:sty m:val="p"/>
                      </m:rPr>
                      <w:rPr>
                        <w:rFonts w:ascii="Cambria Math" w:hAnsi="Cambria Math" w:cs="Times New Roman"/>
                      </w:rPr>
                      <m:t>lx0</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铝合金型材截面惯性矩</w:t>
            </w:r>
            <w:r>
              <w:rPr>
                <w:rFonts w:hint="eastAsia"/>
                <w:lang w:eastAsia="zh-CN"/>
              </w:rPr>
              <w:t>（</w:t>
            </w:r>
            <w:r>
              <w:t>mm</w:t>
            </w:r>
            <w:r>
              <w:rPr>
                <w:vertAlign w:val="superscript"/>
              </w:rPr>
              <w:t>4</w:t>
            </w:r>
            <w:r>
              <w:t>)；</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m:sty m:val="p"/>
                      </m:rPr>
                      <w:rPr>
                        <w:rFonts w:ascii="Cambria Math" w:hAnsi="Cambria Math" w:cs="Times New Roman"/>
                      </w:rPr>
                      <m:t>I</m:t>
                    </m:r>
                    <m:ctrlPr>
                      <w:rPr>
                        <w:rFonts w:ascii="Cambria Math" w:hAnsi="Cambria Math" w:cs="Times New Roman"/>
                      </w:rPr>
                    </m:ctrlPr>
                  </m:e>
                  <m:sub>
                    <m:r>
                      <m:rPr>
                        <m:sty m:val="p"/>
                      </m:rPr>
                      <w:rPr>
                        <w:rFonts w:ascii="Cambria Math" w:hAnsi="Cambria Math" w:cs="Times New Roman"/>
                      </w:rPr>
                      <m:t>gx0</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钢型材截面惯性矩</w:t>
            </w:r>
            <w:r>
              <w:rPr>
                <w:rFonts w:hint="eastAsia"/>
                <w:lang w:eastAsia="zh-CN"/>
              </w:rPr>
              <w:t>（</w:t>
            </w:r>
            <w:r>
              <w:t>mm</w:t>
            </w:r>
            <w:r>
              <w:rPr>
                <w:vertAlign w:val="superscript"/>
              </w:rPr>
              <w:t>4</w:t>
            </w:r>
            <w:r>
              <w:t>)；</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i/>
              </w:rPr>
            </w:pPr>
            <m:oMathPara>
              <m:oMathParaPr>
                <m:jc m:val="right"/>
              </m:oMathParaP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r>
                      <m:rPr>
                        <m:sty m:val="p"/>
                      </m:rPr>
                      <w:rPr>
                        <w:rFonts w:ascii="Cambria Math" w:hAnsi="Cambria Math" w:cs="Times New Roman"/>
                      </w:rPr>
                      <m:t>l</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铝合金弹性模量</w:t>
            </w:r>
            <w:r>
              <w:rPr>
                <w:rFonts w:hint="eastAsia"/>
                <w:lang w:eastAsia="zh-CN"/>
              </w:rPr>
              <w:t>（</w:t>
            </w:r>
            <w:r>
              <w:t>N/mm</w:t>
            </w:r>
            <w:r>
              <w:rPr>
                <w:vertAlign w:val="superscript"/>
              </w:rPr>
              <w:t>2</w:t>
            </w:r>
            <w:r>
              <w:t>)；</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bCs/>
              </w:rPr>
            </w:pPr>
            <m:oMathPara>
              <m:oMathParaPr>
                <m:jc m:val="right"/>
              </m:oMathParaP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r>
                      <m:rPr>
                        <m:sty m:val="p"/>
                      </m:rPr>
                      <w:rPr>
                        <w:rFonts w:ascii="Cambria Math" w:hAnsi="Cambria Math" w:cs="Times New Roman"/>
                      </w:rPr>
                      <m:t>g</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钢弹性模量</w:t>
            </w:r>
            <w:r>
              <w:rPr>
                <w:rFonts w:hint="eastAsia"/>
                <w:lang w:eastAsia="zh-CN"/>
              </w:rPr>
              <w:t>（</w:t>
            </w:r>
            <w:r>
              <w:t>N/mm</w:t>
            </w:r>
            <w:r>
              <w:rPr>
                <w:vertAlign w:val="superscript"/>
              </w:rPr>
              <w:t>2</w:t>
            </w:r>
            <w:r>
              <w:t>)；</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y</m:t>
                    </m:r>
                    <m:ctrlPr>
                      <w:rPr>
                        <w:rFonts w:ascii="Cambria Math" w:hAnsi="Cambria Math" w:cs="Times New Roman"/>
                        <w:i/>
                      </w:rPr>
                    </m:ctrlPr>
                  </m:e>
                  <m:sub>
                    <m:r>
                      <m:rPr/>
                      <w:rPr>
                        <w:rFonts w:ascii="Cambria Math" w:hAnsi="Cambria Math" w:cs="Times New Roman"/>
                      </w:rPr>
                      <m:t>l0</m:t>
                    </m:r>
                    <m:ctrlPr>
                      <w:rPr>
                        <w:rFonts w:ascii="Cambria Math" w:hAnsi="Cambria Math" w:cs="Times New Roman"/>
                        <w:i/>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铝合金型材形心与钢铝截面形心距离</w:t>
            </w:r>
            <w:r>
              <w:rPr>
                <w:rFonts w:hint="eastAsia"/>
                <w:lang w:eastAsia="zh-CN"/>
              </w:rPr>
              <w:t>（</w:t>
            </w:r>
            <w:r>
              <w:t>mm)；</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5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m:sty m:val="p"/>
                      </m:rPr>
                      <w:rPr>
                        <w:rFonts w:ascii="Cambria Math" w:hAnsi="Cambria Math" w:cs="Times New Roman"/>
                      </w:rPr>
                      <m:t>h</m:t>
                    </m:r>
                    <m:ctrlPr>
                      <w:rPr>
                        <w:rFonts w:ascii="Cambria Math" w:hAnsi="Cambria Math" w:cs="Times New Roman"/>
                      </w:rPr>
                    </m:ctrlPr>
                  </m:e>
                  <m:sub>
                    <m:r>
                      <m:rPr>
                        <m:sty m:val="p"/>
                      </m:rPr>
                      <w:rPr>
                        <w:rFonts w:ascii="Cambria Math" w:hAnsi="Cambria Math" w:cs="Times New Roman"/>
                      </w:rPr>
                      <m:t>0</m:t>
                    </m:r>
                    <m:ctrlPr>
                      <w:rPr>
                        <w:rFonts w:ascii="Cambria Math" w:hAnsi="Cambria Math" w:cs="Times New Roman"/>
                      </w:rPr>
                    </m:ctrlPr>
                  </m:sub>
                </m:sSub>
              </m:oMath>
            </m:oMathPara>
          </w:p>
        </w:tc>
        <w:tc>
          <w:tcPr>
            <w:tcW w:w="708"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铝合金型材形心与钢型材形心距离</w:t>
            </w:r>
            <w:r>
              <w:rPr>
                <w:rFonts w:hint="eastAsia"/>
                <w:lang w:eastAsia="zh-CN"/>
              </w:rPr>
              <w:t>（</w:t>
            </w:r>
            <w:r>
              <w:t>mm)。</w:t>
            </w:r>
          </w:p>
        </w:tc>
      </w:tr>
    </w:tbl>
    <w:p>
      <w:pPr>
        <w:pStyle w:val="188"/>
        <w:ind w:firstLine="482"/>
        <w:rPr>
          <w:rFonts w:cs="Times New Roman"/>
        </w:rPr>
      </w:pPr>
      <w:r>
        <w:rPr>
          <w:rFonts w:cs="Times New Roman"/>
          <w:b/>
          <w:bCs w:val="0"/>
        </w:rPr>
        <w:t>4</w:t>
      </w:r>
      <w:r>
        <w:rPr>
          <w:rFonts w:cs="Times New Roman"/>
        </w:rPr>
        <w:t xml:space="preserve"> 钢铝组合截面立柱的挠度限值按钢型材取用。</w:t>
      </w:r>
    </w:p>
    <w:p>
      <w:pPr>
        <w:pStyle w:val="200"/>
      </w:pPr>
      <w:r>
        <w:rPr>
          <w:b/>
        </w:rPr>
        <w:t xml:space="preserve">6.2.15 </w:t>
      </w:r>
      <w:r>
        <w:t>单元式幕墙相邻两单元间采用对接式组合构件时，对接处横梁与立柱应分别按其所承受的荷载和作用计算。</w:t>
      </w:r>
    </w:p>
    <w:p>
      <w:pPr>
        <w:pStyle w:val="200"/>
      </w:pPr>
      <w:r>
        <w:rPr>
          <w:b/>
        </w:rPr>
        <w:t xml:space="preserve">6.2.16 </w:t>
      </w:r>
      <w:r>
        <w:t>单元式幕墙采用插接式组合构件设计时，立柱的荷载分配：</w:t>
      </w:r>
    </w:p>
    <w:p>
      <w:pPr>
        <w:pStyle w:val="188"/>
        <w:ind w:firstLine="482"/>
        <w:rPr>
          <w:rFonts w:cs="Times New Roman"/>
        </w:rPr>
      </w:pPr>
      <w:r>
        <w:rPr>
          <w:rFonts w:cs="Times New Roman"/>
          <w:b/>
          <w:bCs w:val="0"/>
        </w:rPr>
        <w:t>1</w:t>
      </w:r>
      <w:r>
        <w:rPr>
          <w:rFonts w:cs="Times New Roman"/>
        </w:rPr>
        <w:t xml:space="preserve"> 左、右立柱间有确保协同变形的构造措施，可根据下式进行荷载分配后按各自承担的荷载及作用分别计算。</w:t>
      </w:r>
    </w:p>
    <w:tbl>
      <w:tblPr>
        <w:tblStyle w:val="37"/>
        <w:tblW w:w="5000" w:type="pct"/>
        <w:jc w:val="right"/>
        <w:tblLayout w:type="fixed"/>
        <w:tblCellMar>
          <w:top w:w="0" w:type="dxa"/>
          <w:left w:w="108" w:type="dxa"/>
          <w:bottom w:w="0" w:type="dxa"/>
          <w:right w:w="108" w:type="dxa"/>
        </w:tblCellMar>
      </w:tblPr>
      <w:tblGrid>
        <w:gridCol w:w="1094"/>
        <w:gridCol w:w="1147"/>
        <w:gridCol w:w="738"/>
        <w:gridCol w:w="3705"/>
        <w:gridCol w:w="2671"/>
        <w:gridCol w:w="499"/>
      </w:tblGrid>
      <w:tr>
        <w:tblPrEx>
          <w:tblCellMar>
            <w:top w:w="0" w:type="dxa"/>
            <w:left w:w="108" w:type="dxa"/>
            <w:bottom w:w="0" w:type="dxa"/>
            <w:right w:w="108" w:type="dxa"/>
          </w:tblCellMar>
        </w:tblPrEx>
        <w:trPr>
          <w:gridAfter w:val="1"/>
          <w:wAfter w:w="906" w:type="dxa"/>
          <w:jc w:val="right"/>
        </w:trPr>
        <w:tc>
          <w:tcPr>
            <w:tcW w:w="6393" w:type="dxa"/>
            <w:gridSpan w:val="4"/>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1K</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ctrlPr>
                      <w:rPr>
                        <w:rFonts w:ascii="Cambria Math" w:hAnsi="Cambria Math" w:cs="Times New Roman"/>
                        <w:i/>
                      </w:rPr>
                    </m:ctrlPr>
                  </m:den>
                </m:f>
              </m:oMath>
            </m:oMathPara>
          </w:p>
        </w:tc>
        <w:tc>
          <w:tcPr>
            <w:tcW w:w="2555"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kern w:val="2"/>
              </w:rPr>
              <w:t>（6.2.16-1）</w:t>
            </w:r>
          </w:p>
        </w:tc>
      </w:tr>
      <w:tr>
        <w:tblPrEx>
          <w:tblCellMar>
            <w:top w:w="0" w:type="dxa"/>
            <w:left w:w="108" w:type="dxa"/>
            <w:bottom w:w="0" w:type="dxa"/>
            <w:right w:w="108" w:type="dxa"/>
          </w:tblCellMar>
        </w:tblPrEx>
        <w:trPr>
          <w:gridAfter w:val="1"/>
          <w:wAfter w:w="906" w:type="dxa"/>
          <w:jc w:val="right"/>
        </w:trPr>
        <w:tc>
          <w:tcPr>
            <w:tcW w:w="6393" w:type="dxa"/>
            <w:gridSpan w:val="4"/>
            <w:shd w:val="clear" w:color="auto" w:fill="auto"/>
            <w:vAlign w:val="center"/>
          </w:tcPr>
          <w:p>
            <w:pPr>
              <w:spacing w:line="360" w:lineRule="auto"/>
              <w:jc w:val="center"/>
              <w:rPr>
                <w:rFonts w:ascii="Cambria Math" w:hAnsi="Cambria Math" w:cs="Times New Roman"/>
                <w:oMath/>
              </w:rPr>
            </w:pPr>
            <m:oMathPara>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2K</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ctrlPr>
                      <w:rPr>
                        <w:rFonts w:ascii="Cambria Math" w:hAnsi="Cambria Math" w:cs="Times New Roman"/>
                        <w:i/>
                      </w:rPr>
                    </m:ctrlPr>
                  </m:den>
                </m:f>
              </m:oMath>
            </m:oMathPara>
          </w:p>
        </w:tc>
        <w:tc>
          <w:tcPr>
            <w:tcW w:w="2555"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kern w:val="2"/>
              </w:rPr>
              <w:t>（6.2.16-2）</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r>
              <w:rPr>
                <w:rFonts w:ascii="Times New Roman" w:hAnsi="Times New Roman" w:cs="Times New Roman"/>
              </w:rPr>
              <w:t>式中：</w:t>
            </w:r>
          </w:p>
        </w:tc>
        <w:tc>
          <w:tcPr>
            <w:tcW w:w="114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w:rPr>
                        <w:rFonts w:ascii="Cambria Math" w:hAnsi="Cambria Math" w:cs="Times New Roman"/>
                      </w:rPr>
                      <m:t>q</m:t>
                    </m:r>
                    <m:ctrlPr>
                      <w:rPr>
                        <w:rFonts w:ascii="Cambria Math" w:hAnsi="Cambria Math" w:cs="Times New Roman"/>
                      </w:rPr>
                    </m:ctrlPr>
                  </m:e>
                  <m:sub>
                    <m:r>
                      <m:rPr/>
                      <w:rPr>
                        <w:rFonts w:ascii="Cambria Math" w:hAnsi="Cambria Math" w:cs="Times New Roman"/>
                      </w:rPr>
                      <m:t>k</m:t>
                    </m:r>
                    <m:ctrlPr>
                      <w:rPr>
                        <w:rFonts w:ascii="Cambria Math" w:hAnsi="Cambria Math" w:cs="Times New Roman"/>
                      </w:rPr>
                    </m:ctrlPr>
                  </m:sub>
                </m:sSub>
              </m:oMath>
            </m:oMathPara>
          </w:p>
        </w:tc>
        <w:tc>
          <w:tcPr>
            <w:tcW w:w="734"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6885" w:type="dxa"/>
            <w:gridSpan w:val="3"/>
            <w:shd w:val="clear" w:color="auto" w:fill="auto"/>
          </w:tcPr>
          <w:p>
            <w:pPr>
              <w:pStyle w:val="189"/>
            </w:pPr>
            <w:r>
              <w:t>作用在单元组合立柱上的线荷载标准值</w:t>
            </w:r>
            <w:r>
              <w:rPr>
                <w:rFonts w:hint="eastAsia"/>
                <w:lang w:eastAsia="zh-CN"/>
              </w:rPr>
              <w:t>（</w:t>
            </w:r>
            <w:r>
              <w:t>N/mm)；</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114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w:rPr>
                        <w:rFonts w:ascii="Cambria Math" w:hAnsi="Cambria Math" w:cs="Times New Roman"/>
                      </w:rPr>
                      <m:t>q</m:t>
                    </m:r>
                    <m:ctrlPr>
                      <w:rPr>
                        <w:rFonts w:ascii="Cambria Math" w:hAnsi="Cambria Math" w:cs="Times New Roman"/>
                      </w:rPr>
                    </m:ctrlPr>
                  </m:e>
                  <m:sub>
                    <m:r>
                      <m:rPr/>
                      <w:rPr>
                        <w:rFonts w:ascii="Cambria Math" w:hAnsi="Cambria Math" w:cs="Times New Roman"/>
                      </w:rPr>
                      <m:t>1k</m:t>
                    </m:r>
                    <m:ctrlPr>
                      <w:rPr>
                        <w:rFonts w:ascii="Cambria Math" w:hAnsi="Cambria Math" w:cs="Times New Roman"/>
                      </w:rPr>
                    </m:ctrlPr>
                  </m:sub>
                </m:sSub>
                <m:r>
                  <m:rPr/>
                  <w:rPr>
                    <w:rFonts w:ascii="Cambria Math" w:hAnsi="Cambria Math" w:cs="Times New Roman"/>
                  </w:rPr>
                  <m:t>、</m:t>
                </m:r>
                <m:sSub>
                  <m:sSubPr>
                    <m:ctrlPr>
                      <w:rPr>
                        <w:rFonts w:ascii="Cambria Math" w:hAnsi="Cambria Math" w:cs="Times New Roman"/>
                      </w:rPr>
                    </m:ctrlPr>
                  </m:sSubPr>
                  <m:e>
                    <m:r>
                      <m:rPr/>
                      <w:rPr>
                        <w:rFonts w:ascii="Cambria Math" w:hAnsi="Cambria Math" w:cs="Times New Roman"/>
                      </w:rPr>
                      <m:t>q</m:t>
                    </m:r>
                    <m:ctrlPr>
                      <w:rPr>
                        <w:rFonts w:ascii="Cambria Math" w:hAnsi="Cambria Math" w:cs="Times New Roman"/>
                      </w:rPr>
                    </m:ctrlPr>
                  </m:e>
                  <m:sub>
                    <m:r>
                      <m:rPr/>
                      <w:rPr>
                        <w:rFonts w:ascii="Cambria Math" w:hAnsi="Cambria Math" w:cs="Times New Roman"/>
                      </w:rPr>
                      <m:t>2k</m:t>
                    </m:r>
                    <m:ctrlPr>
                      <w:rPr>
                        <w:rFonts w:ascii="Cambria Math" w:hAnsi="Cambria Math" w:cs="Times New Roman"/>
                      </w:rPr>
                    </m:ctrlPr>
                  </m:sub>
                </m:sSub>
              </m:oMath>
            </m:oMathPara>
          </w:p>
        </w:tc>
        <w:tc>
          <w:tcPr>
            <w:tcW w:w="734"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6885" w:type="dxa"/>
            <w:gridSpan w:val="3"/>
            <w:shd w:val="clear" w:color="auto" w:fill="auto"/>
          </w:tcPr>
          <w:p>
            <w:pPr>
              <w:pStyle w:val="189"/>
            </w:pPr>
            <w:r>
              <w:t>分配到左、右立柱上的线荷载标准值</w:t>
            </w:r>
            <w:r>
              <w:rPr>
                <w:rFonts w:hint="eastAsia"/>
                <w:lang w:eastAsia="zh-CN"/>
              </w:rPr>
              <w:t>（</w:t>
            </w:r>
            <w:r>
              <w:t>N/mm)；</w:t>
            </w:r>
          </w:p>
        </w:tc>
      </w:tr>
      <w:tr>
        <w:tblPrEx>
          <w:tblCellMar>
            <w:top w:w="0" w:type="dxa"/>
            <w:left w:w="108" w:type="dxa"/>
            <w:bottom w:w="0" w:type="dxa"/>
            <w:right w:w="108" w:type="dxa"/>
          </w:tblCellMar>
        </w:tblPrEx>
        <w:tc>
          <w:tcPr>
            <w:tcW w:w="1091" w:type="dxa"/>
          </w:tcPr>
          <w:p>
            <w:pPr>
              <w:spacing w:line="360" w:lineRule="auto"/>
              <w:jc w:val="right"/>
              <w:rPr>
                <w:rFonts w:ascii="Times New Roman" w:hAnsi="Times New Roman" w:cs="Times New Roman"/>
              </w:rPr>
            </w:pPr>
          </w:p>
        </w:tc>
        <w:tc>
          <w:tcPr>
            <w:tcW w:w="1144" w:type="dxa"/>
            <w:shd w:val="clear" w:color="auto" w:fill="auto"/>
          </w:tcPr>
          <w:p>
            <w:pPr>
              <w:spacing w:line="360" w:lineRule="auto"/>
              <w:jc w:val="right"/>
              <w:rPr>
                <w:rFonts w:ascii="Times New Roman" w:hAnsi="Times New Roman" w:cs="Times New Roman"/>
                <w:bCs/>
                <w:i/>
              </w:rPr>
            </w:pPr>
            <m:oMathPara>
              <m:oMathParaPr>
                <m:jc m:val="right"/>
              </m:oMathParaPr>
              <m:oMath>
                <m:sSub>
                  <m:sSubPr>
                    <m:ctrlPr>
                      <w:rPr>
                        <w:rFonts w:ascii="Cambria Math" w:hAnsi="Cambria Math" w:cs="Times New Roman"/>
                      </w:rPr>
                    </m:ctrlPr>
                  </m:sSubPr>
                  <m:e>
                    <m:r>
                      <m:rPr/>
                      <w:rPr>
                        <w:rFonts w:ascii="Cambria Math" w:hAnsi="Cambria Math" w:cs="Times New Roman"/>
                      </w:rPr>
                      <m:t>I</m:t>
                    </m:r>
                    <m:ctrlPr>
                      <w:rPr>
                        <w:rFonts w:ascii="Cambria Math" w:hAnsi="Cambria Math" w:cs="Times New Roman"/>
                      </w:rPr>
                    </m:ctrlPr>
                  </m:e>
                  <m:sub>
                    <m:r>
                      <m:rPr/>
                      <w:rPr>
                        <w:rFonts w:ascii="Cambria Math" w:hAnsi="Cambria Math" w:cs="Times New Roman"/>
                      </w:rPr>
                      <m:t>1</m:t>
                    </m:r>
                    <m:ctrlPr>
                      <w:rPr>
                        <w:rFonts w:ascii="Cambria Math" w:hAnsi="Cambria Math" w:cs="Times New Roman"/>
                      </w:rPr>
                    </m:ctrlPr>
                  </m:sub>
                </m:sSub>
                <m:r>
                  <m:rPr/>
                  <w:rPr>
                    <w:rFonts w:ascii="Cambria Math" w:hAnsi="Cambria Math" w:cs="Times New Roman"/>
                  </w:rPr>
                  <m:t>、</m:t>
                </m:r>
                <m:sSub>
                  <m:sSubPr>
                    <m:ctrlPr>
                      <w:rPr>
                        <w:rFonts w:ascii="Cambria Math" w:hAnsi="Cambria Math" w:cs="Times New Roman"/>
                      </w:rPr>
                    </m:ctrlPr>
                  </m:sSubPr>
                  <m:e>
                    <m:r>
                      <m:rPr/>
                      <w:rPr>
                        <w:rFonts w:ascii="Cambria Math" w:hAnsi="Cambria Math" w:cs="Times New Roman"/>
                      </w:rPr>
                      <m:t>I</m:t>
                    </m:r>
                    <m:ctrlPr>
                      <w:rPr>
                        <w:rFonts w:ascii="Cambria Math" w:hAnsi="Cambria Math" w:cs="Times New Roman"/>
                      </w:rPr>
                    </m:ctrlPr>
                  </m:e>
                  <m:sub>
                    <m:r>
                      <m:rPr/>
                      <w:rPr>
                        <w:rFonts w:ascii="Cambria Math" w:hAnsi="Cambria Math" w:cs="Times New Roman"/>
                      </w:rPr>
                      <m:t>2</m:t>
                    </m:r>
                    <m:ctrlPr>
                      <w:rPr>
                        <w:rFonts w:ascii="Cambria Math" w:hAnsi="Cambria Math" w:cs="Times New Roman"/>
                      </w:rPr>
                    </m:ctrlPr>
                  </m:sub>
                </m:sSub>
              </m:oMath>
            </m:oMathPara>
          </w:p>
        </w:tc>
        <w:tc>
          <w:tcPr>
            <w:tcW w:w="734"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6885" w:type="dxa"/>
            <w:gridSpan w:val="3"/>
            <w:shd w:val="clear" w:color="auto" w:fill="auto"/>
          </w:tcPr>
          <w:p>
            <w:pPr>
              <w:pStyle w:val="189"/>
            </w:pPr>
            <w:r>
              <w:t>左、右立柱沿计算方向的毛截面惯性矩</w:t>
            </w:r>
            <w:r>
              <w:rPr>
                <w:rFonts w:hint="eastAsia"/>
                <w:lang w:eastAsia="zh-CN"/>
              </w:rPr>
              <w:t>（</w:t>
            </w:r>
            <w:r>
              <w:t>mm</w:t>
            </w:r>
            <w:r>
              <w:rPr>
                <w:vertAlign w:val="superscript"/>
              </w:rPr>
              <w:t>4</w:t>
            </w:r>
            <w:r>
              <w:t>)。</w:t>
            </w:r>
          </w:p>
        </w:tc>
      </w:tr>
    </w:tbl>
    <w:p>
      <w:pPr>
        <w:pStyle w:val="188"/>
        <w:ind w:firstLine="482"/>
        <w:rPr>
          <w:rFonts w:cs="Times New Roman"/>
        </w:rPr>
      </w:pPr>
      <w:r>
        <w:rPr>
          <w:rFonts w:cs="Times New Roman"/>
          <w:b/>
          <w:bCs w:val="0"/>
        </w:rPr>
        <w:t>2</w:t>
      </w:r>
      <w:r>
        <w:rPr>
          <w:rFonts w:cs="Times New Roman"/>
        </w:rPr>
        <w:t xml:space="preserve"> 左、右立柱间无确保协同变形的构造措施时，应根据各自承担的荷载及作用计算。</w:t>
      </w:r>
    </w:p>
    <w:p>
      <w:pPr>
        <w:pStyle w:val="200"/>
      </w:pPr>
      <w:r>
        <w:rPr>
          <w:b/>
        </w:rPr>
        <w:t xml:space="preserve">6.2.17 </w:t>
      </w:r>
      <w:r>
        <w:t>上、下单元板块的荷载传递应符合下列规定：</w:t>
      </w:r>
    </w:p>
    <w:p>
      <w:pPr>
        <w:pStyle w:val="188"/>
        <w:ind w:firstLine="482"/>
        <w:rPr>
          <w:rFonts w:cs="Times New Roman"/>
        </w:rPr>
      </w:pPr>
      <w:r>
        <w:rPr>
          <w:rFonts w:cs="Times New Roman"/>
          <w:b/>
          <w:bCs w:val="0"/>
        </w:rPr>
        <w:t>1</w:t>
      </w:r>
      <w:r>
        <w:rPr>
          <w:rFonts w:cs="Times New Roman"/>
        </w:rPr>
        <w:t xml:space="preserve"> 复核顶横梁、水槽料承载能力时，应考虑相邻上单元板块传递的荷载。水槽料最小长度可按式6.2.17-1计算，水槽料传递相邻单元板块荷载作用的承载力设计值可按式6.2.17-2计算。</w:t>
      </w:r>
    </w:p>
    <w:p>
      <w:pPr>
        <w:pStyle w:val="202"/>
        <w:rPr>
          <w:rFonts w:cs="Times New Roman"/>
        </w:rPr>
      </w:pPr>
      <w:r>
        <w:rPr>
          <w:rFonts w:cs="Times New Roman"/>
        </w:rPr>
        <w:drawing>
          <wp:inline distT="0" distB="0" distL="0" distR="0">
            <wp:extent cx="2384425" cy="1689100"/>
            <wp:effectExtent l="0" t="0" r="0" b="635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297"/>
                    <a:srcRect b="9666"/>
                    <a:stretch>
                      <a:fillRect/>
                    </a:stretch>
                  </pic:blipFill>
                  <pic:spPr>
                    <a:xfrm>
                      <a:off x="0" y="0"/>
                      <a:ext cx="2406702" cy="1705154"/>
                    </a:xfrm>
                    <a:prstGeom prst="rect">
                      <a:avLst/>
                    </a:prstGeom>
                    <a:noFill/>
                    <a:ln>
                      <a:noFill/>
                    </a:ln>
                  </pic:spPr>
                </pic:pic>
              </a:graphicData>
            </a:graphic>
          </wp:inline>
        </w:drawing>
      </w:r>
    </w:p>
    <w:p>
      <w:pPr>
        <w:pStyle w:val="202"/>
        <w:rPr>
          <w:rFonts w:eastAsia="黑体" w:cs="Times New Roman"/>
          <w:b w:val="0"/>
          <w:bCs/>
        </w:rPr>
      </w:pPr>
      <w:r>
        <w:rPr>
          <w:rFonts w:eastAsia="黑体" w:cs="Times New Roman"/>
          <w:b w:val="0"/>
          <w:bCs/>
        </w:rPr>
        <w:t>图6.2.17 水槽受力示意图</w:t>
      </w:r>
    </w:p>
    <w:tbl>
      <w:tblPr>
        <w:tblStyle w:val="37"/>
        <w:tblW w:w="5000" w:type="pct"/>
        <w:jc w:val="right"/>
        <w:tblLayout w:type="fixed"/>
        <w:tblCellMar>
          <w:top w:w="0" w:type="dxa"/>
          <w:left w:w="108" w:type="dxa"/>
          <w:bottom w:w="0" w:type="dxa"/>
          <w:right w:w="108" w:type="dxa"/>
        </w:tblCellMar>
      </w:tblPr>
      <w:tblGrid>
        <w:gridCol w:w="1092"/>
        <w:gridCol w:w="390"/>
        <w:gridCol w:w="824"/>
        <w:gridCol w:w="4380"/>
        <w:gridCol w:w="2671"/>
        <w:gridCol w:w="498"/>
      </w:tblGrid>
      <w:tr>
        <w:tblPrEx>
          <w:tblCellMar>
            <w:top w:w="0" w:type="dxa"/>
            <w:left w:w="108" w:type="dxa"/>
            <w:bottom w:w="0" w:type="dxa"/>
            <w:right w:w="108" w:type="dxa"/>
          </w:tblCellMar>
        </w:tblPrEx>
        <w:trPr>
          <w:gridAfter w:val="1"/>
          <w:wAfter w:w="953" w:type="dxa"/>
          <w:jc w:val="right"/>
        </w:trPr>
        <w:tc>
          <w:tcPr>
            <w:tcW w:w="6686" w:type="dxa"/>
            <w:gridSpan w:val="4"/>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r>
                  <m:rPr>
                    <m:sty m:val="p"/>
                  </m:rPr>
                  <w:rPr>
                    <w:rFonts w:ascii="Cambria Math" w:hAnsi="Cambria Math" w:cs="Times New Roman"/>
                  </w:rPr>
                  <m:t>=</m:t>
                </m:r>
                <m:r>
                  <m:rPr/>
                  <w:rPr>
                    <w:rFonts w:ascii="Cambria Math" w:hAnsi="Cambria Math" w:cs="Times New Roman"/>
                  </w:rPr>
                  <m:t>d</m:t>
                </m:r>
                <m:r>
                  <m:rPr>
                    <m:sty m:val="p"/>
                  </m:rPr>
                  <w:rPr>
                    <w:rFonts w:ascii="Cambria Math" w:hAnsi="Cambria Math" w:cs="Times New Roman"/>
                  </w:rPr>
                  <m:t>+2</m:t>
                </m:r>
                <m:rad>
                  <m:radPr>
                    <m:degHide m:val="1"/>
                    <m:ctrlPr>
                      <w:rPr>
                        <w:rFonts w:ascii="Cambria Math" w:hAnsi="Cambria Math" w:cs="Times New Roman"/>
                      </w:rPr>
                    </m:ctrlPr>
                  </m:radPr>
                  <m:deg>
                    <m:ctrlPr>
                      <w:rPr>
                        <w:rFonts w:ascii="Cambria Math" w:hAnsi="Cambria Math" w:cs="Times New Roman"/>
                      </w:rPr>
                    </m:ctrlPr>
                  </m:deg>
                  <m:e>
                    <m:r>
                      <m:rPr>
                        <m:sty m:val="p"/>
                      </m:rPr>
                      <w:rPr>
                        <w:rFonts w:ascii="Cambria Math" w:hAnsi="Cambria Math" w:cs="Times New Roman"/>
                      </w:rPr>
                      <m:t>2</m:t>
                    </m:r>
                    <m:ctrlPr>
                      <w:rPr>
                        <w:rFonts w:ascii="Cambria Math" w:hAnsi="Cambria Math" w:cs="Times New Roman"/>
                      </w:rPr>
                    </m:ctrlPr>
                  </m:e>
                </m:rad>
                <m:r>
                  <m:rPr/>
                  <w:rPr>
                    <w:rFonts w:ascii="Cambria Math" w:hAnsi="Cambria Math" w:cs="Times New Roman"/>
                  </w:rPr>
                  <m:t>ℎ</m:t>
                </m:r>
              </m:oMath>
            </m:oMathPara>
          </w:p>
        </w:tc>
        <w:tc>
          <w:tcPr>
            <w:tcW w:w="2675"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kern w:val="2"/>
              </w:rPr>
              <w:t>（6.2.17-1）</w:t>
            </w:r>
          </w:p>
        </w:tc>
      </w:tr>
      <w:tr>
        <w:tblPrEx>
          <w:tblCellMar>
            <w:top w:w="0" w:type="dxa"/>
            <w:left w:w="108" w:type="dxa"/>
            <w:bottom w:w="0" w:type="dxa"/>
            <w:right w:w="108" w:type="dxa"/>
          </w:tblCellMar>
        </w:tblPrEx>
        <w:trPr>
          <w:gridAfter w:val="1"/>
          <w:wAfter w:w="953" w:type="dxa"/>
          <w:jc w:val="right"/>
        </w:trPr>
        <w:tc>
          <w:tcPr>
            <w:tcW w:w="6686" w:type="dxa"/>
            <w:gridSpan w:val="4"/>
            <w:shd w:val="clear" w:color="auto" w:fill="auto"/>
            <w:vAlign w:val="center"/>
          </w:tcPr>
          <w:p>
            <w:pPr>
              <w:spacing w:line="360" w:lineRule="auto"/>
              <w:jc w:val="center"/>
              <w:rPr>
                <w:rFonts w:ascii="Cambria Math" w:hAnsi="Cambria Math" w:cs="Times New Roman"/>
                <w:oMath/>
              </w:rPr>
            </w:pPr>
            <m:oMathPara>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u</m:t>
                    </m:r>
                    <m:ctrlPr>
                      <w:rPr>
                        <w:rFonts w:ascii="Cambria Math" w:hAnsi="Cambria Math" w:cs="Times New Roman"/>
                        <w:i/>
                      </w:rPr>
                    </m:ctrlPr>
                  </m:sub>
                </m:sSub>
                <m:r>
                  <m:rPr>
                    <m:sty m:val="p"/>
                  </m:rPr>
                  <w:rPr>
                    <w:rFonts w:ascii="Cambria Math" w:hAnsi="Cambria Math" w:cs="Times New Roman"/>
                  </w:rPr>
                  <m:t>=(</m:t>
                </m:r>
                <m:rad>
                  <m:radPr>
                    <m:degHide m:val="1"/>
                    <m:ctrlPr>
                      <w:rPr>
                        <w:rFonts w:ascii="Cambria Math" w:hAnsi="Cambria Math" w:cs="Times New Roman"/>
                      </w:rPr>
                    </m:ctrlPr>
                  </m:radPr>
                  <m:deg>
                    <m:ctrlPr>
                      <w:rPr>
                        <w:rFonts w:ascii="Cambria Math" w:hAnsi="Cambria Math" w:cs="Times New Roman"/>
                      </w:rPr>
                    </m:ctrlPr>
                  </m:deg>
                  <m:e>
                    <m:r>
                      <m:rPr>
                        <m:sty m:val="p"/>
                      </m:rPr>
                      <w:rPr>
                        <w:rFonts w:ascii="Cambria Math" w:hAnsi="Cambria Math" w:cs="Times New Roman"/>
                      </w:rPr>
                      <m:t>2</m:t>
                    </m:r>
                    <m:ctrlPr>
                      <w:rPr>
                        <w:rFonts w:ascii="Cambria Math" w:hAnsi="Cambria Math" w:cs="Times New Roman"/>
                      </w:rPr>
                    </m:ctrlPr>
                  </m:e>
                </m:rad>
                <m:r>
                  <m:rPr>
                    <m:sty m:val="p"/>
                  </m:rPr>
                  <w:rPr>
                    <w:rFonts w:ascii="Cambria Math" w:hAnsi="Cambria Math" w:cs="Times New Roman"/>
                  </w:rPr>
                  <m:t>+</m:t>
                </m:r>
                <m:f>
                  <m:fPr>
                    <m:ctrlPr>
                      <w:rPr>
                        <w:rFonts w:ascii="Cambria Math" w:hAnsi="Cambria Math" w:cs="Times New Roman"/>
                      </w:rPr>
                    </m:ctrlPr>
                  </m:fPr>
                  <m:num>
                    <m:r>
                      <m:rPr/>
                      <w:rPr>
                        <w:rFonts w:ascii="Cambria Math" w:hAnsi="Cambria Math" w:cs="Times New Roman"/>
                      </w:rPr>
                      <m:t>d</m:t>
                    </m:r>
                    <m:ctrlPr>
                      <w:rPr>
                        <w:rFonts w:ascii="Cambria Math" w:hAnsi="Cambria Math" w:cs="Times New Roman"/>
                      </w:rPr>
                    </m:ctrlPr>
                  </m:num>
                  <m:den>
                    <m:r>
                      <m:rPr>
                        <m:sty m:val="p"/>
                      </m:rPr>
                      <w:rPr>
                        <w:rFonts w:ascii="Cambria Math" w:hAnsi="Cambria Math" w:cs="Times New Roman"/>
                      </w:rPr>
                      <m:t>4</m:t>
                    </m:r>
                    <m:r>
                      <m:rPr/>
                      <w:rPr>
                        <w:rFonts w:ascii="Cambria Math" w:hAnsi="Cambria Math" w:cs="Times New Roman"/>
                      </w:rPr>
                      <m:t>ℎ</m:t>
                    </m:r>
                    <m:ctrlPr>
                      <w:rPr>
                        <w:rFonts w:ascii="Cambria Math" w:hAnsi="Cambria Math" w:cs="Times New Roman"/>
                      </w:rPr>
                    </m:ctrlPr>
                  </m:den>
                </m:f>
                <m:r>
                  <m:rPr>
                    <m:sty m:val="p"/>
                  </m:rPr>
                  <w:rPr>
                    <w:rFonts w:ascii="Cambria Math" w:hAnsi="Cambria Math" w:cs="Times New Roman"/>
                  </w:rPr>
                  <m:t>)</m:t>
                </m:r>
                <m:sSup>
                  <m:sSupPr>
                    <m:ctrlPr>
                      <w:rPr>
                        <w:rFonts w:ascii="Cambria Math" w:hAnsi="Cambria Math" w:cs="Times New Roman"/>
                      </w:rPr>
                    </m:ctrlPr>
                  </m:sSupPr>
                  <m:e>
                    <m:r>
                      <m:rPr/>
                      <w:rPr>
                        <w:rFonts w:ascii="Cambria Math" w:hAnsi="Cambria Math" w:cs="Times New Roman"/>
                      </w:rPr>
                      <m:t>t</m:t>
                    </m:r>
                    <m:ctrlPr>
                      <w:rPr>
                        <w:rFonts w:ascii="Cambria Math" w:hAnsi="Cambria Math" w:cs="Times New Roman"/>
                      </w:rPr>
                    </m:ctrlPr>
                  </m:e>
                  <m:sup>
                    <m:r>
                      <m:rPr>
                        <m:sty m:val="p"/>
                      </m:rPr>
                      <w:rPr>
                        <w:rFonts w:ascii="Cambria Math" w:hAnsi="Cambria Math" w:cs="Times New Roman"/>
                      </w:rPr>
                      <m:t>2</m:t>
                    </m:r>
                    <m:ctrlPr>
                      <w:rPr>
                        <w:rFonts w:ascii="Cambria Math" w:hAnsi="Cambria Math" w:cs="Times New Roman"/>
                      </w:rPr>
                    </m:ctrlPr>
                  </m:sup>
                </m:sSup>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m:sty m:val="p"/>
                      </m:rPr>
                      <w:rPr>
                        <w:rFonts w:ascii="Cambria Math" w:hAnsi="Cambria Math" w:cs="Times New Roman"/>
                      </w:rPr>
                      <m:t>y</m:t>
                    </m:r>
                    <m:ctrlPr>
                      <w:rPr>
                        <w:rFonts w:ascii="Cambria Math" w:hAnsi="Cambria Math" w:cs="Times New Roman"/>
                      </w:rPr>
                    </m:ctrlPr>
                  </m:sub>
                </m:sSub>
              </m:oMath>
            </m:oMathPara>
          </w:p>
        </w:tc>
        <w:tc>
          <w:tcPr>
            <w:tcW w:w="2675"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kern w:val="2"/>
              </w:rPr>
              <w:t>（6.2.17-2）</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r>
              <w:rPr>
                <w:rFonts w:ascii="Times New Roman" w:hAnsi="Times New Roman" w:cs="Times New Roman"/>
              </w:rPr>
              <w:t>式中：</w:t>
            </w:r>
          </w:p>
        </w:tc>
        <w:tc>
          <w:tcPr>
            <w:tcW w:w="392"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d</m:t>
                </m:r>
              </m:oMath>
            </m:oMathPara>
          </w:p>
        </w:tc>
        <w:tc>
          <w:tcPr>
            <w:tcW w:w="850"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gridSpan w:val="3"/>
            <w:shd w:val="clear" w:color="auto" w:fill="auto"/>
          </w:tcPr>
          <w:p>
            <w:pPr>
              <w:pStyle w:val="189"/>
            </w:pPr>
            <w:r>
              <w:t>公、母立柱插接后宽度</w:t>
            </w:r>
            <w:r>
              <w:rPr>
                <w:rFonts w:hint="eastAsia"/>
                <w:lang w:eastAsia="zh-CN"/>
              </w:rPr>
              <w:t>（</w:t>
            </w:r>
            <w:r>
              <w:t>mm)；</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392"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ℎ</m:t>
                </m:r>
              </m:oMath>
            </m:oMathPara>
          </w:p>
        </w:tc>
        <w:tc>
          <w:tcPr>
            <w:tcW w:w="850"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gridSpan w:val="3"/>
            <w:shd w:val="clear" w:color="auto" w:fill="auto"/>
          </w:tcPr>
          <w:p>
            <w:pPr>
              <w:pStyle w:val="189"/>
            </w:pPr>
            <w:r>
              <w:t>水槽料顶部距底部高度</w:t>
            </w:r>
            <w:r>
              <w:rPr>
                <w:rFonts w:hint="eastAsia"/>
                <w:lang w:eastAsia="zh-CN"/>
              </w:rPr>
              <w:t>（</w:t>
            </w:r>
            <w:r>
              <w:t>mm)；</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392"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t</m:t>
                </m:r>
              </m:oMath>
            </m:oMathPara>
          </w:p>
        </w:tc>
        <w:tc>
          <w:tcPr>
            <w:tcW w:w="850"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gridSpan w:val="3"/>
            <w:shd w:val="clear" w:color="auto" w:fill="auto"/>
          </w:tcPr>
          <w:p>
            <w:pPr>
              <w:pStyle w:val="189"/>
            </w:pPr>
            <w:r>
              <w:t>水槽料底部壁厚</w:t>
            </w:r>
            <w:r>
              <w:rPr>
                <w:rFonts w:hint="eastAsia"/>
                <w:lang w:eastAsia="zh-CN"/>
              </w:rPr>
              <w:t>（</w:t>
            </w:r>
            <w:r>
              <w:t>mm)；</w:t>
            </w:r>
          </w:p>
        </w:tc>
      </w:tr>
      <w:tr>
        <w:tblPrEx>
          <w:tblCellMar>
            <w:top w:w="0" w:type="dxa"/>
            <w:left w:w="108" w:type="dxa"/>
            <w:bottom w:w="0" w:type="dxa"/>
            <w:right w:w="108" w:type="dxa"/>
          </w:tblCellMar>
        </w:tblPrEx>
        <w:tc>
          <w:tcPr>
            <w:tcW w:w="1134" w:type="dxa"/>
          </w:tcPr>
          <w:p>
            <w:pPr>
              <w:spacing w:line="360" w:lineRule="auto"/>
              <w:jc w:val="right"/>
              <w:rPr>
                <w:rFonts w:ascii="Times New Roman" w:hAnsi="Times New Roman" w:cs="Times New Roman"/>
              </w:rPr>
            </w:pPr>
          </w:p>
        </w:tc>
        <w:tc>
          <w:tcPr>
            <w:tcW w:w="392"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m:sty m:val="p"/>
                      </m:rPr>
                      <w:rPr>
                        <w:rFonts w:ascii="Cambria Math" w:hAnsi="Cambria Math" w:cs="Times New Roman"/>
                      </w:rPr>
                      <m:t>y</m:t>
                    </m:r>
                    <m:ctrlPr>
                      <w:rPr>
                        <w:rFonts w:ascii="Cambria Math" w:hAnsi="Cambria Math" w:cs="Times New Roman"/>
                      </w:rPr>
                    </m:ctrlPr>
                  </m:sub>
                </m:sSub>
              </m:oMath>
            </m:oMathPara>
          </w:p>
        </w:tc>
        <w:tc>
          <w:tcPr>
            <w:tcW w:w="850"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938" w:type="dxa"/>
            <w:gridSpan w:val="3"/>
            <w:shd w:val="clear" w:color="auto" w:fill="auto"/>
          </w:tcPr>
          <w:p>
            <w:pPr>
              <w:pStyle w:val="189"/>
            </w:pPr>
            <w:r>
              <w:t>水槽料型材抗拉强度设计值</w:t>
            </w:r>
            <w:r>
              <w:rPr>
                <w:rFonts w:hint="eastAsia"/>
                <w:lang w:eastAsia="zh-CN"/>
              </w:rPr>
              <w:t>（</w:t>
            </w:r>
            <w:r>
              <w:t>N/mm</w:t>
            </w:r>
            <w:r>
              <w:rPr>
                <w:vertAlign w:val="superscript"/>
              </w:rPr>
              <w:t>2</w:t>
            </w:r>
            <w:r>
              <w:t>)。</w:t>
            </w:r>
          </w:p>
        </w:tc>
      </w:tr>
    </w:tbl>
    <w:p>
      <w:pPr>
        <w:pStyle w:val="188"/>
        <w:ind w:firstLine="482"/>
        <w:rPr>
          <w:rFonts w:cs="Times New Roman"/>
        </w:rPr>
      </w:pPr>
      <w:r>
        <w:rPr>
          <w:rFonts w:cs="Times New Roman"/>
          <w:b/>
          <w:bCs w:val="0"/>
        </w:rPr>
        <w:t>2</w:t>
      </w:r>
      <w:r>
        <w:rPr>
          <w:rFonts w:cs="Times New Roman"/>
        </w:rPr>
        <w:t xml:space="preserve"> 复核顶横梁和立柱螺钉群连接时，应计入相邻上单元板块传递的荷载。螺钉群受扭的扭转中心可假定为螺钉群中心。</w:t>
      </w:r>
    </w:p>
    <w:p>
      <w:pPr>
        <w:pStyle w:val="188"/>
        <w:ind w:firstLine="482"/>
        <w:rPr>
          <w:rFonts w:cs="Times New Roman"/>
        </w:rPr>
      </w:pPr>
      <w:r>
        <w:rPr>
          <w:rFonts w:cs="Times New Roman"/>
          <w:b/>
          <w:bCs w:val="0"/>
        </w:rPr>
        <w:t>3</w:t>
      </w:r>
      <w:r>
        <w:rPr>
          <w:rFonts w:cs="Times New Roman"/>
        </w:rPr>
        <w:t xml:space="preserve"> 上、下单元板块错缝布置时，宜在上单元立柱插接部位的顶横梁内增设水槽料或能有效传递荷载的构件，必要时应增加顶横梁的刚度。</w:t>
      </w:r>
    </w:p>
    <w:p>
      <w:pPr>
        <w:pStyle w:val="200"/>
      </w:pPr>
      <w:r>
        <w:rPr>
          <w:b/>
        </w:rPr>
        <w:t xml:space="preserve">6.2.18 </w:t>
      </w:r>
      <w:r>
        <w:t>立柱应验算仅在水平荷载作用下的整体稳定。可按《铝合金结构设计规范》GB 50429和《钢结构设计标准》GB 50017的规定验算。梁柱双向滑动连接、销钉连接不能作为立柱的侧向约束。</w:t>
      </w:r>
    </w:p>
    <w:p>
      <w:pPr>
        <w:pStyle w:val="200"/>
      </w:pPr>
      <w:r>
        <w:rPr>
          <w:b/>
        </w:rPr>
        <w:t xml:space="preserve">6.2.19 </w:t>
      </w:r>
      <w:r>
        <w:t>开口型材的整体稳定性可采用有限元方法计算，也可根据《铝合金结构设计规范》GB 50429计算。</w:t>
      </w:r>
    </w:p>
    <w:p>
      <w:pPr>
        <w:pStyle w:val="189"/>
      </w:pPr>
      <w:r>
        <w:rPr>
          <w:b/>
        </w:rPr>
        <w:t xml:space="preserve">6.2.20 </w:t>
      </w:r>
      <w:r>
        <w:t>在建筑物平面转角或突变处的立柱，应考虑最不利荷载和作用的组合，对立柱截面最小抵抗矩和最小惯性矩方向作补充验算和校核，满足相应极限状态的要求。转角立柱验算考虑横梁的拉接作用与相邻区域立柱整体计算时，相邻区域立柱的选取单方向不宜超过3根。</w:t>
      </w:r>
    </w:p>
    <w:p>
      <w:pPr>
        <w:pStyle w:val="198"/>
        <w:rPr>
          <w:rFonts w:ascii="Times New Roman" w:hAnsi="Times New Roman"/>
          <w:sz w:val="24"/>
          <w:szCs w:val="24"/>
        </w:rPr>
      </w:pPr>
      <w:bookmarkStart w:id="50" w:name="_Toc162996223"/>
      <w:r>
        <w:rPr>
          <w:rFonts w:ascii="Times New Roman" w:hAnsi="Times New Roman"/>
          <w:sz w:val="24"/>
          <w:szCs w:val="24"/>
        </w:rPr>
        <w:t xml:space="preserve">6.3 </w:t>
      </w:r>
      <w:r>
        <w:rPr>
          <w:rFonts w:ascii="Times New Roman" w:hAnsi="Times New Roman"/>
          <w:b w:val="0"/>
          <w:bCs/>
          <w:sz w:val="24"/>
          <w:szCs w:val="24"/>
        </w:rPr>
        <w:t>肋支承结构</w:t>
      </w:r>
      <w:bookmarkEnd w:id="50"/>
    </w:p>
    <w:p>
      <w:pPr>
        <w:pStyle w:val="200"/>
      </w:pPr>
      <w:r>
        <w:rPr>
          <w:b/>
        </w:rPr>
        <w:t>6.3.1</w:t>
      </w:r>
      <w:r>
        <w:t xml:space="preserve"> 肋支承玻璃幕墙宜采用吊挂在主体结构上的构造形式。当采用</w:t>
      </w:r>
      <w:r>
        <w:rPr>
          <w:szCs w:val="28"/>
        </w:rPr>
        <w:t>下端支承时，不同厚度的玻璃允许最大高度</w:t>
      </w:r>
      <w:r>
        <w:t>应符合表6.3.1的规定。</w:t>
      </w:r>
    </w:p>
    <w:p>
      <w:pPr>
        <w:pStyle w:val="202"/>
        <w:rPr>
          <w:rFonts w:cs="Times New Roman"/>
        </w:rPr>
      </w:pPr>
      <w:r>
        <w:rPr>
          <w:rFonts w:cs="Times New Roman"/>
        </w:rPr>
        <w:t>表6.3.1 下端支承时幕墙玻璃的允许最大高度</w:t>
      </w:r>
    </w:p>
    <w:tbl>
      <w:tblPr>
        <w:tblStyle w:val="3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463"/>
        <w:gridCol w:w="2463"/>
        <w:gridCol w:w="2464"/>
        <w:gridCol w:w="246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250" w:type="pct"/>
            <w:vAlign w:val="center"/>
          </w:tcPr>
          <w:p>
            <w:pPr>
              <w:pStyle w:val="203"/>
              <w:spacing w:line="360" w:lineRule="auto"/>
              <w:rPr>
                <w:rFonts w:ascii="Times New Roman" w:cs="Times New Roman"/>
              </w:rPr>
            </w:pPr>
            <w:r>
              <w:rPr>
                <w:rFonts w:ascii="Times New Roman" w:cs="Times New Roman"/>
              </w:rPr>
              <w:t>玻璃厚度</w:t>
            </w:r>
            <w:r>
              <w:rPr>
                <w:rFonts w:hint="eastAsia" w:ascii="Times New Roman" w:cs="Times New Roman"/>
                <w:lang w:eastAsia="zh-CN"/>
              </w:rPr>
              <w:t>（</w:t>
            </w:r>
            <w:r>
              <w:rPr>
                <w:rFonts w:ascii="Times New Roman" w:cs="Times New Roman"/>
              </w:rPr>
              <w:t>mm)</w:t>
            </w:r>
          </w:p>
        </w:tc>
        <w:tc>
          <w:tcPr>
            <w:tcW w:w="1250" w:type="pct"/>
            <w:vAlign w:val="center"/>
          </w:tcPr>
          <w:p>
            <w:pPr>
              <w:pStyle w:val="203"/>
              <w:spacing w:line="360" w:lineRule="auto"/>
              <w:rPr>
                <w:rFonts w:ascii="Times New Roman" w:cs="Times New Roman"/>
              </w:rPr>
            </w:pPr>
            <w:r>
              <w:rPr>
                <w:rFonts w:ascii="Times New Roman" w:cs="Times New Roman"/>
              </w:rPr>
              <w:t>10，12</w:t>
            </w:r>
          </w:p>
        </w:tc>
        <w:tc>
          <w:tcPr>
            <w:tcW w:w="1250" w:type="pct"/>
            <w:vAlign w:val="center"/>
          </w:tcPr>
          <w:p>
            <w:pPr>
              <w:pStyle w:val="203"/>
              <w:spacing w:line="360" w:lineRule="auto"/>
              <w:rPr>
                <w:rFonts w:ascii="Times New Roman" w:cs="Times New Roman"/>
              </w:rPr>
            </w:pPr>
            <w:r>
              <w:rPr>
                <w:rFonts w:ascii="Times New Roman" w:cs="Times New Roman"/>
              </w:rPr>
              <w:t>15</w:t>
            </w:r>
          </w:p>
        </w:tc>
        <w:tc>
          <w:tcPr>
            <w:tcW w:w="1250" w:type="pct"/>
            <w:vAlign w:val="center"/>
          </w:tcPr>
          <w:p>
            <w:pPr>
              <w:pStyle w:val="203"/>
              <w:spacing w:line="360" w:lineRule="auto"/>
              <w:rPr>
                <w:rFonts w:ascii="Times New Roman" w:cs="Times New Roman"/>
              </w:rPr>
            </w:pPr>
            <w:r>
              <w:rPr>
                <w:rFonts w:ascii="Times New Roman" w:cs="Times New Roman"/>
              </w:rPr>
              <w:t>19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250" w:type="pct"/>
            <w:vAlign w:val="center"/>
          </w:tcPr>
          <w:p>
            <w:pPr>
              <w:pStyle w:val="203"/>
              <w:spacing w:line="360" w:lineRule="auto"/>
              <w:rPr>
                <w:rFonts w:ascii="Times New Roman" w:cs="Times New Roman"/>
              </w:rPr>
            </w:pPr>
            <w:r>
              <w:rPr>
                <w:rFonts w:ascii="Times New Roman" w:cs="Times New Roman"/>
              </w:rPr>
              <w:t>最大高度</w:t>
            </w:r>
            <w:r>
              <w:rPr>
                <w:rFonts w:hint="eastAsia" w:ascii="Times New Roman" w:cs="Times New Roman"/>
                <w:lang w:eastAsia="zh-CN"/>
              </w:rPr>
              <w:t>（</w:t>
            </w:r>
            <w:r>
              <w:rPr>
                <w:rFonts w:ascii="Times New Roman" w:cs="Times New Roman"/>
              </w:rPr>
              <w:t>m)</w:t>
            </w:r>
          </w:p>
        </w:tc>
        <w:tc>
          <w:tcPr>
            <w:tcW w:w="1250" w:type="pct"/>
            <w:vAlign w:val="center"/>
          </w:tcPr>
          <w:p>
            <w:pPr>
              <w:pStyle w:val="203"/>
              <w:spacing w:line="360" w:lineRule="auto"/>
              <w:rPr>
                <w:rFonts w:ascii="Times New Roman" w:cs="Times New Roman"/>
              </w:rPr>
            </w:pPr>
            <w:r>
              <w:rPr>
                <w:rFonts w:ascii="Times New Roman" w:cs="Times New Roman"/>
              </w:rPr>
              <w:t>4.0</w:t>
            </w:r>
          </w:p>
        </w:tc>
        <w:tc>
          <w:tcPr>
            <w:tcW w:w="1250" w:type="pct"/>
            <w:vAlign w:val="center"/>
          </w:tcPr>
          <w:p>
            <w:pPr>
              <w:pStyle w:val="203"/>
              <w:spacing w:line="360" w:lineRule="auto"/>
              <w:rPr>
                <w:rFonts w:ascii="Times New Roman" w:cs="Times New Roman"/>
              </w:rPr>
            </w:pPr>
            <w:r>
              <w:rPr>
                <w:rFonts w:ascii="Times New Roman" w:cs="Times New Roman"/>
              </w:rPr>
              <w:t>5.0</w:t>
            </w:r>
          </w:p>
        </w:tc>
        <w:tc>
          <w:tcPr>
            <w:tcW w:w="1250" w:type="pct"/>
            <w:vAlign w:val="center"/>
          </w:tcPr>
          <w:p>
            <w:pPr>
              <w:pStyle w:val="203"/>
              <w:spacing w:line="360" w:lineRule="auto"/>
              <w:rPr>
                <w:rFonts w:ascii="Times New Roman" w:cs="Times New Roman"/>
              </w:rPr>
            </w:pPr>
            <w:r>
              <w:rPr>
                <w:rFonts w:ascii="Times New Roman" w:cs="Times New Roman"/>
              </w:rPr>
              <w:t>6.0</w:t>
            </w:r>
          </w:p>
        </w:tc>
      </w:tr>
    </w:tbl>
    <w:p>
      <w:pPr>
        <w:pStyle w:val="200"/>
        <w:rPr>
          <w:color w:val="FF0000"/>
        </w:rPr>
      </w:pPr>
      <w:r>
        <w:rPr>
          <w:b/>
        </w:rPr>
        <w:t xml:space="preserve">6.3.2 </w:t>
      </w:r>
      <w:r>
        <w:t>单片玻璃厚度宜不小于10mm，夹层玻璃单片厚度应不小于8mm。</w:t>
      </w:r>
    </w:p>
    <w:p>
      <w:pPr>
        <w:pStyle w:val="200"/>
        <w:rPr>
          <w:color w:val="FF0000"/>
        </w:rPr>
      </w:pPr>
      <w:r>
        <w:rPr>
          <w:b/>
        </w:rPr>
        <w:t xml:space="preserve">6.3.3 </w:t>
      </w:r>
      <w:r>
        <w:t>肋支承玻璃幕墙的玻璃肋宜采用夹层玻璃，开孔玻璃肋应采用钢化夹层玻璃。玻璃肋的截面厚度应不小于12mm，截面高度应不小于100mm。</w:t>
      </w:r>
    </w:p>
    <w:p>
      <w:pPr>
        <w:pStyle w:val="200"/>
      </w:pPr>
      <w:r>
        <w:rPr>
          <w:b/>
        </w:rPr>
        <w:t xml:space="preserve">6.3.4 </w:t>
      </w:r>
      <w:r>
        <w:t>肋支承玻璃幕墙的金属肋应按本标准第6.2节相关规定进行强度和挠度验算，受弯和压弯构件尚应验算板件宽厚比及稳定性。</w:t>
      </w:r>
    </w:p>
    <w:p>
      <w:pPr>
        <w:pStyle w:val="200"/>
      </w:pPr>
      <w:r>
        <w:rPr>
          <w:b/>
        </w:rPr>
        <w:t xml:space="preserve">6.3.5 </w:t>
      </w:r>
      <w:r>
        <w:t>支撑吊挂式肋支承玻璃幕墙的主体结构或结构构件应有足够的刚度，每块玻璃应吊挂在同一结构体上；当采用钢桁架或钢梁作为受力构件时，在竖向荷载作用下，最大挠度不应超过其跨度的1/400；在水平荷载作用下，最大挠度不应超过其跨度的1/250。</w:t>
      </w:r>
    </w:p>
    <w:p>
      <w:pPr>
        <w:pStyle w:val="200"/>
      </w:pPr>
      <w:r>
        <w:rPr>
          <w:b/>
        </w:rPr>
        <w:t xml:space="preserve">6.3.6 </w:t>
      </w:r>
      <w:r>
        <w:t>吊挂式肋支承玻璃幕墙的吊夹与主体结构间应设置刚性水平传力结构，吊夹应符合现行行业标准《吊挂式玻璃幕墙支承装置》JG139的有关规定。单个吊夹每侧夹板与玻璃间的接触面积不得小于30mm×100mm。中空玻璃宜采用玻璃开孔的结构悬挂。</w:t>
      </w:r>
    </w:p>
    <w:p>
      <w:pPr>
        <w:pStyle w:val="200"/>
        <w:rPr>
          <w:rStyle w:val="128"/>
          <w:rFonts w:ascii="Times New Roman" w:hAnsi="Times New Roman"/>
        </w:rPr>
      </w:pPr>
      <w:r>
        <w:rPr>
          <w:b/>
        </w:rPr>
        <w:t xml:space="preserve">6.3.7 </w:t>
      </w:r>
      <w:r>
        <w:rPr>
          <w:rStyle w:val="128"/>
          <w:rFonts w:ascii="Times New Roman" w:hAnsi="Times New Roman"/>
        </w:rPr>
        <w:t>采用金属件连接的玻璃肋，应符合下列规定：</w:t>
      </w:r>
    </w:p>
    <w:p>
      <w:pPr>
        <w:pStyle w:val="188"/>
        <w:ind w:firstLine="482"/>
        <w:rPr>
          <w:rFonts w:cs="Times New Roman"/>
        </w:rPr>
      </w:pPr>
      <w:r>
        <w:rPr>
          <w:rStyle w:val="128"/>
          <w:rFonts w:ascii="Times New Roman" w:hAnsi="Times New Roman" w:cs="Times New Roman"/>
          <w:b/>
          <w:bCs w:val="0"/>
        </w:rPr>
        <w:t>1</w:t>
      </w:r>
      <w:r>
        <w:rPr>
          <w:rStyle w:val="128"/>
          <w:rFonts w:ascii="Times New Roman" w:hAnsi="Times New Roman" w:cs="Times New Roman"/>
        </w:rPr>
        <w:t>金属件</w:t>
      </w:r>
      <w:r>
        <w:rPr>
          <w:rFonts w:cs="Times New Roman"/>
        </w:rPr>
        <w:t>厚度应不小于6mm；</w:t>
      </w:r>
    </w:p>
    <w:p>
      <w:pPr>
        <w:pStyle w:val="188"/>
        <w:ind w:firstLine="482"/>
        <w:rPr>
          <w:rFonts w:cs="Times New Roman"/>
        </w:rPr>
      </w:pPr>
      <w:r>
        <w:rPr>
          <w:rFonts w:cs="Times New Roman"/>
          <w:b/>
          <w:bCs w:val="0"/>
        </w:rPr>
        <w:t>2</w:t>
      </w:r>
      <w:r>
        <w:rPr>
          <w:rFonts w:cs="Times New Roman"/>
        </w:rPr>
        <w:t>普通螺栓不应小于M10，摩擦型螺栓不宜小于M12；</w:t>
      </w:r>
    </w:p>
    <w:p>
      <w:pPr>
        <w:pStyle w:val="188"/>
        <w:ind w:firstLine="482"/>
        <w:rPr>
          <w:rFonts w:cs="Times New Roman"/>
        </w:rPr>
      </w:pPr>
      <w:r>
        <w:rPr>
          <w:rFonts w:cs="Times New Roman"/>
          <w:b/>
          <w:bCs w:val="0"/>
        </w:rPr>
        <w:t>3</w:t>
      </w:r>
      <w:r>
        <w:rPr>
          <w:rFonts w:cs="Times New Roman"/>
        </w:rPr>
        <w:t>连接螺栓、不锈钢板不应与玻璃直接接触。玻璃与钢连接件之间宜采用软铝衬垫材料；</w:t>
      </w:r>
    </w:p>
    <w:p>
      <w:pPr>
        <w:pStyle w:val="188"/>
        <w:ind w:firstLine="482"/>
        <w:rPr>
          <w:rFonts w:cs="Times New Roman"/>
        </w:rPr>
      </w:pPr>
      <w:r>
        <w:rPr>
          <w:rFonts w:cs="Times New Roman"/>
          <w:b/>
          <w:bCs w:val="0"/>
        </w:rPr>
        <w:t>4</w:t>
      </w:r>
      <w:r>
        <w:rPr>
          <w:rFonts w:cs="Times New Roman"/>
        </w:rPr>
        <w:t>摩擦型螺栓连接的不锈钢板与玻璃之间衬垫不应采用塑料、橡胶材料，应使用厚度不小于3mm的软铝；</w:t>
      </w:r>
    </w:p>
    <w:p>
      <w:pPr>
        <w:pStyle w:val="188"/>
        <w:ind w:firstLine="482"/>
        <w:rPr>
          <w:rFonts w:cs="Times New Roman"/>
        </w:rPr>
      </w:pPr>
      <w:r>
        <w:rPr>
          <w:rFonts w:cs="Times New Roman"/>
          <w:b/>
          <w:bCs w:val="0"/>
        </w:rPr>
        <w:t>5</w:t>
      </w:r>
      <w:r>
        <w:rPr>
          <w:rFonts w:cs="Times New Roman"/>
        </w:rPr>
        <w:t>摩擦型螺栓连接的螺栓杆不应与玻璃直接接触，宜在螺栓杆外套塑料、橡胶及铝等软质材料；</w:t>
      </w:r>
    </w:p>
    <w:p>
      <w:pPr>
        <w:pStyle w:val="188"/>
        <w:ind w:firstLine="482"/>
        <w:rPr>
          <w:rFonts w:cs="Times New Roman"/>
        </w:rPr>
      </w:pPr>
      <w:r>
        <w:rPr>
          <w:rFonts w:cs="Times New Roman"/>
          <w:b/>
        </w:rPr>
        <w:t>6</w:t>
      </w:r>
      <w:r>
        <w:rPr>
          <w:rFonts w:cs="Times New Roman"/>
        </w:rPr>
        <w:t>摩擦型螺栓连接的玻璃和不锈钢板之间或不锈钢板与衬垫之间不宜采用环氧树脂胶粘接。</w:t>
      </w:r>
    </w:p>
    <w:p>
      <w:pPr>
        <w:pStyle w:val="200"/>
      </w:pPr>
      <w:r>
        <w:rPr>
          <w:b/>
        </w:rPr>
        <w:t xml:space="preserve">6.3.8 </w:t>
      </w:r>
      <w:r>
        <w:t>面板玻璃通过胶缝与支承肋连接时，面板可按支承于肋的单向简支板设计。其应力与挠度可按本标准第5.2节的规定计算，公式中的</w:t>
      </w:r>
      <w:r>
        <w:rPr>
          <w:i/>
        </w:rPr>
        <w:t>a</w:t>
      </w:r>
      <w:r>
        <w:t>值应取为玻璃面板的跨度，系数</w:t>
      </w:r>
      <w:r>
        <w:rPr>
          <w:i/>
        </w:rPr>
        <w:t>m</w:t>
      </w:r>
      <w:r>
        <w:t>和</w:t>
      </w:r>
      <w:r>
        <w:rPr>
          <w:i/>
        </w:rPr>
        <w:t>μ</w:t>
      </w:r>
      <w:r>
        <w:t>可分别取0.125和0.013。</w:t>
      </w:r>
    </w:p>
    <w:p>
      <w:pPr>
        <w:pStyle w:val="189"/>
      </w:pPr>
      <w:r>
        <w:rPr>
          <w:b/>
        </w:rPr>
        <w:t xml:space="preserve">6.3.9 </w:t>
      </w:r>
      <w:r>
        <w:t>玻璃肋的截面高度h</w:t>
      </w:r>
      <w:r>
        <w:rPr>
          <w:vertAlign w:val="subscript"/>
        </w:rPr>
        <w:t>r</w:t>
      </w:r>
      <w:r>
        <w:t xml:space="preserve"> </w:t>
      </w:r>
      <w:r>
        <w:rPr>
          <w:rFonts w:hint="eastAsia"/>
          <w:lang w:eastAsia="zh-CN"/>
        </w:rPr>
        <w:t>（</w:t>
      </w:r>
      <w:r>
        <w:t>图6.3.9</w:t>
      </w:r>
      <w:r>
        <w:rPr>
          <w:rFonts w:hint="eastAsia"/>
          <w:lang w:eastAsia="zh-CN"/>
        </w:rPr>
        <w:t>）</w:t>
      </w:r>
      <w:r>
        <w:t>可按下列公式计算：</w:t>
      </w:r>
    </w:p>
    <w:p>
      <w:pPr>
        <w:pStyle w:val="186"/>
        <w:rPr>
          <w:rFonts w:cs="Times New Roman"/>
        </w:rPr>
      </w:pPr>
      <w:r>
        <w:rPr>
          <w:rFonts w:cs="Times New Roman"/>
        </w:rPr>
        <w:drawing>
          <wp:inline distT="0" distB="0" distL="0" distR="0">
            <wp:extent cx="1955165" cy="1440180"/>
            <wp:effectExtent l="0" t="0" r="6985"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98"/>
                    <a:stretch>
                      <a:fillRect/>
                    </a:stretch>
                  </pic:blipFill>
                  <pic:spPr>
                    <a:xfrm>
                      <a:off x="0" y="0"/>
                      <a:ext cx="1976257" cy="1455820"/>
                    </a:xfrm>
                    <a:prstGeom prst="rect">
                      <a:avLst/>
                    </a:prstGeom>
                  </pic:spPr>
                </pic:pic>
              </a:graphicData>
            </a:graphic>
          </wp:inline>
        </w:drawing>
      </w:r>
    </w:p>
    <w:p>
      <w:pPr>
        <w:pStyle w:val="202"/>
        <w:rPr>
          <w:rFonts w:cs="Times New Roman"/>
        </w:rPr>
      </w:pPr>
      <w:r>
        <w:rPr>
          <w:rFonts w:cs="Times New Roman"/>
        </w:rPr>
        <w:t xml:space="preserve">(a) 单肋              (b) 双肋 </w:t>
      </w:r>
    </w:p>
    <w:p>
      <w:pPr>
        <w:pStyle w:val="202"/>
        <w:rPr>
          <w:rFonts w:cs="Times New Roman"/>
        </w:rPr>
      </w:pPr>
      <w:r>
        <w:rPr>
          <w:rFonts w:cs="Times New Roman"/>
        </w:rPr>
        <w:t>图6.3.9全玻璃幕墙玻璃肋截面尺寸示意</w:t>
      </w:r>
    </w:p>
    <w:tbl>
      <w:tblPr>
        <w:tblStyle w:val="37"/>
        <w:tblW w:w="4750" w:type="pct"/>
        <w:jc w:val="right"/>
        <w:tblLayout w:type="fixed"/>
        <w:tblCellMar>
          <w:top w:w="0" w:type="dxa"/>
          <w:left w:w="108" w:type="dxa"/>
          <w:bottom w:w="0" w:type="dxa"/>
          <w:right w:w="108" w:type="dxa"/>
        </w:tblCellMar>
      </w:tblPr>
      <w:tblGrid>
        <w:gridCol w:w="6683"/>
        <w:gridCol w:w="2678"/>
      </w:tblGrid>
      <w:tr>
        <w:tblPrEx>
          <w:tblCellMar>
            <w:top w:w="0" w:type="dxa"/>
            <w:left w:w="108" w:type="dxa"/>
            <w:bottom w:w="0" w:type="dxa"/>
            <w:right w:w="108" w:type="dxa"/>
          </w:tblCellMar>
        </w:tblPrEx>
        <w:trPr>
          <w:jc w:val="right"/>
        </w:trPr>
        <w:tc>
          <w:tcPr>
            <w:tcW w:w="6686" w:type="dxa"/>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w:rPr>
                        <w:rFonts w:ascii="Cambria Math" w:hAnsi="Cambria Math" w:cs="Times New Roman"/>
                      </w:rPr>
                      <m:t>r</m:t>
                    </m:r>
                    <m:ctrlPr>
                      <w:rPr>
                        <w:rFonts w:ascii="Cambria Math" w:hAnsi="Cambria Math" w:cs="Times New Roman"/>
                        <w:i/>
                      </w:rPr>
                    </m:ctrlPr>
                  </m:sub>
                </m:sSub>
                <m:r>
                  <m:rPr/>
                  <w:rPr>
                    <w:rFonts w:ascii="Cambria Math" w:hAnsi="Cambria Math" w:cs="Times New Roman"/>
                  </w:rPr>
                  <m:t>=</m:t>
                </m:r>
                <m:rad>
                  <m:radPr>
                    <m:degHide m:val="1"/>
                    <m:ctrlPr>
                      <w:rPr>
                        <w:rFonts w:ascii="Cambria Math" w:hAnsi="Cambria Math" w:cs="Times New Roman"/>
                        <w:i/>
                      </w:rPr>
                    </m:ctrlPr>
                  </m:radPr>
                  <m:deg>
                    <m:ctrlPr>
                      <w:rPr>
                        <w:rFonts w:ascii="Cambria Math" w:hAnsi="Cambria Math" w:cs="Times New Roman"/>
                        <w:i/>
                      </w:rPr>
                    </m:ctrlPr>
                  </m:deg>
                  <m:e>
                    <m:f>
                      <m:fPr>
                        <m:ctrlPr>
                          <w:rPr>
                            <w:rFonts w:ascii="Cambria Math" w:hAnsi="Cambria Math" w:cs="Times New Roman"/>
                            <w:i/>
                          </w:rPr>
                        </m:ctrlPr>
                      </m:fPr>
                      <m:num>
                        <m:r>
                          <m:rPr/>
                          <w:rPr>
                            <w:rFonts w:ascii="Cambria Math" w:hAnsi="Cambria Math" w:cs="Times New Roman"/>
                          </w:rPr>
                          <m:t>3ql</m:t>
                        </m:r>
                        <m:sSup>
                          <m:sSupPr>
                            <m:ctrlPr>
                              <w:rPr>
                                <w:rFonts w:ascii="Cambria Math" w:hAnsi="Cambria Math" w:cs="Times New Roman"/>
                                <w:i/>
                              </w:rPr>
                            </m:ctrlPr>
                          </m:sSupPr>
                          <m:e>
                            <m:r>
                              <m:rPr/>
                              <w:rPr>
                                <w:rFonts w:ascii="Cambria Math" w:hAnsi="Cambria Math" w:cs="Times New Roman"/>
                              </w:rPr>
                              <m:t>ℎ</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num>
                      <m:den>
                        <m:r>
                          <m:rPr/>
                          <w:rPr>
                            <w:rFonts w:ascii="Cambria Math" w:hAnsi="Cambria Math" w:cs="Times New Roman"/>
                          </w:rPr>
                          <m:t>8</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g</m:t>
                            </m:r>
                            <m:ctrlPr>
                              <w:rPr>
                                <w:rFonts w:ascii="Cambria Math" w:hAnsi="Cambria Math" w:cs="Times New Roman"/>
                                <w:i/>
                              </w:rPr>
                            </m:ctrlPr>
                          </m:sub>
                        </m:sSub>
                        <m:r>
                          <m:rPr/>
                          <w:rPr>
                            <w:rFonts w:ascii="Cambria Math" w:hAnsi="Cambria Math" w:cs="Times New Roman"/>
                          </w:rPr>
                          <m:t>t</m:t>
                        </m:r>
                        <m:ctrlPr>
                          <w:rPr>
                            <w:rFonts w:ascii="Cambria Math" w:hAnsi="Cambria Math" w:cs="Times New Roman"/>
                            <w:i/>
                          </w:rPr>
                        </m:ctrlPr>
                      </m:den>
                    </m:f>
                    <m:ctrlPr>
                      <w:rPr>
                        <w:rFonts w:ascii="Cambria Math" w:hAnsi="Cambria Math" w:cs="Times New Roman"/>
                        <w:i/>
                      </w:rPr>
                    </m:ctrlPr>
                  </m:e>
                </m:rad>
                <m:r>
                  <m:rPr>
                    <m:sty m:val="p"/>
                  </m:rPr>
                  <w:rPr>
                    <w:rFonts w:ascii="Cambria Math" w:hAnsi="Cambria Math" w:cs="Times New Roman"/>
                  </w:rPr>
                  <m:t>（双肋）</m:t>
                </m:r>
              </m:oMath>
            </m:oMathPara>
          </w:p>
        </w:tc>
        <w:tc>
          <w:tcPr>
            <w:tcW w:w="2675"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（6.3.9-1）</w:t>
            </w:r>
          </w:p>
        </w:tc>
      </w:tr>
      <w:tr>
        <w:tblPrEx>
          <w:tblCellMar>
            <w:top w:w="0" w:type="dxa"/>
            <w:left w:w="108" w:type="dxa"/>
            <w:bottom w:w="0" w:type="dxa"/>
            <w:right w:w="108" w:type="dxa"/>
          </w:tblCellMar>
        </w:tblPrEx>
        <w:trPr>
          <w:jc w:val="right"/>
        </w:trPr>
        <w:tc>
          <w:tcPr>
            <w:tcW w:w="6686" w:type="dxa"/>
            <w:shd w:val="clear" w:color="auto" w:fill="auto"/>
            <w:vAlign w:val="center"/>
          </w:tcPr>
          <w:p>
            <w:pPr>
              <w:spacing w:line="360" w:lineRule="auto"/>
              <w:jc w:val="center"/>
              <w:rPr>
                <w:rFonts w:ascii="Cambria Math" w:hAnsi="Cambria Math" w:cs="Times New Roman"/>
                <w:oMath/>
              </w:rPr>
            </w:pPr>
            <m:oMathPara>
              <m:oMath>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w:rPr>
                        <w:rFonts w:ascii="Cambria Math" w:hAnsi="Cambria Math" w:cs="Times New Roman"/>
                      </w:rPr>
                      <m:t>r</m:t>
                    </m:r>
                    <m:ctrlPr>
                      <w:rPr>
                        <w:rFonts w:ascii="Cambria Math" w:hAnsi="Cambria Math" w:cs="Times New Roman"/>
                        <w:i/>
                      </w:rPr>
                    </m:ctrlPr>
                  </m:sub>
                </m:sSub>
                <m:r>
                  <m:rPr/>
                  <w:rPr>
                    <w:rFonts w:ascii="Cambria Math" w:hAnsi="Cambria Math" w:cs="Times New Roman"/>
                  </w:rPr>
                  <m:t>=</m:t>
                </m:r>
                <m:rad>
                  <m:radPr>
                    <m:degHide m:val="1"/>
                    <m:ctrlPr>
                      <w:rPr>
                        <w:rFonts w:ascii="Cambria Math" w:hAnsi="Cambria Math" w:cs="Times New Roman"/>
                        <w:i/>
                      </w:rPr>
                    </m:ctrlPr>
                  </m:radPr>
                  <m:deg>
                    <m:ctrlPr>
                      <w:rPr>
                        <w:rFonts w:ascii="Cambria Math" w:hAnsi="Cambria Math" w:cs="Times New Roman"/>
                        <w:i/>
                      </w:rPr>
                    </m:ctrlPr>
                  </m:deg>
                  <m:e>
                    <m:f>
                      <m:fPr>
                        <m:ctrlPr>
                          <w:rPr>
                            <w:rFonts w:ascii="Cambria Math" w:hAnsi="Cambria Math" w:cs="Times New Roman"/>
                            <w:i/>
                          </w:rPr>
                        </m:ctrlPr>
                      </m:fPr>
                      <m:num>
                        <m:r>
                          <m:rPr/>
                          <w:rPr>
                            <w:rFonts w:ascii="Cambria Math" w:hAnsi="Cambria Math" w:cs="Times New Roman"/>
                          </w:rPr>
                          <m:t>3ql</m:t>
                        </m:r>
                        <m:sSup>
                          <m:sSupPr>
                            <m:ctrlPr>
                              <w:rPr>
                                <w:rFonts w:ascii="Cambria Math" w:hAnsi="Cambria Math" w:cs="Times New Roman"/>
                                <w:i/>
                              </w:rPr>
                            </m:ctrlPr>
                          </m:sSupPr>
                          <m:e>
                            <m:r>
                              <m:rPr/>
                              <w:rPr>
                                <w:rFonts w:ascii="Cambria Math" w:hAnsi="Cambria Math" w:cs="Times New Roman"/>
                              </w:rPr>
                              <m:t>ℎ</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num>
                      <m:den>
                        <m:r>
                          <m:rPr/>
                          <w:rPr>
                            <w:rFonts w:ascii="Cambria Math" w:hAnsi="Cambria Math" w:cs="Times New Roman"/>
                          </w:rPr>
                          <m:t>4</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g</m:t>
                            </m:r>
                            <m:ctrlPr>
                              <w:rPr>
                                <w:rFonts w:ascii="Cambria Math" w:hAnsi="Cambria Math" w:cs="Times New Roman"/>
                                <w:i/>
                              </w:rPr>
                            </m:ctrlPr>
                          </m:sub>
                        </m:sSub>
                        <m:r>
                          <m:rPr/>
                          <w:rPr>
                            <w:rFonts w:ascii="Cambria Math" w:hAnsi="Cambria Math" w:cs="Times New Roman"/>
                          </w:rPr>
                          <m:t>t</m:t>
                        </m:r>
                        <m:ctrlPr>
                          <w:rPr>
                            <w:rFonts w:ascii="Cambria Math" w:hAnsi="Cambria Math" w:cs="Times New Roman"/>
                            <w:i/>
                          </w:rPr>
                        </m:ctrlPr>
                      </m:den>
                    </m:f>
                    <m:ctrlPr>
                      <w:rPr>
                        <w:rFonts w:ascii="Cambria Math" w:hAnsi="Cambria Math" w:cs="Times New Roman"/>
                        <w:i/>
                      </w:rPr>
                    </m:ctrlPr>
                  </m:e>
                </m:rad>
                <m:r>
                  <m:rPr>
                    <m:sty m:val="p"/>
                  </m:rPr>
                  <w:rPr>
                    <w:rFonts w:ascii="Cambria Math" w:hAnsi="Cambria Math" w:cs="Times New Roman"/>
                  </w:rPr>
                  <m:t>（单肋）</m:t>
                </m:r>
              </m:oMath>
            </m:oMathPara>
          </w:p>
        </w:tc>
        <w:tc>
          <w:tcPr>
            <w:tcW w:w="2675"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（6.3.9-2）</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w:rPr>
                        <w:rFonts w:ascii="Cambria Math" w:hAnsi="Cambria Math" w:cs="Times New Roman"/>
                      </w:rPr>
                      <m:t>ℎ</m:t>
                    </m:r>
                    <m:ctrlPr>
                      <w:rPr>
                        <w:rFonts w:ascii="Cambria Math" w:hAnsi="Cambria Math" w:cs="Times New Roman"/>
                      </w:rPr>
                    </m:ctrlPr>
                  </m:e>
                  <m:sub>
                    <m:r>
                      <m:rPr/>
                      <w:rPr>
                        <w:rFonts w:ascii="Cambria Math" w:hAnsi="Cambria Math" w:cs="Times New Roman"/>
                      </w:rPr>
                      <m:t>r</m:t>
                    </m:r>
                    <m:ctrlPr>
                      <w:rPr>
                        <w:rFonts w:ascii="Cambria Math" w:hAnsi="Cambria Math" w:cs="Times New Roman"/>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玻璃肋截面高度</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q</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幕墙承受的最不利荷载组合设计值</w:t>
            </w:r>
            <w:r>
              <w:rPr>
                <w:rFonts w:hint="eastAsia"/>
                <w:lang w:eastAsia="zh-CN"/>
              </w:rPr>
              <w:t>（</w:t>
            </w:r>
            <w:r>
              <w:t>N/mm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l</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两肋之间的玻璃面板跨度</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bCs/>
                <w:i/>
              </w:rPr>
            </w:pPr>
            <m:oMathPara>
              <m:oMathParaPr>
                <m:jc m:val="right"/>
              </m:oMathParaP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g</m:t>
                    </m:r>
                    <m:ctrlPr>
                      <w:rPr>
                        <w:rFonts w:ascii="Cambria Math" w:hAnsi="Cambria Math" w:cs="Times New Roman"/>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玻璃端面强度设计值</w:t>
            </w:r>
            <w:r>
              <w:rPr>
                <w:rFonts w:hint="eastAsia"/>
                <w:lang w:eastAsia="zh-CN"/>
              </w:rPr>
              <w:t>（</w:t>
            </w:r>
            <w:r>
              <w:t>N/mm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t</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玻璃肋截面总厚度</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ℎ</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玻璃肋上、下支点的距离，即计算跨度</w:t>
            </w:r>
            <w:r>
              <w:rPr>
                <w:rFonts w:hint="eastAsia"/>
                <w:lang w:eastAsia="zh-CN"/>
              </w:rPr>
              <w:t>（</w:t>
            </w:r>
            <w:r>
              <w:t>mm)。</w:t>
            </w:r>
          </w:p>
        </w:tc>
      </w:tr>
    </w:tbl>
    <w:p>
      <w:pPr>
        <w:pStyle w:val="200"/>
      </w:pPr>
      <w:r>
        <w:rPr>
          <w:b/>
        </w:rPr>
        <w:t xml:space="preserve">6.3.10 </w:t>
      </w:r>
      <w:r>
        <w:t>夹层玻璃肋的等效截面厚度，应按下列规定计算：</w:t>
      </w:r>
    </w:p>
    <w:p>
      <w:pPr>
        <w:pStyle w:val="188"/>
        <w:ind w:firstLine="482"/>
        <w:rPr>
          <w:rFonts w:cs="Times New Roman"/>
        </w:rPr>
      </w:pPr>
      <w:r>
        <w:rPr>
          <w:rFonts w:cs="Times New Roman"/>
          <w:b/>
          <w:bCs w:val="0"/>
        </w:rPr>
        <w:t>1</w:t>
      </w:r>
      <w:r>
        <w:rPr>
          <w:rFonts w:cs="Times New Roman"/>
        </w:rPr>
        <w:t xml:space="preserve"> 面内受弯时，夹层玻璃肋的等效截面厚度可取各片玻璃厚度之和。</w:t>
      </w:r>
    </w:p>
    <w:p>
      <w:pPr>
        <w:pStyle w:val="188"/>
        <w:ind w:firstLine="482"/>
        <w:rPr>
          <w:rFonts w:cs="Times New Roman"/>
        </w:rPr>
      </w:pPr>
      <w:r>
        <w:rPr>
          <w:rFonts w:cs="Times New Roman"/>
          <w:b/>
          <w:bCs w:val="0"/>
        </w:rPr>
        <w:t>2</w:t>
      </w:r>
      <w:r>
        <w:rPr>
          <w:rFonts w:cs="Times New Roman"/>
        </w:rPr>
        <w:t xml:space="preserve"> 矩形夹层玻璃肋绕弱轴受力的等效截面厚度可按式6.3.10-1~6.3.10-5计算：</w:t>
      </w:r>
    </w:p>
    <w:p>
      <w:pPr>
        <w:pStyle w:val="202"/>
        <w:rPr>
          <w:rFonts w:cs="Times New Roman"/>
        </w:rPr>
      </w:pPr>
      <w:r>
        <w:rPr>
          <w:rFonts w:cs="Times New Roman"/>
        </w:rPr>
        <w:drawing>
          <wp:inline distT="0" distB="0" distL="0" distR="0">
            <wp:extent cx="2743200" cy="18402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9"/>
                    <a:stretch>
                      <a:fillRect/>
                    </a:stretch>
                  </pic:blipFill>
                  <pic:spPr>
                    <a:xfrm>
                      <a:off x="0" y="0"/>
                      <a:ext cx="2748863" cy="1844631"/>
                    </a:xfrm>
                    <a:prstGeom prst="rect">
                      <a:avLst/>
                    </a:prstGeom>
                  </pic:spPr>
                </pic:pic>
              </a:graphicData>
            </a:graphic>
          </wp:inline>
        </w:drawing>
      </w:r>
    </w:p>
    <w:p>
      <w:pPr>
        <w:pStyle w:val="202"/>
        <w:rPr>
          <w:rFonts w:cs="Times New Roman"/>
        </w:rPr>
      </w:pPr>
      <w:r>
        <w:rPr>
          <w:rFonts w:cs="Times New Roman"/>
        </w:rPr>
        <w:t>图6.3.10 夹层玻璃截面示意</w:t>
      </w:r>
    </w:p>
    <w:p>
      <w:pPr>
        <w:pStyle w:val="202"/>
        <w:rPr>
          <w:rFonts w:cs="Times New Roman"/>
          <w:b w:val="0"/>
        </w:rPr>
      </w:pPr>
      <w:r>
        <w:rPr>
          <w:rFonts w:cs="Times New Roman"/>
          <w:b w:val="0"/>
        </w:rPr>
        <w:t>1——玻璃层；2——中间层；3——第</w:t>
      </w:r>
      <w:r>
        <w:rPr>
          <w:rFonts w:cs="Times New Roman"/>
          <w:b w:val="0"/>
          <w:i/>
        </w:rPr>
        <w:t>i</w:t>
      </w:r>
      <w:r>
        <w:rPr>
          <w:rFonts w:cs="Times New Roman"/>
          <w:b w:val="0"/>
        </w:rPr>
        <w:t>层玻璃的中性轴；4——截面的中性轴</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1</m:t>
                    </m:r>
                    <m:ctrlPr>
                      <w:rPr>
                        <w:rFonts w:ascii="Cambria Math" w:hAnsi="Cambria Math" w:cs="Times New Roman"/>
                        <w:i/>
                      </w:rPr>
                    </m:ctrlPr>
                  </m:num>
                  <m:den>
                    <m:rad>
                      <m:radPr>
                        <m:ctrlPr>
                          <w:rPr>
                            <w:rFonts w:ascii="Cambria Math" w:hAnsi="Cambria Math" w:cs="Times New Roman"/>
                            <w:i/>
                          </w:rPr>
                        </m:ctrlPr>
                      </m:radPr>
                      <m:deg>
                        <m:r>
                          <m:rPr/>
                          <w:rPr>
                            <w:rFonts w:ascii="Cambria Math" w:hAnsi="Cambria Math" w:cs="Times New Roman"/>
                          </w:rPr>
                          <m:t>3</m:t>
                        </m:r>
                        <m:ctrlPr>
                          <w:rPr>
                            <w:rFonts w:ascii="Cambria Math" w:hAnsi="Cambria Math" w:cs="Times New Roman"/>
                            <w:i/>
                          </w:rPr>
                        </m:ctrlPr>
                      </m:deg>
                      <m:e>
                        <m:f>
                          <m:fPr>
                            <m:ctrlPr>
                              <w:rPr>
                                <w:rFonts w:ascii="Cambria Math" w:hAnsi="Cambria Math" w:cs="Times New Roman"/>
                                <w:i/>
                              </w:rPr>
                            </m:ctrlPr>
                          </m:fPr>
                          <m:num>
                            <m:r>
                              <m:rPr/>
                              <w:rPr>
                                <w:rFonts w:ascii="Cambria Math" w:hAnsi="Cambria Math" w:cs="Times New Roman"/>
                              </w:rPr>
                              <m:t>η</m:t>
                            </m:r>
                            <m:ctrlPr>
                              <w:rPr>
                                <w:rFonts w:ascii="Cambria Math" w:hAnsi="Cambria Math" w:cs="Times New Roman"/>
                                <w:i/>
                              </w:rPr>
                            </m:ctrlPr>
                          </m:num>
                          <m:den>
                            <m:sSup>
                              <m:sSupPr>
                                <m:ctrlPr>
                                  <w:rPr>
                                    <w:rFonts w:ascii="Cambria Math" w:hAnsi="Cambria Math" w:cs="Times New Roman"/>
                                    <w:i/>
                                  </w:rPr>
                                </m:ctrlPr>
                              </m:sSupPr>
                              <m:e>
                                <m:r>
                                  <m:rPr/>
                                  <w:rPr>
                                    <w:rFonts w:ascii="Cambria Math" w:hAnsi="Cambria Math" w:cs="Times New Roman"/>
                                  </w:rPr>
                                  <m:t>n</m:t>
                                </m:r>
                                <m:ctrlPr>
                                  <w:rPr>
                                    <w:rFonts w:ascii="Cambria Math" w:hAnsi="Cambria Math" w:cs="Times New Roman"/>
                                    <w:i/>
                                  </w:rPr>
                                </m:ctrlPr>
                              </m:e>
                              <m:sup>
                                <m:r>
                                  <m:rPr/>
                                  <w:rPr>
                                    <w:rFonts w:ascii="Cambria Math" w:hAnsi="Cambria Math" w:cs="Times New Roman"/>
                                  </w:rPr>
                                  <m:t>3</m:t>
                                </m:r>
                                <m:ctrlPr>
                                  <w:rPr>
                                    <w:rFonts w:ascii="Cambria Math" w:hAnsi="Cambria Math" w:cs="Times New Roman"/>
                                    <w:i/>
                                  </w:rPr>
                                </m:ctrlPr>
                              </m:sup>
                            </m:sSup>
                            <m:sSup>
                              <m:sSupPr>
                                <m:ctrlPr>
                                  <w:rPr>
                                    <w:rFonts w:ascii="Cambria Math" w:hAnsi="Cambria Math" w:cs="Times New Roman"/>
                                    <w:i/>
                                  </w:rPr>
                                </m:ctrlPr>
                              </m:sSupPr>
                              <m:e>
                                <m:r>
                                  <m:rPr/>
                                  <w:rPr>
                                    <w:rFonts w:ascii="Cambria Math" w:hAnsi="Cambria Math" w:cs="Times New Roman"/>
                                  </w:rPr>
                                  <m:t>t</m:t>
                                </m:r>
                                <m:ctrlPr>
                                  <w:rPr>
                                    <w:rFonts w:ascii="Cambria Math" w:hAnsi="Cambria Math" w:cs="Times New Roman"/>
                                    <w:i/>
                                  </w:rPr>
                                </m:ctrlPr>
                              </m:e>
                              <m:sup>
                                <m:r>
                                  <m:rPr/>
                                  <w:rPr>
                                    <w:rFonts w:ascii="Cambria Math" w:hAnsi="Cambria Math" w:cs="Times New Roman"/>
                                  </w:rPr>
                                  <m:t>3</m:t>
                                </m:r>
                                <m:ctrlPr>
                                  <w:rPr>
                                    <w:rFonts w:ascii="Cambria Math" w:hAnsi="Cambria Math" w:cs="Times New Roman"/>
                                    <w:i/>
                                  </w:rPr>
                                </m:ctrlPr>
                              </m:sup>
                            </m:sSup>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1−η</m:t>
                            </m:r>
                            <m:ctrlPr>
                              <w:rPr>
                                <w:rFonts w:ascii="Cambria Math" w:hAnsi="Cambria Math" w:cs="Times New Roman"/>
                                <w:i/>
                              </w:rPr>
                            </m:ctrlPr>
                          </m:num>
                          <m:den>
                            <m:r>
                              <m:rPr/>
                              <w:rPr>
                                <w:rFonts w:ascii="Cambria Math" w:hAnsi="Cambria Math" w:cs="Times New Roman"/>
                              </w:rPr>
                              <m:t>n</m:t>
                            </m:r>
                            <m:sSup>
                              <m:sSupPr>
                                <m:ctrlPr>
                                  <w:rPr>
                                    <w:rFonts w:ascii="Cambria Math" w:hAnsi="Cambria Math" w:cs="Times New Roman"/>
                                    <w:i/>
                                  </w:rPr>
                                </m:ctrlPr>
                              </m:sSupPr>
                              <m:e>
                                <m:r>
                                  <m:rPr/>
                                  <w:rPr>
                                    <w:rFonts w:ascii="Cambria Math" w:hAnsi="Cambria Math" w:cs="Times New Roman"/>
                                  </w:rPr>
                                  <m:t>t</m:t>
                                </m:r>
                                <m:ctrlPr>
                                  <w:rPr>
                                    <w:rFonts w:ascii="Cambria Math" w:hAnsi="Cambria Math" w:cs="Times New Roman"/>
                                    <w:i/>
                                  </w:rPr>
                                </m:ctrlPr>
                              </m:e>
                              <m:sup>
                                <m:r>
                                  <m:rPr/>
                                  <w:rPr>
                                    <w:rFonts w:ascii="Cambria Math" w:hAnsi="Cambria Math" w:cs="Times New Roman"/>
                                  </w:rPr>
                                  <m:t>3</m:t>
                                </m:r>
                                <m:ctrlPr>
                                  <w:rPr>
                                    <w:rFonts w:ascii="Cambria Math" w:hAnsi="Cambria Math" w:cs="Times New Roman"/>
                                    <w:i/>
                                  </w:rPr>
                                </m:ctrlPr>
                              </m:sup>
                            </m:sSup>
                            <m:ctrlPr>
                              <w:rPr>
                                <w:rFonts w:ascii="Cambria Math" w:hAnsi="Cambria Math" w:cs="Times New Roman"/>
                                <w:i/>
                              </w:rPr>
                            </m:ctrlPr>
                          </m:den>
                        </m:f>
                        <m:ctrlPr>
                          <w:rPr>
                            <w:rFonts w:ascii="Cambria Math" w:hAnsi="Cambria Math" w:cs="Times New Roman"/>
                            <w:i/>
                          </w:rPr>
                        </m:ctrlPr>
                      </m:e>
                    </m:rad>
                    <m:ctrlPr>
                      <w:rPr>
                        <w:rFonts w:ascii="Cambria Math" w:hAnsi="Cambria Math" w:cs="Times New Roman"/>
                        <w:i/>
                      </w:rPr>
                    </m:ctrlPr>
                  </m:den>
                </m:f>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（6.3.10-1）</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Cambria Math" w:hAnsi="Cambria Math" w:cs="Times New Roman"/>
                <w:oMath/>
              </w:rPr>
            </w:pPr>
            <m:oMathPara>
              <m:oMath>
                <m:r>
                  <m:rPr/>
                  <w:rPr>
                    <w:rFonts w:ascii="Cambria Math" w:hAnsi="Cambria Math" w:cs="Times New Roman"/>
                  </w:rPr>
                  <m:t>η=</m:t>
                </m:r>
                <m:f>
                  <m:fPr>
                    <m:ctrlPr>
                      <w:rPr>
                        <w:rFonts w:ascii="Cambria Math" w:hAnsi="Cambria Math" w:cs="Times New Roman"/>
                        <w:i/>
                      </w:rPr>
                    </m:ctrlPr>
                  </m:fPr>
                  <m:num>
                    <m:r>
                      <m:rPr/>
                      <w:rPr>
                        <w:rFonts w:ascii="Cambria Math" w:hAnsi="Cambria Math" w:cs="Times New Roman"/>
                      </w:rPr>
                      <m:t>1</m:t>
                    </m:r>
                    <m:ctrlPr>
                      <w:rPr>
                        <w:rFonts w:ascii="Cambria Math" w:hAnsi="Cambria Math" w:cs="Times New Roman"/>
                        <w:i/>
                      </w:rPr>
                    </m:ctrlPr>
                  </m:num>
                  <m:den>
                    <m:r>
                      <m:rPr/>
                      <w:rPr>
                        <w:rFonts w:ascii="Cambria Math" w:hAnsi="Cambria Math" w:cs="Times New Roman"/>
                      </w:rPr>
                      <m:t>1+</m:t>
                    </m:r>
                    <m:f>
                      <m:fPr>
                        <m:ctrlPr>
                          <w:rPr>
                            <w:rFonts w:ascii="Cambria Math" w:hAnsi="Cambria Math" w:cs="Times New Roman"/>
                            <w:i/>
                          </w:rPr>
                        </m:ctrlPr>
                      </m:fPr>
                      <m:num>
                        <m:r>
                          <m:rPr/>
                          <w:rPr>
                            <w:rFonts w:ascii="Cambria Math" w:hAnsi="Cambria Math" w:cs="Times New Roman"/>
                          </w:rPr>
                          <m:t>E</m:t>
                        </m:r>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m:sty m:val="p"/>
                              </m:rPr>
                              <w:rPr>
                                <w:rFonts w:ascii="Cambria Math" w:hAnsi="Cambria Math" w:cs="Times New Roman"/>
                              </w:rPr>
                              <m:t>int</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G</m:t>
                            </m:r>
                            <m:ctrlPr>
                              <w:rPr>
                                <w:rFonts w:ascii="Cambria Math" w:hAnsi="Cambria Math" w:cs="Times New Roman"/>
                                <w:i/>
                              </w:rPr>
                            </m:ctrlPr>
                          </m:e>
                          <m:sub>
                            <m:r>
                              <m:rPr>
                                <m:sty m:val="p"/>
                              </m:rPr>
                              <w:rPr>
                                <w:rFonts w:ascii="Cambria Math" w:hAnsi="Cambria Math" w:cs="Times New Roman"/>
                              </w:rPr>
                              <m:t>int</m:t>
                            </m:r>
                            <m:ctrlPr>
                              <w:rPr>
                                <w:rFonts w:ascii="Cambria Math" w:hAnsi="Cambria Math" w:cs="Times New Roman"/>
                                <w:i/>
                              </w:rPr>
                            </m:ctrlPr>
                          </m:sub>
                        </m:sSub>
                        <m:r>
                          <m:rPr/>
                          <w:rPr>
                            <w:rFonts w:ascii="Cambria Math" w:hAnsi="Cambria Math" w:cs="Times New Roman"/>
                          </w:rPr>
                          <m:t>b</m:t>
                        </m:r>
                        <m:sSup>
                          <m:sSupPr>
                            <m:ctrlPr>
                              <w:rPr>
                                <w:rFonts w:ascii="Cambria Math" w:hAnsi="Cambria Math" w:cs="Times New Roman"/>
                                <w:i/>
                              </w:rPr>
                            </m:ctrlPr>
                          </m:sSupPr>
                          <m:e>
                            <m:r>
                              <m:rPr/>
                              <w:rPr>
                                <w:rFonts w:ascii="Cambria Math" w:hAnsi="Cambria Math" w:cs="Times New Roman"/>
                              </w:rPr>
                              <m:t>L</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den>
                    </m:f>
                    <m:f>
                      <m:fPr>
                        <m:ctrlPr>
                          <w:rPr>
                            <w:rFonts w:ascii="Cambria Math" w:hAnsi="Cambria Math" w:cs="Times New Roman"/>
                            <w:i/>
                          </w:rPr>
                        </m:ctrlPr>
                      </m:fPr>
                      <m:num>
                        <m:sSup>
                          <m:sSupPr>
                            <m:ctrlPr>
                              <w:rPr>
                                <w:rFonts w:ascii="Cambria Math" w:hAnsi="Cambria Math" w:cs="Times New Roman"/>
                                <w:i/>
                              </w:rPr>
                            </m:ctrlPr>
                          </m:sSupPr>
                          <m:e>
                            <m:r>
                              <m:rPr/>
                              <w:rPr>
                                <w:rFonts w:ascii="Cambria Math" w:hAnsi="Cambria Math" w:cs="Times New Roman"/>
                              </w:rPr>
                              <m:t>n</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IA</m:t>
                        </m:r>
                        <m:d>
                          <m:dPr>
                            <m:ctrlPr>
                              <w:rPr>
                                <w:rFonts w:ascii="Cambria Math" w:hAnsi="Cambria Math" w:cs="Times New Roman"/>
                                <w:i/>
                              </w:rPr>
                            </m:ctrlPr>
                          </m:dPr>
                          <m:e>
                            <m:r>
                              <m:rPr/>
                              <w:rPr>
                                <w:rFonts w:ascii="Cambria Math" w:hAnsi="Cambria Math" w:cs="Times New Roman"/>
                              </w:rPr>
                              <m:t>n+1</m:t>
                            </m:r>
                            <m:ctrlPr>
                              <w:rPr>
                                <w:rFonts w:ascii="Cambria Math" w:hAnsi="Cambria Math" w:cs="Times New Roman"/>
                                <w:i/>
                              </w:rPr>
                            </m:ctrlPr>
                          </m:e>
                        </m:d>
                        <m:ctrlPr>
                          <w:rPr>
                            <w:rFonts w:ascii="Cambria Math" w:hAnsi="Cambria Math" w:cs="Times New Roman"/>
                            <w:i/>
                          </w:rPr>
                        </m:ctrlPr>
                      </m:num>
                      <m:den>
                        <m:r>
                          <m:rPr/>
                          <w:rPr>
                            <w:rFonts w:ascii="Cambria Math" w:hAnsi="Cambria Math" w:cs="Times New Roman"/>
                          </w:rPr>
                          <m:t>12</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tot</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ψ</m:t>
                    </m:r>
                    <m:ctrlPr>
                      <w:rPr>
                        <w:rFonts w:ascii="Cambria Math" w:hAnsi="Cambria Math" w:cs="Times New Roman"/>
                        <w:i/>
                      </w:rPr>
                    </m:ctrlPr>
                  </m:den>
                </m:f>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（6.3.10-2）</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r>
                  <m:rPr/>
                  <w:rPr>
                    <w:rFonts w:ascii="Cambria Math" w:hAnsi="Cambria Math" w:cs="Times New Roman"/>
                  </w:rPr>
                  <m:t>A=bt</m:t>
                </m:r>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（6.3.10-3）</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r>
                  <m:rPr/>
                  <w:rPr>
                    <w:rFonts w:ascii="Cambria Math" w:hAnsi="Cambria Math" w:cs="Times New Roman"/>
                  </w:rPr>
                  <m:t>I=</m:t>
                </m:r>
                <m:f>
                  <m:fPr>
                    <m:ctrlPr>
                      <w:rPr>
                        <w:rFonts w:ascii="Cambria Math" w:hAnsi="Cambria Math" w:cs="Times New Roman"/>
                        <w:i/>
                      </w:rPr>
                    </m:ctrlPr>
                  </m:fPr>
                  <m:num>
                    <m:r>
                      <m:rPr/>
                      <w:rPr>
                        <w:rFonts w:ascii="Cambria Math" w:hAnsi="Cambria Math" w:cs="Times New Roman"/>
                      </w:rPr>
                      <m:t>1</m:t>
                    </m:r>
                    <m:ctrlPr>
                      <w:rPr>
                        <w:rFonts w:ascii="Cambria Math" w:hAnsi="Cambria Math" w:cs="Times New Roman"/>
                        <w:i/>
                      </w:rPr>
                    </m:ctrlPr>
                  </m:num>
                  <m:den>
                    <m:r>
                      <m:rPr/>
                      <w:rPr>
                        <w:rFonts w:ascii="Cambria Math" w:hAnsi="Cambria Math" w:cs="Times New Roman"/>
                      </w:rPr>
                      <m:t>12</m:t>
                    </m:r>
                    <m:ctrlPr>
                      <w:rPr>
                        <w:rFonts w:ascii="Cambria Math" w:hAnsi="Cambria Math" w:cs="Times New Roman"/>
                        <w:i/>
                      </w:rPr>
                    </m:ctrlPr>
                  </m:den>
                </m:f>
                <m:r>
                  <m:rPr/>
                  <w:rPr>
                    <w:rFonts w:ascii="Cambria Math" w:hAnsi="Cambria Math" w:cs="Times New Roman"/>
                  </w:rPr>
                  <m:t>b</m:t>
                </m:r>
                <m:sSup>
                  <m:sSupPr>
                    <m:ctrlPr>
                      <w:rPr>
                        <w:rFonts w:ascii="Cambria Math" w:hAnsi="Cambria Math" w:cs="Times New Roman"/>
                        <w:i/>
                      </w:rPr>
                    </m:ctrlPr>
                  </m:sSupPr>
                  <m:e>
                    <m:r>
                      <m:rPr/>
                      <w:rPr>
                        <w:rFonts w:ascii="Cambria Math" w:hAnsi="Cambria Math" w:cs="Times New Roman"/>
                      </w:rPr>
                      <m:t>t</m:t>
                    </m:r>
                    <m:ctrlPr>
                      <w:rPr>
                        <w:rFonts w:ascii="Cambria Math" w:hAnsi="Cambria Math" w:cs="Times New Roman"/>
                        <w:i/>
                      </w:rPr>
                    </m:ctrlPr>
                  </m:e>
                  <m:sup>
                    <m:r>
                      <m:rPr/>
                      <w:rPr>
                        <w:rFonts w:ascii="Cambria Math" w:hAnsi="Cambria Math" w:cs="Times New Roman"/>
                      </w:rPr>
                      <m:t>3</m:t>
                    </m:r>
                    <m:ctrlPr>
                      <w:rPr>
                        <w:rFonts w:ascii="Cambria Math" w:hAnsi="Cambria Math" w:cs="Times New Roman"/>
                        <w:i/>
                      </w:rPr>
                    </m:ctrlPr>
                  </m:sup>
                </m:sSup>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（6.3.10-4）</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tot</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1</m:t>
                    </m:r>
                    <m:ctrlPr>
                      <w:rPr>
                        <w:rFonts w:ascii="Cambria Math" w:hAnsi="Cambria Math" w:cs="Times New Roman"/>
                        <w:i/>
                      </w:rPr>
                    </m:ctrlPr>
                  </m:num>
                  <m:den>
                    <m:r>
                      <m:rPr/>
                      <w:rPr>
                        <w:rFonts w:ascii="Cambria Math" w:hAnsi="Cambria Math" w:cs="Times New Roman"/>
                      </w:rPr>
                      <m:t>12</m:t>
                    </m:r>
                    <m:ctrlPr>
                      <w:rPr>
                        <w:rFonts w:ascii="Cambria Math" w:hAnsi="Cambria Math" w:cs="Times New Roman"/>
                        <w:i/>
                      </w:rPr>
                    </m:ctrlPr>
                  </m:den>
                </m:f>
                <m:r>
                  <m:rPr/>
                  <w:rPr>
                    <w:rFonts w:ascii="Cambria Math" w:hAnsi="Cambria Math" w:cs="Times New Roman"/>
                  </w:rPr>
                  <m:t>b</m:t>
                </m:r>
                <m:sSup>
                  <m:sSupPr>
                    <m:ctrlPr>
                      <w:rPr>
                        <w:rFonts w:ascii="Cambria Math" w:hAnsi="Cambria Math" w:cs="Times New Roman"/>
                        <w:i/>
                      </w:rPr>
                    </m:ctrlPr>
                  </m:sSupPr>
                  <m:e>
                    <m:r>
                      <m:rPr/>
                      <w:rPr>
                        <w:rFonts w:ascii="Cambria Math" w:hAnsi="Cambria Math" w:cs="Times New Roman"/>
                      </w:rPr>
                      <m:t>n</m:t>
                    </m:r>
                    <m:ctrlPr>
                      <w:rPr>
                        <w:rFonts w:ascii="Cambria Math" w:hAnsi="Cambria Math" w:cs="Times New Roman"/>
                        <w:i/>
                      </w:rPr>
                    </m:ctrlPr>
                  </m:e>
                  <m:sup>
                    <m:r>
                      <m:rPr/>
                      <w:rPr>
                        <w:rFonts w:ascii="Cambria Math" w:hAnsi="Cambria Math" w:cs="Times New Roman"/>
                      </w:rPr>
                      <m:t>3</m:t>
                    </m:r>
                    <m:ctrlPr>
                      <w:rPr>
                        <w:rFonts w:ascii="Cambria Math" w:hAnsi="Cambria Math" w:cs="Times New Roman"/>
                        <w:i/>
                      </w:rPr>
                    </m:ctrlPr>
                  </m:sup>
                </m:sSup>
                <m:sSup>
                  <m:sSupPr>
                    <m:ctrlPr>
                      <w:rPr>
                        <w:rFonts w:ascii="Cambria Math" w:hAnsi="Cambria Math" w:cs="Times New Roman"/>
                        <w:i/>
                      </w:rPr>
                    </m:ctrlPr>
                  </m:sSupPr>
                  <m:e>
                    <m:r>
                      <m:rPr/>
                      <w:rPr>
                        <w:rFonts w:ascii="Cambria Math" w:hAnsi="Cambria Math" w:cs="Times New Roman"/>
                      </w:rPr>
                      <m:t>t</m:t>
                    </m:r>
                    <m:ctrlPr>
                      <w:rPr>
                        <w:rFonts w:ascii="Cambria Math" w:hAnsi="Cambria Math" w:cs="Times New Roman"/>
                        <w:i/>
                      </w:rPr>
                    </m:ctrlPr>
                  </m:e>
                  <m:sup>
                    <m:r>
                      <m:rPr/>
                      <w:rPr>
                        <w:rFonts w:ascii="Cambria Math" w:hAnsi="Cambria Math" w:cs="Times New Roman"/>
                      </w:rPr>
                      <m:t>3</m:t>
                    </m:r>
                    <m:ctrlPr>
                      <w:rPr>
                        <w:rFonts w:ascii="Cambria Math" w:hAnsi="Cambria Math" w:cs="Times New Roman"/>
                        <w:i/>
                      </w:rPr>
                    </m:ctrlPr>
                  </m:sup>
                </m:sSup>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（6.3.10-5）</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矩形夹层玻璃肋绕弱轴受力的等效厚度</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t</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单片玻璃板厚度</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n</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玻璃板层数；</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η</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代表截面组合程度的无量纲参数；</w:t>
            </w:r>
          </w:p>
        </w:tc>
      </w:tr>
      <w:tr>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E</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玻璃弹性模量</w:t>
            </w:r>
            <w:r>
              <w:rPr>
                <w:rFonts w:hint="eastAsia"/>
                <w:lang w:eastAsia="zh-CN"/>
              </w:rPr>
              <w:t>（</w:t>
            </w:r>
            <w:r>
              <w:t>N/mm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m:sty m:val="p"/>
                      </m:rPr>
                      <w:rPr>
                        <w:rFonts w:ascii="Cambria Math" w:hAnsi="Cambria Math" w:cs="Times New Roman"/>
                      </w:rPr>
                      <m:t>int</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中间层胶片厚度</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G</m:t>
                    </m:r>
                    <m:ctrlPr>
                      <w:rPr>
                        <w:rFonts w:ascii="Cambria Math" w:hAnsi="Cambria Math" w:cs="Times New Roman"/>
                        <w:i/>
                      </w:rPr>
                    </m:ctrlPr>
                  </m:e>
                  <m:sub>
                    <m:r>
                      <m:rPr>
                        <m:sty m:val="p"/>
                      </m:rPr>
                      <w:rPr>
                        <w:rFonts w:ascii="Cambria Math" w:hAnsi="Cambria Math" w:cs="Times New Roman"/>
                      </w:rPr>
                      <m:t>int</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中间层胶片剪切模量</w:t>
            </w:r>
            <w:r>
              <w:rPr>
                <w:rFonts w:hint="eastAsia"/>
                <w:lang w:eastAsia="zh-CN"/>
              </w:rPr>
              <w:t>（</w:t>
            </w:r>
            <w:r>
              <w:t>N/mm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b</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夹层玻璃垂直于计算跨度方向的边长</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L</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夹层玻璃构件的计算跨度</w:t>
            </w:r>
            <w:r>
              <w:rPr>
                <w:rFonts w:hint="eastAsia"/>
                <w:lang w:eastAsia="zh-CN"/>
              </w:rPr>
              <w:t>（</w:t>
            </w:r>
            <w:r>
              <w:t>mm)，四边支承时取短边跨度；</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A</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单片玻璃板截面面积</w:t>
            </w:r>
            <w:r>
              <w:rPr>
                <w:rFonts w:hint="eastAsia"/>
                <w:lang w:eastAsia="zh-CN"/>
              </w:rPr>
              <w:t>（</w:t>
            </w:r>
            <w:r>
              <w:t>mm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I</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单片玻璃绕弱轴截面惯性矩</w:t>
            </w:r>
            <w:r>
              <w:rPr>
                <w:rFonts w:hint="eastAsia"/>
                <w:lang w:eastAsia="zh-CN"/>
              </w:rPr>
              <w:t>（</w:t>
            </w:r>
            <w:r>
              <w:t>mm</w:t>
            </w:r>
            <w:r>
              <w:rPr>
                <w:vertAlign w:val="superscript"/>
              </w:rPr>
              <w:t>4</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tot</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夹层玻璃截面完全组合对应的绕弱轴截面惯性矩</w:t>
            </w:r>
            <w:r>
              <w:rPr>
                <w:rFonts w:hint="eastAsia"/>
                <w:lang w:eastAsia="zh-CN"/>
              </w:rPr>
              <w:t>（</w:t>
            </w:r>
            <w:r>
              <w:t>mm</w:t>
            </w:r>
            <w:r>
              <w:rPr>
                <w:vertAlign w:val="superscript"/>
              </w:rPr>
              <w:t>4</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ψ</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荷载及边界条件相关系数，均布荷载作用下可取9.88，集中荷载作用下可取10.00。</w:t>
            </w:r>
          </w:p>
        </w:tc>
      </w:tr>
    </w:tbl>
    <w:p>
      <w:pPr>
        <w:pStyle w:val="200"/>
      </w:pPr>
      <w:r>
        <w:rPr>
          <w:b/>
        </w:rPr>
        <w:t xml:space="preserve">6.3.11 </w:t>
      </w:r>
      <w:r>
        <w:t>玻璃肋在风荷载标准值作用下的挠度可按下式计算：</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d</m:t>
                    </m:r>
                    <m:ctrlPr>
                      <w:rPr>
                        <w:rFonts w:ascii="Cambria Math" w:hAnsi="Cambria Math" w:cs="Times New Roman"/>
                        <w:i/>
                      </w:rPr>
                    </m:ctrlPr>
                  </m:e>
                  <m:sub>
                    <m:r>
                      <m:rPr/>
                      <w:rPr>
                        <w:rFonts w:ascii="Cambria Math" w:hAnsi="Cambria Math" w:cs="Times New Roman"/>
                      </w:rPr>
                      <m:t>f</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5</m:t>
                    </m:r>
                    <m:ctrlPr>
                      <w:rPr>
                        <w:rFonts w:ascii="Cambria Math" w:hAnsi="Cambria Math" w:cs="Times New Roman"/>
                        <w:i/>
                      </w:rPr>
                    </m:ctrlPr>
                  </m:num>
                  <m:den>
                    <m:r>
                      <m:rPr/>
                      <w:rPr>
                        <w:rFonts w:ascii="Cambria Math" w:hAnsi="Cambria Math" w:cs="Times New Roman"/>
                      </w:rPr>
                      <m:t>32</m:t>
                    </m:r>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w</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r>
                      <m:rPr/>
                      <w:rPr>
                        <w:rFonts w:ascii="Cambria Math" w:hAnsi="Cambria Math" w:cs="Times New Roman"/>
                      </w:rPr>
                      <m:t>l</m:t>
                    </m:r>
                    <m:sSup>
                      <m:sSupPr>
                        <m:ctrlPr>
                          <w:rPr>
                            <w:rFonts w:ascii="Cambria Math" w:hAnsi="Cambria Math" w:cs="Times New Roman"/>
                            <w:i/>
                          </w:rPr>
                        </m:ctrlPr>
                      </m:sSupPr>
                      <m:e>
                        <m:r>
                          <m:rPr/>
                          <w:rPr>
                            <w:rFonts w:ascii="Cambria Math" w:hAnsi="Cambria Math" w:cs="Times New Roman"/>
                          </w:rPr>
                          <m:t>ℎ</m:t>
                        </m:r>
                        <m:ctrlPr>
                          <w:rPr>
                            <w:rFonts w:ascii="Cambria Math" w:hAnsi="Cambria Math" w:cs="Times New Roman"/>
                            <w:i/>
                          </w:rPr>
                        </m:ctrlPr>
                      </m:e>
                      <m:sup>
                        <m:r>
                          <m:rPr/>
                          <w:rPr>
                            <w:rFonts w:ascii="Cambria Math" w:hAnsi="Cambria Math" w:cs="Times New Roman"/>
                          </w:rPr>
                          <m:t>4</m:t>
                        </m:r>
                        <m:ctrlPr>
                          <w:rPr>
                            <w:rFonts w:ascii="Cambria Math" w:hAnsi="Cambria Math" w:cs="Times New Roman"/>
                            <w:i/>
                          </w:rPr>
                        </m:ctrlPr>
                      </m:sup>
                    </m:sSup>
                    <m:ctrlPr>
                      <w:rPr>
                        <w:rFonts w:ascii="Cambria Math" w:hAnsi="Cambria Math" w:cs="Times New Roman"/>
                        <w:i/>
                      </w:rPr>
                    </m:ctrlPr>
                  </m:num>
                  <m:den>
                    <m:r>
                      <m:rPr/>
                      <w:rPr>
                        <w:rFonts w:ascii="Cambria Math" w:hAnsi="Cambria Math" w:cs="Times New Roman"/>
                      </w:rPr>
                      <m:t>Et</m:t>
                    </m:r>
                    <m:sSubSup>
                      <m:sSubSupPr>
                        <m:ctrlPr>
                          <w:rPr>
                            <w:rFonts w:ascii="Cambria Math" w:hAnsi="Cambria Math" w:cs="Times New Roman"/>
                            <w:i/>
                          </w:rPr>
                        </m:ctrlPr>
                      </m:sSubSupPr>
                      <m:e>
                        <m:r>
                          <m:rPr/>
                          <w:rPr>
                            <w:rFonts w:ascii="Cambria Math" w:hAnsi="Cambria Math" w:cs="Times New Roman"/>
                          </w:rPr>
                          <m:t>ℎ</m:t>
                        </m:r>
                        <m:ctrlPr>
                          <w:rPr>
                            <w:rFonts w:ascii="Cambria Math" w:hAnsi="Cambria Math" w:cs="Times New Roman"/>
                            <w:i/>
                          </w:rPr>
                        </m:ctrlPr>
                      </m:e>
                      <m:sub>
                        <m:r>
                          <m:rPr/>
                          <w:rPr>
                            <w:rFonts w:ascii="Cambria Math" w:hAnsi="Cambria Math" w:cs="Times New Roman"/>
                          </w:rPr>
                          <m:t>r</m:t>
                        </m:r>
                        <m:ctrlPr>
                          <w:rPr>
                            <w:rFonts w:ascii="Cambria Math" w:hAnsi="Cambria Math" w:cs="Times New Roman"/>
                            <w:i/>
                          </w:rPr>
                        </m:ctrlPr>
                      </m:sub>
                      <m:sup>
                        <m:r>
                          <m:rPr/>
                          <w:rPr>
                            <w:rFonts w:ascii="Cambria Math" w:hAnsi="Cambria Math" w:cs="Times New Roman"/>
                          </w:rPr>
                          <m:t>3</m:t>
                        </m:r>
                        <m:ctrlPr>
                          <w:rPr>
                            <w:rFonts w:ascii="Cambria Math" w:hAnsi="Cambria Math" w:cs="Times New Roman"/>
                            <w:i/>
                          </w:rPr>
                        </m:ctrlPr>
                      </m:sup>
                    </m:sSubSup>
                    <m:ctrlPr>
                      <w:rPr>
                        <w:rFonts w:ascii="Cambria Math" w:hAnsi="Cambria Math" w:cs="Times New Roman"/>
                        <w:i/>
                      </w:rPr>
                    </m:ctrlPr>
                  </m:den>
                </m:f>
                <m:r>
                  <m:rPr>
                    <m:sty m:val="p"/>
                  </m:rPr>
                  <w:rPr>
                    <w:rFonts w:ascii="Cambria Math" w:hAnsi="Cambria Math" w:cs="Times New Roman"/>
                  </w:rPr>
                  <m:t>（单肋）</m:t>
                </m:r>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（6.3.11-1）</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Cambria Math" w:hAnsi="Cambria Math" w:cs="Times New Roman"/>
                <w:oMath/>
              </w:rPr>
            </w:pPr>
            <m:oMathPara>
              <m:oMath>
                <m:sSub>
                  <m:sSubPr>
                    <m:ctrlPr>
                      <w:rPr>
                        <w:rFonts w:ascii="Cambria Math" w:hAnsi="Cambria Math" w:cs="Times New Roman"/>
                        <w:i/>
                      </w:rPr>
                    </m:ctrlPr>
                  </m:sSubPr>
                  <m:e>
                    <m:r>
                      <m:rPr/>
                      <w:rPr>
                        <w:rFonts w:ascii="Cambria Math" w:hAnsi="Cambria Math" w:cs="Times New Roman"/>
                      </w:rPr>
                      <m:t>d</m:t>
                    </m:r>
                    <m:ctrlPr>
                      <w:rPr>
                        <w:rFonts w:ascii="Cambria Math" w:hAnsi="Cambria Math" w:cs="Times New Roman"/>
                        <w:i/>
                      </w:rPr>
                    </m:ctrlPr>
                  </m:e>
                  <m:sub>
                    <m:r>
                      <m:rPr/>
                      <w:rPr>
                        <w:rFonts w:ascii="Cambria Math" w:hAnsi="Cambria Math" w:cs="Times New Roman"/>
                      </w:rPr>
                      <m:t>f</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5</m:t>
                    </m:r>
                    <m:ctrlPr>
                      <w:rPr>
                        <w:rFonts w:ascii="Cambria Math" w:hAnsi="Cambria Math" w:cs="Times New Roman"/>
                        <w:i/>
                      </w:rPr>
                    </m:ctrlPr>
                  </m:num>
                  <m:den>
                    <m:r>
                      <m:rPr/>
                      <w:rPr>
                        <w:rFonts w:ascii="Cambria Math" w:hAnsi="Cambria Math" w:cs="Times New Roman"/>
                      </w:rPr>
                      <m:t>64</m:t>
                    </m:r>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w</m:t>
                        </m:r>
                        <m:ctrlPr>
                          <w:rPr>
                            <w:rFonts w:ascii="Cambria Math" w:hAnsi="Cambria Math" w:cs="Times New Roman"/>
                            <w:i/>
                          </w:rPr>
                        </m:ctrlPr>
                      </m:e>
                      <m:sub>
                        <m:r>
                          <m:rPr/>
                          <w:rPr>
                            <w:rFonts w:ascii="Cambria Math" w:hAnsi="Cambria Math" w:cs="Times New Roman"/>
                          </w:rPr>
                          <m:t>k</m:t>
                        </m:r>
                        <m:ctrlPr>
                          <w:rPr>
                            <w:rFonts w:ascii="Cambria Math" w:hAnsi="Cambria Math" w:cs="Times New Roman"/>
                            <w:i/>
                          </w:rPr>
                        </m:ctrlPr>
                      </m:sub>
                    </m:sSub>
                    <m:r>
                      <m:rPr/>
                      <w:rPr>
                        <w:rFonts w:ascii="Cambria Math" w:hAnsi="Cambria Math" w:cs="Times New Roman"/>
                      </w:rPr>
                      <m:t>l</m:t>
                    </m:r>
                    <m:sSup>
                      <m:sSupPr>
                        <m:ctrlPr>
                          <w:rPr>
                            <w:rFonts w:ascii="Cambria Math" w:hAnsi="Cambria Math" w:cs="Times New Roman"/>
                            <w:i/>
                          </w:rPr>
                        </m:ctrlPr>
                      </m:sSupPr>
                      <m:e>
                        <m:r>
                          <m:rPr/>
                          <w:rPr>
                            <w:rFonts w:ascii="Cambria Math" w:hAnsi="Cambria Math" w:cs="Times New Roman"/>
                          </w:rPr>
                          <m:t>ℎ</m:t>
                        </m:r>
                        <m:ctrlPr>
                          <w:rPr>
                            <w:rFonts w:ascii="Cambria Math" w:hAnsi="Cambria Math" w:cs="Times New Roman"/>
                            <w:i/>
                          </w:rPr>
                        </m:ctrlPr>
                      </m:e>
                      <m:sup>
                        <m:r>
                          <m:rPr/>
                          <w:rPr>
                            <w:rFonts w:ascii="Cambria Math" w:hAnsi="Cambria Math" w:cs="Times New Roman"/>
                          </w:rPr>
                          <m:t>4</m:t>
                        </m:r>
                        <m:ctrlPr>
                          <w:rPr>
                            <w:rFonts w:ascii="Cambria Math" w:hAnsi="Cambria Math" w:cs="Times New Roman"/>
                            <w:i/>
                          </w:rPr>
                        </m:ctrlPr>
                      </m:sup>
                    </m:sSup>
                    <m:ctrlPr>
                      <w:rPr>
                        <w:rFonts w:ascii="Cambria Math" w:hAnsi="Cambria Math" w:cs="Times New Roman"/>
                        <w:i/>
                      </w:rPr>
                    </m:ctrlPr>
                  </m:num>
                  <m:den>
                    <m:r>
                      <m:rPr/>
                      <w:rPr>
                        <w:rFonts w:ascii="Cambria Math" w:hAnsi="Cambria Math" w:cs="Times New Roman"/>
                      </w:rPr>
                      <m:t>Et</m:t>
                    </m:r>
                    <m:sSubSup>
                      <m:sSubSupPr>
                        <m:ctrlPr>
                          <w:rPr>
                            <w:rFonts w:ascii="Cambria Math" w:hAnsi="Cambria Math" w:cs="Times New Roman"/>
                            <w:i/>
                          </w:rPr>
                        </m:ctrlPr>
                      </m:sSubSupPr>
                      <m:e>
                        <m:r>
                          <m:rPr/>
                          <w:rPr>
                            <w:rFonts w:ascii="Cambria Math" w:hAnsi="Cambria Math" w:cs="Times New Roman"/>
                          </w:rPr>
                          <m:t>ℎ</m:t>
                        </m:r>
                        <m:ctrlPr>
                          <w:rPr>
                            <w:rFonts w:ascii="Cambria Math" w:hAnsi="Cambria Math" w:cs="Times New Roman"/>
                            <w:i/>
                          </w:rPr>
                        </m:ctrlPr>
                      </m:e>
                      <m:sub>
                        <m:r>
                          <m:rPr/>
                          <w:rPr>
                            <w:rFonts w:ascii="Cambria Math" w:hAnsi="Cambria Math" w:cs="Times New Roman"/>
                          </w:rPr>
                          <m:t>r</m:t>
                        </m:r>
                        <m:ctrlPr>
                          <w:rPr>
                            <w:rFonts w:ascii="Cambria Math" w:hAnsi="Cambria Math" w:cs="Times New Roman"/>
                            <w:i/>
                          </w:rPr>
                        </m:ctrlPr>
                      </m:sub>
                      <m:sup>
                        <m:r>
                          <m:rPr/>
                          <w:rPr>
                            <w:rFonts w:ascii="Cambria Math" w:hAnsi="Cambria Math" w:cs="Times New Roman"/>
                          </w:rPr>
                          <m:t>3</m:t>
                        </m:r>
                        <m:ctrlPr>
                          <w:rPr>
                            <w:rFonts w:ascii="Cambria Math" w:hAnsi="Cambria Math" w:cs="Times New Roman"/>
                            <w:i/>
                          </w:rPr>
                        </m:ctrlPr>
                      </m:sup>
                    </m:sSubSup>
                    <m:ctrlPr>
                      <w:rPr>
                        <w:rFonts w:ascii="Cambria Math" w:hAnsi="Cambria Math" w:cs="Times New Roman"/>
                        <w:i/>
                      </w:rPr>
                    </m:ctrlPr>
                  </m:den>
                </m:f>
                <m:r>
                  <m:rPr>
                    <m:sty m:val="p"/>
                  </m:rPr>
                  <w:rPr>
                    <w:rFonts w:ascii="Cambria Math" w:hAnsi="Cambria Math" w:cs="Times New Roman"/>
                  </w:rPr>
                  <m:t>（双肋）</m:t>
                </m:r>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（6.3.11-2）</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rPr>
                    </m:ctrlPr>
                  </m:sSubPr>
                  <m:e>
                    <m:r>
                      <m:rPr/>
                      <w:rPr>
                        <w:rFonts w:ascii="Cambria Math" w:hAnsi="Cambria Math" w:cs="Times New Roman"/>
                      </w:rPr>
                      <m:t>d</m:t>
                    </m:r>
                    <m:ctrlPr>
                      <w:rPr>
                        <w:rFonts w:ascii="Cambria Math" w:hAnsi="Cambria Math" w:cs="Times New Roman"/>
                      </w:rPr>
                    </m:ctrlPr>
                  </m:e>
                  <m:sub>
                    <m:r>
                      <m:rPr/>
                      <w:rPr>
                        <w:rFonts w:ascii="Cambria Math" w:hAnsi="Cambria Math" w:cs="Times New Roman"/>
                      </w:rPr>
                      <m:t>f</m:t>
                    </m:r>
                    <m:ctrlPr>
                      <w:rPr>
                        <w:rFonts w:ascii="Cambria Math" w:hAnsi="Cambria Math" w:cs="Times New Roman"/>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风荷载标准值作用下的挠度</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rPr>
                    </m:ctrlPr>
                  </m:sSubPr>
                  <m:e>
                    <m:r>
                      <m:rPr/>
                      <w:rPr>
                        <w:rFonts w:ascii="Cambria Math" w:hAnsi="Cambria Math" w:cs="Times New Roman"/>
                      </w:rPr>
                      <m:t>w</m:t>
                    </m:r>
                    <m:ctrlPr>
                      <w:rPr>
                        <w:rFonts w:ascii="Cambria Math" w:hAnsi="Cambria Math" w:cs="Times New Roman"/>
                      </w:rPr>
                    </m:ctrlPr>
                  </m:e>
                  <m:sub>
                    <m:r>
                      <m:rPr/>
                      <w:rPr>
                        <w:rFonts w:ascii="Cambria Math" w:hAnsi="Cambria Math" w:cs="Times New Roman"/>
                      </w:rPr>
                      <m:t>k</m:t>
                    </m:r>
                    <m:ctrlPr>
                      <w:rPr>
                        <w:rFonts w:ascii="Cambria Math" w:hAnsi="Cambria Math" w:cs="Times New Roman"/>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风荷载标准值</w:t>
            </w:r>
            <w:r>
              <w:rPr>
                <w:rFonts w:hint="eastAsia"/>
                <w:lang w:eastAsia="zh-CN"/>
              </w:rPr>
              <w:t>（</w:t>
            </w:r>
            <w:r>
              <w:t>N/mm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E</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玻璃弹性模量</w:t>
            </w:r>
            <w:r>
              <w:rPr>
                <w:rFonts w:hint="eastAsia"/>
                <w:lang w:eastAsia="zh-CN"/>
              </w:rPr>
              <w:t>（</w:t>
            </w:r>
            <w:r>
              <w:t>N/mm</w:t>
            </w:r>
            <w:r>
              <w:rPr>
                <w:vertAlign w:val="superscript"/>
              </w:rPr>
              <w:t>2</w:t>
            </w:r>
            <w:r>
              <w:t>)。</w:t>
            </w:r>
          </w:p>
        </w:tc>
      </w:tr>
    </w:tbl>
    <w:p>
      <w:pPr>
        <w:pStyle w:val="200"/>
      </w:pPr>
      <w:r>
        <w:rPr>
          <w:b/>
        </w:rPr>
        <w:t xml:space="preserve">6.3.12 </w:t>
      </w:r>
      <w:r>
        <w:t>面内受弯玻璃肋截面抗弯承载力应按下式计算：</w:t>
      </w:r>
    </w:p>
    <w:tbl>
      <w:tblPr>
        <w:tblStyle w:val="37"/>
        <w:tblW w:w="5000" w:type="pct"/>
        <w:jc w:val="right"/>
        <w:tblLayout w:type="fixed"/>
        <w:tblCellMar>
          <w:top w:w="0" w:type="dxa"/>
          <w:left w:w="108" w:type="dxa"/>
          <w:bottom w:w="0" w:type="dxa"/>
          <w:right w:w="108" w:type="dxa"/>
        </w:tblCellMar>
      </w:tblPr>
      <w:tblGrid>
        <w:gridCol w:w="962"/>
        <w:gridCol w:w="572"/>
        <w:gridCol w:w="714"/>
        <w:gridCol w:w="4148"/>
        <w:gridCol w:w="2555"/>
        <w:gridCol w:w="904"/>
      </w:tblGrid>
      <w:tr>
        <w:tblPrEx>
          <w:tblCellMar>
            <w:top w:w="0" w:type="dxa"/>
            <w:left w:w="108" w:type="dxa"/>
            <w:bottom w:w="0" w:type="dxa"/>
            <w:right w:w="108" w:type="dxa"/>
          </w:tblCellMar>
        </w:tblPrEx>
        <w:trPr>
          <w:gridAfter w:val="1"/>
          <w:wAfter w:w="906" w:type="dxa"/>
          <w:jc w:val="right"/>
        </w:trPr>
        <w:tc>
          <w:tcPr>
            <w:tcW w:w="6393" w:type="dxa"/>
            <w:gridSpan w:val="4"/>
            <w:shd w:val="clear" w:color="auto" w:fill="auto"/>
            <w:vAlign w:val="center"/>
          </w:tcPr>
          <w:p>
            <w:pPr>
              <w:spacing w:line="360" w:lineRule="auto"/>
              <w:jc w:val="center"/>
              <w:rPr>
                <w:rFonts w:ascii="Times New Roman" w:hAnsi="Times New Roman" w:cs="Times New Roman"/>
              </w:rPr>
            </w:pPr>
            <m:oMathPara>
              <m:oMathParaPr>
                <m:jc m:val="center"/>
              </m:oMathParaPr>
              <m:oMath>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W</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g</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≤1.0</m:t>
                </m:r>
              </m:oMath>
            </m:oMathPara>
          </w:p>
        </w:tc>
        <w:tc>
          <w:tcPr>
            <w:tcW w:w="2555"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（6.3.12）</w:t>
            </w:r>
          </w:p>
        </w:tc>
      </w:tr>
      <w:tr>
        <w:tblPrEx>
          <w:tblCellMar>
            <w:top w:w="0" w:type="dxa"/>
            <w:left w:w="108" w:type="dxa"/>
            <w:bottom w:w="0" w:type="dxa"/>
            <w:right w:w="108" w:type="dxa"/>
          </w:tblCellMar>
        </w:tblPrEx>
        <w:tc>
          <w:tcPr>
            <w:tcW w:w="959" w:type="dxa"/>
          </w:tcPr>
          <w:p>
            <w:pPr>
              <w:spacing w:line="360" w:lineRule="auto"/>
              <w:jc w:val="right"/>
              <w:rPr>
                <w:rFonts w:ascii="Times New Roman" w:hAnsi="Times New Roman" w:cs="Times New Roman"/>
              </w:rPr>
            </w:pPr>
            <w:r>
              <w:rPr>
                <w:rFonts w:ascii="Times New Roman" w:hAnsi="Times New Roman" w:cs="Times New Roman"/>
              </w:rPr>
              <w:t>式中：</w:t>
            </w:r>
          </w:p>
        </w:tc>
        <w:tc>
          <w:tcPr>
            <w:tcW w:w="567"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oMath>
            </m:oMathPara>
          </w:p>
        </w:tc>
        <w:tc>
          <w:tcPr>
            <w:tcW w:w="709"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619" w:type="dxa"/>
            <w:gridSpan w:val="3"/>
            <w:shd w:val="clear" w:color="auto" w:fill="auto"/>
          </w:tcPr>
          <w:p>
            <w:pPr>
              <w:pStyle w:val="189"/>
            </w:pPr>
            <w:r>
              <w:t>面内弯矩设计值</w:t>
            </w:r>
            <w:r>
              <w:rPr>
                <w:rFonts w:hint="eastAsia"/>
                <w:lang w:eastAsia="zh-CN"/>
              </w:rPr>
              <w:t>（</w:t>
            </w:r>
            <w:r>
              <w:t>N·mm)；</w:t>
            </w:r>
          </w:p>
        </w:tc>
      </w:tr>
      <w:tr>
        <w:tblPrEx>
          <w:tblCellMar>
            <w:top w:w="0" w:type="dxa"/>
            <w:left w:w="108" w:type="dxa"/>
            <w:bottom w:w="0" w:type="dxa"/>
            <w:right w:w="108" w:type="dxa"/>
          </w:tblCellMar>
        </w:tblPrEx>
        <w:trPr>
          <w:trHeight w:val="70" w:hRule="atLeast"/>
        </w:trPr>
        <w:tc>
          <w:tcPr>
            <w:tcW w:w="959" w:type="dxa"/>
          </w:tcPr>
          <w:p>
            <w:pPr>
              <w:spacing w:line="360" w:lineRule="auto"/>
              <w:jc w:val="right"/>
              <w:rPr>
                <w:rFonts w:ascii="Times New Roman" w:hAnsi="Times New Roman" w:cs="Times New Roman"/>
              </w:rPr>
            </w:pPr>
          </w:p>
        </w:tc>
        <w:tc>
          <w:tcPr>
            <w:tcW w:w="567"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rPr>
                    </m:ctrlPr>
                  </m:sSubPr>
                  <m:e>
                    <m:r>
                      <m:rPr/>
                      <w:rPr>
                        <w:rFonts w:ascii="Cambria Math" w:hAnsi="Cambria Math" w:cs="Times New Roman"/>
                      </w:rPr>
                      <m:t>W</m:t>
                    </m:r>
                    <m:ctrlPr>
                      <w:rPr>
                        <w:rFonts w:ascii="Cambria Math" w:hAnsi="Cambria Math" w:cs="Times New Roman"/>
                      </w:rPr>
                    </m:ctrlPr>
                  </m:e>
                  <m:sub>
                    <m:r>
                      <m:rPr/>
                      <w:rPr>
                        <w:rFonts w:ascii="Cambria Math" w:hAnsi="Cambria Math" w:cs="Times New Roman"/>
                      </w:rPr>
                      <m:t>x</m:t>
                    </m:r>
                    <m:ctrlPr>
                      <w:rPr>
                        <w:rFonts w:ascii="Cambria Math" w:hAnsi="Cambria Math" w:cs="Times New Roman"/>
                      </w:rPr>
                    </m:ctrlPr>
                  </m:sub>
                </m:sSub>
              </m:oMath>
            </m:oMathPara>
          </w:p>
        </w:tc>
        <w:tc>
          <w:tcPr>
            <w:tcW w:w="709"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619" w:type="dxa"/>
            <w:gridSpan w:val="3"/>
            <w:shd w:val="clear" w:color="auto" w:fill="auto"/>
          </w:tcPr>
          <w:p>
            <w:pPr>
              <w:pStyle w:val="189"/>
            </w:pPr>
            <w:r>
              <w:t>面内弯曲截面模量</w:t>
            </w:r>
            <w:r>
              <w:rPr>
                <w:rFonts w:hint="eastAsia"/>
                <w:lang w:eastAsia="zh-CN"/>
              </w:rPr>
              <w:t>（</w:t>
            </w:r>
            <w:r>
              <w:t>mm</w:t>
            </w:r>
            <w:r>
              <w:rPr>
                <w:vertAlign w:val="superscript"/>
              </w:rPr>
              <w:t>3</w:t>
            </w:r>
            <w:r>
              <w:t>)；</w:t>
            </w:r>
          </w:p>
        </w:tc>
      </w:tr>
      <w:tr>
        <w:tblPrEx>
          <w:tblCellMar>
            <w:top w:w="0" w:type="dxa"/>
            <w:left w:w="108" w:type="dxa"/>
            <w:bottom w:w="0" w:type="dxa"/>
            <w:right w:w="108" w:type="dxa"/>
          </w:tblCellMar>
        </w:tblPrEx>
        <w:tc>
          <w:tcPr>
            <w:tcW w:w="959" w:type="dxa"/>
          </w:tcPr>
          <w:p>
            <w:pPr>
              <w:spacing w:line="360" w:lineRule="auto"/>
              <w:jc w:val="right"/>
              <w:rPr>
                <w:rFonts w:ascii="Times New Roman" w:hAnsi="Times New Roman" w:cs="Times New Roman"/>
              </w:rPr>
            </w:pPr>
          </w:p>
        </w:tc>
        <w:tc>
          <w:tcPr>
            <w:tcW w:w="567"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g</m:t>
                    </m:r>
                    <m:ctrlPr>
                      <w:rPr>
                        <w:rFonts w:ascii="Cambria Math" w:hAnsi="Cambria Math" w:cs="Times New Roman"/>
                      </w:rPr>
                    </m:ctrlPr>
                  </m:sub>
                </m:sSub>
              </m:oMath>
            </m:oMathPara>
          </w:p>
        </w:tc>
        <w:tc>
          <w:tcPr>
            <w:tcW w:w="709"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619" w:type="dxa"/>
            <w:gridSpan w:val="3"/>
            <w:shd w:val="clear" w:color="auto" w:fill="auto"/>
          </w:tcPr>
          <w:p>
            <w:pPr>
              <w:pStyle w:val="189"/>
            </w:pPr>
            <w:r>
              <w:t>玻璃端面强度设计值</w:t>
            </w:r>
            <w:r>
              <w:rPr>
                <w:rFonts w:hint="eastAsia"/>
                <w:lang w:eastAsia="zh-CN"/>
              </w:rPr>
              <w:t>（</w:t>
            </w:r>
            <w:r>
              <w:t>N/mm</w:t>
            </w:r>
            <w:r>
              <w:rPr>
                <w:vertAlign w:val="superscript"/>
              </w:rPr>
              <w:t>2</w:t>
            </w:r>
            <w:r>
              <w:t>)。</w:t>
            </w:r>
          </w:p>
        </w:tc>
      </w:tr>
    </w:tbl>
    <w:p>
      <w:pPr>
        <w:pStyle w:val="200"/>
        <w:rPr>
          <w:szCs w:val="28"/>
        </w:rPr>
      </w:pPr>
      <w:r>
        <w:rPr>
          <w:b/>
        </w:rPr>
        <w:t xml:space="preserve">6.3.13 </w:t>
      </w:r>
      <w:r>
        <w:t>面内受弯玻璃肋，高度大于8m时宜进行整体稳定性验算，高度大于12m时应进行整体稳定性验算。</w:t>
      </w:r>
      <w:r>
        <w:rPr>
          <w:szCs w:val="28"/>
        </w:rPr>
        <w:t>当玻璃肋</w:t>
      </w:r>
      <w:r>
        <w:t>整体稳定性</w:t>
      </w:r>
      <w:r>
        <w:rPr>
          <w:szCs w:val="28"/>
        </w:rPr>
        <w:t>验算不满足要求时，应设置水平玻璃肋或水平金属杆等防止侧向失稳的构造措施。</w:t>
      </w:r>
    </w:p>
    <w:p>
      <w:pPr>
        <w:pStyle w:val="200"/>
      </w:pPr>
      <w:r>
        <w:rPr>
          <w:b/>
        </w:rPr>
        <w:t xml:space="preserve">6.3.14 </w:t>
      </w:r>
      <w:r>
        <w:t>面内受弯玻璃肋的整体稳定性验算，应符合下列规定：</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Sub>
                        <m:r>
                          <m:rPr/>
                          <w:rPr>
                            <w:rFonts w:ascii="Cambria Math" w:hAnsi="Cambria Math" w:cs="Times New Roman"/>
                          </w:rPr>
                          <m:t>W</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g</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≤1.0</m:t>
                </m:r>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（6.3.14）</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面内弯矩设计值</w:t>
            </w:r>
            <w:r>
              <w:rPr>
                <w:rFonts w:hint="eastAsia"/>
                <w:lang w:eastAsia="zh-CN"/>
              </w:rPr>
              <w:t>（</w:t>
            </w:r>
            <w:r>
              <w:t>N·mm)；</w:t>
            </w:r>
          </w:p>
        </w:tc>
      </w:tr>
      <w:tr>
        <w:tblPrEx>
          <w:tblCellMar>
            <w:top w:w="0" w:type="dxa"/>
            <w:left w:w="108" w:type="dxa"/>
            <w:bottom w:w="0" w:type="dxa"/>
            <w:right w:w="108" w:type="dxa"/>
          </w:tblCellMar>
        </w:tblPrEx>
        <w:trPr>
          <w:trHeight w:val="70" w:hRule="atLeast"/>
        </w:trPr>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rPr>
                    </m:ctrlPr>
                  </m:sSubPr>
                  <m:e>
                    <m:r>
                      <m:rPr/>
                      <w:rPr>
                        <w:rFonts w:ascii="Cambria Math" w:hAnsi="Cambria Math" w:cs="Times New Roman"/>
                      </w:rPr>
                      <m:t>W</m:t>
                    </m:r>
                    <m:ctrlPr>
                      <w:rPr>
                        <w:rFonts w:ascii="Cambria Math" w:hAnsi="Cambria Math" w:cs="Times New Roman"/>
                      </w:rPr>
                    </m:ctrlPr>
                  </m:e>
                  <m:sub>
                    <m:r>
                      <m:rPr/>
                      <w:rPr>
                        <w:rFonts w:ascii="Cambria Math" w:hAnsi="Cambria Math" w:cs="Times New Roman"/>
                      </w:rPr>
                      <m:t>x</m:t>
                    </m:r>
                    <m:ctrlPr>
                      <w:rPr>
                        <w:rFonts w:ascii="Cambria Math" w:hAnsi="Cambria Math" w:cs="Times New Roman"/>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面内弯曲截面模量</w:t>
            </w:r>
            <w:r>
              <w:rPr>
                <w:rFonts w:hint="eastAsia"/>
                <w:lang w:eastAsia="zh-CN"/>
              </w:rPr>
              <w:t>（</w:t>
            </w:r>
            <w:r>
              <w:t>mm</w:t>
            </w:r>
            <w:r>
              <w:rPr>
                <w:vertAlign w:val="superscript"/>
              </w:rPr>
              <w:t>3</w:t>
            </w:r>
            <w:r>
              <w:t>)；</w:t>
            </w:r>
          </w:p>
        </w:tc>
      </w:tr>
      <w:tr>
        <w:tblPrEx>
          <w:tblCellMar>
            <w:top w:w="0" w:type="dxa"/>
            <w:left w:w="108" w:type="dxa"/>
            <w:bottom w:w="0" w:type="dxa"/>
            <w:right w:w="108" w:type="dxa"/>
          </w:tblCellMar>
        </w:tblPrEx>
        <w:trPr>
          <w:trHeight w:val="70" w:hRule="atLeast"/>
        </w:trPr>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面内受弯构件整体稳定性系数，按6.3.15条计算；</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g</m:t>
                    </m:r>
                    <m:ctrlPr>
                      <w:rPr>
                        <w:rFonts w:ascii="Cambria Math" w:hAnsi="Cambria Math" w:cs="Times New Roman"/>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玻璃边缘强度设计值</w:t>
            </w:r>
            <w:r>
              <w:rPr>
                <w:rFonts w:hint="eastAsia"/>
                <w:lang w:eastAsia="zh-CN"/>
              </w:rPr>
              <w:t>（</w:t>
            </w:r>
            <w:r>
              <w:t>N/mm</w:t>
            </w:r>
            <w:r>
              <w:rPr>
                <w:vertAlign w:val="superscript"/>
              </w:rPr>
              <w:t>2</w:t>
            </w:r>
            <w:r>
              <w:t>)。</w:t>
            </w:r>
          </w:p>
        </w:tc>
      </w:tr>
    </w:tbl>
    <w:p>
      <w:pPr>
        <w:pStyle w:val="200"/>
      </w:pPr>
      <w:r>
        <w:rPr>
          <w:b/>
        </w:rPr>
        <w:t xml:space="preserve">6.3.15 </w:t>
      </w:r>
      <w:r>
        <w:t>面内受弯构件的整体稳定性系数可按下列公式计算：</w:t>
      </w:r>
    </w:p>
    <w:tbl>
      <w:tblPr>
        <w:tblStyle w:val="37"/>
        <w:tblW w:w="4750" w:type="pct"/>
        <w:jc w:val="right"/>
        <w:tblLayout w:type="fixed"/>
        <w:tblCellMar>
          <w:top w:w="0" w:type="dxa"/>
          <w:left w:w="108" w:type="dxa"/>
          <w:bottom w:w="0" w:type="dxa"/>
          <w:right w:w="108" w:type="dxa"/>
        </w:tblCellMar>
      </w:tblPr>
      <w:tblGrid>
        <w:gridCol w:w="6686"/>
        <w:gridCol w:w="2675"/>
      </w:tblGrid>
      <w:tr>
        <w:trPr>
          <w:jc w:val="right"/>
        </w:trPr>
        <w:tc>
          <w:tcPr>
            <w:tcW w:w="6301" w:type="dxa"/>
            <w:shd w:val="clear" w:color="auto" w:fill="auto"/>
            <w:vAlign w:val="center"/>
          </w:tcPr>
          <w:p>
            <w:pPr>
              <w:spacing w:line="360" w:lineRule="auto"/>
              <w:jc w:val="center"/>
              <w:rPr>
                <w:rFonts w:ascii="Cambria Math" w:hAnsi="Cambria Math" w:cs="Times New Roman"/>
                <w:oMath/>
              </w:rPr>
            </w:pPr>
            <m:oMathPara>
              <m:oMath>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1</m:t>
                    </m:r>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Sub>
                    <m:r>
                      <m:rPr/>
                      <w:rPr>
                        <w:rFonts w:ascii="Cambria Math" w:hAnsi="Cambria Math" w:cs="Times New Roman"/>
                      </w:rPr>
                      <m:t>+</m:t>
                    </m:r>
                    <m:rad>
                      <m:radPr>
                        <m:degHide m:val="1"/>
                        <m:ctrlPr>
                          <w:rPr>
                            <w:rFonts w:ascii="Cambria Math" w:hAnsi="Cambria Math" w:cs="Times New Roman"/>
                            <w:i/>
                          </w:rPr>
                        </m:ctrlPr>
                      </m:radPr>
                      <m:deg>
                        <m:ctrlPr>
                          <w:rPr>
                            <w:rFonts w:ascii="Cambria Math" w:hAnsi="Cambria Math" w:cs="Times New Roman"/>
                            <w:i/>
                          </w:rPr>
                        </m:ctrlPr>
                      </m:deg>
                      <m:e>
                        <m:sSubSup>
                          <m:sSubSupPr>
                            <m:ctrlPr>
                              <w:rPr>
                                <w:rFonts w:ascii="Cambria Math" w:hAnsi="Cambria Math" w:cs="Times New Roman"/>
                                <w:i/>
                              </w:rPr>
                            </m:ctrlPr>
                          </m:sSubSupPr>
                          <m:e>
                            <m:r>
                              <m:rPr/>
                              <w:rPr>
                                <w:rFonts w:ascii="Cambria Math" w:hAnsi="Cambria Math" w:cs="Times New Roman"/>
                              </w:rPr>
                              <m:t>∅</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r>
                          <m:rPr/>
                          <w:rPr>
                            <w:rFonts w:ascii="Cambria Math" w:hAnsi="Cambria Math" w:cs="Times New Roman"/>
                          </w:rPr>
                          <m:t>−</m:t>
                        </m:r>
                        <m:sSubSup>
                          <m:sSubSupPr>
                            <m:ctrlPr>
                              <w:rPr>
                                <w:rFonts w:ascii="Cambria Math" w:hAnsi="Cambria Math" w:cs="Times New Roman"/>
                                <w:i/>
                              </w:rPr>
                            </m:ctrlPr>
                          </m:sSubSupPr>
                          <m:e>
                            <m:r>
                              <m:rPr/>
                              <w:rPr>
                                <w:rFonts w:ascii="Cambria Math" w:hAnsi="Cambria Math" w:cs="Times New Roman"/>
                              </w:rPr>
                              <m:t>λ</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ctrlPr>
                          <w:rPr>
                            <w:rFonts w:ascii="Cambria Math" w:hAnsi="Cambria Math" w:cs="Times New Roman"/>
                            <w:i/>
                          </w:rPr>
                        </m:ctrlPr>
                      </m:e>
                    </m:rad>
                    <m:ctrlPr>
                      <w:rPr>
                        <w:rFonts w:ascii="Cambria Math" w:hAnsi="Cambria Math" w:cs="Times New Roman"/>
                        <w:i/>
                      </w:rPr>
                    </m:ctrlPr>
                  </m:den>
                </m:f>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（6.3.15-1）</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Sub>
                <m:r>
                  <m:rPr/>
                  <w:rPr>
                    <w:rFonts w:ascii="Cambria Math" w:hAnsi="Cambria Math" w:cs="Times New Roman"/>
                  </w:rPr>
                  <m:t>=0.5</m:t>
                </m:r>
                <m:d>
                  <m:dPr>
                    <m:ctrlPr>
                      <w:rPr>
                        <w:rFonts w:ascii="Cambria Math" w:hAnsi="Cambria Math" w:cs="Times New Roman"/>
                        <w:i/>
                      </w:rPr>
                    </m:ctrlPr>
                  </m:dPr>
                  <m:e>
                    <m:r>
                      <m:rPr/>
                      <w:rPr>
                        <w:rFonts w:ascii="Cambria Math" w:hAnsi="Cambria Math" w:cs="Times New Roman"/>
                      </w:rPr>
                      <m:t>1+</m:t>
                    </m:r>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Sub>
                    <m:d>
                      <m:dPr>
                        <m:ctrlPr>
                          <w:rPr>
                            <w:rFonts w:ascii="Cambria Math" w:hAnsi="Cambria Math" w:cs="Times New Roman"/>
                            <w:i/>
                          </w:rPr>
                        </m:ctrlPr>
                      </m:dPr>
                      <m:e>
                        <m:sSub>
                          <m:sSubPr>
                            <m:ctrlPr>
                              <w:rPr>
                                <w:rFonts w:ascii="Cambria Math" w:hAnsi="Cambria Math" w:cs="Times New Roman"/>
                                <w:i/>
                              </w:rPr>
                            </m:ctrlPr>
                          </m:sSubPr>
                          <m:e>
                            <m:r>
                              <m:rPr/>
                              <w:rPr>
                                <w:rFonts w:ascii="Cambria Math" w:hAnsi="Cambria Math" w:cs="Times New Roman"/>
                              </w:rPr>
                              <m:t>λ</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Sub>
                        <m:r>
                          <m:rPr/>
                          <w:rPr>
                            <w:rFonts w:ascii="Cambria Math" w:hAnsi="Cambria Math" w:cs="Times New Roman"/>
                          </w:rPr>
                          <m:t>−0.15</m:t>
                        </m:r>
                        <m:ctrlPr>
                          <w:rPr>
                            <w:rFonts w:ascii="Cambria Math" w:hAnsi="Cambria Math" w:cs="Times New Roman"/>
                            <w:i/>
                          </w:rPr>
                        </m:ctrlPr>
                      </m:e>
                    </m:d>
                    <m:r>
                      <m:rPr/>
                      <w:rPr>
                        <w:rFonts w:ascii="Cambria Math" w:hAnsi="Cambria Math" w:cs="Times New Roman"/>
                      </w:rPr>
                      <m:t>+</m:t>
                    </m:r>
                    <m:sSubSup>
                      <m:sSubSupPr>
                        <m:ctrlPr>
                          <w:rPr>
                            <w:rFonts w:ascii="Cambria Math" w:hAnsi="Cambria Math" w:cs="Times New Roman"/>
                            <w:i/>
                          </w:rPr>
                        </m:ctrlPr>
                      </m:sSubSupPr>
                      <m:e>
                        <m:r>
                          <m:rPr/>
                          <w:rPr>
                            <w:rFonts w:ascii="Cambria Math" w:hAnsi="Cambria Math" w:cs="Times New Roman"/>
                          </w:rPr>
                          <m:t>λ</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ctrlPr>
                      <w:rPr>
                        <w:rFonts w:ascii="Cambria Math" w:hAnsi="Cambria Math" w:cs="Times New Roman"/>
                        <w:i/>
                      </w:rPr>
                    </m:ctrlPr>
                  </m:e>
                </m:d>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（6.3.15-2）</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λ</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Sub>
                <m:r>
                  <m:rPr/>
                  <w:rPr>
                    <w:rFonts w:ascii="Cambria Math" w:hAnsi="Cambria Math" w:cs="Times New Roman"/>
                  </w:rPr>
                  <m:t>=</m:t>
                </m:r>
                <m:rad>
                  <m:radPr>
                    <m:degHide m:val="1"/>
                    <m:ctrlPr>
                      <w:rPr>
                        <w:rFonts w:ascii="Cambria Math" w:hAnsi="Cambria Math" w:cs="Times New Roman"/>
                        <w:i/>
                      </w:rPr>
                    </m:ctrlPr>
                  </m:radPr>
                  <m:deg>
                    <m:ctrlPr>
                      <w:rPr>
                        <w:rFonts w:ascii="Cambria Math" w:hAnsi="Cambria Math" w:cs="Times New Roman"/>
                        <w:i/>
                      </w:rPr>
                    </m:ctrlPr>
                  </m:deg>
                  <m:e>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W</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g，k</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m:sty m:val="p"/>
                              </m:rPr>
                              <w:rPr>
                                <w:rFonts w:ascii="Cambria Math" w:hAnsi="Cambria Math" w:cs="Times New Roman"/>
                              </w:rPr>
                              <m:t>cr</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rad>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（6.3.15-3）</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面内受弯构件的整体稳定性系数，当计算结果大于1.0时取1.0</w:t>
            </w:r>
            <w:r>
              <w:rPr>
                <w:color w:val="000000"/>
              </w:rP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rPr>
                <w:color w:val="000000"/>
              </w:rPr>
            </w:pPr>
            <w:r>
              <w:rPr>
                <w:color w:val="000000"/>
              </w:rPr>
              <w:t>初始缺陷系数，矩形截面构件在短期荷载、中期荷载、长期荷载作用下，分别取0.45、0.64、0.84；</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λ</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rPr>
                <w:color w:val="000000"/>
              </w:rPr>
            </w:pPr>
            <w:r>
              <w:rPr>
                <w:color w:val="000000"/>
              </w:rPr>
              <w:t>面内受弯构件的正则化长细比；</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g，k</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rPr>
                <w:color w:val="000000"/>
              </w:rPr>
            </w:pPr>
            <w:r>
              <w:rPr>
                <w:color w:val="000000"/>
              </w:rPr>
              <w:t>玻璃</w:t>
            </w:r>
            <w:r>
              <w:rPr>
                <w:lang w:val="en-GB"/>
              </w:rPr>
              <w:t>边缘</w:t>
            </w:r>
            <w:r>
              <w:rPr>
                <w:color w:val="000000"/>
              </w:rPr>
              <w:t>强度标准值</w:t>
            </w:r>
            <w:r>
              <w:rPr>
                <w:rFonts w:hint="eastAsia"/>
                <w:color w:val="000000"/>
                <w:lang w:eastAsia="zh-CN"/>
              </w:rPr>
              <w:t>（</w:t>
            </w:r>
            <w:r>
              <w:rPr>
                <w:snapToGrid w:val="0"/>
                <w:color w:val="000000"/>
              </w:rPr>
              <w:t>N/mm</w:t>
            </w:r>
            <w:r>
              <w:rPr>
                <w:snapToGrid w:val="0"/>
                <w:color w:val="000000"/>
                <w:vertAlign w:val="superscript"/>
              </w:rPr>
              <w:t>2</w:t>
            </w:r>
            <w:r>
              <w:rPr>
                <w:snapToGrid w:val="0"/>
                <w:color w:val="000000"/>
              </w:rPr>
              <w:t>)</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m:sty m:val="p"/>
                      </m:rPr>
                      <w:rPr>
                        <w:rFonts w:ascii="Cambria Math" w:hAnsi="Cambria Math" w:cs="Times New Roman"/>
                      </w:rPr>
                      <m:t>cr</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rPr>
                <w:color w:val="000000"/>
              </w:rPr>
            </w:pPr>
            <w:r>
              <w:rPr>
                <w:color w:val="000000"/>
              </w:rPr>
              <w:t>面内受弯构件的弹性屈曲临界荷载</w:t>
            </w:r>
            <w:r>
              <w:rPr>
                <w:rFonts w:hint="eastAsia"/>
                <w:color w:val="000000"/>
                <w:lang w:eastAsia="zh-CN"/>
              </w:rPr>
              <w:t>（</w:t>
            </w:r>
            <w:r>
              <w:rPr>
                <w:snapToGrid w:val="0"/>
                <w:color w:val="000000"/>
              </w:rPr>
              <w:t>N·mm)</w:t>
            </w:r>
            <w:r>
              <w:rPr>
                <w:color w:val="000000"/>
              </w:rPr>
              <w:t>。</w:t>
            </w:r>
          </w:p>
        </w:tc>
      </w:tr>
    </w:tbl>
    <w:p>
      <w:pPr>
        <w:pStyle w:val="200"/>
      </w:pPr>
      <w:r>
        <w:rPr>
          <w:b/>
        </w:rPr>
        <w:t xml:space="preserve">6.3.16 </w:t>
      </w:r>
      <w:r>
        <w:t>面内受弯矩形截面玻璃构件进行非线性二阶分析时，构件初始几何缺陷可按表6.3.16采用。</w:t>
      </w:r>
    </w:p>
    <w:p>
      <w:pPr>
        <w:pStyle w:val="202"/>
        <w:rPr>
          <w:rFonts w:cs="Times New Roman"/>
        </w:rPr>
      </w:pPr>
      <w:r>
        <w:rPr>
          <w:rFonts w:cs="Times New Roman"/>
        </w:rPr>
        <w:t>表6.3.16 面内受弯矩形截面玻璃构件初始几何缺陷值</w:t>
      </w:r>
    </w:p>
    <w:tbl>
      <w:tblPr>
        <w:tblStyle w:val="3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27"/>
        <w:gridCol w:w="4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00" w:type="pct"/>
            <w:vAlign w:val="center"/>
          </w:tcPr>
          <w:p>
            <w:pPr>
              <w:pStyle w:val="203"/>
              <w:spacing w:line="360" w:lineRule="auto"/>
              <w:rPr>
                <w:rFonts w:ascii="Times New Roman" w:cs="Times New Roman"/>
                <w:lang w:val="en-GB"/>
              </w:rPr>
            </w:pPr>
            <w:r>
              <w:rPr>
                <w:rFonts w:ascii="Times New Roman" w:cs="Times New Roman"/>
                <w:lang w:val="en-GB"/>
              </w:rPr>
              <w:t>玻璃材料</w:t>
            </w:r>
          </w:p>
        </w:tc>
        <w:tc>
          <w:tcPr>
            <w:tcW w:w="2500" w:type="pct"/>
            <w:vAlign w:val="center"/>
          </w:tcPr>
          <w:p>
            <w:pPr>
              <w:pStyle w:val="203"/>
              <w:spacing w:line="360" w:lineRule="auto"/>
              <w:rPr>
                <w:rFonts w:ascii="Times New Roman" w:cs="Times New Roman"/>
                <w:lang w:val="en-GB"/>
              </w:rPr>
            </w:pPr>
            <m:oMathPara>
              <m:oMath>
                <m:sSub>
                  <m:sSubPr>
                    <m:ctrlPr>
                      <w:rPr>
                        <w:rFonts w:ascii="Cambria Math" w:hAnsi="Cambria Math" w:cs="Times New Roman"/>
                      </w:rPr>
                    </m:ctrlPr>
                  </m:sSubPr>
                  <m:e>
                    <m:r>
                      <m:rPr/>
                      <w:rPr>
                        <w:rFonts w:ascii="Cambria Math" w:hAnsi="Cambria Math" w:cs="Times New Roman"/>
                      </w:rPr>
                      <m:t>μ</m:t>
                    </m:r>
                    <m:ctrlPr>
                      <w:rPr>
                        <w:rFonts w:ascii="Cambria Math" w:hAnsi="Cambria Math" w:cs="Times New Roman"/>
                      </w:rPr>
                    </m:ctrlPr>
                  </m:e>
                  <m:sub>
                    <m:r>
                      <m:rPr>
                        <m:sty m:val="p"/>
                      </m:rPr>
                      <w:rPr>
                        <w:rFonts w:ascii="Cambria Math" w:hAnsi="Cambria Math" w:cs="Times New Roman"/>
                      </w:rPr>
                      <m:t>t</m:t>
                    </m:r>
                    <m:ctrlPr>
                      <w:rPr>
                        <w:rFonts w:ascii="Cambria Math" w:hAnsi="Cambria Math" w:cs="Times New Roman"/>
                      </w:rPr>
                    </m:ctrlPr>
                  </m:sub>
                </m:sSub>
              </m:oMath>
            </m:oMathPara>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00" w:type="pct"/>
            <w:vAlign w:val="center"/>
          </w:tcPr>
          <w:p>
            <w:pPr>
              <w:pStyle w:val="203"/>
              <w:spacing w:line="360" w:lineRule="auto"/>
              <w:rPr>
                <w:rFonts w:ascii="Times New Roman" w:cs="Times New Roman"/>
                <w:lang w:val="en-GB"/>
              </w:rPr>
            </w:pPr>
            <w:r>
              <w:rPr>
                <w:rFonts w:ascii="Times New Roman" w:cs="Times New Roman"/>
                <w:lang w:val="en-GB"/>
              </w:rPr>
              <w:t>平板玻璃</w:t>
            </w:r>
          </w:p>
        </w:tc>
        <w:tc>
          <w:tcPr>
            <w:tcW w:w="2500" w:type="pct"/>
            <w:vAlign w:val="center"/>
          </w:tcPr>
          <w:p>
            <w:pPr>
              <w:pStyle w:val="203"/>
              <w:spacing w:line="360" w:lineRule="auto"/>
              <w:rPr>
                <w:rFonts w:ascii="Times New Roman" w:cs="Times New Roman"/>
                <w:lang w:val="en-GB"/>
              </w:rPr>
            </w:pPr>
            <w:r>
              <w:rPr>
                <w:rFonts w:ascii="Times New Roman" w:cs="Times New Roman"/>
                <w:i/>
                <w:lang w:val="en-GB"/>
              </w:rPr>
              <w:t>L</w:t>
            </w:r>
            <w:r>
              <w:rPr>
                <w:rFonts w:ascii="Times New Roman" w:cs="Times New Roman"/>
                <w:lang w:val="en-GB"/>
              </w:rPr>
              <w:t>/360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00" w:type="pct"/>
            <w:vAlign w:val="center"/>
          </w:tcPr>
          <w:p>
            <w:pPr>
              <w:pStyle w:val="203"/>
              <w:spacing w:line="360" w:lineRule="auto"/>
              <w:rPr>
                <w:rFonts w:ascii="Times New Roman" w:cs="Times New Roman"/>
                <w:lang w:val="en-GB"/>
              </w:rPr>
            </w:pPr>
            <w:r>
              <w:rPr>
                <w:rFonts w:ascii="Times New Roman" w:cs="Times New Roman"/>
                <w:lang w:val="en-GB"/>
              </w:rPr>
              <w:t>半钢化玻璃</w:t>
            </w:r>
          </w:p>
        </w:tc>
        <w:tc>
          <w:tcPr>
            <w:tcW w:w="2500" w:type="pct"/>
            <w:vAlign w:val="center"/>
          </w:tcPr>
          <w:p>
            <w:pPr>
              <w:pStyle w:val="203"/>
              <w:spacing w:line="360" w:lineRule="auto"/>
              <w:rPr>
                <w:rFonts w:ascii="Times New Roman" w:cs="Times New Roman"/>
                <w:lang w:val="en-GB"/>
              </w:rPr>
            </w:pPr>
            <w:r>
              <w:rPr>
                <w:rFonts w:ascii="Times New Roman" w:cs="Times New Roman"/>
                <w:i/>
                <w:lang w:val="en-GB"/>
              </w:rPr>
              <w:t>L</w:t>
            </w:r>
            <w:r>
              <w:rPr>
                <w:rFonts w:ascii="Times New Roman" w:cs="Times New Roman"/>
                <w:lang w:val="en-GB"/>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00" w:type="pct"/>
            <w:vAlign w:val="center"/>
          </w:tcPr>
          <w:p>
            <w:pPr>
              <w:pStyle w:val="203"/>
              <w:spacing w:line="360" w:lineRule="auto"/>
              <w:rPr>
                <w:rFonts w:ascii="Times New Roman" w:cs="Times New Roman"/>
                <w:lang w:val="en-GB"/>
              </w:rPr>
            </w:pPr>
            <w:r>
              <w:rPr>
                <w:rFonts w:ascii="Times New Roman" w:cs="Times New Roman"/>
                <w:lang w:val="en-GB"/>
              </w:rPr>
              <w:t>钢化玻璃</w:t>
            </w:r>
          </w:p>
        </w:tc>
        <w:tc>
          <w:tcPr>
            <w:tcW w:w="2500" w:type="pct"/>
            <w:vAlign w:val="center"/>
          </w:tcPr>
          <w:p>
            <w:pPr>
              <w:pStyle w:val="203"/>
              <w:spacing w:line="360" w:lineRule="auto"/>
              <w:rPr>
                <w:rFonts w:ascii="Times New Roman" w:cs="Times New Roman"/>
                <w:lang w:val="en-GB"/>
              </w:rPr>
            </w:pPr>
            <w:r>
              <w:rPr>
                <w:rFonts w:ascii="Times New Roman" w:cs="Times New Roman"/>
                <w:i/>
                <w:lang w:val="en-GB"/>
              </w:rPr>
              <w:t>L</w:t>
            </w:r>
            <w:r>
              <w:rPr>
                <w:rFonts w:ascii="Times New Roman" w:cs="Times New Roman"/>
                <w:lang w:val="en-GB"/>
              </w:rPr>
              <w:t>/240</w:t>
            </w:r>
          </w:p>
        </w:tc>
      </w:tr>
    </w:tbl>
    <w:p>
      <w:pPr>
        <w:pStyle w:val="189"/>
        <w:rPr>
          <w:sz w:val="21"/>
        </w:rPr>
      </w:pPr>
      <w:r>
        <w:rPr>
          <w:sz w:val="21"/>
        </w:rPr>
        <w:t>注：</w:t>
      </w:r>
      <w:r>
        <w:rPr>
          <w:i/>
          <w:sz w:val="21"/>
        </w:rPr>
        <w:t xml:space="preserve"> L</w:t>
      </w:r>
      <w:r>
        <w:rPr>
          <w:sz w:val="21"/>
        </w:rPr>
        <w:t>为构件的计算跨度。</w:t>
      </w:r>
    </w:p>
    <w:p>
      <w:pPr>
        <w:pStyle w:val="200"/>
      </w:pPr>
      <w:r>
        <w:rPr>
          <w:b/>
        </w:rPr>
        <w:t xml:space="preserve">6.3.17 </w:t>
      </w:r>
      <w:r>
        <w:t>压弯构件的轴压比设计值不应大于0.5，轴压比设计值应按下式计算：</w:t>
      </w:r>
    </w:p>
    <w:tbl>
      <w:tblPr>
        <w:tblStyle w:val="37"/>
        <w:tblW w:w="4750" w:type="pct"/>
        <w:jc w:val="right"/>
        <w:tblLayout w:type="fixed"/>
        <w:tblCellMar>
          <w:top w:w="0" w:type="dxa"/>
          <w:left w:w="108" w:type="dxa"/>
          <w:bottom w:w="0" w:type="dxa"/>
          <w:right w:w="108" w:type="dxa"/>
        </w:tblCellMar>
      </w:tblPr>
      <w:tblGrid>
        <w:gridCol w:w="6686"/>
        <w:gridCol w:w="2675"/>
      </w:tblGrid>
      <w:tr>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μ</m:t>
                    </m:r>
                    <m:ctrlPr>
                      <w:rPr>
                        <w:rFonts w:ascii="Cambria Math" w:hAnsi="Cambria Math" w:cs="Times New Roman"/>
                        <w:i/>
                      </w:rPr>
                    </m:ctrlPr>
                  </m:e>
                  <m:sub>
                    <m:r>
                      <m:rPr>
                        <m:sty m:val="p"/>
                      </m:rPr>
                      <w:rPr>
                        <w:rFonts w:ascii="Cambria Math" w:hAnsi="Cambria Math" w:cs="Times New Roman"/>
                      </w:rPr>
                      <m:t>N</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N</m:t>
                    </m:r>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tot</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g</m:t>
                        </m:r>
                        <m:ctrlPr>
                          <w:rPr>
                            <w:rFonts w:ascii="Cambria Math" w:hAnsi="Cambria Math" w:cs="Times New Roman"/>
                            <w:i/>
                          </w:rPr>
                        </m:ctrlPr>
                      </m:sub>
                    </m:sSub>
                    <m:ctrlPr>
                      <w:rPr>
                        <w:rFonts w:ascii="Cambria Math" w:hAnsi="Cambria Math" w:cs="Times New Roman"/>
                        <w:i/>
                      </w:rPr>
                    </m:ctrlPr>
                  </m:den>
                </m:f>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（6.3.17-1）</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1</m:t>
                    </m:r>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Sub>
                    <m:r>
                      <m:rPr/>
                      <w:rPr>
                        <w:rFonts w:ascii="Cambria Math" w:hAnsi="Cambria Math" w:cs="Times New Roman"/>
                      </w:rPr>
                      <m:t>+</m:t>
                    </m:r>
                    <m:rad>
                      <m:radPr>
                        <m:degHide m:val="1"/>
                        <m:ctrlPr>
                          <w:rPr>
                            <w:rFonts w:ascii="Cambria Math" w:hAnsi="Cambria Math" w:cs="Times New Roman"/>
                            <w:i/>
                          </w:rPr>
                        </m:ctrlPr>
                      </m:radPr>
                      <m:deg>
                        <m:ctrlPr>
                          <w:rPr>
                            <w:rFonts w:ascii="Cambria Math" w:hAnsi="Cambria Math" w:cs="Times New Roman"/>
                            <w:i/>
                          </w:rPr>
                        </m:ctrlPr>
                      </m:deg>
                      <m:e>
                        <m:sSubSup>
                          <m:sSubSupPr>
                            <m:ctrlPr>
                              <w:rPr>
                                <w:rFonts w:ascii="Cambria Math" w:hAnsi="Cambria Math" w:cs="Times New Roman"/>
                                <w:i/>
                              </w:rPr>
                            </m:ctrlPr>
                          </m:sSubSupPr>
                          <m:e>
                            <m:r>
                              <m:rPr/>
                              <w:rPr>
                                <w:rFonts w:ascii="Cambria Math" w:hAnsi="Cambria Math" w:cs="Times New Roman"/>
                              </w:rPr>
                              <m:t>∅</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r>
                          <m:rPr/>
                          <w:rPr>
                            <w:rFonts w:ascii="Cambria Math" w:hAnsi="Cambria Math" w:cs="Times New Roman"/>
                          </w:rPr>
                          <m:t>−</m:t>
                        </m:r>
                        <m:sSubSup>
                          <m:sSubSupPr>
                            <m:ctrlPr>
                              <w:rPr>
                                <w:rFonts w:ascii="Cambria Math" w:hAnsi="Cambria Math" w:cs="Times New Roman"/>
                                <w:i/>
                              </w:rPr>
                            </m:ctrlPr>
                          </m:sSubSupPr>
                          <m:e>
                            <m:r>
                              <m:rPr/>
                              <w:rPr>
                                <w:rFonts w:ascii="Cambria Math" w:hAnsi="Cambria Math" w:cs="Times New Roman"/>
                              </w:rPr>
                              <m:t>λ</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ctrlPr>
                          <w:rPr>
                            <w:rFonts w:ascii="Cambria Math" w:hAnsi="Cambria Math" w:cs="Times New Roman"/>
                            <w:i/>
                          </w:rPr>
                        </m:ctrlPr>
                      </m:e>
                    </m:rad>
                    <m:ctrlPr>
                      <w:rPr>
                        <w:rFonts w:ascii="Cambria Math" w:hAnsi="Cambria Math" w:cs="Times New Roman"/>
                        <w:i/>
                      </w:rPr>
                    </m:ctrlPr>
                  </m:den>
                </m:f>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（6.3.17-2）</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Sub>
                <m:r>
                  <m:rPr/>
                  <w:rPr>
                    <w:rFonts w:ascii="Cambria Math" w:hAnsi="Cambria Math" w:cs="Times New Roman"/>
                  </w:rPr>
                  <m:t>=0.5</m:t>
                </m:r>
                <m:d>
                  <m:dPr>
                    <m:ctrlPr>
                      <w:rPr>
                        <w:rFonts w:ascii="Cambria Math" w:hAnsi="Cambria Math" w:cs="Times New Roman"/>
                        <w:i/>
                      </w:rPr>
                    </m:ctrlPr>
                  </m:dPr>
                  <m:e>
                    <m:r>
                      <m:rPr/>
                      <w:rPr>
                        <w:rFonts w:ascii="Cambria Math" w:hAnsi="Cambria Math" w:cs="Times New Roman"/>
                      </w:rPr>
                      <m:t>1+</m:t>
                    </m:r>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Sub>
                    <m:d>
                      <m:dPr>
                        <m:ctrlPr>
                          <w:rPr>
                            <w:rFonts w:ascii="Cambria Math" w:hAnsi="Cambria Math" w:cs="Times New Roman"/>
                            <w:i/>
                          </w:rPr>
                        </m:ctrlPr>
                      </m:dPr>
                      <m:e>
                        <m:sSub>
                          <m:sSubPr>
                            <m:ctrlPr>
                              <w:rPr>
                                <w:rFonts w:ascii="Cambria Math" w:hAnsi="Cambria Math" w:cs="Times New Roman"/>
                                <w:i/>
                              </w:rPr>
                            </m:ctrlPr>
                          </m:sSubPr>
                          <m:e>
                            <m:r>
                              <m:rPr/>
                              <w:rPr>
                                <w:rFonts w:ascii="Cambria Math" w:hAnsi="Cambria Math" w:cs="Times New Roman"/>
                              </w:rPr>
                              <m:t>λ</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λ</m:t>
                            </m:r>
                            <m:ctrlPr>
                              <w:rPr>
                                <w:rFonts w:ascii="Cambria Math" w:hAnsi="Cambria Math" w:cs="Times New Roman"/>
                                <w:i/>
                              </w:rPr>
                            </m:ctrlPr>
                          </m:e>
                          <m:sub>
                            <m:r>
                              <m:rPr/>
                              <w:rPr>
                                <w:rFonts w:ascii="Cambria Math" w:hAnsi="Cambria Math" w:cs="Times New Roman"/>
                              </w:rPr>
                              <m:t>0，</m:t>
                            </m:r>
                            <m:r>
                              <m:rPr>
                                <m:sty m:val="p"/>
                              </m:rPr>
                              <w:rPr>
                                <w:rFonts w:ascii="Cambria Math" w:hAnsi="Cambria Math" w:cs="Times New Roman"/>
                              </w:rPr>
                              <m:t>c</m:t>
                            </m:r>
                            <m:ctrlPr>
                              <w:rPr>
                                <w:rFonts w:ascii="Cambria Math" w:hAnsi="Cambria Math" w:cs="Times New Roman"/>
                                <w:i/>
                              </w:rPr>
                            </m:ctrlPr>
                          </m:sub>
                        </m:sSub>
                        <m:ctrlPr>
                          <w:rPr>
                            <w:rFonts w:ascii="Cambria Math" w:hAnsi="Cambria Math" w:cs="Times New Roman"/>
                            <w:i/>
                          </w:rPr>
                        </m:ctrlPr>
                      </m:e>
                    </m:d>
                    <m:r>
                      <m:rPr/>
                      <w:rPr>
                        <w:rFonts w:ascii="Cambria Math" w:hAnsi="Cambria Math" w:cs="Times New Roman"/>
                      </w:rPr>
                      <m:t>+</m:t>
                    </m:r>
                    <m:sSubSup>
                      <m:sSubSupPr>
                        <m:ctrlPr>
                          <w:rPr>
                            <w:rFonts w:ascii="Cambria Math" w:hAnsi="Cambria Math" w:cs="Times New Roman"/>
                            <w:i/>
                          </w:rPr>
                        </m:ctrlPr>
                      </m:sSubSupPr>
                      <m:e>
                        <m:r>
                          <m:rPr/>
                          <w:rPr>
                            <w:rFonts w:ascii="Cambria Math" w:hAnsi="Cambria Math" w:cs="Times New Roman"/>
                          </w:rPr>
                          <m:t>λ</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ctrlPr>
                      <w:rPr>
                        <w:rFonts w:ascii="Cambria Math" w:hAnsi="Cambria Math" w:cs="Times New Roman"/>
                        <w:i/>
                      </w:rPr>
                    </m:ctrlPr>
                  </m:e>
                </m:d>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（6.3.17-3）</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λ</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Sub>
                <m:r>
                  <m:rPr/>
                  <w:rPr>
                    <w:rFonts w:ascii="Cambria Math" w:hAnsi="Cambria Math" w:cs="Times New Roman"/>
                  </w:rPr>
                  <m:t>=</m:t>
                </m:r>
                <m:rad>
                  <m:radPr>
                    <m:degHide m:val="1"/>
                    <m:ctrlPr>
                      <w:rPr>
                        <w:rFonts w:ascii="Cambria Math" w:hAnsi="Cambria Math" w:cs="Times New Roman"/>
                        <w:i/>
                      </w:rPr>
                    </m:ctrlPr>
                  </m:radPr>
                  <m:deg>
                    <m:ctrlPr>
                      <w:rPr>
                        <w:rFonts w:ascii="Cambria Math" w:hAnsi="Cambria Math" w:cs="Times New Roman"/>
                        <w:i/>
                      </w:rPr>
                    </m:ctrlPr>
                  </m:deg>
                  <m:e>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tot</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g，k</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cr</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rad>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（6.3.17-4）</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cr</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m:rPr/>
                          <w:rPr>
                            <w:rFonts w:ascii="Cambria Math" w:hAnsi="Cambria Math" w:cs="Times New Roman"/>
                          </w:rPr>
                          <m:t>π</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E</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ctrlPr>
                      <w:rPr>
                        <w:rFonts w:ascii="Cambria Math" w:hAnsi="Cambria Math" w:cs="Times New Roman"/>
                        <w:i/>
                      </w:rPr>
                    </m:ctrlPr>
                  </m:num>
                  <m:den>
                    <m:sSup>
                      <m:sSupPr>
                        <m:ctrlPr>
                          <w:rPr>
                            <w:rFonts w:ascii="Cambria Math" w:hAnsi="Cambria Math" w:cs="Times New Roman"/>
                            <w:i/>
                          </w:rPr>
                        </m:ctrlPr>
                      </m:sSupPr>
                      <m:e>
                        <m:r>
                          <m:rPr/>
                          <w:rPr>
                            <w:rFonts w:ascii="Cambria Math" w:hAnsi="Cambria Math" w:cs="Times New Roman"/>
                          </w:rPr>
                          <m:t>L</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den>
                </m:f>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（6.3.17-5）</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i/>
                      </w:rPr>
                    </m:ctrlPr>
                  </m:sSubPr>
                  <m:e>
                    <m:r>
                      <m:rPr/>
                      <w:rPr>
                        <w:rFonts w:ascii="Cambria Math" w:hAnsi="Cambria Math" w:cs="Times New Roman"/>
                      </w:rPr>
                      <m:t>μ</m:t>
                    </m:r>
                    <m:ctrlPr>
                      <w:rPr>
                        <w:rFonts w:ascii="Cambria Math" w:hAnsi="Cambria Math" w:cs="Times New Roman"/>
                        <w:i/>
                      </w:rPr>
                    </m:ctrlPr>
                  </m:e>
                  <m:sub>
                    <m:r>
                      <m:rPr>
                        <m:sty m:val="p"/>
                      </m:rPr>
                      <w:rPr>
                        <w:rFonts w:ascii="Cambria Math" w:hAnsi="Cambria Math" w:cs="Times New Roman"/>
                      </w:rPr>
                      <m:t>N</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color w:val="000000"/>
              </w:rPr>
              <w:t>压弯构件的轴压比设计值；</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N</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color w:val="000000"/>
              </w:rPr>
              <w:t>轴力设计值</w:t>
            </w:r>
            <w:r>
              <w:rPr>
                <w:rFonts w:hint="eastAsia"/>
                <w:color w:val="000000"/>
                <w:lang w:eastAsia="zh-CN"/>
              </w:rPr>
              <w:t>（</w:t>
            </w:r>
            <w:r>
              <w:rPr>
                <w:snapToGrid w:val="0"/>
                <w:color w:val="000000"/>
              </w:rPr>
              <w:t>N)</w:t>
            </w:r>
            <w:r>
              <w:rPr>
                <w:color w:val="000000"/>
              </w:rP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color w:val="000000"/>
              </w:rPr>
              <w:t>轴心受压构件整体稳定系数；</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α</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轴心受压构件的初始缺陷系数，矩形截面构件在短期荷载、中期荷载、长期荷载作用下分别取0.52、0.73、0.97；</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λ</m:t>
                    </m:r>
                    <m:ctrlPr>
                      <w:rPr>
                        <w:rFonts w:ascii="Cambria Math" w:hAnsi="Cambria Math" w:cs="Times New Roman"/>
                        <w:i/>
                      </w:rPr>
                    </m:ctrlPr>
                  </m:e>
                  <m:sub>
                    <m:r>
                      <m:rPr>
                        <m:sty m:val="p"/>
                      </m:rPr>
                      <w:rPr>
                        <w:rFonts w:ascii="Cambria Math" w:hAnsi="Cambria Math" w:cs="Times New Roman"/>
                      </w:rPr>
                      <m:t>0，c</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rPr>
                <w:color w:val="000000"/>
              </w:rPr>
            </w:pPr>
            <w:r>
              <w:rPr>
                <w:color w:val="000000"/>
              </w:rPr>
              <w:t>系数，</w:t>
            </w:r>
            <w:r>
              <w:t>矩形截面构件在短期荷载、中期荷载、长期荷载作用下分别取0.73、0.68、0.63</w:t>
            </w:r>
            <w:r>
              <w:rPr>
                <w:color w:val="000000"/>
              </w:rP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tot</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rPr>
                <w:color w:val="000000"/>
              </w:rPr>
            </w:pPr>
            <w:r>
              <w:rPr>
                <w:color w:val="000000"/>
              </w:rPr>
              <w:t>玻璃构件的截面总面积</w:t>
            </w:r>
            <w:r>
              <w:rPr>
                <w:rFonts w:hint="eastAsia"/>
                <w:color w:val="000000"/>
                <w:lang w:eastAsia="zh-CN"/>
              </w:rPr>
              <w:t>（</w:t>
            </w:r>
            <w:r>
              <w:rPr>
                <w:snapToGrid w:val="0"/>
                <w:color w:val="000000"/>
              </w:rPr>
              <w:t>mm</w:t>
            </w:r>
            <w:r>
              <w:rPr>
                <w:snapToGrid w:val="0"/>
                <w:color w:val="000000"/>
                <w:vertAlign w:val="superscript"/>
              </w:rPr>
              <w:t>2</w:t>
            </w:r>
            <w:r>
              <w:rPr>
                <w:snapToGrid w:val="0"/>
                <w:color w:val="000000"/>
              </w:rPr>
              <w:t>)</w:t>
            </w:r>
            <w:r>
              <w:rPr>
                <w:color w:val="000000"/>
              </w:rP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g</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rPr>
                <w:color w:val="000000"/>
              </w:rPr>
            </w:pPr>
            <w:r>
              <w:rPr>
                <w:color w:val="000000"/>
              </w:rPr>
              <w:t>玻璃</w:t>
            </w:r>
            <w:r>
              <w:rPr>
                <w:lang w:val="en-GB"/>
              </w:rPr>
              <w:t>边缘</w:t>
            </w:r>
            <w:r>
              <w:rPr>
                <w:color w:val="000000"/>
              </w:rPr>
              <w:t>强度设计值</w:t>
            </w:r>
            <w:r>
              <w:rPr>
                <w:rFonts w:hint="eastAsia"/>
                <w:color w:val="000000"/>
                <w:lang w:eastAsia="zh-CN"/>
              </w:rPr>
              <w:t>（</w:t>
            </w:r>
            <w:r>
              <w:rPr>
                <w:snapToGrid w:val="0"/>
                <w:color w:val="000000"/>
              </w:rPr>
              <w:t>N/mm</w:t>
            </w:r>
            <w:r>
              <w:rPr>
                <w:snapToGrid w:val="0"/>
                <w:color w:val="000000"/>
                <w:vertAlign w:val="superscript"/>
              </w:rPr>
              <w:t>2</w:t>
            </w:r>
            <w:r>
              <w:rPr>
                <w:snapToGrid w:val="0"/>
                <w:color w:val="000000"/>
              </w:rPr>
              <w:t>)</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g，k</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rPr>
                <w:color w:val="000000"/>
              </w:rPr>
            </w:pPr>
            <w:r>
              <w:rPr>
                <w:color w:val="000000"/>
              </w:rPr>
              <w:t>玻璃</w:t>
            </w:r>
            <w:r>
              <w:rPr>
                <w:lang w:val="en-GB"/>
              </w:rPr>
              <w:t>边缘</w:t>
            </w:r>
            <w:r>
              <w:rPr>
                <w:color w:val="000000"/>
              </w:rPr>
              <w:t>强度标准值</w:t>
            </w:r>
            <w:r>
              <w:rPr>
                <w:rFonts w:hint="eastAsia"/>
                <w:color w:val="000000"/>
                <w:lang w:eastAsia="zh-CN"/>
              </w:rPr>
              <w:t>（</w:t>
            </w:r>
            <w:r>
              <w:rPr>
                <w:snapToGrid w:val="0"/>
                <w:color w:val="000000"/>
              </w:rPr>
              <w:t>N/mm</w:t>
            </w:r>
            <w:r>
              <w:rPr>
                <w:snapToGrid w:val="0"/>
                <w:color w:val="000000"/>
                <w:vertAlign w:val="superscript"/>
              </w:rPr>
              <w:t>2</w:t>
            </w:r>
            <w:r>
              <w:rPr>
                <w:snapToGrid w:val="0"/>
                <w:color w:val="000000"/>
              </w:rPr>
              <w:t>)</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cr</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rPr>
                <w:color w:val="000000"/>
              </w:rPr>
            </w:pPr>
            <w:r>
              <w:rPr>
                <w:color w:val="000000"/>
              </w:rPr>
              <w:t>轴心受压构件的弹性屈曲临界荷载</w:t>
            </w:r>
            <w:r>
              <w:rPr>
                <w:rFonts w:hint="eastAsia"/>
                <w:color w:val="000000"/>
                <w:lang w:eastAsia="zh-CN"/>
              </w:rPr>
              <w:t>（</w:t>
            </w:r>
            <w:r>
              <w:rPr>
                <w:snapToGrid w:val="0"/>
                <w:color w:val="000000"/>
              </w:rPr>
              <w:t>N)</w:t>
            </w:r>
            <w:r>
              <w:rPr>
                <w:color w:val="000000"/>
              </w:rP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rPr>
                <w:color w:val="000000"/>
              </w:rPr>
            </w:pPr>
            <w:r>
              <w:rPr>
                <w:lang w:val="en-GB"/>
              </w:rPr>
              <w:t>夹层玻璃截面绕弱轴的等效惯性矩</w:t>
            </w:r>
            <w:r>
              <w:rPr>
                <w:rFonts w:hint="eastAsia"/>
                <w:lang w:val="en-GB" w:eastAsia="zh-CN"/>
              </w:rPr>
              <w:t>（</w:t>
            </w:r>
            <w:r>
              <w:rPr>
                <w:snapToGrid w:val="0"/>
                <w:color w:val="000000"/>
              </w:rPr>
              <w:t>mm</w:t>
            </w:r>
            <w:r>
              <w:rPr>
                <w:snapToGrid w:val="0"/>
                <w:color w:val="000000"/>
                <w:vertAlign w:val="superscript"/>
              </w:rPr>
              <w:t>4</w:t>
            </w:r>
            <w:r>
              <w:rPr>
                <w:snapToGrid w:val="0"/>
                <w:color w:val="000000"/>
              </w:rP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L</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rPr>
                <w:color w:val="000000"/>
              </w:rPr>
            </w:pPr>
            <w:r>
              <w:rPr>
                <w:lang w:val="en-GB"/>
              </w:rPr>
              <w:t>玻璃肋的计算跨度</w:t>
            </w:r>
            <w:r>
              <w:rPr>
                <w:rFonts w:hint="eastAsia"/>
                <w:lang w:val="en-GB" w:eastAsia="zh-CN"/>
              </w:rPr>
              <w:t>（</w:t>
            </w:r>
            <w:r>
              <w:rPr>
                <w:lang w:val="en-GB"/>
              </w:rPr>
              <w:t>mm)</w:t>
            </w:r>
            <w:r>
              <w:rPr>
                <w:snapToGrid w:val="0"/>
                <w:color w:val="000000"/>
              </w:rPr>
              <w:t>。</w:t>
            </w:r>
          </w:p>
        </w:tc>
      </w:tr>
    </w:tbl>
    <w:p>
      <w:pPr>
        <w:pStyle w:val="200"/>
      </w:pPr>
      <w:bookmarkStart w:id="51" w:name="_Ref19888896"/>
      <w:r>
        <w:rPr>
          <w:b/>
        </w:rPr>
        <w:t xml:space="preserve">6.3.18 </w:t>
      </w:r>
      <w:r>
        <w:t>受压-面内受弯构件截面弯矩设计值和轴力设计值应符合下式规定：</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sSup>
                  <m:sSupPr>
                    <m:ctrlPr>
                      <w:rPr>
                        <w:rFonts w:ascii="Cambria Math" w:hAnsi="Cambria Math" w:cs="Times New Roman"/>
                      </w:rPr>
                    </m:ctrlPr>
                  </m:sSupPr>
                  <m:e>
                    <m:d>
                      <m:dPr>
                        <m:ctrlPr>
                          <w:rPr>
                            <w:rFonts w:ascii="Cambria Math" w:hAnsi="Cambria Math" w:cs="Times New Roman"/>
                            <w:i/>
                          </w:rPr>
                        </m:ctrlPr>
                      </m:dPr>
                      <m:e>
                        <m:f>
                          <m:fPr>
                            <m:ctrlPr>
                              <w:rPr>
                                <w:rFonts w:ascii="Cambria Math" w:hAnsi="Cambria Math" w:cs="Times New Roman"/>
                                <w:i/>
                              </w:rPr>
                            </m:ctrlPr>
                          </m:fPr>
                          <m:num>
                            <m:r>
                              <m:rPr/>
                              <w:rPr>
                                <w:rFonts w:ascii="Cambria Math" w:hAnsi="Cambria Math" w:cs="Times New Roman"/>
                              </w:rPr>
                              <m:t>N</m:t>
                            </m:r>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tot</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g</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rPr>
                    </m:ctrlPr>
                  </m:e>
                  <m:sup>
                    <m:r>
                      <m:rPr/>
                      <w:rPr>
                        <w:rFonts w:ascii="Cambria Math" w:hAnsi="Cambria Math" w:cs="Times New Roman"/>
                      </w:rPr>
                      <m:t>m</m:t>
                    </m:r>
                    <m:ctrlPr>
                      <w:rPr>
                        <w:rFonts w:ascii="Cambria Math" w:hAnsi="Cambria Math" w:cs="Times New Roman"/>
                      </w:rPr>
                    </m:ctrlPr>
                  </m:sup>
                </m:sSup>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Sub>
                                <m:r>
                                  <m:rPr/>
                                  <w:rPr>
                                    <w:rFonts w:ascii="Cambria Math" w:hAnsi="Cambria Math" w:cs="Times New Roman"/>
                                  </w:rPr>
                                  <m:t>W</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g</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rPr>
                    </m:ctrlPr>
                  </m:e>
                  <m:sup>
                    <m:r>
                      <m:rPr/>
                      <w:rPr>
                        <w:rFonts w:ascii="Cambria Math" w:hAnsi="Cambria Math" w:cs="Times New Roman"/>
                      </w:rPr>
                      <m:t>m</m:t>
                    </m:r>
                    <m:ctrlPr>
                      <w:rPr>
                        <w:rFonts w:ascii="Cambria Math" w:hAnsi="Cambria Math" w:cs="Times New Roman"/>
                      </w:rPr>
                    </m:ctrlPr>
                  </m:sup>
                </m:sSup>
                <m:r>
                  <m:rPr/>
                  <w:rPr>
                    <w:rFonts w:ascii="Cambria Math" w:hAnsi="Cambria Math" w:cs="Times New Roman"/>
                  </w:rPr>
                  <m:t>≤1.0</m:t>
                </m:r>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（6.3.18）</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N</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color w:val="000000"/>
              </w:rPr>
              <w:t>轴力设计值</w:t>
            </w:r>
            <w:r>
              <w:rPr>
                <w:rFonts w:hint="eastAsia"/>
                <w:color w:val="000000"/>
                <w:lang w:eastAsia="zh-CN"/>
              </w:rPr>
              <w:t>（</w:t>
            </w:r>
            <w:r>
              <w:rPr>
                <w:snapToGrid w:val="0"/>
                <w:color w:val="000000"/>
              </w:rPr>
              <w:t>N)</w:t>
            </w:r>
            <w:r>
              <w:rPr>
                <w:color w:val="000000"/>
              </w:rP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x</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面内弯矩设计值</w:t>
            </w:r>
            <w:r>
              <w:rPr>
                <w:rFonts w:hint="eastAsia"/>
                <w:lang w:eastAsia="zh-CN"/>
              </w:rPr>
              <w:t>（</w:t>
            </w:r>
            <w:r>
              <w:t>N·mm)；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rPr>
                    </m:ctrlPr>
                  </m:sSubPr>
                  <m:e>
                    <m:r>
                      <m:rPr/>
                      <w:rPr>
                        <w:rFonts w:ascii="Cambria Math" w:hAnsi="Cambria Math" w:cs="Times New Roman"/>
                      </w:rPr>
                      <m:t>W</m:t>
                    </m:r>
                    <m:ctrlPr>
                      <w:rPr>
                        <w:rFonts w:ascii="Cambria Math" w:hAnsi="Cambria Math" w:cs="Times New Roman"/>
                      </w:rPr>
                    </m:ctrlPr>
                  </m:e>
                  <m:sub>
                    <m:r>
                      <m:rPr/>
                      <w:rPr>
                        <w:rFonts w:ascii="Cambria Math" w:hAnsi="Cambria Math" w:cs="Times New Roman"/>
                      </w:rPr>
                      <m:t>x</m:t>
                    </m:r>
                    <m:ctrlPr>
                      <w:rPr>
                        <w:rFonts w:ascii="Cambria Math" w:hAnsi="Cambria Math" w:cs="Times New Roman"/>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面内弯曲截面模量</w:t>
            </w:r>
            <w:r>
              <w:rPr>
                <w:rFonts w:hint="eastAsia"/>
                <w:lang w:eastAsia="zh-CN"/>
              </w:rPr>
              <w:t>（</w:t>
            </w:r>
            <w:r>
              <w:t>mm</w:t>
            </w:r>
            <w:r>
              <w:rPr>
                <w:vertAlign w:val="superscript"/>
              </w:rPr>
              <w:t>3</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m</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指数，当为短期荷载作用时取1.5，其他情况取1.0；</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m:sty m:val="p"/>
                      </m:rPr>
                      <w:rPr>
                        <w:rFonts w:ascii="Cambria Math" w:hAnsi="Cambria Math" w:cs="Times New Roman"/>
                      </w:rPr>
                      <m:t>b</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面内受弯构件整体稳定性系数；</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i/>
                      </w:rPr>
                    </m:ctrlPr>
                  </m:sSubPr>
                  <m:e>
                    <m:r>
                      <m:rPr/>
                      <w:rPr>
                        <w:rFonts w:ascii="Cambria Math" w:hAnsi="Cambria Math" w:cs="Times New Roman"/>
                      </w:rPr>
                      <m:t>φ</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color w:val="000000"/>
              </w:rPr>
              <w:t>轴心受压构件整体稳定系数；</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tot</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rPr>
                <w:color w:val="000000"/>
              </w:rPr>
            </w:pPr>
            <w:r>
              <w:rPr>
                <w:color w:val="000000"/>
              </w:rPr>
              <w:t>玻璃构件的截面总面积</w:t>
            </w:r>
            <w:r>
              <w:rPr>
                <w:rFonts w:hint="eastAsia"/>
                <w:color w:val="000000"/>
                <w:lang w:eastAsia="zh-CN"/>
              </w:rPr>
              <w:t>（</w:t>
            </w:r>
            <w:r>
              <w:rPr>
                <w:snapToGrid w:val="0"/>
                <w:color w:val="000000"/>
              </w:rPr>
              <w:t>mm</w:t>
            </w:r>
            <w:r>
              <w:rPr>
                <w:snapToGrid w:val="0"/>
                <w:color w:val="000000"/>
                <w:vertAlign w:val="superscript"/>
              </w:rPr>
              <w:t>2</w:t>
            </w:r>
            <w:r>
              <w:rPr>
                <w:snapToGrid w:val="0"/>
                <w:color w:val="000000"/>
              </w:rPr>
              <w:t>)</w:t>
            </w:r>
            <w:r>
              <w:rPr>
                <w:color w:val="000000"/>
              </w:rP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g</m:t>
                    </m:r>
                    <m:ctrlPr>
                      <w:rPr>
                        <w:rFonts w:ascii="Cambria Math" w:hAnsi="Cambria Math" w:cs="Times New Roman"/>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玻璃边缘强度设计值</w:t>
            </w:r>
            <w:r>
              <w:rPr>
                <w:rFonts w:hint="eastAsia"/>
                <w:lang w:eastAsia="zh-CN"/>
              </w:rPr>
              <w:t>（</w:t>
            </w:r>
            <w:r>
              <w:t>N/mm</w:t>
            </w:r>
            <w:r>
              <w:rPr>
                <w:vertAlign w:val="superscript"/>
              </w:rPr>
              <w:t>2</w:t>
            </w:r>
            <w:r>
              <w:t>)。</w:t>
            </w:r>
          </w:p>
        </w:tc>
      </w:tr>
      <w:bookmarkEnd w:id="51"/>
    </w:tbl>
    <w:p>
      <w:pPr>
        <w:pStyle w:val="200"/>
      </w:pPr>
      <w:r>
        <w:rPr>
          <w:b/>
        </w:rPr>
        <w:t xml:space="preserve">6.3.19 </w:t>
      </w:r>
      <w:r>
        <w:t>肋支承玻璃幕墙转角部位玻璃面板计算应符合下列规定：</w:t>
      </w:r>
    </w:p>
    <w:p>
      <w:pPr>
        <w:pStyle w:val="188"/>
        <w:ind w:firstLine="480"/>
        <w:rPr>
          <w:rFonts w:cs="Times New Roman"/>
        </w:rPr>
      </w:pPr>
      <w:r>
        <w:rPr>
          <w:rFonts w:cs="Times New Roman"/>
        </w:rPr>
        <w:t>1 玻璃面板与其相邻面板间夹角</w:t>
      </w:r>
      <m:oMath>
        <m:r>
          <m:rPr>
            <m:sty m:val="p"/>
          </m:rPr>
          <w:rPr>
            <w:rFonts w:ascii="Cambria Math" w:hAnsi="Cambria Math" w:cs="Times New Roman"/>
          </w:rPr>
          <m:t>90°≤α≤135°</m:t>
        </m:r>
      </m:oMath>
      <w:r>
        <w:rPr>
          <w:rFonts w:cs="Times New Roman"/>
        </w:rPr>
        <w:t>时，可视为其相邻面板的支承肋，面板计算时应同时考虑平面内和平面外荷载作用。玻璃面板顶底连接应有平面内限位措施。</w:t>
      </w:r>
    </w:p>
    <w:p>
      <w:pPr>
        <w:pStyle w:val="188"/>
        <w:ind w:firstLine="480"/>
        <w:rPr>
          <w:rFonts w:cs="Times New Roman"/>
          <w:b/>
        </w:rPr>
      </w:pPr>
      <w:r>
        <w:rPr>
          <w:rFonts w:cs="Times New Roman"/>
        </w:rPr>
        <w:t>2 玻璃面板与其相邻面板间夹角</w:t>
      </w:r>
      <m:oMath>
        <m:r>
          <m:rPr>
            <m:sty m:val="p"/>
          </m:rPr>
          <w:rPr>
            <w:rFonts w:ascii="Cambria Math" w:hAnsi="Cambria Math" w:cs="Times New Roman"/>
          </w:rPr>
          <m:t>α&gt;135°</m:t>
        </m:r>
      </m:oMath>
      <w:r>
        <w:rPr>
          <w:rFonts w:cs="Times New Roman"/>
        </w:rPr>
        <w:t>，转角位置应设置玻璃肋，如未设置玻璃肋，玻璃面板转角位置竖向边按无约束支撑考虑。</w:t>
      </w:r>
    </w:p>
    <w:p>
      <w:pPr>
        <w:pStyle w:val="189"/>
      </w:pPr>
      <w:r>
        <w:rPr>
          <w:b/>
        </w:rPr>
        <w:t xml:space="preserve">6.3.20 </w:t>
      </w:r>
      <w:r>
        <w:t>肋支承玻璃幕墙采用胶缝传力时，必须采用硅酮结构密封胶。</w:t>
      </w:r>
    </w:p>
    <w:p>
      <w:pPr>
        <w:pStyle w:val="189"/>
      </w:pPr>
      <w:r>
        <w:rPr>
          <w:b/>
        </w:rPr>
        <w:t xml:space="preserve">6.3.21 </w:t>
      </w:r>
      <w:r>
        <w:t>肋支承玻璃幕墙胶缝设计应符合下列规定：</w:t>
      </w:r>
    </w:p>
    <w:p>
      <w:pPr>
        <w:pStyle w:val="202"/>
        <w:rPr>
          <w:rFonts w:cs="Times New Roman"/>
        </w:rPr>
      </w:pPr>
      <w:r>
        <w:rPr>
          <w:rFonts w:cs="Times New Roman"/>
        </w:rPr>
        <w:drawing>
          <wp:inline distT="0" distB="0" distL="0" distR="0">
            <wp:extent cx="4065270" cy="170942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0"/>
                    <a:stretch>
                      <a:fillRect/>
                    </a:stretch>
                  </pic:blipFill>
                  <pic:spPr>
                    <a:xfrm>
                      <a:off x="0" y="0"/>
                      <a:ext cx="4088252" cy="1719088"/>
                    </a:xfrm>
                    <a:prstGeom prst="rect">
                      <a:avLst/>
                    </a:prstGeom>
                  </pic:spPr>
                </pic:pic>
              </a:graphicData>
            </a:graphic>
          </wp:inline>
        </w:drawing>
      </w:r>
    </w:p>
    <w:p>
      <w:pPr>
        <w:pStyle w:val="202"/>
        <w:rPr>
          <w:rFonts w:cs="Times New Roman"/>
        </w:rPr>
      </w:pPr>
      <w:r>
        <w:rPr>
          <w:rFonts w:cs="Times New Roman"/>
        </w:rPr>
        <w:t>(a) 玻璃肋与玻璃面板平齐</w:t>
      </w:r>
      <w:r>
        <w:rPr>
          <w:rFonts w:hint="eastAsia" w:cs="Times New Roman"/>
          <w:lang w:eastAsia="zh-CN"/>
        </w:rPr>
        <w:t>（</w:t>
      </w:r>
      <w:r>
        <w:rPr>
          <w:rFonts w:cs="Times New Roman"/>
        </w:rPr>
        <w:t>或突出</w:t>
      </w:r>
      <w:r>
        <w:rPr>
          <w:rFonts w:hint="eastAsia" w:cs="Times New Roman"/>
          <w:lang w:eastAsia="zh-CN"/>
        </w:rPr>
        <w:t>）</w:t>
      </w:r>
      <w:r>
        <w:rPr>
          <w:rFonts w:cs="Times New Roman"/>
        </w:rPr>
        <w:t xml:space="preserve">           (b) 玻璃肋后置或骑缝</w:t>
      </w:r>
    </w:p>
    <w:p>
      <w:pPr>
        <w:pStyle w:val="202"/>
        <w:rPr>
          <w:rFonts w:cs="Times New Roman"/>
        </w:rPr>
      </w:pPr>
      <w:r>
        <w:rPr>
          <w:rFonts w:cs="Times New Roman"/>
        </w:rPr>
        <w:t>图6.3.21玻璃肋平面示意</w:t>
      </w:r>
    </w:p>
    <w:p>
      <w:pPr>
        <w:pStyle w:val="202"/>
        <w:rPr>
          <w:rFonts w:cs="Times New Roman"/>
          <w:b w:val="0"/>
        </w:rPr>
      </w:pPr>
      <w:r>
        <w:rPr>
          <w:rFonts w:cs="Times New Roman"/>
          <w:b w:val="0"/>
        </w:rPr>
        <w:t>1 —玻璃肋； 2 —玻璃面板； 3 —结构胶</w:t>
      </w:r>
    </w:p>
    <w:p>
      <w:pPr>
        <w:pStyle w:val="188"/>
        <w:ind w:firstLine="482"/>
        <w:rPr>
          <w:rFonts w:cs="Times New Roman"/>
        </w:rPr>
      </w:pPr>
      <w:r>
        <w:rPr>
          <w:rFonts w:cs="Times New Roman"/>
          <w:b/>
          <w:bCs w:val="0"/>
        </w:rPr>
        <w:t>1</w:t>
      </w:r>
      <w:r>
        <w:rPr>
          <w:rFonts w:cs="Times New Roman"/>
        </w:rPr>
        <w:t xml:space="preserve"> 玻璃肋与玻璃面板平齐或突出：</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f>
                  <m:fPr>
                    <m:ctrlPr>
                      <w:rPr>
                        <w:rFonts w:ascii="Cambria Math" w:hAnsi="Cambria Math" w:cs="Times New Roman"/>
                        <w:i/>
                      </w:rPr>
                    </m:ctrlPr>
                  </m:fPr>
                  <m:num>
                    <m:r>
                      <m:rPr/>
                      <w:rPr>
                        <w:rFonts w:ascii="Cambria Math" w:hAnsi="Cambria Math" w:cs="Times New Roman"/>
                      </w:rPr>
                      <m:t>ql</m:t>
                    </m:r>
                    <m:ctrlPr>
                      <w:rPr>
                        <w:rFonts w:ascii="Cambria Math" w:hAnsi="Cambria Math" w:cs="Times New Roman"/>
                        <w:i/>
                      </w:rPr>
                    </m:ctrlPr>
                  </m:num>
                  <m:den>
                    <m:r>
                      <m:rPr/>
                      <w:rPr>
                        <w:rFonts w:ascii="Cambria Math" w:hAnsi="Cambria Math" w:cs="Times New Roman"/>
                      </w:rPr>
                      <m:t>2</m:t>
                    </m:r>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（6.3.21-1）</w:t>
            </w:r>
          </w:p>
        </w:tc>
      </w:tr>
    </w:tbl>
    <w:p>
      <w:pPr>
        <w:pStyle w:val="188"/>
        <w:ind w:firstLine="482"/>
        <w:rPr>
          <w:rFonts w:cs="Times New Roman"/>
        </w:rPr>
      </w:pPr>
      <w:r>
        <w:rPr>
          <w:rFonts w:cs="Times New Roman"/>
          <w:b/>
          <w:bCs w:val="0"/>
        </w:rPr>
        <w:t>2</w:t>
      </w:r>
      <w:r>
        <w:rPr>
          <w:rFonts w:cs="Times New Roman"/>
        </w:rPr>
        <w:t xml:space="preserve"> 玻璃肋后置或骑缝：</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f>
                  <m:fPr>
                    <m:ctrlPr>
                      <w:rPr>
                        <w:rFonts w:ascii="Cambria Math" w:hAnsi="Cambria Math" w:cs="Times New Roman"/>
                        <w:i/>
                      </w:rPr>
                    </m:ctrlPr>
                  </m:fPr>
                  <m:num>
                    <m:r>
                      <m:rPr/>
                      <w:rPr>
                        <w:rFonts w:ascii="Cambria Math" w:hAnsi="Cambria Math" w:cs="Times New Roman"/>
                      </w:rPr>
                      <m:t>ql</m:t>
                    </m:r>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（6.3.21-2）</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f>
                  <m:fPr>
                    <m:ctrlPr>
                      <w:rPr>
                        <w:rFonts w:ascii="Cambria Math" w:hAnsi="Cambria Math" w:cs="Times New Roman"/>
                        <w:i/>
                      </w:rPr>
                    </m:ctrlPr>
                  </m:fPr>
                  <m:num>
                    <m:r>
                      <m:rPr/>
                      <w:rPr>
                        <w:rFonts w:ascii="Cambria Math" w:hAnsi="Cambria Math" w:cs="Times New Roman"/>
                      </w:rPr>
                      <m:t>ql</m:t>
                    </m:r>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2t</m:t>
                        </m:r>
                        <m:ctrlPr>
                          <w:rPr>
                            <w:rFonts w:ascii="Cambria Math" w:hAnsi="Cambria Math" w:cs="Times New Roman"/>
                            <w:i/>
                          </w:rPr>
                        </m:ctrlPr>
                      </m:e>
                      <m:sub>
                        <m:r>
                          <m:rPr/>
                          <w:rPr>
                            <w:rFonts w:ascii="Cambria Math" w:hAnsi="Cambria Math" w:cs="Times New Roman"/>
                          </w:rPr>
                          <m:t>3</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（6.3.21-3）</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479"/>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q</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9" w:type="dxa"/>
            <w:shd w:val="clear" w:color="auto" w:fill="auto"/>
          </w:tcPr>
          <w:p>
            <w:pPr>
              <w:pStyle w:val="189"/>
            </w:pPr>
            <w:r>
              <w:t>垂直于玻璃面板的分布荷载设计值</w:t>
            </w:r>
            <w:r>
              <w:rPr>
                <w:rFonts w:hint="eastAsia"/>
                <w:lang w:eastAsia="zh-CN"/>
              </w:rPr>
              <w:t>（</w:t>
            </w:r>
            <w:r>
              <w:t>N/mm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l</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9" w:type="dxa"/>
            <w:shd w:val="clear" w:color="auto" w:fill="auto"/>
          </w:tcPr>
          <w:p>
            <w:pPr>
              <w:pStyle w:val="189"/>
            </w:pPr>
            <w:r>
              <w:t>两肋之间的玻璃面板跨度</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rPr>
                    </m:ctrlPr>
                  </m:sSubPr>
                  <m:e>
                    <m:r>
                      <m:rPr/>
                      <w:rPr>
                        <w:rFonts w:ascii="Cambria Math" w:hAnsi="Cambria Math" w:cs="Times New Roman"/>
                      </w:rPr>
                      <m:t>t</m:t>
                    </m:r>
                    <m:ctrlPr>
                      <w:rPr>
                        <w:rFonts w:ascii="Cambria Math" w:hAnsi="Cambria Math" w:cs="Times New Roman"/>
                      </w:rPr>
                    </m:ctrlPr>
                  </m:e>
                  <m:sub>
                    <m:r>
                      <m:rPr/>
                      <w:rPr>
                        <w:rFonts w:ascii="Cambria Math" w:hAnsi="Cambria Math" w:cs="Times New Roman"/>
                      </w:rPr>
                      <m:t>1</m:t>
                    </m:r>
                    <m:ctrlPr>
                      <w:rPr>
                        <w:rFonts w:ascii="Cambria Math" w:hAnsi="Cambria Math" w:cs="Times New Roman"/>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9" w:type="dxa"/>
            <w:shd w:val="clear" w:color="auto" w:fill="auto"/>
          </w:tcPr>
          <w:p>
            <w:pPr>
              <w:pStyle w:val="189"/>
            </w:pPr>
            <w:r>
              <w:t>胶缝宽度，取玻璃面板截面厚度</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rPr>
                    </m:ctrlPr>
                  </m:sSubPr>
                  <m:e>
                    <m:r>
                      <m:rPr/>
                      <w:rPr>
                        <w:rFonts w:ascii="Cambria Math" w:hAnsi="Cambria Math" w:cs="Times New Roman"/>
                      </w:rPr>
                      <m:t>t</m:t>
                    </m:r>
                    <m:ctrlPr>
                      <w:rPr>
                        <w:rFonts w:ascii="Cambria Math" w:hAnsi="Cambria Math" w:cs="Times New Roman"/>
                      </w:rPr>
                    </m:ctrlPr>
                  </m:e>
                  <m:sub>
                    <m:r>
                      <m:rPr/>
                      <w:rPr>
                        <w:rFonts w:ascii="Cambria Math" w:hAnsi="Cambria Math" w:cs="Times New Roman"/>
                      </w:rPr>
                      <m:t>2</m:t>
                    </m:r>
                    <m:ctrlPr>
                      <w:rPr>
                        <w:rFonts w:ascii="Cambria Math" w:hAnsi="Cambria Math" w:cs="Times New Roman"/>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9" w:type="dxa"/>
            <w:shd w:val="clear" w:color="auto" w:fill="auto"/>
          </w:tcPr>
          <w:p>
            <w:pPr>
              <w:pStyle w:val="189"/>
            </w:pPr>
            <w:r>
              <w:t>胶缝宽度，取玻璃肋截面厚度</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rPr>
                    </m:ctrlPr>
                  </m:sSubPr>
                  <m:e>
                    <m:r>
                      <m:rPr/>
                      <w:rPr>
                        <w:rFonts w:ascii="Cambria Math" w:hAnsi="Cambria Math" w:cs="Times New Roman"/>
                      </w:rPr>
                      <m:t>t</m:t>
                    </m:r>
                    <m:ctrlPr>
                      <w:rPr>
                        <w:rFonts w:ascii="Cambria Math" w:hAnsi="Cambria Math" w:cs="Times New Roman"/>
                      </w:rPr>
                    </m:ctrlPr>
                  </m:e>
                  <m:sub>
                    <m:r>
                      <m:rPr/>
                      <w:rPr>
                        <w:rFonts w:ascii="Cambria Math" w:hAnsi="Cambria Math" w:cs="Times New Roman"/>
                      </w:rPr>
                      <m:t>3</m:t>
                    </m:r>
                    <m:ctrlPr>
                      <w:rPr>
                        <w:rFonts w:ascii="Cambria Math" w:hAnsi="Cambria Math" w:cs="Times New Roman"/>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9" w:type="dxa"/>
            <w:shd w:val="clear" w:color="auto" w:fill="auto"/>
          </w:tcPr>
          <w:p>
            <w:pPr>
              <w:pStyle w:val="189"/>
            </w:pPr>
            <w:r>
              <w:t>玻璃面板与肋的搭接长度</w:t>
            </w:r>
            <w:r>
              <w:rPr>
                <w:rFonts w:hint="eastAsia"/>
                <w:lang w:eastAsia="zh-CN"/>
              </w:rPr>
              <w:t>（</w:t>
            </w:r>
            <w:r>
              <w:t>mm)，不应小于5mm；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1</m:t>
                    </m:r>
                    <m:ctrlPr>
                      <w:rPr>
                        <w:rFonts w:ascii="Cambria Math" w:hAnsi="Cambria Math" w:cs="Times New Roman"/>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479" w:type="dxa"/>
            <w:shd w:val="clear" w:color="auto" w:fill="auto"/>
          </w:tcPr>
          <w:p>
            <w:pPr>
              <w:pStyle w:val="189"/>
            </w:pPr>
            <w:r>
              <w:t>硅酮结构密封胶在短期荷载作用下的强度设计值，取0.2 N/mm</w:t>
            </w:r>
            <w:r>
              <w:rPr>
                <w:vertAlign w:val="superscript"/>
              </w:rPr>
              <w:t>2</w:t>
            </w:r>
            <w:r>
              <w:t>。</w:t>
            </w:r>
          </w:p>
        </w:tc>
      </w:tr>
    </w:tbl>
    <w:p>
      <w:pPr>
        <w:pStyle w:val="188"/>
        <w:ind w:firstLine="482"/>
        <w:rPr>
          <w:rFonts w:cs="Times New Roman"/>
        </w:rPr>
      </w:pPr>
      <w:r>
        <w:rPr>
          <w:rFonts w:cs="Times New Roman"/>
          <w:b/>
          <w:bCs w:val="0"/>
        </w:rPr>
        <w:t>3</w:t>
      </w:r>
      <w:r>
        <w:rPr>
          <w:rFonts w:cs="Times New Roman"/>
        </w:rPr>
        <w:t xml:space="preserve"> 胶缝宽度不满足本条第1、2款要求时，可采取附加玻璃板条或不锈钢条等措施，加大胶缝宽度；</w:t>
      </w:r>
    </w:p>
    <w:p>
      <w:pPr>
        <w:pStyle w:val="188"/>
        <w:ind w:firstLine="482"/>
        <w:rPr>
          <w:rFonts w:cs="Times New Roman"/>
        </w:rPr>
      </w:pPr>
      <w:r>
        <w:rPr>
          <w:rFonts w:cs="Times New Roman"/>
          <w:b/>
          <w:bCs w:val="0"/>
        </w:rPr>
        <w:t>4</w:t>
      </w:r>
      <w:r>
        <w:rPr>
          <w:rFonts w:cs="Times New Roman"/>
        </w:rPr>
        <w:t xml:space="preserve"> 在胶缝受剪状态下，玻璃自重不应由结构胶单独承受。</w:t>
      </w:r>
    </w:p>
    <w:p>
      <w:pPr>
        <w:pStyle w:val="189"/>
      </w:pPr>
      <w:r>
        <w:rPr>
          <w:b/>
        </w:rPr>
        <w:t xml:space="preserve">6.3.22 </w:t>
      </w:r>
      <w:r>
        <w:t>采用金属件连接的玻璃肋，连接接头应能承受截面的弯矩设计值和拉、压、剪力设计值。</w:t>
      </w:r>
    </w:p>
    <w:p>
      <w:pPr>
        <w:pStyle w:val="200"/>
      </w:pPr>
      <w:r>
        <w:rPr>
          <w:b/>
        </w:rPr>
        <w:t xml:space="preserve">6.3.23 </w:t>
      </w:r>
      <w:r>
        <w:t>吊挂式全玻璃幕墙的玻璃肋采用玻璃孔内螺栓传递荷载时，应计算螺栓受剪和玻璃孔壁承压，同时应验算孔内填充材料的抗挤压强度。</w:t>
      </w:r>
    </w:p>
    <w:p>
      <w:pPr>
        <w:pStyle w:val="200"/>
      </w:pPr>
      <w:r>
        <w:rPr>
          <w:b/>
        </w:rPr>
        <w:t xml:space="preserve">6.3.24 </w:t>
      </w:r>
      <w:r>
        <w:t>螺栓连接孔壁承压应符合下列规定：</w:t>
      </w:r>
    </w:p>
    <w:p>
      <w:pPr>
        <w:pStyle w:val="188"/>
        <w:ind w:firstLine="482"/>
        <w:rPr>
          <w:rFonts w:cs="Times New Roman"/>
        </w:rPr>
      </w:pPr>
      <w:r>
        <w:rPr>
          <w:rFonts w:cs="Times New Roman"/>
          <w:b/>
          <w:bCs w:val="0"/>
        </w:rPr>
        <w:t>1</w:t>
      </w:r>
      <w:r>
        <w:rPr>
          <w:rFonts w:cs="Times New Roman"/>
        </w:rPr>
        <w:t>玻璃孔壁承压应按下式验算：</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r>
                  <m:rPr/>
                  <w:rPr>
                    <w:rFonts w:ascii="Cambria Math" w:hAnsi="Cambria Math" w:cs="Times New Roman"/>
                  </w:rPr>
                  <m:t>N≤</m:t>
                </m:r>
                <m:sSub>
                  <m:sSubPr>
                    <m:ctrlPr>
                      <w:rPr>
                        <w:rFonts w:ascii="Cambria Math" w:hAnsi="Cambria Math" w:cs="Times New Roman"/>
                        <w:i/>
                      </w:rPr>
                    </m:ctrlPr>
                  </m:sSubPr>
                  <m:e>
                    <m:r>
                      <m:rPr/>
                      <w:rPr>
                        <w:rFonts w:ascii="Cambria Math" w:hAnsi="Cambria Math" w:cs="Times New Roman"/>
                      </w:rPr>
                      <m:t>η</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η</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r>
                  <m:rPr/>
                  <w:rPr>
                    <w:rFonts w:ascii="Cambria Math" w:hAnsi="Cambria Math" w:cs="Times New Roman"/>
                  </w:rPr>
                  <m:t>Dt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gd</m:t>
                    </m:r>
                    <m:ctrlPr>
                      <w:rPr>
                        <w:rFonts w:ascii="Cambria Math" w:hAnsi="Cambria Math" w:cs="Times New Roman"/>
                        <w:i/>
                      </w:rPr>
                    </m:ctrlPr>
                  </m:sub>
                </m:sSub>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（6.3.24-1）</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N</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吊挂节点或连接节点各孔中受力最大孔的径向作用力</w:t>
            </w:r>
            <w:r>
              <w:rPr>
                <w:rFonts w:hint="eastAsia"/>
                <w:lang w:eastAsia="zh-CN"/>
              </w:rPr>
              <w:t>（</w:t>
            </w:r>
            <w:r>
              <w:t>N)，应考虑拉压弯剪的共同作用；</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D</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孔径</w:t>
            </w:r>
            <w:r>
              <w:rPr>
                <w:rFonts w:hint="eastAsia"/>
                <w:lang w:eastAsia="zh-CN"/>
              </w:rPr>
              <w:t>（</w:t>
            </w:r>
            <w:r>
              <w:t>mm)，宜取螺栓直径的1.40倍；</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t</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玻璃厚度</w:t>
            </w:r>
            <w:r>
              <w:rPr>
                <w:rFonts w:hint="eastAsia"/>
                <w:lang w:eastAsia="zh-CN"/>
              </w:rPr>
              <w:t>（</w:t>
            </w:r>
            <w:r>
              <w:t>mm)，多片玻璃粘合时取各单片厚度之和；</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gd</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玻璃端面强度设计值</w:t>
            </w:r>
            <w:r>
              <w:rPr>
                <w:rFonts w:hint="eastAsia"/>
                <w:lang w:eastAsia="zh-CN"/>
              </w:rPr>
              <w:t>（</w:t>
            </w:r>
            <w:r>
              <w:t>N/mm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i/>
                      </w:rPr>
                    </m:ctrlPr>
                  </m:sSubPr>
                  <m:e>
                    <m:r>
                      <m:rPr/>
                      <w:rPr>
                        <w:rFonts w:ascii="Cambria Math" w:hAnsi="Cambria Math" w:cs="Times New Roman"/>
                      </w:rPr>
                      <m:t>η</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玻璃孔螺栓传力折减系数，取0.7；</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i/>
                      </w:rPr>
                    </m:ctrlPr>
                  </m:sSubPr>
                  <m:e>
                    <m:r>
                      <m:rPr/>
                      <w:rPr>
                        <w:rFonts w:ascii="Cambria Math" w:hAnsi="Cambria Math" w:cs="Times New Roman"/>
                      </w:rPr>
                      <m:t>η</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孔加工及合片精度折减系数，双片玻璃取0.85，多片玻璃取0.80。</w:t>
            </w:r>
          </w:p>
        </w:tc>
      </w:tr>
    </w:tbl>
    <w:p>
      <w:pPr>
        <w:pStyle w:val="188"/>
        <w:ind w:firstLine="482"/>
        <w:rPr>
          <w:rFonts w:cs="Times New Roman"/>
        </w:rPr>
      </w:pPr>
      <w:r>
        <w:rPr>
          <w:rFonts w:cs="Times New Roman"/>
          <w:b/>
          <w:bCs w:val="0"/>
        </w:rPr>
        <w:t>2</w:t>
      </w:r>
      <w:r>
        <w:rPr>
          <w:rFonts w:cs="Times New Roman"/>
        </w:rPr>
        <w:t xml:space="preserve"> 玻璃孔内填充材料抗挤压应按下式验算：</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r>
                  <m:rPr/>
                  <w:rPr>
                    <w:rFonts w:ascii="Cambria Math" w:hAnsi="Cambria Math" w:cs="Times New Roman"/>
                  </w:rPr>
                  <m:t>N≤d</m:t>
                </m:r>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m:sty m:val="p"/>
                      </m:rPr>
                      <w:rPr>
                        <w:rFonts w:ascii="Cambria Math" w:hAnsi="Cambria Math" w:cs="Times New Roman"/>
                      </w:rPr>
                      <m:t>s</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cs</m:t>
                    </m:r>
                    <m:ctrlPr>
                      <w:rPr>
                        <w:rFonts w:ascii="Cambria Math" w:hAnsi="Cambria Math" w:cs="Times New Roman"/>
                        <w:i/>
                      </w:rPr>
                    </m:ctrlPr>
                  </m:sub>
                </m:sSub>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（6.3.24-2）</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N</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吊挂节点或连接节点各孔中受力最大孔的径向作用力</w:t>
            </w:r>
            <w:r>
              <w:rPr>
                <w:rFonts w:hint="eastAsia"/>
                <w:lang w:eastAsia="zh-CN"/>
              </w:rPr>
              <w:t>（</w:t>
            </w:r>
            <w:r>
              <w:t>N)，应考虑拉压弯剪的共同作用；</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r>
                  <m:rPr/>
                  <w:rPr>
                    <w:rFonts w:ascii="Cambria Math" w:hAnsi="Cambria Math" w:cs="Times New Roman"/>
                  </w:rPr>
                  <m:t>d</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螺栓直径 (mm)；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m:sty m:val="p"/>
                      </m:rPr>
                      <w:rPr>
                        <w:rFonts w:ascii="Cambria Math" w:hAnsi="Cambria Math" w:cs="Times New Roman"/>
                      </w:rPr>
                      <m:t>s</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填充材料的承压宽度</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i/>
              </w:rPr>
            </w:pPr>
            <m:oMathPara>
              <m:oMathParaPr>
                <m:jc m:val="right"/>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cs</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填充材料的抗挤压强度设计值</w:t>
            </w:r>
            <w:r>
              <w:rPr>
                <w:rFonts w:hint="eastAsia"/>
                <w:lang w:eastAsia="zh-CN"/>
              </w:rPr>
              <w:t>（</w:t>
            </w:r>
            <w:r>
              <w:t>N/mm</w:t>
            </w:r>
            <w:r>
              <w:rPr>
                <w:vertAlign w:val="superscript"/>
              </w:rPr>
              <w:t>2</w:t>
            </w:r>
            <w:r>
              <w:t>)，确定填充材料的抗挤压强度设计值时</w:t>
            </w:r>
            <w:r>
              <w:rPr>
                <w:snapToGrid w:val="0"/>
              </w:rPr>
              <w:t>，总安全系数不宜小于3.0</w:t>
            </w:r>
            <w:r>
              <w:t>。</w:t>
            </w:r>
          </w:p>
        </w:tc>
      </w:tr>
    </w:tbl>
    <w:p>
      <w:pPr>
        <w:pStyle w:val="188"/>
        <w:ind w:firstLine="482"/>
        <w:rPr>
          <w:rFonts w:cs="Times New Roman"/>
        </w:rPr>
      </w:pPr>
      <w:r>
        <w:rPr>
          <w:rFonts w:cs="Times New Roman"/>
          <w:b/>
          <w:bCs w:val="0"/>
        </w:rPr>
        <w:t>3</w:t>
      </w:r>
      <w:r>
        <w:rPr>
          <w:rFonts w:cs="Times New Roman"/>
        </w:rPr>
        <w:t xml:space="preserve"> 采用螺栓承力的吊挂式全玻璃幕墙，应按本条第1、2款验算仅在面板和肋自重作用下的孔壁承压，N值计算时荷载系数取1.3，</w:t>
      </w:r>
      <w:r>
        <w:rPr>
          <w:rFonts w:cs="Times New Roman"/>
          <w:i/>
          <w:iCs/>
        </w:rPr>
        <w:t>f</w:t>
      </w:r>
      <w:r>
        <w:rPr>
          <w:rFonts w:cs="Times New Roman"/>
          <w:i/>
          <w:iCs/>
          <w:vertAlign w:val="subscript"/>
        </w:rPr>
        <w:t>gd</w:t>
      </w:r>
      <w:r>
        <w:rPr>
          <w:rFonts w:cs="Times New Roman"/>
        </w:rPr>
        <w:t>取长期荷载玻璃端面强度设计值。</w:t>
      </w:r>
    </w:p>
    <w:p>
      <w:pPr>
        <w:pStyle w:val="200"/>
      </w:pPr>
      <w:r>
        <w:rPr>
          <w:b/>
        </w:rPr>
        <w:t xml:space="preserve">6.3.25 </w:t>
      </w:r>
      <w:r>
        <w:t>螺栓抗剪强度应按下式验算：</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r>
                  <m:rPr/>
                  <w:rPr>
                    <w:rFonts w:ascii="Cambria Math" w:hAnsi="Cambria Math" w:cs="Times New Roman"/>
                  </w:rPr>
                  <m:t>N≤0.5</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n</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Sub>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（6.3.25）</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N</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吊挂节点或连接节点各孔中受力最大孔的径向作用力</w:t>
            </w:r>
            <w:r>
              <w:rPr>
                <w:rFonts w:hint="eastAsia"/>
                <w:lang w:eastAsia="zh-CN"/>
              </w:rPr>
              <w:t>（</w:t>
            </w:r>
            <w:r>
              <w:t>N)，应考虑拉压弯剪的共同作用；</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n</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单个螺栓的净截面积</w:t>
            </w:r>
            <w:r>
              <w:rPr>
                <w:rFonts w:hint="eastAsia"/>
                <w:lang w:eastAsia="zh-CN"/>
              </w:rPr>
              <w:t>（</w:t>
            </w:r>
            <w:r>
              <w:t>mm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螺栓抗剪强度设计值</w:t>
            </w:r>
            <w:r>
              <w:rPr>
                <w:rFonts w:hint="eastAsia"/>
                <w:lang w:eastAsia="zh-CN"/>
              </w:rPr>
              <w:t>（</w:t>
            </w:r>
            <w:r>
              <w:t>N/mm</w:t>
            </w:r>
            <w:r>
              <w:rPr>
                <w:vertAlign w:val="superscript"/>
              </w:rPr>
              <w:t>2</w:t>
            </w:r>
            <w:r>
              <w:t>)。</w:t>
            </w:r>
          </w:p>
        </w:tc>
      </w:tr>
    </w:tbl>
    <w:p>
      <w:pPr>
        <w:pStyle w:val="200"/>
        <w:rPr>
          <w:snapToGrid w:val="0"/>
        </w:rPr>
      </w:pPr>
      <w:r>
        <w:rPr>
          <w:b/>
        </w:rPr>
        <w:t xml:space="preserve">6.3.26 </w:t>
      </w:r>
      <w:r>
        <w:rPr>
          <w:snapToGrid w:val="0"/>
        </w:rPr>
        <w:t>玻璃结构摩擦型螺栓连接可按照现行国家标准《钢结构设计标准》GB50017规定的有关方法进行计算。计算时，玻璃孔的孔型系数宜按大孔考虑，不锈钢板与衬垫材料间的抗滑移系数应大于衬垫材料与玻璃间的抗滑移系数，两者的抗滑移系数应通过试验确定。</w:t>
      </w:r>
    </w:p>
    <w:p>
      <w:pPr>
        <w:pStyle w:val="198"/>
        <w:rPr>
          <w:rFonts w:ascii="Times New Roman" w:hAnsi="Times New Roman"/>
        </w:rPr>
      </w:pPr>
      <w:bookmarkStart w:id="52" w:name="_Toc162996224"/>
      <w:r>
        <w:rPr>
          <w:rFonts w:ascii="Times New Roman" w:hAnsi="Times New Roman"/>
        </w:rPr>
        <w:t>6.4 索结构</w:t>
      </w:r>
      <w:bookmarkEnd w:id="52"/>
    </w:p>
    <w:p>
      <w:pPr>
        <w:pStyle w:val="200"/>
      </w:pPr>
      <w:r>
        <w:rPr>
          <w:b/>
        </w:rPr>
        <w:t xml:space="preserve">6.4.1 </w:t>
      </w:r>
      <w:r>
        <w:rPr>
          <w:bCs w:val="0"/>
        </w:rPr>
        <w:t>支承玻璃幕墙的</w:t>
      </w:r>
      <w:r>
        <w:t>索结构设计应符合下列规定：</w:t>
      </w:r>
    </w:p>
    <w:p>
      <w:pPr>
        <w:pStyle w:val="188"/>
        <w:ind w:firstLine="482"/>
        <w:rPr>
          <w:rStyle w:val="192"/>
          <w:rFonts w:ascii="Times New Roman" w:hAnsi="Times New Roman" w:cs="Times New Roman"/>
          <w:bCs/>
          <w:szCs w:val="24"/>
        </w:rPr>
      </w:pPr>
      <w:r>
        <w:rPr>
          <w:rFonts w:cs="Times New Roman"/>
          <w:b/>
          <w:bCs w:val="0"/>
        </w:rPr>
        <w:t>1</w:t>
      </w:r>
      <w:r>
        <w:rPr>
          <w:rFonts w:cs="Times New Roman"/>
        </w:rPr>
        <w:t xml:space="preserve"> </w:t>
      </w:r>
      <w:r>
        <w:rPr>
          <w:rStyle w:val="192"/>
          <w:rFonts w:ascii="Times New Roman" w:hAnsi="Times New Roman" w:cs="Times New Roman"/>
          <w:bCs/>
          <w:szCs w:val="24"/>
        </w:rPr>
        <w:t>索结构用于支承玻璃幕墙时，可采用单层索系或双层索系。单层索系宜采用单索、平面索网或曲面索网，双层索系宜采用索桁架；</w:t>
      </w:r>
    </w:p>
    <w:p>
      <w:pPr>
        <w:pStyle w:val="188"/>
        <w:ind w:firstLine="482"/>
        <w:rPr>
          <w:rFonts w:cs="Times New Roman"/>
        </w:rPr>
      </w:pPr>
      <w:r>
        <w:rPr>
          <w:rFonts w:cs="Times New Roman"/>
          <w:b/>
          <w:bCs w:val="0"/>
        </w:rPr>
        <w:t>2</w:t>
      </w:r>
      <w:r>
        <w:rPr>
          <w:rFonts w:cs="Times New Roman"/>
        </w:rPr>
        <w:t xml:space="preserve"> 当索结构用于支承玻璃采光顶时，可采用单层索系、双层索系或张弦结构。单层索系宜釆用曲面索网，双层索系宜采用平行布置或辐射布置索桁架，张弦结构宜采用张弦拱；</w:t>
      </w:r>
    </w:p>
    <w:p>
      <w:pPr>
        <w:pStyle w:val="188"/>
        <w:ind w:firstLine="482"/>
        <w:rPr>
          <w:rFonts w:cs="Times New Roman"/>
        </w:rPr>
      </w:pPr>
      <w:r>
        <w:rPr>
          <w:rFonts w:cs="Times New Roman"/>
          <w:b/>
          <w:bCs w:val="0"/>
        </w:rPr>
        <w:t>3</w:t>
      </w:r>
      <w:r>
        <w:rPr>
          <w:rFonts w:cs="Times New Roman"/>
        </w:rPr>
        <w:t xml:space="preserve"> 应防止各种荷载组合下由于索松弛引起的结构失效；</w:t>
      </w:r>
    </w:p>
    <w:p>
      <w:pPr>
        <w:pStyle w:val="188"/>
        <w:ind w:firstLine="482"/>
        <w:rPr>
          <w:rFonts w:cs="Times New Roman"/>
        </w:rPr>
      </w:pPr>
      <w:r>
        <w:rPr>
          <w:rFonts w:cs="Times New Roman"/>
          <w:b/>
          <w:bCs w:val="0"/>
        </w:rPr>
        <w:t>4</w:t>
      </w:r>
      <w:r>
        <w:rPr>
          <w:rFonts w:cs="Times New Roman"/>
        </w:rPr>
        <w:t xml:space="preserve"> 若索保护层的使用年限低于结构设计使用年限，应考虑索更换的可行性；</w:t>
      </w:r>
    </w:p>
    <w:p>
      <w:pPr>
        <w:pStyle w:val="188"/>
        <w:ind w:firstLine="482"/>
        <w:rPr>
          <w:rFonts w:cs="Times New Roman"/>
        </w:rPr>
      </w:pPr>
      <w:r>
        <w:rPr>
          <w:rFonts w:cs="Times New Roman"/>
          <w:b/>
          <w:bCs w:val="0"/>
        </w:rPr>
        <w:t>5</w:t>
      </w:r>
      <w:r>
        <w:rPr>
          <w:rFonts w:cs="Times New Roman"/>
        </w:rPr>
        <w:t xml:space="preserve"> 拉索宜采用不锈钢绞线或高强度钢绞线，钢绞线的钢丝直径宜不小于1.2mm，不锈钢钢绞线的钢丝直径不宜大于5.0 mm，钢绞线直径宜不小于8.0 mm；</w:t>
      </w:r>
    </w:p>
    <w:p>
      <w:pPr>
        <w:pStyle w:val="188"/>
        <w:ind w:firstLine="482"/>
        <w:rPr>
          <w:rFonts w:cs="Times New Roman"/>
        </w:rPr>
      </w:pPr>
      <w:r>
        <w:rPr>
          <w:rFonts w:cs="Times New Roman"/>
          <w:b/>
          <w:bCs w:val="0"/>
        </w:rPr>
        <w:t>6</w:t>
      </w:r>
      <w:r>
        <w:rPr>
          <w:rFonts w:cs="Times New Roman"/>
        </w:rPr>
        <w:t xml:space="preserve"> 拉索幕墙的连续索交叉节点处，夹具与索体之间的摩擦力应大于夹具两侧索体的最大索力差，必要时应通过试验验证；</w:t>
      </w:r>
    </w:p>
    <w:p>
      <w:pPr>
        <w:pStyle w:val="188"/>
        <w:ind w:firstLine="482"/>
        <w:rPr>
          <w:rFonts w:cs="Times New Roman"/>
        </w:rPr>
      </w:pPr>
      <w:r>
        <w:rPr>
          <w:rFonts w:cs="Times New Roman"/>
          <w:b/>
          <w:bCs w:val="0"/>
        </w:rPr>
        <w:t>7</w:t>
      </w:r>
      <w:r>
        <w:rPr>
          <w:rFonts w:cs="Times New Roman"/>
        </w:rPr>
        <w:t xml:space="preserve"> 钢绞线拉索折线处可设置锚具或连续穿孔，连续穿孔处应采用弧形过渡；</w:t>
      </w:r>
    </w:p>
    <w:p>
      <w:pPr>
        <w:pStyle w:val="188"/>
        <w:ind w:firstLine="482"/>
        <w:rPr>
          <w:rFonts w:cs="Times New Roman"/>
        </w:rPr>
      </w:pPr>
      <w:r>
        <w:rPr>
          <w:rFonts w:cs="Times New Roman"/>
          <w:b/>
          <w:bCs w:val="0"/>
        </w:rPr>
        <w:t>8</w:t>
      </w:r>
      <w:r>
        <w:rPr>
          <w:rFonts w:cs="Times New Roman"/>
        </w:rPr>
        <w:t xml:space="preserve"> 拉杆和拉索索体及与外部连接均不得焊接。直径不大于30 mm的拉索可采用冷挤压锚具连接，直径大于30 mm的拉索宜采用热铸锚锚具连接；</w:t>
      </w:r>
    </w:p>
    <w:p>
      <w:pPr>
        <w:pStyle w:val="188"/>
        <w:ind w:firstLine="482"/>
        <w:rPr>
          <w:rFonts w:cs="Times New Roman"/>
        </w:rPr>
      </w:pPr>
      <w:r>
        <w:rPr>
          <w:rFonts w:cs="Times New Roman"/>
          <w:b/>
          <w:bCs w:val="0"/>
        </w:rPr>
        <w:t>9</w:t>
      </w:r>
      <w:r>
        <w:rPr>
          <w:rFonts w:cs="Times New Roman"/>
        </w:rPr>
        <w:t xml:space="preserve"> 拉索连接主体结构的耳板焊缝质量等级不应低于二级，设计文件应明确焊接及检测要求。</w:t>
      </w:r>
    </w:p>
    <w:p>
      <w:pPr>
        <w:pStyle w:val="200"/>
      </w:pPr>
      <w:r>
        <w:rPr>
          <w:b/>
        </w:rPr>
        <w:t xml:space="preserve">6.4.2 </w:t>
      </w:r>
      <w:r>
        <w:rPr>
          <w:bCs w:val="0"/>
        </w:rPr>
        <w:t>支承玻璃幕墙的</w:t>
      </w:r>
      <w:r>
        <w:t>索结构计算应符合下列规定：</w:t>
      </w:r>
    </w:p>
    <w:p>
      <w:pPr>
        <w:pStyle w:val="188"/>
        <w:ind w:firstLine="482"/>
        <w:rPr>
          <w:rFonts w:cs="Times New Roman"/>
        </w:rPr>
      </w:pPr>
      <w:r>
        <w:rPr>
          <w:rFonts w:cs="Times New Roman"/>
          <w:b/>
          <w:bCs w:val="0"/>
        </w:rPr>
        <w:t>1</w:t>
      </w:r>
      <w:r>
        <w:rPr>
          <w:rFonts w:cs="Times New Roman"/>
        </w:rPr>
        <w:t xml:space="preserve"> 应分别对初始状态和工作状态进行分析；</w:t>
      </w:r>
    </w:p>
    <w:p>
      <w:pPr>
        <w:pStyle w:val="188"/>
        <w:ind w:firstLine="482"/>
        <w:rPr>
          <w:rFonts w:cs="Times New Roman"/>
        </w:rPr>
      </w:pPr>
      <w:r>
        <w:rPr>
          <w:rFonts w:cs="Times New Roman"/>
          <w:b/>
          <w:bCs w:val="0"/>
        </w:rPr>
        <w:t>2</w:t>
      </w:r>
      <w:r>
        <w:rPr>
          <w:rFonts w:cs="Times New Roman"/>
        </w:rPr>
        <w:t xml:space="preserve"> 应充分考虑施工工况、断索、主体结构变形及支座不均匀沉降等因素的影响，宜采用包含支承结构的整体模型；</w:t>
      </w:r>
    </w:p>
    <w:p>
      <w:pPr>
        <w:pStyle w:val="188"/>
        <w:ind w:firstLine="482"/>
        <w:rPr>
          <w:rFonts w:cs="Times New Roman"/>
        </w:rPr>
      </w:pPr>
      <w:r>
        <w:rPr>
          <w:rFonts w:cs="Times New Roman"/>
          <w:b/>
          <w:bCs w:val="0"/>
        </w:rPr>
        <w:t>3</w:t>
      </w:r>
      <w:r>
        <w:rPr>
          <w:rFonts w:cs="Times New Roman"/>
        </w:rPr>
        <w:t xml:space="preserve"> 对于刚性索结构，工作状态可采用线弹性方法进行分析；对于半刚性索结构和柔性索结构，工作状态应采用几何非线性方法进行分析；</w:t>
      </w:r>
    </w:p>
    <w:p>
      <w:pPr>
        <w:pStyle w:val="188"/>
        <w:ind w:firstLine="482"/>
        <w:rPr>
          <w:rFonts w:cs="Times New Roman"/>
        </w:rPr>
      </w:pPr>
      <w:r>
        <w:rPr>
          <w:rFonts w:cs="Times New Roman"/>
          <w:b/>
          <w:bCs w:val="0"/>
        </w:rPr>
        <w:t>4</w:t>
      </w:r>
      <w:r>
        <w:rPr>
          <w:rFonts w:cs="Times New Roman"/>
        </w:rPr>
        <w:t xml:space="preserve"> 采用几何非线性方法进行分析时，应在结构初始状态的基础上按组合荷载计算结构的工作状态；</w:t>
      </w:r>
    </w:p>
    <w:p>
      <w:pPr>
        <w:pStyle w:val="188"/>
        <w:ind w:firstLine="482"/>
        <w:rPr>
          <w:rFonts w:cs="Times New Roman"/>
        </w:rPr>
      </w:pPr>
      <w:r>
        <w:rPr>
          <w:rFonts w:cs="Times New Roman"/>
          <w:b/>
          <w:bCs w:val="0"/>
        </w:rPr>
        <w:t>5</w:t>
      </w:r>
      <w:r>
        <w:rPr>
          <w:rFonts w:cs="Times New Roman"/>
        </w:rPr>
        <w:t xml:space="preserve"> 考虑温度作用时，应首先计算其他荷载组合下的平衡状态，在此基础上计算温度作用效应，温差取张拉阶段与使用阶段的最大绝对值；</w:t>
      </w:r>
    </w:p>
    <w:p>
      <w:pPr>
        <w:pStyle w:val="188"/>
        <w:ind w:firstLine="482"/>
        <w:rPr>
          <w:rFonts w:cs="Times New Roman"/>
        </w:rPr>
      </w:pPr>
      <w:r>
        <w:rPr>
          <w:rFonts w:cs="Times New Roman"/>
          <w:b/>
          <w:bCs w:val="0"/>
        </w:rPr>
        <w:t>6</w:t>
      </w:r>
      <w:r>
        <w:rPr>
          <w:rFonts w:cs="Times New Roman"/>
        </w:rPr>
        <w:t xml:space="preserve"> 索结构的拉索和拉杆应只能承受拉力，不能承受压力和弯矩。</w:t>
      </w:r>
    </w:p>
    <w:p>
      <w:pPr>
        <w:pStyle w:val="200"/>
      </w:pPr>
      <w:r>
        <w:rPr>
          <w:b/>
        </w:rPr>
        <w:t xml:space="preserve">6.4.3 </w:t>
      </w:r>
      <w:r>
        <w:t>索结构应首先进行初始状态分析，以确定初始状态时的结构内力分布和对应的几何。初始状态分析应符合下列规定：</w:t>
      </w:r>
    </w:p>
    <w:p>
      <w:pPr>
        <w:pStyle w:val="188"/>
        <w:ind w:firstLine="482"/>
        <w:rPr>
          <w:rFonts w:cs="Times New Roman"/>
        </w:rPr>
      </w:pPr>
      <w:r>
        <w:rPr>
          <w:rFonts w:cs="Times New Roman"/>
          <w:b/>
          <w:bCs w:val="0"/>
        </w:rPr>
        <w:t>1</w:t>
      </w:r>
      <w:r>
        <w:rPr>
          <w:rFonts w:cs="Times New Roman"/>
        </w:rPr>
        <w:t xml:space="preserve"> 几何宜以图纸几何为目标几何；</w:t>
      </w:r>
    </w:p>
    <w:p>
      <w:pPr>
        <w:pStyle w:val="188"/>
        <w:ind w:firstLine="482"/>
        <w:rPr>
          <w:rFonts w:cs="Times New Roman"/>
        </w:rPr>
      </w:pPr>
      <w:r>
        <w:rPr>
          <w:rFonts w:cs="Times New Roman"/>
          <w:b/>
          <w:bCs w:val="0"/>
        </w:rPr>
        <w:t>2</w:t>
      </w:r>
      <w:r>
        <w:rPr>
          <w:rFonts w:cs="Times New Roman"/>
        </w:rPr>
        <w:t xml:space="preserve"> 应考虑索结构施工张拉过程的影响，对索结构进行施工过程分析时可按初始状态预张力的标准值和结构重力标准值进行计算；</w:t>
      </w:r>
    </w:p>
    <w:p>
      <w:pPr>
        <w:pStyle w:val="188"/>
        <w:ind w:firstLine="482"/>
        <w:rPr>
          <w:rFonts w:cs="Times New Roman"/>
        </w:rPr>
      </w:pPr>
      <w:r>
        <w:rPr>
          <w:rFonts w:cs="Times New Roman"/>
          <w:b/>
          <w:bCs w:val="0"/>
        </w:rPr>
        <w:t>3</w:t>
      </w:r>
      <w:r>
        <w:rPr>
          <w:rFonts w:cs="Times New Roman"/>
        </w:rPr>
        <w:t xml:space="preserve"> 按承载能力极限状态验算时，索结构初始状态的预张力应取设计值；按正常使用极限状态验算时，初始状态预张力应取标准值；</w:t>
      </w:r>
    </w:p>
    <w:p>
      <w:pPr>
        <w:pStyle w:val="188"/>
        <w:ind w:firstLine="482"/>
        <w:rPr>
          <w:rFonts w:cs="Times New Roman"/>
        </w:rPr>
      </w:pPr>
      <w:r>
        <w:rPr>
          <w:rFonts w:cs="Times New Roman"/>
          <w:b/>
          <w:bCs w:val="0"/>
        </w:rPr>
        <w:t>4</w:t>
      </w:r>
      <w:r>
        <w:rPr>
          <w:rFonts w:cs="Times New Roman"/>
        </w:rPr>
        <w:t xml:space="preserve"> 对于索杆体系，可采用非线性有限单元法、动力松弛法等数值方法计算，也可通过建立结构的节点平衡方程直接计算；对于初始状态几何给定的索桁架等体系，可采用最小二乘法计算；对于初始状态几何待定的索网等体系，可采用力密度法求解；</w:t>
      </w:r>
    </w:p>
    <w:p>
      <w:pPr>
        <w:pStyle w:val="188"/>
        <w:ind w:firstLine="482"/>
        <w:rPr>
          <w:rFonts w:cs="Times New Roman"/>
        </w:rPr>
      </w:pPr>
      <w:r>
        <w:rPr>
          <w:rFonts w:cs="Times New Roman"/>
          <w:b/>
          <w:bCs w:val="0"/>
        </w:rPr>
        <w:t>5</w:t>
      </w:r>
      <w:r>
        <w:rPr>
          <w:rFonts w:cs="Times New Roman"/>
        </w:rPr>
        <w:t xml:space="preserve"> 对于刚性索梁体系，可在图纸几何基础上建立模型，采用线性有限单元法计算；对于半刚性和柔性索梁体系，可按零状态几何或图纸几何建立模型，采用非线性迭代计算；</w:t>
      </w:r>
    </w:p>
    <w:p>
      <w:pPr>
        <w:pStyle w:val="188"/>
        <w:ind w:firstLine="482"/>
        <w:rPr>
          <w:rFonts w:cs="Times New Roman"/>
        </w:rPr>
      </w:pPr>
      <w:r>
        <w:rPr>
          <w:rFonts w:cs="Times New Roman"/>
          <w:b/>
          <w:bCs w:val="0"/>
        </w:rPr>
        <w:t>6</w:t>
      </w:r>
      <w:r>
        <w:rPr>
          <w:rFonts w:cs="Times New Roman"/>
        </w:rPr>
        <w:t xml:space="preserve"> 对于索梁和索杆的混合体系，可对体系中不随主动索张拉产生协调变形的索段或杆件单元假定温度、原长、刚度等，采用非线性有限单元法迭代计算。</w:t>
      </w:r>
    </w:p>
    <w:p>
      <w:pPr>
        <w:pStyle w:val="200"/>
      </w:pPr>
      <w:r>
        <w:rPr>
          <w:b/>
        </w:rPr>
        <w:t xml:space="preserve">6.4.4 </w:t>
      </w:r>
      <w:r>
        <w:t>设计要求考虑初始状态拉索垂度对结构外观的影响时，可按下式选用拉索预张力以控制拉索的垂度：</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m:sty m:val="p"/>
                      </m:rPr>
                      <w:rPr>
                        <w:rFonts w:ascii="Cambria Math" w:hAnsi="Cambria Math" w:cs="Times New Roman"/>
                      </w:rPr>
                      <m:t>0</m:t>
                    </m:r>
                    <m:ctrlPr>
                      <w:rPr>
                        <w:rFonts w:ascii="Cambria Math" w:hAnsi="Cambria Math" w:cs="Times New Roman"/>
                        <w:i/>
                      </w:rPr>
                    </m:ctrlPr>
                  </m:sub>
                </m:sSub>
                <m:r>
                  <m:rPr/>
                  <w:rPr>
                    <w:rFonts w:ascii="Cambria Math" w:hAnsi="Cambria Math" w:cs="Times New Roman"/>
                  </w:rPr>
                  <m:t>≥20W</m:t>
                </m:r>
                <m:func>
                  <m:funcPr>
                    <m:ctrlPr>
                      <w:rPr>
                        <w:rFonts w:ascii="Cambria Math" w:hAnsi="Cambria Math" w:cs="Times New Roman"/>
                        <w:i/>
                      </w:rPr>
                    </m:ctrlPr>
                  </m:funcPr>
                  <m:fName>
                    <m:r>
                      <m:rPr>
                        <m:sty m:val="p"/>
                      </m:rPr>
                      <w:rPr>
                        <w:rFonts w:ascii="Cambria Math" w:hAnsi="Cambria Math" w:cs="Times New Roman"/>
                      </w:rPr>
                      <m:t>cos</m:t>
                    </m:r>
                    <m:ctrlPr>
                      <w:rPr>
                        <w:rFonts w:ascii="Cambria Math" w:hAnsi="Cambria Math" w:cs="Times New Roman"/>
                        <w:i/>
                      </w:rPr>
                    </m:ctrlPr>
                  </m:fName>
                  <m:e>
                    <m:r>
                      <m:rPr/>
                      <w:rPr>
                        <w:rFonts w:ascii="Cambria Math" w:hAnsi="Cambria Math" w:cs="Times New Roman"/>
                      </w:rPr>
                      <m:t>α</m:t>
                    </m:r>
                    <m:ctrlPr>
                      <w:rPr>
                        <w:rFonts w:ascii="Cambria Math" w:hAnsi="Cambria Math" w:cs="Times New Roman"/>
                        <w:i/>
                      </w:rPr>
                    </m:ctrlPr>
                  </m:e>
                </m:func>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（6.4.4）</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m:sty m:val="p"/>
                      </m:rPr>
                      <w:rPr>
                        <w:rFonts w:ascii="Cambria Math" w:hAnsi="Cambria Math" w:cs="Times New Roman"/>
                      </w:rPr>
                      <m:t>0</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拉索的预拉力</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W</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拉索自重</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α</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索两节点连线与水平线的夹角。</w:t>
            </w:r>
          </w:p>
        </w:tc>
      </w:tr>
    </w:tbl>
    <w:p>
      <w:pPr>
        <w:pStyle w:val="200"/>
      </w:pPr>
      <w:r>
        <w:rPr>
          <w:b/>
        </w:rPr>
        <w:t xml:space="preserve">6.4.5 </w:t>
      </w:r>
      <w:r>
        <w:t>索结构工作状态分析应符合下列规定：</w:t>
      </w:r>
    </w:p>
    <w:p>
      <w:pPr>
        <w:pStyle w:val="188"/>
        <w:ind w:firstLine="482"/>
        <w:rPr>
          <w:rFonts w:cs="Times New Roman"/>
        </w:rPr>
      </w:pPr>
      <w:r>
        <w:rPr>
          <w:rFonts w:cs="Times New Roman"/>
          <w:b/>
          <w:bCs w:val="0"/>
        </w:rPr>
        <w:t>1</w:t>
      </w:r>
      <w:r>
        <w:rPr>
          <w:rFonts w:cs="Times New Roman"/>
        </w:rPr>
        <w:t xml:space="preserve"> 应在初始形态分析确定的几何形状和预张力的基础上，考虑各种可能的荷载组合对结构内力和变形的影响；当计算结果不能满足要求时，应重新调整初始形态；</w:t>
      </w:r>
    </w:p>
    <w:p>
      <w:pPr>
        <w:pStyle w:val="188"/>
        <w:ind w:firstLine="482"/>
        <w:rPr>
          <w:rFonts w:cs="Times New Roman"/>
        </w:rPr>
      </w:pPr>
      <w:r>
        <w:rPr>
          <w:rFonts w:cs="Times New Roman"/>
          <w:b/>
          <w:bCs w:val="0"/>
        </w:rPr>
        <w:t>2</w:t>
      </w:r>
      <w:r>
        <w:rPr>
          <w:rFonts w:cs="Times New Roman"/>
        </w:rPr>
        <w:t xml:space="preserve"> 短索的计算模型可取为两节点杆</w:t>
      </w:r>
      <w:r>
        <w:rPr>
          <w:rFonts w:hint="eastAsia" w:cs="Times New Roman"/>
          <w:lang w:eastAsia="zh-CN"/>
        </w:rPr>
        <w:t>（</w:t>
      </w:r>
      <w:r>
        <w:rPr>
          <w:rFonts w:cs="Times New Roman"/>
        </w:rPr>
        <w:t>索</w:t>
      </w:r>
      <w:r>
        <w:rPr>
          <w:rFonts w:hint="eastAsia" w:cs="Times New Roman"/>
          <w:lang w:eastAsia="zh-CN"/>
        </w:rPr>
        <w:t>）</w:t>
      </w:r>
      <w:r>
        <w:rPr>
          <w:rFonts w:cs="Times New Roman"/>
        </w:rPr>
        <w:t>单元，并将自重及索段中的外荷载等效作用到两端节点处；</w:t>
      </w:r>
    </w:p>
    <w:p>
      <w:pPr>
        <w:pStyle w:val="188"/>
        <w:ind w:firstLine="482"/>
        <w:rPr>
          <w:rFonts w:cs="Times New Roman"/>
        </w:rPr>
      </w:pPr>
      <w:r>
        <w:rPr>
          <w:rFonts w:cs="Times New Roman"/>
          <w:b/>
          <w:bCs w:val="0"/>
        </w:rPr>
        <w:t>3</w:t>
      </w:r>
      <w:r>
        <w:rPr>
          <w:rFonts w:cs="Times New Roman"/>
        </w:rPr>
        <w:t xml:space="preserve"> 长索的计算模型应取为悬链线单元、多节点索单元或多段两节点杆</w:t>
      </w:r>
      <w:r>
        <w:rPr>
          <w:rFonts w:hint="eastAsia" w:cs="Times New Roman"/>
          <w:lang w:eastAsia="zh-CN"/>
        </w:rPr>
        <w:t>（</w:t>
      </w:r>
      <w:r>
        <w:rPr>
          <w:rFonts w:cs="Times New Roman"/>
        </w:rPr>
        <w:t>索</w:t>
      </w:r>
      <w:r>
        <w:rPr>
          <w:rFonts w:hint="eastAsia" w:cs="Times New Roman"/>
          <w:lang w:eastAsia="zh-CN"/>
        </w:rPr>
        <w:t>）</w:t>
      </w:r>
      <w:r>
        <w:rPr>
          <w:rFonts w:cs="Times New Roman"/>
        </w:rPr>
        <w:t>单元，将自重及索段中的外荷载作用在有限元节点处；</w:t>
      </w:r>
    </w:p>
    <w:p>
      <w:pPr>
        <w:pStyle w:val="188"/>
        <w:ind w:firstLine="482"/>
        <w:rPr>
          <w:rFonts w:cs="Times New Roman"/>
        </w:rPr>
      </w:pPr>
      <w:r>
        <w:rPr>
          <w:rFonts w:cs="Times New Roman"/>
          <w:b/>
          <w:bCs w:val="0"/>
        </w:rPr>
        <w:t>4</w:t>
      </w:r>
      <w:r>
        <w:rPr>
          <w:rFonts w:cs="Times New Roman"/>
        </w:rPr>
        <w:t xml:space="preserve"> 对于刚性结构的线弹性分析，拉索可按受拉杆单元考虑；对于弹性非线性分析，应考虑索单元本身的几何非线性刚度特征；</w:t>
      </w:r>
    </w:p>
    <w:p>
      <w:pPr>
        <w:pStyle w:val="188"/>
        <w:ind w:firstLine="482"/>
        <w:rPr>
          <w:rFonts w:cs="Times New Roman"/>
        </w:rPr>
      </w:pPr>
      <w:r>
        <w:rPr>
          <w:rFonts w:cs="Times New Roman"/>
          <w:b/>
          <w:bCs w:val="0"/>
        </w:rPr>
        <w:t>5</w:t>
      </w:r>
      <w:r>
        <w:rPr>
          <w:rFonts w:cs="Times New Roman"/>
        </w:rPr>
        <w:t xml:space="preserve"> 在永久荷载控制的荷载组合作用下拉索不应退出工作，在可变荷载控制的荷载组合作用下结构不应因拉索退出工作而失效；</w:t>
      </w:r>
    </w:p>
    <w:p>
      <w:pPr>
        <w:pStyle w:val="188"/>
        <w:ind w:firstLine="482"/>
        <w:rPr>
          <w:rFonts w:cs="Times New Roman"/>
        </w:rPr>
      </w:pPr>
      <w:r>
        <w:rPr>
          <w:rFonts w:cs="Times New Roman"/>
          <w:b/>
          <w:bCs w:val="0"/>
        </w:rPr>
        <w:t>6</w:t>
      </w:r>
      <w:r>
        <w:rPr>
          <w:rFonts w:cs="Times New Roman"/>
        </w:rPr>
        <w:t xml:space="preserve"> 对于施加预张力的拉索或拉杆，无长细比限制；其他构件长细比的限值按现行有关国家和行业标准取用。</w:t>
      </w:r>
    </w:p>
    <w:p>
      <w:pPr>
        <w:pStyle w:val="200"/>
      </w:pPr>
      <w:r>
        <w:rPr>
          <w:b/>
        </w:rPr>
        <w:t xml:space="preserve">6.4.6 </w:t>
      </w:r>
      <w:r>
        <w:t>索结构应分别进行工作状态体系整体稳定承载力和构件稳定性计算：</w:t>
      </w:r>
    </w:p>
    <w:p>
      <w:pPr>
        <w:pStyle w:val="188"/>
        <w:ind w:firstLine="482"/>
        <w:rPr>
          <w:rFonts w:cs="Times New Roman"/>
        </w:rPr>
      </w:pPr>
      <w:r>
        <w:rPr>
          <w:rFonts w:cs="Times New Roman"/>
          <w:b/>
          <w:bCs w:val="0"/>
        </w:rPr>
        <w:t>1</w:t>
      </w:r>
      <w:r>
        <w:rPr>
          <w:rFonts w:cs="Times New Roman"/>
        </w:rPr>
        <w:t>体系整体稳定承载力计算可按现行行业标准《空间网格结构技术规程》JGJ 7的规定执行；</w:t>
      </w:r>
    </w:p>
    <w:p>
      <w:pPr>
        <w:pStyle w:val="188"/>
        <w:ind w:firstLine="482"/>
        <w:rPr>
          <w:rFonts w:cs="Times New Roman"/>
        </w:rPr>
      </w:pPr>
      <w:r>
        <w:rPr>
          <w:rFonts w:cs="Times New Roman"/>
          <w:b/>
          <w:bCs w:val="0"/>
        </w:rPr>
        <w:t>2</w:t>
      </w:r>
      <w:r>
        <w:rPr>
          <w:rFonts w:cs="Times New Roman"/>
        </w:rPr>
        <w:t>构件稳定性验算时，对于按线弹性方法计算的刚性结构，计算长度可按现行有关国家和行业标准取用；对于按弹性非线性方法计算的半刚性和柔性结构，计算长度系数可取为1.0。</w:t>
      </w:r>
    </w:p>
    <w:p>
      <w:pPr>
        <w:pStyle w:val="200"/>
      </w:pPr>
      <w:r>
        <w:rPr>
          <w:b/>
        </w:rPr>
        <w:t xml:space="preserve">6.4.7 </w:t>
      </w:r>
      <w:r>
        <w:t>拉索的抗拉力设计值应按式6.4.7-1计算，拉杆的抗拉力设计值应取式6.4.7-1和6.4.7-2计算值中的较小值。</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r>
                  <m:rPr/>
                  <w:rPr>
                    <w:rFonts w:ascii="Cambria Math" w:hAnsi="Cambria Math" w:cs="Times New Roman"/>
                  </w:rPr>
                  <m:t>F=</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tk</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m:sty m:val="p"/>
                          </m:rPr>
                          <w:rPr>
                            <w:rFonts w:ascii="Cambria Math" w:hAnsi="Cambria Math" w:cs="Times New Roman"/>
                          </w:rPr>
                          <m:t>R1</m:t>
                        </m:r>
                        <m:ctrlPr>
                          <w:rPr>
                            <w:rFonts w:ascii="Cambria Math" w:hAnsi="Cambria Math" w:cs="Times New Roman"/>
                            <w:i/>
                          </w:rPr>
                        </m:ctrlPr>
                      </m:sub>
                    </m:sSub>
                    <m:ctrlPr>
                      <w:rPr>
                        <w:rFonts w:ascii="Cambria Math" w:hAnsi="Cambria Math" w:cs="Times New Roman"/>
                        <w:i/>
                      </w:rPr>
                    </m:ctrlPr>
                  </m:den>
                </m:f>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（6.4.7-1）</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r>
                  <m:rPr/>
                  <w:rPr>
                    <w:rFonts w:ascii="Cambria Math" w:hAnsi="Cambria Math" w:cs="Times New Roman"/>
                  </w:rPr>
                  <m:t>F=</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σ</m:t>
                        </m:r>
                        <m:ctrlPr>
                          <w:rPr>
                            <w:rFonts w:ascii="Cambria Math" w:hAnsi="Cambria Math" w:cs="Times New Roman"/>
                            <w:i/>
                          </w:rPr>
                        </m:ctrlPr>
                      </m:e>
                      <m:sub>
                        <m:r>
                          <m:rPr>
                            <m:sty m:val="p"/>
                          </m:rPr>
                          <w:rPr>
                            <w:rFonts w:ascii="Cambria Math" w:hAnsi="Cambria Math" w:cs="Times New Roman"/>
                          </w:rPr>
                          <m:t>0.2</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m:sty m:val="p"/>
                          </m:rPr>
                          <w:rPr>
                            <w:rFonts w:ascii="Cambria Math" w:hAnsi="Cambria Math" w:cs="Times New Roman"/>
                          </w:rPr>
                          <m:t>R2</m:t>
                        </m:r>
                        <m:ctrlPr>
                          <w:rPr>
                            <w:rFonts w:ascii="Cambria Math" w:hAnsi="Cambria Math" w:cs="Times New Roman"/>
                            <w:i/>
                          </w:rPr>
                        </m:ctrlPr>
                      </m:sub>
                    </m:sSub>
                    <m:ctrlPr>
                      <w:rPr>
                        <w:rFonts w:ascii="Cambria Math" w:hAnsi="Cambria Math" w:cs="Times New Roman"/>
                        <w:i/>
                      </w:rPr>
                    </m:ctrlPr>
                  </m:den>
                </m:f>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（6.4.7-2）</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F</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抗拉力设计值</w:t>
            </w:r>
            <w:r>
              <w:rPr>
                <w:rFonts w:hint="eastAsia"/>
                <w:lang w:eastAsia="zh-CN"/>
              </w:rPr>
              <w:t>（</w:t>
            </w:r>
            <w:r>
              <w:t>kN)；</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tk</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极限抗拉力标准值</w:t>
            </w:r>
            <w:r>
              <w:rPr>
                <w:rFonts w:hint="eastAsia"/>
                <w:lang w:eastAsia="zh-CN"/>
              </w:rPr>
              <w:t>（</w:t>
            </w:r>
            <w:r>
              <w:t>kN)；</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σ</m:t>
                    </m:r>
                    <m:ctrlPr>
                      <w:rPr>
                        <w:rFonts w:ascii="Cambria Math" w:hAnsi="Cambria Math" w:cs="Times New Roman"/>
                        <w:i/>
                      </w:rPr>
                    </m:ctrlPr>
                  </m:e>
                  <m:sub>
                    <m:r>
                      <m:rPr>
                        <m:sty m:val="p"/>
                      </m:rPr>
                      <w:rPr>
                        <w:rFonts w:ascii="Cambria Math" w:hAnsi="Cambria Math" w:cs="Times New Roman"/>
                      </w:rPr>
                      <m:t>0.2</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屈服强度标准值</w:t>
            </w:r>
            <w:r>
              <w:rPr>
                <w:rFonts w:hint="eastAsia"/>
                <w:lang w:eastAsia="zh-CN"/>
              </w:rPr>
              <w:t>（</w:t>
            </w:r>
            <w:r>
              <w:t>kN)；</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m:sty m:val="p"/>
                      </m:rPr>
                      <w:rPr>
                        <w:rFonts w:ascii="Cambria Math" w:hAnsi="Cambria Math" w:cs="Times New Roman"/>
                      </w:rPr>
                      <m:t>R1</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拉索的抗力分项系数，对拉索取2.0，对钢拉杆取1.7，对不锈钢拉杆取1.4；</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m:sty m:val="p"/>
                      </m:rPr>
                      <w:rPr>
                        <w:rFonts w:ascii="Cambria Math" w:hAnsi="Cambria Math" w:cs="Times New Roman"/>
                      </w:rPr>
                      <m:t>R2</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抗力分项系数，取1.15。</w:t>
            </w:r>
          </w:p>
        </w:tc>
      </w:tr>
    </w:tbl>
    <w:p>
      <w:pPr>
        <w:pStyle w:val="200"/>
      </w:pPr>
      <w:r>
        <w:rPr>
          <w:b/>
        </w:rPr>
        <w:t xml:space="preserve">6.4.8 </w:t>
      </w:r>
      <w:r>
        <w:t>拉索和拉杆的承载力应按下式验算：</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m:sty m:val="p"/>
                      </m:rPr>
                      <w:rPr>
                        <w:rFonts w:ascii="Cambria Math" w:hAnsi="Cambria Math" w:cs="Times New Roman"/>
                      </w:rPr>
                      <m:t>0</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d</m:t>
                    </m:r>
                    <m:ctrlPr>
                      <w:rPr>
                        <w:rFonts w:ascii="Cambria Math" w:hAnsi="Cambria Math" w:cs="Times New Roman"/>
                        <w:i/>
                      </w:rPr>
                    </m:ctrlPr>
                  </m:sub>
                </m:sSub>
                <m:r>
                  <m:rPr/>
                  <w:rPr>
                    <w:rFonts w:ascii="Cambria Math" w:hAnsi="Cambria Math" w:cs="Times New Roman"/>
                  </w:rPr>
                  <m:t>≤F</m:t>
                </m:r>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（6.4.8）</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d</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拉索或拉杆承受的最大轴向拉力设计值</w:t>
            </w:r>
            <w:r>
              <w:rPr>
                <w:rFonts w:hint="eastAsia"/>
                <w:lang w:eastAsia="zh-CN"/>
              </w:rPr>
              <w:t>（</w:t>
            </w:r>
            <w:r>
              <w:t>kN)；</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m:sty m:val="p"/>
                      </m:rPr>
                      <w:rPr>
                        <w:rFonts w:ascii="Cambria Math" w:hAnsi="Cambria Math" w:cs="Times New Roman"/>
                      </w:rPr>
                      <m:t>0</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结构重要性系数。</w:t>
            </w:r>
          </w:p>
        </w:tc>
      </w:tr>
    </w:tbl>
    <w:p>
      <w:pPr>
        <w:pStyle w:val="200"/>
      </w:pPr>
      <w:r>
        <w:rPr>
          <w:b/>
        </w:rPr>
        <w:t xml:space="preserve">6.4.9 </w:t>
      </w:r>
      <w:r>
        <w:t>在永久荷载控制的荷载组合作用下，正常使用工作状态时拉索的相对垂度宜满足下式规定：</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f>
                  <m:fPr>
                    <m:ctrlPr>
                      <w:rPr>
                        <w:rFonts w:ascii="Cambria Math" w:hAnsi="Cambria Math" w:cs="Times New Roman"/>
                        <w:i/>
                      </w:rPr>
                    </m:ctrlPr>
                  </m:fPr>
                  <m:num>
                    <m:r>
                      <m:rPr/>
                      <w:rPr>
                        <w:rFonts w:ascii="Cambria Math" w:hAnsi="Cambria Math" w:cs="Times New Roman"/>
                      </w:rPr>
                      <m:t>δ</m:t>
                    </m:r>
                    <m:ctrlPr>
                      <w:rPr>
                        <w:rFonts w:ascii="Cambria Math" w:hAnsi="Cambria Math" w:cs="Times New Roman"/>
                        <w:i/>
                      </w:rPr>
                    </m:ctrlPr>
                  </m:num>
                  <m:den>
                    <m:r>
                      <m:rPr/>
                      <w:rPr>
                        <w:rFonts w:ascii="Cambria Math" w:hAnsi="Cambria Math" w:cs="Times New Roman"/>
                      </w:rPr>
                      <m:t>L</m:t>
                    </m:r>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1</m:t>
                    </m:r>
                    <m:ctrlPr>
                      <w:rPr>
                        <w:rFonts w:ascii="Cambria Math" w:hAnsi="Cambria Math" w:cs="Times New Roman"/>
                        <w:i/>
                      </w:rPr>
                    </m:ctrlPr>
                  </m:num>
                  <m:den>
                    <m:r>
                      <m:rPr/>
                      <w:rPr>
                        <w:rFonts w:ascii="Cambria Math" w:hAnsi="Cambria Math" w:cs="Times New Roman"/>
                      </w:rPr>
                      <m:t>120</m:t>
                    </m:r>
                    <m:ctrlPr>
                      <w:rPr>
                        <w:rFonts w:ascii="Cambria Math" w:hAnsi="Cambria Math" w:cs="Times New Roman"/>
                        <w:i/>
                      </w:rPr>
                    </m:ctrlPr>
                  </m:den>
                </m:f>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（6.4.9）</w:t>
            </w:r>
          </w:p>
        </w:tc>
      </w:tr>
    </w:tbl>
    <w:p>
      <w:pPr>
        <w:pStyle w:val="189"/>
        <w:ind w:firstLine="480" w:firstLineChars="200"/>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δ</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索跨中最大竖向垂度</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L</m:t>
                </m:r>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索的长度</w:t>
            </w:r>
            <w:r>
              <w:rPr>
                <w:rFonts w:hint="eastAsia"/>
                <w:lang w:eastAsia="zh-CN"/>
              </w:rPr>
              <w:t>（</w:t>
            </w:r>
            <w:r>
              <w:t>mm)。</w:t>
            </w:r>
          </w:p>
        </w:tc>
      </w:tr>
    </w:tbl>
    <w:p>
      <w:pPr>
        <w:pStyle w:val="198"/>
        <w:rPr>
          <w:rFonts w:ascii="Times New Roman" w:hAnsi="Times New Roman"/>
        </w:rPr>
      </w:pPr>
      <w:bookmarkStart w:id="53" w:name="_Toc162996225"/>
      <w:r>
        <w:rPr>
          <w:rFonts w:ascii="Times New Roman" w:hAnsi="Times New Roman"/>
        </w:rPr>
        <w:t>6.5 桁架结构</w:t>
      </w:r>
      <w:bookmarkEnd w:id="53"/>
    </w:p>
    <w:p>
      <w:pPr>
        <w:pStyle w:val="200"/>
      </w:pPr>
      <w:r>
        <w:rPr>
          <w:b/>
        </w:rPr>
        <w:t>6.5.1</w:t>
      </w:r>
      <w:r>
        <w:t xml:space="preserve"> 桁架结构应对杆件和节点承载力进行验算，焊缝承载力应大于节点承载力，节点承载力大于相连支管承载力。</w:t>
      </w:r>
    </w:p>
    <w:p>
      <w:pPr>
        <w:pStyle w:val="200"/>
      </w:pPr>
      <w:r>
        <w:rPr>
          <w:b/>
        </w:rPr>
        <w:t>6.5.2</w:t>
      </w:r>
      <w:r>
        <w:t xml:space="preserve"> 钢管桁架结构的节点承载力验算宜按现行国家标准《钢结构设计标准》GB50017的规定执行。其它类型的桁架结构，可采用有限元分析方法进行节点承载力验算。</w:t>
      </w:r>
    </w:p>
    <w:p>
      <w:pPr>
        <w:pStyle w:val="200"/>
      </w:pPr>
      <w:r>
        <w:rPr>
          <w:b/>
        </w:rPr>
        <w:t xml:space="preserve">6.5.3 </w:t>
      </w:r>
      <w:r>
        <w:t>钢管桁架或空腹桁架设计应符合下列规定：</w:t>
      </w:r>
    </w:p>
    <w:p>
      <w:pPr>
        <w:pStyle w:val="188"/>
        <w:ind w:firstLine="482"/>
        <w:rPr>
          <w:rFonts w:cs="Times New Roman"/>
        </w:rPr>
      </w:pPr>
      <w:r>
        <w:rPr>
          <w:rFonts w:cs="Times New Roman"/>
          <w:b/>
          <w:bCs w:val="0"/>
        </w:rPr>
        <w:t>1</w:t>
      </w:r>
      <w:r>
        <w:rPr>
          <w:rFonts w:cs="Times New Roman"/>
        </w:rPr>
        <w:t xml:space="preserve"> 采用钢管时宜在节点处直接焊接，主管不宜开孔，支管不应穿入主管内；</w:t>
      </w:r>
    </w:p>
    <w:p>
      <w:pPr>
        <w:pStyle w:val="188"/>
        <w:ind w:firstLine="482"/>
        <w:rPr>
          <w:rFonts w:cs="Times New Roman"/>
        </w:rPr>
      </w:pPr>
      <w:r>
        <w:rPr>
          <w:rFonts w:cs="Times New Roman"/>
          <w:b/>
          <w:bCs w:val="0"/>
        </w:rPr>
        <w:t>2</w:t>
      </w:r>
      <w:r>
        <w:rPr>
          <w:rFonts w:cs="Times New Roman"/>
        </w:rPr>
        <w:t xml:space="preserve"> 钢管外径宜不大于壁厚的50倍，支管外径宜不小于主管外径的0.3倍。钢管壁厚宜不小于4mm，主管壁厚应不小于支管壁厚；</w:t>
      </w:r>
    </w:p>
    <w:p>
      <w:pPr>
        <w:pStyle w:val="188"/>
        <w:ind w:firstLine="482"/>
        <w:rPr>
          <w:rFonts w:cs="Times New Roman"/>
        </w:rPr>
      </w:pPr>
      <w:r>
        <w:rPr>
          <w:rFonts w:cs="Times New Roman"/>
          <w:b/>
          <w:bCs w:val="0"/>
        </w:rPr>
        <w:t>3</w:t>
      </w:r>
      <w:r>
        <w:rPr>
          <w:rFonts w:cs="Times New Roman"/>
        </w:rPr>
        <w:t xml:space="preserve"> 桁架杆件不宜偏心连接。弦杆与腹杆、腹杆与腹杆之间的夹角宜不小于30度；</w:t>
      </w:r>
    </w:p>
    <w:p>
      <w:pPr>
        <w:pStyle w:val="188"/>
        <w:ind w:firstLine="482"/>
        <w:rPr>
          <w:rFonts w:cs="Times New Roman"/>
        </w:rPr>
      </w:pPr>
      <w:r>
        <w:rPr>
          <w:rFonts w:cs="Times New Roman"/>
          <w:b/>
          <w:bCs w:val="0"/>
        </w:rPr>
        <w:t>4</w:t>
      </w:r>
      <w:r>
        <w:rPr>
          <w:rFonts w:cs="Times New Roman"/>
        </w:rPr>
        <w:t xml:space="preserve"> 焊接钢管桁架宜按刚接体系计算，焊接钢管空腹桁架应按刚接体系计算；</w:t>
      </w:r>
    </w:p>
    <w:p>
      <w:pPr>
        <w:pStyle w:val="188"/>
        <w:ind w:firstLine="482"/>
        <w:rPr>
          <w:rFonts w:cs="Times New Roman"/>
        </w:rPr>
      </w:pPr>
      <w:r>
        <w:rPr>
          <w:rFonts w:cs="Times New Roman"/>
          <w:b/>
          <w:bCs w:val="0"/>
        </w:rPr>
        <w:t>5</w:t>
      </w:r>
      <w:r>
        <w:rPr>
          <w:rFonts w:cs="Times New Roman"/>
        </w:rPr>
        <w:t xml:space="preserve"> 轴心受压或偏心受压的桁架杆件，长细比应不大于150；轴心受拉或偏心受拉的桁架杆件，长细比应不大于350；</w:t>
      </w:r>
    </w:p>
    <w:p>
      <w:pPr>
        <w:pStyle w:val="188"/>
        <w:ind w:firstLine="482"/>
        <w:rPr>
          <w:rFonts w:cs="Times New Roman"/>
        </w:rPr>
      </w:pPr>
      <w:r>
        <w:rPr>
          <w:rFonts w:cs="Times New Roman"/>
          <w:b/>
          <w:bCs w:val="0"/>
        </w:rPr>
        <w:t>6</w:t>
      </w:r>
      <w:r>
        <w:rPr>
          <w:rFonts w:cs="Times New Roman"/>
        </w:rPr>
        <w:t xml:space="preserve"> 桁架或空腹桁架需平面外支撑时，应设置稳定支撑体系。</w:t>
      </w:r>
    </w:p>
    <w:p>
      <w:pPr>
        <w:pStyle w:val="200"/>
      </w:pPr>
      <w:r>
        <w:rPr>
          <w:b/>
        </w:rPr>
        <w:t xml:space="preserve">6.5.4 </w:t>
      </w:r>
      <w:r>
        <w:t>索杆桁架设计应符合下列规定：</w:t>
      </w:r>
    </w:p>
    <w:p>
      <w:pPr>
        <w:pStyle w:val="188"/>
        <w:ind w:firstLine="482"/>
        <w:rPr>
          <w:rFonts w:cs="Times New Roman"/>
        </w:rPr>
      </w:pPr>
      <w:r>
        <w:rPr>
          <w:rFonts w:cs="Times New Roman"/>
          <w:b/>
          <w:bCs w:val="0"/>
        </w:rPr>
        <w:t>1</w:t>
      </w:r>
      <w:r>
        <w:rPr>
          <w:rFonts w:cs="Times New Roman"/>
        </w:rPr>
        <w:t xml:space="preserve"> 正、反两个方向的弦向拉索</w:t>
      </w:r>
      <w:r>
        <w:rPr>
          <w:rFonts w:hint="eastAsia" w:cs="Times New Roman"/>
          <w:lang w:eastAsia="zh-CN"/>
        </w:rPr>
        <w:t>（</w:t>
      </w:r>
      <w:r>
        <w:rPr>
          <w:rFonts w:cs="Times New Roman"/>
        </w:rPr>
        <w:t>杆</w:t>
      </w:r>
      <w:r>
        <w:rPr>
          <w:rFonts w:hint="eastAsia" w:cs="Times New Roman"/>
          <w:lang w:eastAsia="zh-CN"/>
        </w:rPr>
        <w:t>）</w:t>
      </w:r>
      <w:r>
        <w:rPr>
          <w:rFonts w:cs="Times New Roman"/>
        </w:rPr>
        <w:t>应施加预张力构成承受风荷载或地震作用的稳定体系，索</w:t>
      </w:r>
      <w:r>
        <w:rPr>
          <w:rFonts w:hint="eastAsia" w:cs="Times New Roman"/>
          <w:lang w:eastAsia="zh-CN"/>
        </w:rPr>
        <w:t>（</w:t>
      </w:r>
      <w:r>
        <w:rPr>
          <w:rFonts w:cs="Times New Roman"/>
        </w:rPr>
        <w:t>杆</w:t>
      </w:r>
      <w:r>
        <w:rPr>
          <w:rFonts w:hint="eastAsia" w:cs="Times New Roman"/>
          <w:lang w:eastAsia="zh-CN"/>
        </w:rPr>
        <w:t>）</w:t>
      </w:r>
      <w:r>
        <w:rPr>
          <w:rFonts w:cs="Times New Roman"/>
        </w:rPr>
        <w:t xml:space="preserve"> 预张力应使拉杆或拉索在各种工况组合作用下保持一定的张力储备；</w:t>
      </w:r>
    </w:p>
    <w:p>
      <w:pPr>
        <w:pStyle w:val="188"/>
        <w:ind w:firstLine="482"/>
        <w:rPr>
          <w:rFonts w:cs="Times New Roman"/>
        </w:rPr>
      </w:pPr>
      <w:r>
        <w:rPr>
          <w:rFonts w:cs="Times New Roman"/>
          <w:b/>
          <w:bCs w:val="0"/>
        </w:rPr>
        <w:t>2</w:t>
      </w:r>
      <w:r>
        <w:rPr>
          <w:rFonts w:cs="Times New Roman"/>
        </w:rPr>
        <w:t xml:space="preserve"> 拉杆或拉索应支承在主体结构上或支承于专设的刚性构架上，索杆桁架与主体结构的连接应能适应主体结构的位移，主体结构应能承受索杆体系的支座反力；</w:t>
      </w:r>
    </w:p>
    <w:p>
      <w:pPr>
        <w:pStyle w:val="188"/>
        <w:ind w:firstLine="482"/>
        <w:rPr>
          <w:rFonts w:cs="Times New Roman"/>
        </w:rPr>
      </w:pPr>
      <w:r>
        <w:rPr>
          <w:rFonts w:cs="Times New Roman"/>
          <w:b/>
          <w:bCs w:val="0"/>
        </w:rPr>
        <w:t>3</w:t>
      </w:r>
      <w:r>
        <w:rPr>
          <w:rFonts w:cs="Times New Roman"/>
        </w:rPr>
        <w:t xml:space="preserve"> 索杆桁架水平设置时，面板自重等竖向荷载宜通过专门的竖向承重索</w:t>
      </w:r>
      <w:r>
        <w:rPr>
          <w:rFonts w:hint="eastAsia" w:cs="Times New Roman"/>
          <w:lang w:eastAsia="zh-CN"/>
        </w:rPr>
        <w:t>（</w:t>
      </w:r>
      <w:r>
        <w:rPr>
          <w:rFonts w:cs="Times New Roman"/>
        </w:rPr>
        <w:t>杆</w:t>
      </w:r>
      <w:r>
        <w:rPr>
          <w:rFonts w:hint="eastAsia" w:cs="Times New Roman"/>
          <w:lang w:eastAsia="zh-CN"/>
        </w:rPr>
        <w:t>）</w:t>
      </w:r>
      <w:r>
        <w:rPr>
          <w:rFonts w:cs="Times New Roman"/>
        </w:rPr>
        <w:t>承担，承重索应张紧；</w:t>
      </w:r>
    </w:p>
    <w:p>
      <w:pPr>
        <w:pStyle w:val="188"/>
        <w:ind w:firstLine="482"/>
        <w:rPr>
          <w:rFonts w:cs="Times New Roman"/>
        </w:rPr>
      </w:pPr>
      <w:r>
        <w:rPr>
          <w:rFonts w:cs="Times New Roman"/>
          <w:b/>
          <w:bCs w:val="0"/>
        </w:rPr>
        <w:t>4</w:t>
      </w:r>
      <w:r>
        <w:rPr>
          <w:rFonts w:cs="Times New Roman"/>
        </w:rPr>
        <w:t xml:space="preserve"> 索杆桁架矢高宜取其支承跨度的1/12~1/18；</w:t>
      </w:r>
    </w:p>
    <w:p>
      <w:pPr>
        <w:pStyle w:val="188"/>
        <w:ind w:firstLine="482"/>
        <w:rPr>
          <w:rFonts w:cs="Times New Roman"/>
        </w:rPr>
      </w:pPr>
      <w:r>
        <w:rPr>
          <w:rFonts w:cs="Times New Roman"/>
          <w:b/>
          <w:bCs w:val="0"/>
        </w:rPr>
        <w:t>5</w:t>
      </w:r>
      <w:r>
        <w:rPr>
          <w:rFonts w:cs="Times New Roman"/>
        </w:rPr>
        <w:t xml:space="preserve"> 索杆桁架的受压杆件长细比应不大于150。</w:t>
      </w:r>
    </w:p>
    <w:p>
      <w:pPr>
        <w:pStyle w:val="198"/>
        <w:rPr>
          <w:rFonts w:ascii="Times New Roman" w:hAnsi="Times New Roman"/>
        </w:rPr>
      </w:pPr>
      <w:bookmarkStart w:id="54" w:name="_Toc162996226"/>
      <w:r>
        <w:rPr>
          <w:rFonts w:ascii="Times New Roman" w:hAnsi="Times New Roman"/>
        </w:rPr>
        <w:t>6.6 膜结构</w:t>
      </w:r>
      <w:bookmarkEnd w:id="54"/>
    </w:p>
    <w:p>
      <w:pPr>
        <w:pStyle w:val="200"/>
      </w:pPr>
      <w:r>
        <w:rPr>
          <w:b/>
        </w:rPr>
        <w:t xml:space="preserve">6.6.1 </w:t>
      </w:r>
      <w:r>
        <w:t>膜结构计算应符合下列规定：</w:t>
      </w:r>
    </w:p>
    <w:p>
      <w:pPr>
        <w:pStyle w:val="188"/>
        <w:ind w:firstLine="482"/>
        <w:rPr>
          <w:rFonts w:cs="Times New Roman"/>
        </w:rPr>
      </w:pPr>
      <w:r>
        <w:rPr>
          <w:rFonts w:cs="Times New Roman"/>
          <w:b/>
          <w:bCs w:val="0"/>
        </w:rPr>
        <w:t xml:space="preserve">1 </w:t>
      </w:r>
      <w:r>
        <w:rPr>
          <w:rFonts w:cs="Times New Roman"/>
        </w:rPr>
        <w:t>应进行初始形态分析、荷载效应分析、裁剪分析，对于大型复杂膜结构工程尚应进行施工过程验算；</w:t>
      </w:r>
    </w:p>
    <w:p>
      <w:pPr>
        <w:pStyle w:val="188"/>
        <w:ind w:firstLine="482"/>
        <w:rPr>
          <w:rFonts w:cs="Times New Roman"/>
        </w:rPr>
      </w:pPr>
      <w:r>
        <w:rPr>
          <w:rFonts w:cs="Times New Roman"/>
          <w:b/>
          <w:bCs w:val="0"/>
        </w:rPr>
        <w:t xml:space="preserve">2 </w:t>
      </w:r>
      <w:r>
        <w:rPr>
          <w:rFonts w:cs="Times New Roman"/>
        </w:rPr>
        <w:t>膜结构计算中应考虑支座位移的影响或与支承结构一起进行整体分析；</w:t>
      </w:r>
    </w:p>
    <w:p>
      <w:pPr>
        <w:pStyle w:val="188"/>
        <w:ind w:firstLine="482"/>
        <w:rPr>
          <w:rFonts w:cs="Times New Roman"/>
        </w:rPr>
      </w:pPr>
      <w:r>
        <w:rPr>
          <w:rFonts w:cs="Times New Roman"/>
          <w:b/>
          <w:bCs w:val="0"/>
        </w:rPr>
        <w:t>3</w:t>
      </w:r>
      <w:r>
        <w:rPr>
          <w:rFonts w:cs="Times New Roman"/>
        </w:rPr>
        <w:t xml:space="preserve"> 对于涂层织物宜考虑膜材的各向异性；</w:t>
      </w:r>
    </w:p>
    <w:p>
      <w:pPr>
        <w:pStyle w:val="188"/>
        <w:ind w:firstLine="482"/>
        <w:rPr>
          <w:rFonts w:cs="Times New Roman"/>
        </w:rPr>
      </w:pPr>
      <w:r>
        <w:rPr>
          <w:rFonts w:cs="Times New Roman"/>
          <w:b/>
          <w:bCs w:val="0"/>
        </w:rPr>
        <w:t>4</w:t>
      </w:r>
      <w:r>
        <w:rPr>
          <w:rFonts w:cs="Times New Roman"/>
        </w:rPr>
        <w:t xml:space="preserve"> 对膜结构中的索、膜构件，可不考虑地震作用的影响，支承结构的抗震设计应按现行国家标准《建筑抗震设计规范》GB 50011的规定执行。</w:t>
      </w:r>
    </w:p>
    <w:p>
      <w:pPr>
        <w:pStyle w:val="200"/>
      </w:pPr>
      <w:r>
        <w:rPr>
          <w:b/>
        </w:rPr>
        <w:t xml:space="preserve">6.6.2 </w:t>
      </w:r>
      <w:r>
        <w:t>空气支承式膜结构的正常工作内压应保持室内环境的舒适度，其值不宜大于300Pa；最大工作内压应保证在极端天气条件下，结构不会出现过大的变形；最小工作内压应保证结构体系的稳定性，其值不宜小于200Pa。</w:t>
      </w:r>
    </w:p>
    <w:p>
      <w:pPr>
        <w:pStyle w:val="200"/>
      </w:pPr>
      <w:r>
        <w:rPr>
          <w:b/>
        </w:rPr>
        <w:t xml:space="preserve">6.6.3 </w:t>
      </w:r>
      <w:r>
        <w:t>按承载能力极限状态设计膜结构时，应按表6.6.3所列的两种组合类别进行荷载效应组合：</w:t>
      </w:r>
    </w:p>
    <w:p>
      <w:pPr>
        <w:pStyle w:val="186"/>
        <w:rPr>
          <w:rFonts w:cs="Times New Roman"/>
          <w:b/>
          <w:bCs/>
        </w:rPr>
      </w:pPr>
      <w:r>
        <w:rPr>
          <w:rFonts w:cs="Times New Roman"/>
          <w:b/>
          <w:bCs/>
        </w:rPr>
        <w:t>表6.6.3 荷载效应组合</w:t>
      </w:r>
    </w:p>
    <w:tbl>
      <w:tblPr>
        <w:tblStyle w:val="38"/>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4643"/>
        <w:gridCol w:w="464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643" w:type="dxa"/>
            <w:vAlign w:val="center"/>
          </w:tcPr>
          <w:p>
            <w:pPr>
              <w:pStyle w:val="203"/>
              <w:spacing w:line="360" w:lineRule="auto"/>
              <w:rPr>
                <w:rFonts w:ascii="Times New Roman" w:cs="Times New Roman"/>
              </w:rPr>
            </w:pPr>
            <w:r>
              <w:rPr>
                <w:rFonts w:ascii="Times New Roman" w:cs="Times New Roman"/>
              </w:rPr>
              <w:t>组合类别</w:t>
            </w:r>
          </w:p>
        </w:tc>
        <w:tc>
          <w:tcPr>
            <w:tcW w:w="4643" w:type="dxa"/>
            <w:vAlign w:val="center"/>
          </w:tcPr>
          <w:p>
            <w:pPr>
              <w:pStyle w:val="203"/>
              <w:spacing w:line="360" w:lineRule="auto"/>
              <w:rPr>
                <w:rFonts w:ascii="Times New Roman" w:cs="Times New Roman"/>
              </w:rPr>
            </w:pPr>
            <w:r>
              <w:rPr>
                <w:rFonts w:ascii="Times New Roman" w:cs="Times New Roman"/>
              </w:rPr>
              <w:t>参与组合的荷载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643" w:type="dxa"/>
            <w:vAlign w:val="center"/>
          </w:tcPr>
          <w:p>
            <w:pPr>
              <w:pStyle w:val="203"/>
              <w:spacing w:line="360" w:lineRule="auto"/>
              <w:rPr>
                <w:rFonts w:ascii="Times New Roman" w:cs="Times New Roman"/>
              </w:rPr>
            </w:pPr>
            <w:r>
              <w:rPr>
                <w:rFonts w:ascii="Times New Roman" w:cs="Times New Roman"/>
              </w:rPr>
              <w:t>第一类组合</w:t>
            </w:r>
          </w:p>
        </w:tc>
        <w:tc>
          <w:tcPr>
            <w:tcW w:w="4643" w:type="dxa"/>
            <w:vAlign w:val="center"/>
          </w:tcPr>
          <w:p>
            <w:pPr>
              <w:pStyle w:val="203"/>
              <w:spacing w:line="360" w:lineRule="auto"/>
              <w:rPr>
                <w:rFonts w:ascii="Times New Roman" w:cs="Times New Roman"/>
                <w:iCs/>
              </w:rPr>
            </w:pPr>
            <w:r>
              <w:rPr>
                <w:rFonts w:ascii="Times New Roman" w:cs="Times New Roman"/>
                <w:iCs/>
              </w:rPr>
              <w:t>G、Q、P(p)</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643" w:type="dxa"/>
            <w:vMerge w:val="restart"/>
            <w:vAlign w:val="center"/>
          </w:tcPr>
          <w:p>
            <w:pPr>
              <w:pStyle w:val="203"/>
              <w:spacing w:line="360" w:lineRule="auto"/>
              <w:rPr>
                <w:rFonts w:ascii="Times New Roman" w:cs="Times New Roman"/>
              </w:rPr>
            </w:pPr>
            <w:r>
              <w:rPr>
                <w:rFonts w:ascii="Times New Roman" w:cs="Times New Roman"/>
              </w:rPr>
              <w:t>第二类组合</w:t>
            </w:r>
          </w:p>
        </w:tc>
        <w:tc>
          <w:tcPr>
            <w:tcW w:w="4643" w:type="dxa"/>
            <w:vAlign w:val="center"/>
          </w:tcPr>
          <w:p>
            <w:pPr>
              <w:pStyle w:val="203"/>
              <w:spacing w:line="360" w:lineRule="auto"/>
              <w:rPr>
                <w:rFonts w:ascii="Times New Roman" w:cs="Times New Roman"/>
                <w:iCs/>
              </w:rPr>
            </w:pPr>
            <w:r>
              <w:rPr>
                <w:rFonts w:ascii="Times New Roman" w:cs="Times New Roman"/>
                <w:iCs/>
              </w:rPr>
              <w:t>G、W、P(p)</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643" w:type="dxa"/>
            <w:vMerge w:val="continue"/>
            <w:vAlign w:val="center"/>
          </w:tcPr>
          <w:p>
            <w:pPr>
              <w:pStyle w:val="203"/>
              <w:spacing w:line="360" w:lineRule="auto"/>
              <w:rPr>
                <w:rFonts w:ascii="Times New Roman" w:cs="Times New Roman"/>
              </w:rPr>
            </w:pPr>
          </w:p>
        </w:tc>
        <w:tc>
          <w:tcPr>
            <w:tcW w:w="4643" w:type="dxa"/>
            <w:vAlign w:val="center"/>
          </w:tcPr>
          <w:p>
            <w:pPr>
              <w:pStyle w:val="203"/>
              <w:spacing w:line="360" w:lineRule="auto"/>
              <w:rPr>
                <w:rFonts w:ascii="Times New Roman" w:cs="Times New Roman"/>
                <w:iCs/>
              </w:rPr>
            </w:pPr>
            <w:r>
              <w:rPr>
                <w:rFonts w:ascii="Times New Roman" w:cs="Times New Roman"/>
                <w:iCs/>
              </w:rPr>
              <w:t>G、W、Q、P(p)</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4643" w:type="dxa"/>
            <w:vMerge w:val="continue"/>
            <w:vAlign w:val="center"/>
          </w:tcPr>
          <w:p>
            <w:pPr>
              <w:pStyle w:val="203"/>
              <w:spacing w:line="360" w:lineRule="auto"/>
              <w:rPr>
                <w:rFonts w:ascii="Times New Roman" w:cs="Times New Roman"/>
              </w:rPr>
            </w:pPr>
          </w:p>
        </w:tc>
        <w:tc>
          <w:tcPr>
            <w:tcW w:w="4643" w:type="dxa"/>
            <w:vAlign w:val="center"/>
          </w:tcPr>
          <w:p>
            <w:pPr>
              <w:pStyle w:val="203"/>
              <w:spacing w:line="360" w:lineRule="auto"/>
              <w:rPr>
                <w:rFonts w:ascii="Times New Roman" w:cs="Times New Roman"/>
              </w:rPr>
            </w:pPr>
            <w:r>
              <w:rPr>
                <w:rFonts w:ascii="Times New Roman" w:cs="Times New Roman"/>
              </w:rPr>
              <w:t>其他作用</w:t>
            </w:r>
            <w:r>
              <w:rPr>
                <w:rFonts w:hint="eastAsia" w:ascii="Times New Roman" w:cs="Times New Roman"/>
                <w:lang w:eastAsia="zh-CN"/>
              </w:rPr>
              <w:t>（</w:t>
            </w:r>
            <w:r>
              <w:rPr>
                <w:rFonts w:ascii="Times New Roman" w:cs="Times New Roman"/>
              </w:rPr>
              <w:t>与</w:t>
            </w:r>
            <w:r>
              <w:rPr>
                <w:rFonts w:ascii="Times New Roman" w:cs="Times New Roman"/>
                <w:i/>
              </w:rPr>
              <w:t>G</w:t>
            </w:r>
            <w:r>
              <w:rPr>
                <w:rFonts w:ascii="Times New Roman" w:cs="Times New Roman"/>
              </w:rPr>
              <w:t>、</w:t>
            </w:r>
            <w:r>
              <w:rPr>
                <w:rFonts w:ascii="Times New Roman" w:cs="Times New Roman"/>
                <w:i/>
              </w:rPr>
              <w:t>W</w:t>
            </w:r>
            <w:r>
              <w:rPr>
                <w:rFonts w:ascii="Times New Roman" w:cs="Times New Roman"/>
              </w:rPr>
              <w:t>等组合</w:t>
            </w:r>
            <w:r>
              <w:rPr>
                <w:rFonts w:hint="eastAsia" w:ascii="Times New Roman" w:cs="Times New Roman"/>
                <w:lang w:eastAsia="zh-CN"/>
              </w:rPr>
              <w:t>）</w:t>
            </w:r>
          </w:p>
        </w:tc>
      </w:tr>
    </w:tbl>
    <w:p>
      <w:pPr>
        <w:pStyle w:val="205"/>
        <w:spacing w:line="240" w:lineRule="auto"/>
      </w:pPr>
      <w:r>
        <w:t>注：1 表中</w:t>
      </w:r>
      <w:r>
        <w:rPr>
          <w:i/>
        </w:rPr>
        <w:t>G</w:t>
      </w:r>
      <w:r>
        <w:t>为恒荷载，</w:t>
      </w:r>
      <w:r>
        <w:rPr>
          <w:i/>
        </w:rPr>
        <w:t>W</w:t>
      </w:r>
      <w:r>
        <w:t>为风荷载，</w:t>
      </w:r>
      <w:r>
        <w:rPr>
          <w:i/>
        </w:rPr>
        <w:t>Q</w:t>
      </w:r>
      <w:r>
        <w:t>为活荷载与雪荷载中的较大者，</w:t>
      </w:r>
      <w:r>
        <w:rPr>
          <w:i/>
        </w:rPr>
        <w:t>P</w:t>
      </w:r>
      <w:r>
        <w:t>为初始预张力，</w:t>
      </w:r>
      <w:r>
        <w:rPr>
          <w:i/>
        </w:rPr>
        <w:t>p</w:t>
      </w:r>
      <w:r>
        <w:t>为空气支承式膜结构的内压值；</w:t>
      </w:r>
    </w:p>
    <w:p>
      <w:pPr>
        <w:pStyle w:val="205"/>
        <w:spacing w:line="240" w:lineRule="auto"/>
        <w:ind w:firstLine="420" w:firstLineChars="200"/>
      </w:pPr>
      <w:r>
        <w:t>2 荷载分项系数应按国家现行标准确定，其中</w:t>
      </w:r>
      <w:r>
        <w:rPr>
          <w:i/>
        </w:rPr>
        <w:t>P</w:t>
      </w:r>
      <w:r>
        <w:t>(</w:t>
      </w:r>
      <w:r>
        <w:rPr>
          <w:i/>
        </w:rPr>
        <w:t>p</w:t>
      </w:r>
      <w:r>
        <w:rPr>
          <w:rFonts w:hint="eastAsia"/>
          <w:i/>
          <w:lang w:eastAsia="zh-CN"/>
        </w:rPr>
        <w:t>）</w:t>
      </w:r>
      <w:r>
        <w:t>的荷载分项系数和组合系数可取1.0；</w:t>
      </w:r>
    </w:p>
    <w:p>
      <w:pPr>
        <w:pStyle w:val="205"/>
        <w:spacing w:line="240" w:lineRule="auto"/>
        <w:ind w:firstLine="420" w:firstLineChars="200"/>
      </w:pPr>
      <w:r>
        <w:t>3 “其他作用”是指根据工程具体情况，考虑温度作用、支座不均匀沉降或施工荷载等组合。</w:t>
      </w:r>
    </w:p>
    <w:p>
      <w:pPr>
        <w:pStyle w:val="200"/>
        <w:rPr>
          <w:b/>
        </w:rPr>
      </w:pPr>
    </w:p>
    <w:p>
      <w:pPr>
        <w:pStyle w:val="200"/>
      </w:pPr>
      <w:r>
        <w:rPr>
          <w:b/>
        </w:rPr>
        <w:t xml:space="preserve">6.6.4 </w:t>
      </w:r>
      <w:r>
        <w:t>膜结构初始形态分析应符合下列规定：</w:t>
      </w:r>
    </w:p>
    <w:p>
      <w:pPr>
        <w:pStyle w:val="188"/>
        <w:ind w:firstLine="482"/>
        <w:rPr>
          <w:rFonts w:cs="Times New Roman"/>
        </w:rPr>
      </w:pPr>
      <w:r>
        <w:rPr>
          <w:rFonts w:cs="Times New Roman"/>
          <w:b/>
          <w:bCs w:val="0"/>
        </w:rPr>
        <w:t xml:space="preserve">1 </w:t>
      </w:r>
      <w:r>
        <w:rPr>
          <w:rFonts w:cs="Times New Roman"/>
        </w:rPr>
        <w:t>初始形态分析可采用非线性有限元法、动力松弛法和力密度法等；</w:t>
      </w:r>
    </w:p>
    <w:p>
      <w:pPr>
        <w:pStyle w:val="188"/>
        <w:ind w:firstLine="482"/>
        <w:rPr>
          <w:rFonts w:cs="Times New Roman"/>
        </w:rPr>
      </w:pPr>
      <w:r>
        <w:rPr>
          <w:rFonts w:cs="Times New Roman"/>
          <w:b/>
          <w:bCs w:val="0"/>
        </w:rPr>
        <w:t xml:space="preserve">2 </w:t>
      </w:r>
      <w:r>
        <w:rPr>
          <w:rFonts w:cs="Times New Roman"/>
        </w:rPr>
        <w:t>膜结构中索、膜构件的预张力值应根据膜材类型、膜面荷载、可能产生的变形以及施工等因素确定。对于整体张拉式、骨架支承式和索系支承式的建筑膜材，其预张力水平可依据表6.6.4中内容选取。</w:t>
      </w:r>
    </w:p>
    <w:p>
      <w:pPr>
        <w:pStyle w:val="186"/>
        <w:rPr>
          <w:rFonts w:cs="Times New Roman"/>
          <w:b/>
          <w:bCs/>
        </w:rPr>
      </w:pPr>
      <w:r>
        <w:rPr>
          <w:rFonts w:cs="Times New Roman"/>
          <w:b/>
          <w:bCs/>
        </w:rPr>
        <w:t>表6.6.4 各类型膜材的预张力取值</w: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43"/>
        <w:gridCol w:w="4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643" w:type="dxa"/>
            <w:vAlign w:val="center"/>
          </w:tcPr>
          <w:p>
            <w:pPr>
              <w:pStyle w:val="203"/>
              <w:spacing w:line="360" w:lineRule="auto"/>
              <w:rPr>
                <w:rFonts w:ascii="Times New Roman" w:cs="Times New Roman"/>
              </w:rPr>
            </w:pPr>
            <w:r>
              <w:rPr>
                <w:rFonts w:ascii="Times New Roman" w:cs="Times New Roman"/>
              </w:rPr>
              <w:t>膜材类型</w:t>
            </w:r>
          </w:p>
        </w:tc>
        <w:tc>
          <w:tcPr>
            <w:tcW w:w="4643" w:type="dxa"/>
            <w:vAlign w:val="center"/>
          </w:tcPr>
          <w:p>
            <w:pPr>
              <w:pStyle w:val="203"/>
              <w:spacing w:line="360" w:lineRule="auto"/>
              <w:rPr>
                <w:rFonts w:ascii="Times New Roman" w:cs="Times New Roman"/>
              </w:rPr>
            </w:pPr>
            <w:r>
              <w:rPr>
                <w:rFonts w:ascii="Times New Roman" w:cs="Times New Roman"/>
              </w:rPr>
              <w:t>预张力 (kN/m)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643" w:type="dxa"/>
          </w:tcPr>
          <w:p>
            <w:pPr>
              <w:pStyle w:val="203"/>
              <w:spacing w:line="360" w:lineRule="auto"/>
              <w:rPr>
                <w:rFonts w:ascii="Times New Roman" w:cs="Times New Roman"/>
              </w:rPr>
            </w:pPr>
            <w:r>
              <w:rPr>
                <w:rFonts w:ascii="Times New Roman" w:cs="Times New Roman"/>
              </w:rPr>
              <w:t>G类</w:t>
            </w:r>
          </w:p>
        </w:tc>
        <w:tc>
          <w:tcPr>
            <w:tcW w:w="4643" w:type="dxa"/>
          </w:tcPr>
          <w:p>
            <w:pPr>
              <w:pStyle w:val="203"/>
              <w:spacing w:line="360" w:lineRule="auto"/>
              <w:rPr>
                <w:rFonts w:ascii="Times New Roman" w:cs="Times New Roman"/>
                <w:iCs/>
              </w:rPr>
            </w:pPr>
            <w:r>
              <w:rPr>
                <w:rFonts w:ascii="Times New Roman" w:cs="Times New Roman"/>
              </w:rPr>
              <w:t>2 ~ 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643" w:type="dxa"/>
          </w:tcPr>
          <w:p>
            <w:pPr>
              <w:pStyle w:val="203"/>
              <w:spacing w:line="360" w:lineRule="auto"/>
              <w:rPr>
                <w:rFonts w:ascii="Times New Roman" w:cs="Times New Roman"/>
              </w:rPr>
            </w:pPr>
            <w:r>
              <w:rPr>
                <w:rFonts w:ascii="Times New Roman" w:cs="Times New Roman"/>
              </w:rPr>
              <w:t>P类</w:t>
            </w:r>
          </w:p>
        </w:tc>
        <w:tc>
          <w:tcPr>
            <w:tcW w:w="4643" w:type="dxa"/>
          </w:tcPr>
          <w:p>
            <w:pPr>
              <w:pStyle w:val="203"/>
              <w:spacing w:line="360" w:lineRule="auto"/>
              <w:rPr>
                <w:rFonts w:ascii="Times New Roman" w:cs="Times New Roman"/>
                <w:iCs/>
              </w:rPr>
            </w:pPr>
            <w:r>
              <w:rPr>
                <w:rFonts w:ascii="Times New Roman" w:cs="Times New Roman"/>
              </w:rPr>
              <w:t>1 ~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643" w:type="dxa"/>
          </w:tcPr>
          <w:p>
            <w:pPr>
              <w:pStyle w:val="203"/>
              <w:spacing w:line="360" w:lineRule="auto"/>
              <w:rPr>
                <w:rFonts w:ascii="Times New Roman" w:cs="Times New Roman"/>
              </w:rPr>
            </w:pPr>
            <w:r>
              <w:rPr>
                <w:rFonts w:ascii="Times New Roman" w:cs="Times New Roman"/>
              </w:rPr>
              <w:t>E类</w:t>
            </w:r>
          </w:p>
        </w:tc>
        <w:tc>
          <w:tcPr>
            <w:tcW w:w="4643" w:type="dxa"/>
          </w:tcPr>
          <w:p>
            <w:pPr>
              <w:pStyle w:val="203"/>
              <w:spacing w:line="360" w:lineRule="auto"/>
              <w:rPr>
                <w:rFonts w:ascii="Times New Roman" w:cs="Times New Roman"/>
                <w:iCs/>
              </w:rPr>
            </w:pPr>
            <w:r>
              <w:rPr>
                <w:rFonts w:ascii="Times New Roman" w:cs="Times New Roman"/>
              </w:rPr>
              <w:t>0.7 ~ 1.2</w:t>
            </w:r>
          </w:p>
        </w:tc>
      </w:tr>
    </w:tbl>
    <w:p>
      <w:pPr>
        <w:pStyle w:val="200"/>
      </w:pPr>
      <w:r>
        <w:rPr>
          <w:b/>
        </w:rPr>
        <w:t xml:space="preserve">6.6.5 </w:t>
      </w:r>
      <w:r>
        <w:t>膜结构荷载效应分析应符合下列规定：</w:t>
      </w:r>
    </w:p>
    <w:p>
      <w:pPr>
        <w:pStyle w:val="188"/>
        <w:ind w:firstLine="482"/>
        <w:rPr>
          <w:rFonts w:cs="Times New Roman"/>
        </w:rPr>
      </w:pPr>
      <w:r>
        <w:rPr>
          <w:rFonts w:cs="Times New Roman"/>
          <w:b/>
          <w:bCs w:val="0"/>
        </w:rPr>
        <w:t>1</w:t>
      </w:r>
      <w:r>
        <w:rPr>
          <w:rFonts w:cs="Times New Roman"/>
        </w:rPr>
        <w:t xml:space="preserve"> 荷载效应分析可采用非线性有限元法、动力松弛法；</w:t>
      </w:r>
    </w:p>
    <w:p>
      <w:pPr>
        <w:pStyle w:val="188"/>
        <w:ind w:firstLine="482"/>
        <w:rPr>
          <w:rFonts w:cs="Times New Roman"/>
        </w:rPr>
      </w:pPr>
      <w:r>
        <w:rPr>
          <w:rFonts w:cs="Times New Roman"/>
          <w:b/>
          <w:bCs w:val="0"/>
        </w:rPr>
        <w:t>2</w:t>
      </w:r>
      <w:r>
        <w:rPr>
          <w:rFonts w:cs="Times New Roman"/>
        </w:rPr>
        <w:t xml:space="preserve"> 应在初始形态分析确定的几何形状和预张力的基础上，考虑各种可能的荷载组合对结构内力和变形的影响；当计算结果不能满足要求时，应重新调整初始形态；</w:t>
      </w:r>
    </w:p>
    <w:p>
      <w:pPr>
        <w:pStyle w:val="188"/>
        <w:ind w:firstLine="482"/>
        <w:rPr>
          <w:rFonts w:cs="Times New Roman"/>
        </w:rPr>
      </w:pPr>
      <w:r>
        <w:rPr>
          <w:rFonts w:cs="Times New Roman"/>
          <w:b/>
          <w:bCs w:val="0"/>
        </w:rPr>
        <w:t>3</w:t>
      </w:r>
      <w:r>
        <w:rPr>
          <w:rFonts w:cs="Times New Roman"/>
        </w:rPr>
        <w:t xml:space="preserve"> 膜结构的索在第一类荷载效应组合下均应处于受拉状态，在第二类荷载效应组合下若索退出工作不应导致结构失效；</w:t>
      </w:r>
    </w:p>
    <w:p>
      <w:pPr>
        <w:pStyle w:val="188"/>
        <w:ind w:firstLine="482"/>
        <w:rPr>
          <w:rFonts w:cs="Times New Roman"/>
        </w:rPr>
      </w:pPr>
      <w:r>
        <w:rPr>
          <w:rFonts w:cs="Times New Roman"/>
          <w:b/>
          <w:bCs w:val="0"/>
        </w:rPr>
        <w:t>4</w:t>
      </w:r>
      <w:r>
        <w:rPr>
          <w:rFonts w:cs="Times New Roman"/>
        </w:rPr>
        <w:t xml:space="preserve"> 在第一类荷载效应组合下，空气支承式膜结构可按内压不变进行非线性分析；</w:t>
      </w:r>
    </w:p>
    <w:p>
      <w:pPr>
        <w:pStyle w:val="188"/>
        <w:ind w:firstLine="482"/>
        <w:rPr>
          <w:rFonts w:cs="Times New Roman"/>
        </w:rPr>
      </w:pPr>
      <w:r>
        <w:rPr>
          <w:rFonts w:cs="Times New Roman"/>
          <w:b/>
          <w:bCs w:val="0"/>
        </w:rPr>
        <w:t>5</w:t>
      </w:r>
      <w:r>
        <w:rPr>
          <w:rFonts w:cs="Times New Roman"/>
        </w:rPr>
        <w:t xml:space="preserve"> 在第二类荷载效应组合下，气承式膜结构应按内压不变和内压变化两种假定分别进行非线性分析，气枕式和气肋式膜结构应按内压变化进行非线性分析。</w:t>
      </w:r>
    </w:p>
    <w:p>
      <w:pPr>
        <w:pStyle w:val="200"/>
      </w:pPr>
      <w:r>
        <w:rPr>
          <w:b/>
        </w:rPr>
        <w:t xml:space="preserve">6.6.6 </w:t>
      </w:r>
      <w:r>
        <w:t>在第一类荷载效应组合下，膜面不得出现松弛，且膜面的最小主应力应满足下列要求：</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σ</m:t>
                    </m:r>
                    <m:ctrlPr>
                      <w:rPr>
                        <w:rFonts w:ascii="Cambria Math" w:hAnsi="Cambria Math" w:cs="Times New Roman"/>
                        <w:i/>
                      </w:rPr>
                    </m:ctrlPr>
                  </m:e>
                  <m:sub>
                    <m:r>
                      <m:rPr>
                        <m:sty m:val="p"/>
                      </m:rPr>
                      <w:rPr>
                        <w:rFonts w:ascii="Cambria Math" w:hAnsi="Cambria Math" w:cs="Times New Roman"/>
                      </w:rPr>
                      <m:t>min</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σ</m:t>
                    </m:r>
                    <m:ctrlPr>
                      <w:rPr>
                        <w:rFonts w:ascii="Cambria Math" w:hAnsi="Cambria Math" w:cs="Times New Roman"/>
                        <w:i/>
                      </w:rPr>
                    </m:ctrlPr>
                  </m:e>
                  <m:sub>
                    <m:r>
                      <m:rPr>
                        <m:sty m:val="p"/>
                      </m:rPr>
                      <w:rPr>
                        <w:rFonts w:ascii="Cambria Math" w:hAnsi="Cambria Math" w:cs="Times New Roman"/>
                      </w:rPr>
                      <m:t>p</m:t>
                    </m:r>
                    <m:ctrlPr>
                      <w:rPr>
                        <w:rFonts w:ascii="Cambria Math" w:hAnsi="Cambria Math" w:cs="Times New Roman"/>
                        <w:i/>
                      </w:rPr>
                    </m:ctrlPr>
                  </m:sub>
                </m:sSub>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（6.6.6）</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σ</m:t>
                    </m:r>
                    <m:ctrlPr>
                      <w:rPr>
                        <w:rFonts w:ascii="Cambria Math" w:hAnsi="Cambria Math" w:cs="Times New Roman"/>
                        <w:i/>
                      </w:rPr>
                    </m:ctrlPr>
                  </m:e>
                  <m:sub>
                    <m:r>
                      <m:rPr>
                        <m:sty m:val="p"/>
                      </m:rPr>
                      <w:rPr>
                        <w:rFonts w:ascii="Cambria Math" w:hAnsi="Cambria Math" w:cs="Times New Roman"/>
                      </w:rPr>
                      <m:t>min</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在第一类荷载效应组合下的膜面最小主应力</w:t>
            </w:r>
            <w:r>
              <w:rPr>
                <w:rFonts w:hint="eastAsia"/>
                <w:lang w:eastAsia="zh-CN"/>
              </w:rPr>
              <w:t>（</w:t>
            </w:r>
            <w:r>
              <w:t>MPa)；</w:t>
            </w:r>
          </w:p>
        </w:tc>
      </w:tr>
      <w:tr>
        <w:tblPrEx>
          <w:tblCellMar>
            <w:top w:w="0" w:type="dxa"/>
            <w:left w:w="108" w:type="dxa"/>
            <w:bottom w:w="0" w:type="dxa"/>
            <w:right w:w="108" w:type="dxa"/>
          </w:tblCellMar>
        </w:tblPrEx>
        <w:tc>
          <w:tcPr>
            <w:tcW w:w="1134"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σ</m:t>
                    </m:r>
                    <m:ctrlPr>
                      <w:rPr>
                        <w:rFonts w:ascii="Cambria Math" w:hAnsi="Cambria Math" w:cs="Times New Roman"/>
                        <w:i/>
                      </w:rPr>
                    </m:ctrlPr>
                  </m:e>
                  <m:sub>
                    <m:r>
                      <m:rPr>
                        <m:sty m:val="p"/>
                      </m:rPr>
                      <w:rPr>
                        <w:rFonts w:ascii="Cambria Math" w:hAnsi="Cambria Math" w:cs="Times New Roman"/>
                      </w:rPr>
                      <m:t>p</m:t>
                    </m:r>
                    <m:ctrlPr>
                      <w:rPr>
                        <w:rFonts w:ascii="Cambria Math" w:hAnsi="Cambria Math" w:cs="Times New Roman"/>
                        <w:i/>
                      </w:rPr>
                    </m:ctrlPr>
                  </m:sub>
                </m:sSub>
              </m:oMath>
            </m:oMathPara>
          </w:p>
        </w:tc>
        <w:tc>
          <w:tcPr>
            <w:tcW w:w="851"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维持膜结构曲面形状所需的最小应力值</w:t>
            </w:r>
            <w:r>
              <w:rPr>
                <w:rFonts w:hint="eastAsia"/>
                <w:lang w:eastAsia="zh-CN"/>
              </w:rPr>
              <w:t>（</w:t>
            </w:r>
            <w:r>
              <w:t>MPa)，可取初始预张力值的25%。</w:t>
            </w:r>
          </w:p>
        </w:tc>
      </w:tr>
    </w:tbl>
    <w:p>
      <w:pPr>
        <w:pStyle w:val="200"/>
      </w:pPr>
      <w:r>
        <w:rPr>
          <w:b/>
        </w:rPr>
        <w:t xml:space="preserve">6.6.7 </w:t>
      </w:r>
      <w:r>
        <w:t>在第二类荷载效应组合下，膜面由于松弛而引起的褶皱面积不得大于膜面面积的10%。</w:t>
      </w:r>
    </w:p>
    <w:p>
      <w:pPr>
        <w:pStyle w:val="200"/>
      </w:pPr>
      <w:r>
        <w:rPr>
          <w:b/>
        </w:rPr>
        <w:t xml:space="preserve">6.6.8 </w:t>
      </w:r>
      <w:r>
        <w:t>在各种荷载组合下，膜面各点的最大主应力应满足下列要求：</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σ</m:t>
                    </m:r>
                    <m:ctrlPr>
                      <w:rPr>
                        <w:rFonts w:ascii="Cambria Math" w:hAnsi="Cambria Math" w:cs="Times New Roman"/>
                        <w:i/>
                      </w:rPr>
                    </m:ctrlPr>
                  </m:e>
                  <m:sub>
                    <m:r>
                      <m:rPr>
                        <m:sty m:val="p"/>
                      </m:rPr>
                      <w:rPr>
                        <w:rFonts w:ascii="Cambria Math" w:hAnsi="Cambria Math" w:cs="Times New Roman"/>
                      </w:rPr>
                      <m:t>max</m:t>
                    </m:r>
                    <m:ctrlPr>
                      <w:rPr>
                        <w:rFonts w:ascii="Cambria Math" w:hAnsi="Cambria Math" w:cs="Times New Roman"/>
                        <w:i/>
                      </w:rPr>
                    </m:ctrlPr>
                  </m:sub>
                </m:sSub>
                <m:r>
                  <m:rPr/>
                  <w:rPr>
                    <w:rFonts w:ascii="Cambria Math" w:hAnsi="Cambria Math" w:cs="Times New Roman"/>
                  </w:rPr>
                  <m:t>≤f</m:t>
                </m:r>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（6.6.8-1）</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ParaPr>
                <m:jc m:val="center"/>
              </m:oMathParaPr>
              <m:oMath>
                <m:r>
                  <m:rPr/>
                  <w:rPr>
                    <w:rFonts w:ascii="Cambria Math" w:hAnsi="Cambria Math" w:cs="Times New Roman"/>
                  </w:rPr>
                  <m:t>f=ζ</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k</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m:sty m:val="p"/>
                          </m:rPr>
                          <w:rPr>
                            <w:rFonts w:ascii="Cambria Math" w:hAnsi="Cambria Math" w:cs="Times New Roman"/>
                          </w:rPr>
                          <m:t>R</m:t>
                        </m:r>
                        <m:ctrlPr>
                          <w:rPr>
                            <w:rFonts w:ascii="Cambria Math" w:hAnsi="Cambria Math" w:cs="Times New Roman"/>
                            <w:i/>
                          </w:rPr>
                        </m:ctrlPr>
                      </m:sub>
                    </m:sSub>
                    <m:ctrlPr>
                      <w:rPr>
                        <w:rFonts w:ascii="Cambria Math" w:hAnsi="Cambria Math" w:cs="Times New Roman"/>
                        <w:i/>
                      </w:rPr>
                    </m:ctrlPr>
                  </m:den>
                </m:f>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（6.6.8-2）</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242"/>
        <w:gridCol w:w="743"/>
        <w:gridCol w:w="7195"/>
      </w:tblGrid>
      <w:tr>
        <w:tblPrEx>
          <w:tblCellMar>
            <w:top w:w="0" w:type="dxa"/>
            <w:left w:w="108" w:type="dxa"/>
            <w:bottom w:w="0" w:type="dxa"/>
            <w:right w:w="108" w:type="dxa"/>
          </w:tblCellMar>
        </w:tblPrEx>
        <w:tc>
          <w:tcPr>
            <w:tcW w:w="1242" w:type="dxa"/>
            <w:shd w:val="clear" w:color="auto" w:fill="auto"/>
          </w:tcPr>
          <w:p>
            <w:pPr>
              <w:spacing w:line="360" w:lineRule="auto"/>
              <w:jc w:val="right"/>
              <w:rPr>
                <w:rFonts w:ascii="Times New Roman" w:hAnsi="Times New Roman" w:cs="Times New Roman"/>
              </w:rPr>
            </w:pPr>
            <w:r>
              <w:rPr>
                <w:rFonts w:ascii="Times New Roman" w:hAnsi="Times New Roman" w:cs="Times New Roman"/>
              </w:rPr>
              <w:t xml:space="preserve"> </w:t>
            </w:r>
            <m:oMath>
              <m:sSub>
                <m:sSubPr>
                  <m:ctrlPr>
                    <w:rPr>
                      <w:rFonts w:ascii="Cambria Math" w:hAnsi="Cambria Math" w:cs="Times New Roman"/>
                      <w:i/>
                    </w:rPr>
                  </m:ctrlPr>
                </m:sSubPr>
                <m:e>
                  <m:r>
                    <m:rPr/>
                    <w:rPr>
                      <w:rFonts w:ascii="Cambria Math" w:hAnsi="Cambria Math" w:cs="Times New Roman"/>
                    </w:rPr>
                    <m:t>σ</m:t>
                  </m:r>
                  <m:ctrlPr>
                    <w:rPr>
                      <w:rFonts w:ascii="Cambria Math" w:hAnsi="Cambria Math" w:cs="Times New Roman"/>
                      <w:i/>
                    </w:rPr>
                  </m:ctrlPr>
                </m:e>
                <m:sub>
                  <m:r>
                    <m:rPr>
                      <m:sty m:val="p"/>
                    </m:rPr>
                    <w:rPr>
                      <w:rFonts w:ascii="Cambria Math" w:hAnsi="Cambria Math" w:cs="Times New Roman"/>
                    </w:rPr>
                    <m:t>max</m:t>
                  </m:r>
                  <m:ctrlPr>
                    <w:rPr>
                      <w:rFonts w:ascii="Cambria Math" w:hAnsi="Cambria Math" w:cs="Times New Roman"/>
                      <w:i/>
                    </w:rPr>
                  </m:ctrlPr>
                </m:sub>
              </m:sSub>
            </m:oMath>
          </w:p>
        </w:tc>
        <w:tc>
          <w:tcPr>
            <w:tcW w:w="743"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在各种荷载组合作用下的膜面最大主应力值</w:t>
            </w:r>
            <w:r>
              <w:rPr>
                <w:rFonts w:hint="eastAsia"/>
                <w:lang w:eastAsia="zh-CN"/>
              </w:rPr>
              <w:t>（</w:t>
            </w:r>
            <w:r>
              <w:t>MPa)；</w:t>
            </w:r>
          </w:p>
        </w:tc>
      </w:tr>
      <w:tr>
        <w:tblPrEx>
          <w:tblCellMar>
            <w:top w:w="0" w:type="dxa"/>
            <w:left w:w="108" w:type="dxa"/>
            <w:bottom w:w="0" w:type="dxa"/>
            <w:right w:w="108" w:type="dxa"/>
          </w:tblCellMar>
        </w:tblPrEx>
        <w:tc>
          <w:tcPr>
            <w:tcW w:w="1242"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f</m:t>
                </m:r>
              </m:oMath>
            </m:oMathPara>
          </w:p>
        </w:tc>
        <w:tc>
          <w:tcPr>
            <w:tcW w:w="743"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对应于最大主应力方向的膜材抗拉强度设计值</w:t>
            </w:r>
            <w:r>
              <w:rPr>
                <w:rFonts w:hint="eastAsia"/>
                <w:lang w:eastAsia="zh-CN"/>
              </w:rPr>
              <w:t>（</w:t>
            </w:r>
            <w:r>
              <w:t>MPa)；</w:t>
            </w:r>
          </w:p>
        </w:tc>
      </w:tr>
      <w:tr>
        <w:tblPrEx>
          <w:tblCellMar>
            <w:top w:w="0" w:type="dxa"/>
            <w:left w:w="108" w:type="dxa"/>
            <w:bottom w:w="0" w:type="dxa"/>
            <w:right w:w="108" w:type="dxa"/>
          </w:tblCellMar>
        </w:tblPrEx>
        <w:tc>
          <w:tcPr>
            <w:tcW w:w="1242"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k</m:t>
                    </m:r>
                    <m:ctrlPr>
                      <w:rPr>
                        <w:rFonts w:ascii="Cambria Math" w:hAnsi="Cambria Math" w:cs="Times New Roman"/>
                        <w:i/>
                      </w:rPr>
                    </m:ctrlPr>
                  </m:sub>
                </m:sSub>
              </m:oMath>
            </m:oMathPara>
          </w:p>
        </w:tc>
        <w:tc>
          <w:tcPr>
            <w:tcW w:w="743"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膜材抗拉强度标准值</w:t>
            </w:r>
            <w:r>
              <w:rPr>
                <w:rFonts w:hint="eastAsia"/>
                <w:lang w:eastAsia="zh-CN"/>
              </w:rPr>
              <w:t>（</w:t>
            </w:r>
            <w:r>
              <w:t>MPa)。对于G类、P类膜材，取极限抗拉强度标准值；对于E类膜材，当为非空气支承式时取第一屈服强度标准值，当为空气支承式时取第二屈服强度标准值；</w:t>
            </w:r>
          </w:p>
        </w:tc>
      </w:tr>
      <w:tr>
        <w:tblPrEx>
          <w:tblCellMar>
            <w:top w:w="0" w:type="dxa"/>
            <w:left w:w="108" w:type="dxa"/>
            <w:bottom w:w="0" w:type="dxa"/>
            <w:right w:w="108" w:type="dxa"/>
          </w:tblCellMar>
        </w:tblPrEx>
        <w:tc>
          <w:tcPr>
            <w:tcW w:w="1242" w:type="dxa"/>
            <w:shd w:val="clear" w:color="auto" w:fill="auto"/>
          </w:tcPr>
          <w:p>
            <w:pPr>
              <w:spacing w:line="360" w:lineRule="auto"/>
              <w:jc w:val="right"/>
              <w:rPr>
                <w:rFonts w:ascii="Times New Roman" w:hAnsi="Times New Roman" w:cs="Times New Roman"/>
              </w:rPr>
            </w:pPr>
            <m:oMathPara>
              <m:oMathParaPr>
                <m:jc m:val="right"/>
              </m:oMathParaPr>
              <m:oMath>
                <m:r>
                  <m:rPr/>
                  <w:rPr>
                    <w:rFonts w:ascii="Cambria Math" w:hAnsi="Cambria Math" w:cs="Times New Roman"/>
                  </w:rPr>
                  <m:t>ζ</m:t>
                </m:r>
              </m:oMath>
            </m:oMathPara>
          </w:p>
        </w:tc>
        <w:tc>
          <w:tcPr>
            <w:tcW w:w="743"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强度折减系数。对于G类、P类膜材，一般部分取1.0，节点和边缘部位取0.75；对于E类膜材，取1.0；</w:t>
            </w:r>
          </w:p>
        </w:tc>
      </w:tr>
      <w:tr>
        <w:tblPrEx>
          <w:tblCellMar>
            <w:top w:w="0" w:type="dxa"/>
            <w:left w:w="108" w:type="dxa"/>
            <w:bottom w:w="0" w:type="dxa"/>
            <w:right w:w="108" w:type="dxa"/>
          </w:tblCellMar>
        </w:tblPrEx>
        <w:tc>
          <w:tcPr>
            <w:tcW w:w="1242" w:type="dxa"/>
            <w:shd w:val="clear" w:color="auto" w:fill="auto"/>
          </w:tcPr>
          <w:p>
            <w:pPr>
              <w:spacing w:line="360" w:lineRule="auto"/>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m:sty m:val="p"/>
                      </m:rPr>
                      <w:rPr>
                        <w:rFonts w:ascii="Cambria Math" w:hAnsi="Cambria Math" w:cs="Times New Roman"/>
                      </w:rPr>
                      <m:t>R</m:t>
                    </m:r>
                    <m:ctrlPr>
                      <w:rPr>
                        <w:rFonts w:ascii="Cambria Math" w:hAnsi="Cambria Math" w:cs="Times New Roman"/>
                        <w:i/>
                      </w:rPr>
                    </m:ctrlPr>
                  </m:sub>
                </m:sSub>
              </m:oMath>
            </m:oMathPara>
          </w:p>
        </w:tc>
        <w:tc>
          <w:tcPr>
            <w:tcW w:w="743" w:type="dxa"/>
            <w:shd w:val="clear" w:color="auto" w:fill="auto"/>
          </w:tcPr>
          <w:p>
            <w:pPr>
              <w:spacing w:line="360" w:lineRule="auto"/>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膜材抗力分项系数。对于G类、P类膜材，第一类荷载效应组合时取5.0，第二类荷载效应组合时取2.5；对于E类膜材，第一类荷载效应组合时非空气支承式取1.8、空气支承式取1.4，第二类荷载效应组合时取1.2。</w:t>
            </w:r>
          </w:p>
        </w:tc>
      </w:tr>
    </w:tbl>
    <w:p>
      <w:pPr>
        <w:pStyle w:val="200"/>
      </w:pPr>
      <w:r>
        <w:rPr>
          <w:b/>
        </w:rPr>
        <w:t xml:space="preserve">6.6.9 </w:t>
      </w:r>
      <w:r>
        <w:t>膜结构的裁剪分析应符合下列规定：</w:t>
      </w:r>
    </w:p>
    <w:p>
      <w:pPr>
        <w:pStyle w:val="188"/>
        <w:ind w:firstLine="482"/>
        <w:rPr>
          <w:rFonts w:cs="Times New Roman"/>
        </w:rPr>
      </w:pPr>
      <w:r>
        <w:rPr>
          <w:rFonts w:cs="Times New Roman"/>
          <w:b/>
          <w:bCs w:val="0"/>
        </w:rPr>
        <w:t xml:space="preserve">1 </w:t>
      </w:r>
      <w:r>
        <w:rPr>
          <w:rFonts w:cs="Times New Roman"/>
        </w:rPr>
        <w:t>应在初始形态基础上，在空间曲面上确定膜片间的裁剪线，获得与空间曲面最接近的平面展开膜片；</w:t>
      </w:r>
    </w:p>
    <w:p>
      <w:pPr>
        <w:pStyle w:val="188"/>
        <w:ind w:firstLine="482"/>
        <w:rPr>
          <w:rFonts w:cs="Times New Roman"/>
        </w:rPr>
      </w:pPr>
      <w:r>
        <w:rPr>
          <w:rFonts w:cs="Times New Roman"/>
          <w:b/>
          <w:bCs w:val="0"/>
        </w:rPr>
        <w:t xml:space="preserve">2 </w:t>
      </w:r>
      <w:r>
        <w:rPr>
          <w:rFonts w:cs="Times New Roman"/>
        </w:rPr>
        <w:t>确定膜片间的裁剪线，可采用测地线法和平面相交法等；</w:t>
      </w:r>
    </w:p>
    <w:p>
      <w:pPr>
        <w:pStyle w:val="188"/>
        <w:ind w:firstLine="482"/>
        <w:rPr>
          <w:rFonts w:cs="Times New Roman"/>
        </w:rPr>
      </w:pPr>
      <w:r>
        <w:rPr>
          <w:rFonts w:cs="Times New Roman"/>
          <w:b/>
          <w:bCs w:val="0"/>
        </w:rPr>
        <w:t xml:space="preserve">3 </w:t>
      </w:r>
      <w:r>
        <w:rPr>
          <w:rFonts w:cs="Times New Roman"/>
        </w:rPr>
        <w:t>确定裁剪线时，宜综合考虑裁剪线布置的美观性、膜材的利用率、织物类膜材纤维方向与主受力方向的一致性等因素；</w:t>
      </w:r>
    </w:p>
    <w:p>
      <w:pPr>
        <w:pStyle w:val="188"/>
        <w:ind w:firstLine="482"/>
        <w:rPr>
          <w:rFonts w:cs="Times New Roman"/>
        </w:rPr>
      </w:pPr>
      <w:r>
        <w:rPr>
          <w:rFonts w:cs="Times New Roman"/>
          <w:b/>
          <w:bCs w:val="0"/>
        </w:rPr>
        <w:t xml:space="preserve">4 </w:t>
      </w:r>
      <w:r>
        <w:rPr>
          <w:rFonts w:cs="Times New Roman"/>
        </w:rPr>
        <w:t>膜结构的裁剪分析中应考虑初始预张力及膜材材料特性的影响，确定膜片的收缩量，调整膜片的裁剪尺寸。</w:t>
      </w:r>
    </w:p>
    <w:p>
      <w:pPr>
        <w:spacing w:line="360" w:lineRule="auto"/>
        <w:rPr>
          <w:rFonts w:ascii="Times New Roman" w:hAnsi="Times New Roman" w:cs="Times New Roman"/>
          <w:color w:val="000000"/>
          <w:lang w:bidi="ar"/>
        </w:rPr>
      </w:pPr>
    </w:p>
    <w:p>
      <w:pPr>
        <w:pStyle w:val="200"/>
        <w:sectPr>
          <w:footerReference r:id="rId13" w:type="default"/>
          <w:pgSz w:w="11906" w:h="16838"/>
          <w:pgMar w:top="1134" w:right="1134" w:bottom="1134" w:left="1134" w:header="851" w:footer="992" w:gutter="0"/>
          <w:cols w:space="720" w:num="1"/>
          <w:docGrid w:linePitch="312" w:charSpace="0"/>
        </w:sectPr>
      </w:pPr>
    </w:p>
    <w:p>
      <w:pPr>
        <w:pStyle w:val="196"/>
        <w:spacing w:before="120"/>
      </w:pPr>
      <w:bookmarkStart w:id="55" w:name="_Toc162996227"/>
      <w:bookmarkStart w:id="56" w:name="_Toc112918009"/>
      <w:bookmarkStart w:id="57" w:name="_Toc81378736"/>
      <w:r>
        <w:t>7 特殊构造结构计算</w:t>
      </w:r>
      <w:bookmarkEnd w:id="55"/>
    </w:p>
    <w:p>
      <w:pPr>
        <w:pStyle w:val="198"/>
        <w:rPr>
          <w:rFonts w:ascii="Times New Roman" w:hAnsi="Times New Roman"/>
          <w:b w:val="0"/>
          <w:bCs/>
          <w:sz w:val="24"/>
          <w:szCs w:val="24"/>
        </w:rPr>
      </w:pPr>
      <w:bookmarkStart w:id="58" w:name="_Toc162996228"/>
      <w:r>
        <w:rPr>
          <w:rFonts w:ascii="Times New Roman" w:hAnsi="Times New Roman"/>
          <w:sz w:val="24"/>
          <w:szCs w:val="24"/>
        </w:rPr>
        <w:t>7.1</w:t>
      </w:r>
      <w:r>
        <w:rPr>
          <w:rFonts w:ascii="Times New Roman" w:hAnsi="Times New Roman"/>
          <w:b w:val="0"/>
          <w:bCs/>
          <w:sz w:val="24"/>
          <w:szCs w:val="24"/>
        </w:rPr>
        <w:t xml:space="preserve"> 一般规定</w:t>
      </w:r>
      <w:bookmarkEnd w:id="58"/>
    </w:p>
    <w:p>
      <w:pPr>
        <w:pStyle w:val="188"/>
        <w:ind w:firstLine="0" w:firstLineChars="0"/>
        <w:rPr>
          <w:rFonts w:cs="Times New Roman"/>
        </w:rPr>
      </w:pPr>
      <w:r>
        <w:rPr>
          <w:rFonts w:cs="Times New Roman"/>
          <w:b/>
        </w:rPr>
        <w:t>7.1.1</w:t>
      </w:r>
      <w:r>
        <w:rPr>
          <w:rFonts w:cs="Times New Roman"/>
        </w:rPr>
        <w:t xml:space="preserve"> 形状复杂的幕墙构件截面可采用直接强度法进行计算。</w:t>
      </w:r>
    </w:p>
    <w:p>
      <w:pPr>
        <w:pStyle w:val="188"/>
        <w:ind w:firstLine="0" w:firstLineChars="0"/>
        <w:rPr>
          <w:rFonts w:cs="Times New Roman"/>
        </w:rPr>
      </w:pPr>
      <w:r>
        <w:rPr>
          <w:rFonts w:cs="Times New Roman"/>
          <w:b/>
        </w:rPr>
        <w:t>7.1.2</w:t>
      </w:r>
      <w:r>
        <w:rPr>
          <w:rFonts w:cs="Times New Roman"/>
        </w:rPr>
        <w:t xml:space="preserve"> 幕墙与主体结构间的连接构造应有足够的强度、刚度和相对位移的能力，且应便于制作安装、维护保养及局部更换面板或构部件。主体结构中连接幕墙的预埋件、锚固件应能承受幕墙传递的荷载和作用。</w:t>
      </w:r>
    </w:p>
    <w:p>
      <w:pPr>
        <w:pStyle w:val="188"/>
        <w:ind w:firstLine="0" w:firstLineChars="0"/>
        <w:rPr>
          <w:rFonts w:cs="Times New Roman"/>
        </w:rPr>
      </w:pPr>
      <w:r>
        <w:rPr>
          <w:rFonts w:cs="Times New Roman"/>
          <w:b/>
        </w:rPr>
        <w:t>7.1.3</w:t>
      </w:r>
      <w:r>
        <w:rPr>
          <w:rFonts w:cs="Times New Roman"/>
        </w:rPr>
        <w:t xml:space="preserve"> 两个或多个构件组成的整体按单一截面共同受力假定时，应按计算要求设置抗剪螺栓、螺钉等构造上不存在连接间隙的抗剪连接。</w:t>
      </w:r>
    </w:p>
    <w:p>
      <w:pPr>
        <w:pStyle w:val="188"/>
        <w:ind w:firstLine="0" w:firstLineChars="0"/>
        <w:rPr>
          <w:rFonts w:cs="Times New Roman"/>
        </w:rPr>
      </w:pPr>
      <w:r>
        <w:rPr>
          <w:rFonts w:cs="Times New Roman"/>
          <w:b/>
        </w:rPr>
        <w:t>7.1.4</w:t>
      </w:r>
      <w:r>
        <w:rPr>
          <w:rFonts w:cs="Times New Roman"/>
        </w:rPr>
        <w:t xml:space="preserve"> 组合截面刚度分配可按下列公式计算：</w:t>
      </w:r>
    </w:p>
    <w:tbl>
      <w:tblPr>
        <w:tblStyle w:val="37"/>
        <w:tblW w:w="4750" w:type="pct"/>
        <w:jc w:val="right"/>
        <w:tblLayout w:type="fixed"/>
        <w:tblCellMar>
          <w:top w:w="0" w:type="dxa"/>
          <w:left w:w="108" w:type="dxa"/>
          <w:bottom w:w="0" w:type="dxa"/>
          <w:right w:w="108" w:type="dxa"/>
        </w:tblCellMar>
      </w:tblPr>
      <w:tblGrid>
        <w:gridCol w:w="7745"/>
        <w:gridCol w:w="1616"/>
      </w:tblGrid>
      <w:tr>
        <w:tblPrEx>
          <w:tblCellMar>
            <w:top w:w="0" w:type="dxa"/>
            <w:left w:w="108" w:type="dxa"/>
            <w:bottom w:w="0" w:type="dxa"/>
            <w:right w:w="108" w:type="dxa"/>
          </w:tblCellMar>
        </w:tblPrEx>
        <w:trPr>
          <w:jc w:val="right"/>
        </w:trPr>
        <w:tc>
          <w:tcPr>
            <w:tcW w:w="7299" w:type="dxa"/>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r>
                  <m:rPr>
                    <m:sty m:val="p"/>
                  </m:rPr>
                  <w:rPr>
                    <w:rFonts w:ascii="Cambria Math" w:hAnsi="Cambria Math" w:cs="Times New Roman"/>
                  </w:rPr>
                  <m:t>=</m:t>
                </m:r>
                <m:r>
                  <m:rPr/>
                  <w:rPr>
                    <w:rFonts w:ascii="Cambria Math" w:hAnsi="Cambria Math" w:cs="Times New Roman"/>
                  </w:rPr>
                  <m:t>q</m:t>
                </m:r>
                <m:f>
                  <m:fPr>
                    <m:ctrlPr>
                      <w:rPr>
                        <w:rFonts w:ascii="Cambria Math" w:hAnsi="Cambria Math" w:cs="Times New Roman"/>
                      </w:rPr>
                    </m:ctrlPr>
                  </m:fPr>
                  <m:num>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ctrlPr>
                      <w:rPr>
                        <w:rFonts w:ascii="Cambria Math" w:hAnsi="Cambria Math" w:cs="Times New Roman"/>
                      </w:rPr>
                    </m:ctrlPr>
                  </m:num>
                  <m:den>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ctrlPr>
                      <w:rPr>
                        <w:rFonts w:ascii="Cambria Math" w:hAnsi="Cambria Math" w:cs="Times New Roman"/>
                      </w:rPr>
                    </m:ctrlPr>
                  </m:den>
                </m:f>
              </m:oMath>
            </m:oMathPara>
          </w:p>
        </w:tc>
        <w:tc>
          <w:tcPr>
            <w:tcW w:w="1523" w:type="dxa"/>
            <w:shd w:val="clear" w:color="auto" w:fill="auto"/>
            <w:vAlign w:val="center"/>
          </w:tcPr>
          <w:p>
            <w:pPr>
              <w:pStyle w:val="189"/>
              <w:jc w:val="right"/>
            </w:pPr>
            <w:r>
              <w:rPr>
                <w:kern w:val="2"/>
              </w:rPr>
              <w:t>（7.1.4-1）</w:t>
            </w:r>
          </w:p>
        </w:tc>
      </w:tr>
      <w:tr>
        <w:tblPrEx>
          <w:tblCellMar>
            <w:top w:w="0" w:type="dxa"/>
            <w:left w:w="108" w:type="dxa"/>
            <w:bottom w:w="0" w:type="dxa"/>
            <w:right w:w="108" w:type="dxa"/>
          </w:tblCellMar>
        </w:tblPrEx>
        <w:trPr>
          <w:jc w:val="right"/>
        </w:trPr>
        <w:tc>
          <w:tcPr>
            <w:tcW w:w="7299" w:type="dxa"/>
            <w:shd w:val="clear" w:color="auto" w:fill="auto"/>
            <w:vAlign w:val="center"/>
          </w:tcPr>
          <w:p>
            <w:pPr>
              <w:spacing w:line="360" w:lineRule="auto"/>
              <w:jc w:val="center"/>
              <w:rPr>
                <w:rFonts w:ascii="Times New Roman" w:hAnsi="Times New Roman" w:cs="Times New Roman" w:eastAsiaTheme="minorEastAsia"/>
              </w:rPr>
            </w:pPr>
            <m:oMathPara>
              <m:oMathParaPr>
                <m:jc m:val="center"/>
              </m:oMathParaP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r>
                  <m:rPr>
                    <m:sty m:val="p"/>
                  </m:rPr>
                  <w:rPr>
                    <w:rFonts w:ascii="Cambria Math" w:hAnsi="Cambria Math" w:cs="Times New Roman"/>
                  </w:rPr>
                  <m:t>=</m:t>
                </m:r>
                <m:r>
                  <m:rPr/>
                  <w:rPr>
                    <w:rFonts w:ascii="Cambria Math" w:hAnsi="Cambria Math" w:cs="Times New Roman"/>
                  </w:rPr>
                  <m:t>q</m:t>
                </m:r>
                <m:f>
                  <m:fPr>
                    <m:ctrlPr>
                      <w:rPr>
                        <w:rFonts w:ascii="Cambria Math" w:hAnsi="Cambria Math" w:cs="Times New Roman"/>
                      </w:rPr>
                    </m:ctrlPr>
                  </m:fPr>
                  <m:num>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ctrlPr>
                      <w:rPr>
                        <w:rFonts w:ascii="Cambria Math" w:hAnsi="Cambria Math" w:cs="Times New Roman"/>
                      </w:rPr>
                    </m:ctrlPr>
                  </m:num>
                  <m:den>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ctrlPr>
                      <w:rPr>
                        <w:rFonts w:ascii="Cambria Math" w:hAnsi="Cambria Math" w:cs="Times New Roman"/>
                      </w:rPr>
                    </m:ctrlPr>
                  </m:den>
                </m:f>
              </m:oMath>
            </m:oMathPara>
          </w:p>
        </w:tc>
        <w:tc>
          <w:tcPr>
            <w:tcW w:w="1523" w:type="dxa"/>
            <w:shd w:val="clear" w:color="auto" w:fill="auto"/>
            <w:vAlign w:val="center"/>
          </w:tcPr>
          <w:p>
            <w:pPr>
              <w:pStyle w:val="189"/>
              <w:jc w:val="right"/>
            </w:pPr>
            <w:r>
              <w:rPr>
                <w:kern w:val="2"/>
              </w:rPr>
              <w:t>（7.1.4-2）</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526"/>
        <w:gridCol w:w="709"/>
        <w:gridCol w:w="6945"/>
      </w:tblGrid>
      <w:tr>
        <w:tblPrEx>
          <w:tblCellMar>
            <w:top w:w="0" w:type="dxa"/>
            <w:left w:w="108" w:type="dxa"/>
            <w:bottom w:w="0" w:type="dxa"/>
            <w:right w:w="108" w:type="dxa"/>
          </w:tblCellMar>
        </w:tblPrEx>
        <w:tc>
          <w:tcPr>
            <w:tcW w:w="1526" w:type="dxa"/>
            <w:shd w:val="clear" w:color="auto" w:fill="auto"/>
          </w:tcPr>
          <w:p>
            <w:pPr>
              <w:jc w:val="right"/>
              <w:rPr>
                <w:rFonts w:ascii="Times New Roman" w:hAnsi="Times New Roman" w:cs="Times New Roman"/>
                <w:i/>
              </w:rPr>
            </w:pPr>
            <m:oMathPara>
              <m:oMathParaPr>
                <m:jc m:val="right"/>
              </m:oMathParaPr>
              <m:oMath>
                <m:r>
                  <m:rPr/>
                  <w:rPr>
                    <w:rFonts w:ascii="Cambria Math" w:hAnsi="Cambria Math" w:cs="Times New Roman"/>
                  </w:rPr>
                  <m:t>q</m:t>
                </m:r>
              </m:oMath>
            </m:oMathPara>
          </w:p>
        </w:tc>
        <w:tc>
          <w:tcPr>
            <w:tcW w:w="709" w:type="dxa"/>
            <w:shd w:val="clear" w:color="auto" w:fill="auto"/>
          </w:tcPr>
          <w:p>
            <w:pPr>
              <w:jc w:val="center"/>
              <w:rPr>
                <w:rFonts w:ascii="Times New Roman" w:hAnsi="Times New Roman" w:cs="Times New Roman"/>
              </w:rPr>
            </w:pPr>
            <w:r>
              <w:rPr>
                <w:rFonts w:ascii="Times New Roman" w:hAnsi="Times New Roman" w:cs="Times New Roman"/>
              </w:rPr>
              <w:t>——</w:t>
            </w:r>
          </w:p>
        </w:tc>
        <w:tc>
          <w:tcPr>
            <w:tcW w:w="6945" w:type="dxa"/>
            <w:shd w:val="clear" w:color="auto" w:fill="auto"/>
          </w:tcPr>
          <w:p>
            <w:pPr>
              <w:pStyle w:val="189"/>
            </w:pPr>
            <w:r>
              <w:t>组合截面上的荷载；</w:t>
            </w:r>
          </w:p>
        </w:tc>
      </w:tr>
      <w:tr>
        <w:tblPrEx>
          <w:tblCellMar>
            <w:top w:w="0" w:type="dxa"/>
            <w:left w:w="108" w:type="dxa"/>
            <w:bottom w:w="0" w:type="dxa"/>
            <w:right w:w="108" w:type="dxa"/>
          </w:tblCellMar>
        </w:tblPrEx>
        <w:tc>
          <w:tcPr>
            <w:tcW w:w="1526" w:type="dxa"/>
            <w:shd w:val="clear" w:color="auto" w:fill="auto"/>
          </w:tcPr>
          <w:p>
            <w:pPr>
              <w:jc w:val="right"/>
              <w:rPr>
                <w:rFonts w:ascii="Times New Roman" w:hAnsi="Times New Roman" w:cs="Times New Roman"/>
                <w:bCs/>
                <w:i/>
              </w:rPr>
            </w:pP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oMath>
            <w:r>
              <w:rPr>
                <w:rFonts w:ascii="Times New Roman" w:hAnsi="Times New Roman" w:cs="Times New Roman"/>
                <w:i/>
              </w:rPr>
              <w:t>、</w:t>
            </w: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oMath>
          </w:p>
        </w:tc>
        <w:tc>
          <w:tcPr>
            <w:tcW w:w="709" w:type="dxa"/>
            <w:shd w:val="clear" w:color="auto" w:fill="auto"/>
          </w:tcPr>
          <w:p>
            <w:pPr>
              <w:jc w:val="center"/>
              <w:rPr>
                <w:rFonts w:ascii="Times New Roman" w:hAnsi="Times New Roman" w:cs="Times New Roman"/>
              </w:rPr>
            </w:pPr>
            <w:r>
              <w:rPr>
                <w:rFonts w:ascii="Times New Roman" w:hAnsi="Times New Roman" w:cs="Times New Roman"/>
              </w:rPr>
              <w:t>——</w:t>
            </w:r>
          </w:p>
        </w:tc>
        <w:tc>
          <w:tcPr>
            <w:tcW w:w="6945" w:type="dxa"/>
            <w:shd w:val="clear" w:color="auto" w:fill="auto"/>
          </w:tcPr>
          <w:p>
            <w:pPr>
              <w:pStyle w:val="189"/>
            </w:pPr>
            <w:r>
              <w:t>分配到截面1、截面2上的荷载；</w:t>
            </w:r>
          </w:p>
        </w:tc>
      </w:tr>
      <w:tr>
        <w:tblPrEx>
          <w:tblCellMar>
            <w:top w:w="0" w:type="dxa"/>
            <w:left w:w="108" w:type="dxa"/>
            <w:bottom w:w="0" w:type="dxa"/>
            <w:right w:w="108" w:type="dxa"/>
          </w:tblCellMar>
        </w:tblPrEx>
        <w:tc>
          <w:tcPr>
            <w:tcW w:w="1526" w:type="dxa"/>
            <w:shd w:val="clear" w:color="auto" w:fill="auto"/>
          </w:tcPr>
          <w:p>
            <w:pPr>
              <w:jc w:val="right"/>
              <w:rPr>
                <w:rFonts w:ascii="Times New Roman" w:hAnsi="Times New Roman" w:cs="Times New Roman"/>
                <w:bCs/>
                <w:i/>
              </w:rPr>
            </w:pPr>
            <m:oMathPara>
              <m:oMathParaPr>
                <m:jc m:val="right"/>
              </m:oMathParaPr>
              <m:oMath>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oMath>
            </m:oMathPara>
          </w:p>
        </w:tc>
        <w:tc>
          <w:tcPr>
            <w:tcW w:w="709" w:type="dxa"/>
            <w:shd w:val="clear" w:color="auto" w:fill="auto"/>
          </w:tcPr>
          <w:p>
            <w:pPr>
              <w:jc w:val="center"/>
              <w:rPr>
                <w:rFonts w:ascii="Times New Roman" w:hAnsi="Times New Roman" w:cs="Times New Roman"/>
              </w:rPr>
            </w:pPr>
            <w:r>
              <w:rPr>
                <w:rFonts w:ascii="Times New Roman" w:hAnsi="Times New Roman" w:cs="Times New Roman"/>
              </w:rPr>
              <w:t>——</w:t>
            </w:r>
          </w:p>
        </w:tc>
        <w:tc>
          <w:tcPr>
            <w:tcW w:w="6945" w:type="dxa"/>
            <w:shd w:val="clear" w:color="auto" w:fill="auto"/>
          </w:tcPr>
          <w:p>
            <w:pPr>
              <w:pStyle w:val="189"/>
            </w:pPr>
            <w:r>
              <w:t>截面1、截面2沿计算方向的截面惯性矩。</w:t>
            </w:r>
          </w:p>
        </w:tc>
      </w:tr>
    </w:tbl>
    <w:p>
      <w:pPr>
        <w:pStyle w:val="188"/>
        <w:ind w:firstLine="0" w:firstLineChars="0"/>
        <w:rPr>
          <w:rFonts w:cs="Times New Roman"/>
        </w:rPr>
      </w:pPr>
      <w:r>
        <w:rPr>
          <w:rFonts w:cs="Times New Roman"/>
          <w:b/>
        </w:rPr>
        <w:t>7.1.5</w:t>
      </w:r>
      <w:r>
        <w:rPr>
          <w:rFonts w:cs="Times New Roman"/>
        </w:rPr>
        <w:t xml:space="preserve"> 钢铝组合截面设计应符合下列规定：</w:t>
      </w:r>
    </w:p>
    <w:p>
      <w:pPr>
        <w:pStyle w:val="188"/>
        <w:ind w:firstLine="482"/>
        <w:rPr>
          <w:rFonts w:cs="Times New Roman"/>
        </w:rPr>
      </w:pPr>
      <w:r>
        <w:rPr>
          <w:rFonts w:cs="Times New Roman"/>
          <w:b/>
        </w:rPr>
        <w:t>1</w:t>
      </w:r>
      <w:r>
        <w:rPr>
          <w:rFonts w:cs="Times New Roman"/>
        </w:rPr>
        <w:t xml:space="preserve"> 应关注钢铝温度膨胀系数差异；</w:t>
      </w:r>
    </w:p>
    <w:p>
      <w:pPr>
        <w:pStyle w:val="188"/>
        <w:ind w:firstLine="482"/>
        <w:rPr>
          <w:rFonts w:cs="Times New Roman"/>
        </w:rPr>
      </w:pPr>
      <w:r>
        <w:rPr>
          <w:rFonts w:cs="Times New Roman"/>
          <w:b/>
        </w:rPr>
        <w:t>2</w:t>
      </w:r>
      <w:r>
        <w:rPr>
          <w:rFonts w:cs="Times New Roman"/>
        </w:rPr>
        <w:t xml:space="preserve"> 应保证在荷载作用下变形协调</w:t>
      </w:r>
      <w:r>
        <w:rPr>
          <w:rFonts w:hint="eastAsia" w:cs="Times New Roman"/>
        </w:rPr>
        <w:t>。</w:t>
      </w:r>
    </w:p>
    <w:p>
      <w:pPr>
        <w:pStyle w:val="188"/>
        <w:ind w:firstLine="0" w:firstLineChars="0"/>
        <w:rPr>
          <w:rFonts w:cs="Times New Roman"/>
        </w:rPr>
      </w:pPr>
      <w:r>
        <w:rPr>
          <w:rFonts w:cs="Times New Roman"/>
          <w:b/>
        </w:rPr>
        <w:t xml:space="preserve">7.1.6 </w:t>
      </w:r>
      <w:r>
        <w:rPr>
          <w:rFonts w:cs="Times New Roman"/>
        </w:rPr>
        <w:t>幕墙型材计算时，有金属板参与受力的情况下，宜考虑金属面板的蒙皮效应，可采用非线性有限元法分析，必要时进行试验验证。</w:t>
      </w:r>
    </w:p>
    <w:p>
      <w:pPr>
        <w:pStyle w:val="198"/>
        <w:rPr>
          <w:rFonts w:ascii="Times New Roman" w:hAnsi="Times New Roman"/>
          <w:b w:val="0"/>
          <w:bCs/>
          <w:sz w:val="24"/>
          <w:szCs w:val="24"/>
        </w:rPr>
      </w:pPr>
      <w:bookmarkStart w:id="59" w:name="_Toc162996229"/>
      <w:r>
        <w:rPr>
          <w:rFonts w:ascii="Times New Roman" w:hAnsi="Times New Roman"/>
          <w:sz w:val="24"/>
          <w:szCs w:val="24"/>
        </w:rPr>
        <w:t>7.2</w:t>
      </w:r>
      <w:r>
        <w:rPr>
          <w:rFonts w:ascii="Times New Roman" w:hAnsi="Times New Roman"/>
          <w:b w:val="0"/>
          <w:bCs/>
          <w:sz w:val="24"/>
          <w:szCs w:val="24"/>
        </w:rPr>
        <w:t xml:space="preserve"> 开启构造计算</w:t>
      </w:r>
      <w:bookmarkEnd w:id="59"/>
    </w:p>
    <w:p>
      <w:pPr>
        <w:spacing w:line="360" w:lineRule="auto"/>
        <w:rPr>
          <w:rFonts w:ascii="Times New Roman" w:hAnsi="Times New Roman" w:cs="Times New Roman"/>
        </w:rPr>
      </w:pPr>
      <w:r>
        <w:rPr>
          <w:rFonts w:ascii="Times New Roman" w:hAnsi="Times New Roman" w:cs="Times New Roman"/>
          <w:b/>
        </w:rPr>
        <w:t xml:space="preserve">7.2.1 </w:t>
      </w:r>
      <w:r>
        <w:rPr>
          <w:rFonts w:ascii="Times New Roman" w:hAnsi="Times New Roman" w:cs="Times New Roman"/>
          <w:color w:val="000000"/>
          <w:lang w:bidi="ar"/>
        </w:rPr>
        <w:t>开启扇结构设计计算模型和基本假定，应与实际构造型式及应用条件相符。</w:t>
      </w:r>
    </w:p>
    <w:p>
      <w:pPr>
        <w:spacing w:line="360" w:lineRule="auto"/>
        <w:rPr>
          <w:rFonts w:ascii="Times New Roman" w:hAnsi="Times New Roman" w:cs="Times New Roman"/>
        </w:rPr>
      </w:pPr>
      <w:r>
        <w:rPr>
          <w:rFonts w:ascii="Times New Roman" w:hAnsi="Times New Roman" w:cs="Times New Roman"/>
          <w:b/>
        </w:rPr>
        <w:t xml:space="preserve">7.2.2 </w:t>
      </w:r>
      <w:r>
        <w:rPr>
          <w:rFonts w:ascii="Times New Roman" w:hAnsi="Times New Roman" w:cs="Times New Roman"/>
          <w:color w:val="000000"/>
          <w:lang w:bidi="ar"/>
        </w:rPr>
        <w:t>开启扇结构设计计算，应根据承载情况和支承条件，采用结构力学方法进行弹性设计计算。</w:t>
      </w:r>
    </w:p>
    <w:p>
      <w:pPr>
        <w:spacing w:line="360" w:lineRule="auto"/>
        <w:rPr>
          <w:rFonts w:ascii="Times New Roman" w:hAnsi="Times New Roman" w:cs="Times New Roman"/>
          <w:color w:val="000000"/>
          <w:lang w:bidi="ar"/>
        </w:rPr>
      </w:pPr>
      <w:r>
        <w:rPr>
          <w:rFonts w:ascii="Times New Roman" w:hAnsi="Times New Roman" w:cs="Times New Roman"/>
          <w:b/>
        </w:rPr>
        <w:t xml:space="preserve">7.2.3 </w:t>
      </w:r>
      <w:r>
        <w:rPr>
          <w:rFonts w:ascii="Times New Roman" w:hAnsi="Times New Roman" w:cs="Times New Roman"/>
          <w:color w:val="000000"/>
          <w:lang w:bidi="ar"/>
        </w:rPr>
        <w:t>开启扇框架结构设计计算，应计算受力杆件的强度和挠度。必要时增加杆件稳定性计算。</w:t>
      </w:r>
    </w:p>
    <w:p>
      <w:pPr>
        <w:spacing w:line="360" w:lineRule="auto"/>
        <w:rPr>
          <w:rFonts w:ascii="Times New Roman" w:hAnsi="Times New Roman" w:cs="Times New Roman"/>
          <w:color w:val="000000"/>
          <w:lang w:bidi="ar"/>
        </w:rPr>
      </w:pPr>
      <w:r>
        <w:rPr>
          <w:rFonts w:ascii="Times New Roman" w:hAnsi="Times New Roman" w:cs="Times New Roman"/>
          <w:b/>
        </w:rPr>
        <w:t xml:space="preserve">7.2.4 </w:t>
      </w:r>
      <w:r>
        <w:rPr>
          <w:rFonts w:ascii="Times New Roman" w:hAnsi="Times New Roman" w:cs="Times New Roman"/>
          <w:color w:val="000000"/>
          <w:lang w:bidi="ar"/>
        </w:rPr>
        <w:t>开启扇五金配件本身及其与框、扇连接部位的强度，应分别进行设计计算，并取较低者作为设计强度。</w:t>
      </w:r>
    </w:p>
    <w:p>
      <w:pPr>
        <w:spacing w:line="360" w:lineRule="auto"/>
        <w:rPr>
          <w:rFonts w:ascii="Times New Roman" w:hAnsi="Times New Roman" w:cs="Times New Roman"/>
          <w:color w:val="000000"/>
          <w:lang w:bidi="ar"/>
        </w:rPr>
      </w:pPr>
      <w:r>
        <w:rPr>
          <w:rFonts w:ascii="Times New Roman" w:hAnsi="Times New Roman" w:cs="Times New Roman"/>
          <w:b/>
          <w:bCs/>
          <w:color w:val="000000"/>
          <w:lang w:bidi="ar"/>
        </w:rPr>
        <w:t>7.2.5</w:t>
      </w:r>
      <w:r>
        <w:rPr>
          <w:rFonts w:ascii="Times New Roman" w:hAnsi="Times New Roman" w:cs="Times New Roman"/>
          <w:color w:val="000000"/>
          <w:lang w:bidi="ar"/>
        </w:rPr>
        <w:t>开启扇开启状态下，开启扇框架及其连接应至少能承受6级风，此状态的风荷载体型系数宜取±2.0。</w:t>
      </w:r>
    </w:p>
    <w:p>
      <w:pPr>
        <w:spacing w:line="360" w:lineRule="auto"/>
        <w:rPr>
          <w:rFonts w:ascii="Times New Roman" w:hAnsi="Times New Roman" w:cs="Times New Roman"/>
          <w:color w:val="000000"/>
          <w:lang w:bidi="ar"/>
        </w:rPr>
      </w:pPr>
      <w:r>
        <w:rPr>
          <w:rFonts w:ascii="Times New Roman" w:hAnsi="Times New Roman" w:cs="Times New Roman"/>
          <w:b/>
        </w:rPr>
        <w:t xml:space="preserve">7.2.6 </w:t>
      </w:r>
      <w:r>
        <w:rPr>
          <w:rFonts w:ascii="Times New Roman" w:hAnsi="Times New Roman" w:cs="Times New Roman"/>
          <w:color w:val="000000"/>
          <w:lang w:bidi="ar"/>
        </w:rPr>
        <w:t>开启扇关闭状态下，开启扇与框架的相互作用，应考虑正、负风荷载作用下的不同效应。</w:t>
      </w:r>
    </w:p>
    <w:p>
      <w:pPr>
        <w:spacing w:line="360" w:lineRule="auto"/>
        <w:rPr>
          <w:rFonts w:ascii="Times New Roman" w:hAnsi="Times New Roman" w:cs="Times New Roman"/>
          <w:color w:val="000000"/>
          <w:lang w:bidi="ar"/>
        </w:rPr>
      </w:pPr>
      <w:r>
        <w:rPr>
          <w:rFonts w:ascii="Times New Roman" w:hAnsi="Times New Roman" w:cs="Times New Roman"/>
          <w:b/>
        </w:rPr>
        <w:t xml:space="preserve">7.2.7 </w:t>
      </w:r>
      <w:r>
        <w:rPr>
          <w:rFonts w:ascii="Times New Roman" w:hAnsi="Times New Roman" w:cs="Times New Roman"/>
          <w:color w:val="000000"/>
          <w:lang w:bidi="ar"/>
        </w:rPr>
        <w:t>开启扇闭合状态下的挠度变形量不宜大于2mm。</w:t>
      </w:r>
    </w:p>
    <w:p>
      <w:pPr>
        <w:spacing w:line="360" w:lineRule="auto"/>
        <w:rPr>
          <w:rFonts w:ascii="Times New Roman" w:hAnsi="Times New Roman" w:cs="Times New Roman"/>
          <w:color w:val="000000"/>
          <w:lang w:bidi="ar"/>
        </w:rPr>
      </w:pPr>
      <w:r>
        <w:rPr>
          <w:rFonts w:ascii="Times New Roman" w:hAnsi="Times New Roman" w:cs="Times New Roman"/>
          <w:b/>
        </w:rPr>
        <w:t xml:space="preserve">7.2.8 </w:t>
      </w:r>
      <w:r>
        <w:rPr>
          <w:rFonts w:ascii="Times New Roman" w:hAnsi="Times New Roman" w:cs="Times New Roman"/>
          <w:color w:val="000000"/>
          <w:lang w:bidi="ar"/>
        </w:rPr>
        <w:t>上悬窗采用悬挂式连接时，应设置有效的防脱措施，悬挂的横梁应校核自重作用下的挠度，挠度值应不大于跨度的1/500，且不大于3mm。</w:t>
      </w:r>
    </w:p>
    <w:p>
      <w:pPr>
        <w:spacing w:line="360" w:lineRule="auto"/>
        <w:rPr>
          <w:rFonts w:ascii="Times New Roman" w:hAnsi="Times New Roman" w:cs="Times New Roman"/>
          <w:color w:val="000000"/>
          <w:lang w:bidi="ar"/>
        </w:rPr>
      </w:pPr>
      <w:r>
        <w:rPr>
          <w:rFonts w:ascii="Times New Roman" w:hAnsi="Times New Roman" w:cs="Times New Roman"/>
          <w:b/>
        </w:rPr>
        <w:t>7.2.9</w:t>
      </w:r>
      <w:r>
        <w:rPr>
          <w:rFonts w:ascii="Times New Roman" w:hAnsi="Times New Roman" w:cs="Times New Roman"/>
          <w:color w:val="000000"/>
          <w:lang w:bidi="ar"/>
        </w:rPr>
        <w:t xml:space="preserve"> 计算开启连接时应计算两个位置：</w:t>
      </w:r>
    </w:p>
    <w:p>
      <w:pPr>
        <w:pStyle w:val="188"/>
        <w:ind w:firstLine="482"/>
        <w:rPr>
          <w:rFonts w:cs="Times New Roman"/>
          <w:b/>
        </w:rPr>
      </w:pPr>
      <w:r>
        <w:rPr>
          <w:rFonts w:cs="Times New Roman"/>
          <w:b/>
        </w:rPr>
        <w:t xml:space="preserve">1 </w:t>
      </w:r>
      <w:r>
        <w:rPr>
          <w:rFonts w:cs="Times New Roman"/>
          <w:bCs w:val="0"/>
          <w:color w:val="000000"/>
          <w:lang w:bidi="ar"/>
        </w:rPr>
        <w:t>锁点承载力计算。在确定锁点承载力计算时宜建立有限元模型确定锁点受力，锁点受力不宜大于0.4kN，锁点距离宜不大于500mm；</w:t>
      </w:r>
    </w:p>
    <w:p>
      <w:pPr>
        <w:pStyle w:val="188"/>
        <w:ind w:firstLine="482"/>
        <w:rPr>
          <w:rFonts w:cs="Times New Roman"/>
          <w:b/>
        </w:rPr>
      </w:pPr>
      <w:r>
        <w:rPr>
          <w:rFonts w:cs="Times New Roman"/>
          <w:b/>
        </w:rPr>
        <w:t xml:space="preserve">2 </w:t>
      </w:r>
      <w:r>
        <w:rPr>
          <w:rFonts w:cs="Times New Roman"/>
          <w:bCs w:val="0"/>
          <w:color w:val="000000"/>
          <w:lang w:bidi="ar"/>
        </w:rPr>
        <w:t>开启框边缘位置承载力计算；</w:t>
      </w:r>
    </w:p>
    <w:p>
      <w:pPr>
        <w:pStyle w:val="188"/>
        <w:ind w:firstLine="482"/>
        <w:rPr>
          <w:rFonts w:cs="Times New Roman"/>
          <w:b/>
        </w:rPr>
      </w:pPr>
      <w:r>
        <w:rPr>
          <w:rFonts w:cs="Times New Roman"/>
          <w:b/>
        </w:rPr>
        <w:t xml:space="preserve">3 </w:t>
      </w:r>
      <w:r>
        <w:rPr>
          <w:rFonts w:cs="Times New Roman"/>
          <w:bCs w:val="0"/>
          <w:color w:val="000000"/>
          <w:lang w:bidi="ar"/>
        </w:rPr>
        <w:t>开启框与主龙骨之间使用螺钉连接时不宜有缝隙，型材孔壁的局部厚度不应小于螺钉的公称直径。有缝隙时应计算螺钉的抗弯和抗剪强度。</w:t>
      </w:r>
    </w:p>
    <w:p>
      <w:pPr>
        <w:spacing w:line="360" w:lineRule="auto"/>
        <w:rPr>
          <w:rFonts w:ascii="Times New Roman" w:hAnsi="Times New Roman" w:cs="Times New Roman"/>
          <w:color w:val="000000"/>
          <w:lang w:bidi="ar"/>
        </w:rPr>
      </w:pPr>
      <w:r>
        <w:rPr>
          <w:rFonts w:ascii="Times New Roman" w:hAnsi="Times New Roman" w:cs="Times New Roman"/>
          <w:b/>
        </w:rPr>
        <w:t xml:space="preserve">7.2.10 </w:t>
      </w:r>
      <w:r>
        <w:rPr>
          <w:rFonts w:ascii="Times New Roman" w:hAnsi="Times New Roman" w:cs="Times New Roman"/>
          <w:color w:val="000000"/>
          <w:lang w:bidi="ar"/>
        </w:rPr>
        <w:t>开启窗宜采用隔热型材。五金件应安装在隔热条内侧的框型材上，并有防松脱措施。计算框整体受力时应考虑隔热条对框的削弱作用。</w:t>
      </w:r>
    </w:p>
    <w:p>
      <w:pPr>
        <w:spacing w:line="360" w:lineRule="auto"/>
        <w:rPr>
          <w:rFonts w:ascii="Times New Roman" w:hAnsi="Times New Roman" w:cs="Times New Roman"/>
          <w:color w:val="000000"/>
          <w:lang w:bidi="ar"/>
        </w:rPr>
      </w:pPr>
      <w:r>
        <w:rPr>
          <w:rFonts w:ascii="Times New Roman" w:hAnsi="Times New Roman" w:cs="Times New Roman"/>
          <w:b/>
        </w:rPr>
        <w:t>7.2.11</w:t>
      </w:r>
      <w:r>
        <w:rPr>
          <w:rFonts w:ascii="Times New Roman" w:hAnsi="Times New Roman" w:cs="Times New Roman"/>
          <w:color w:val="000000"/>
          <w:lang w:bidi="ar"/>
        </w:rPr>
        <w:t xml:space="preserve"> 开启窗玻璃采用隐框形式安装时，中空玻璃的第二道密封应使用硅酮结构密封胶，结构胶宽度经计算确定。</w:t>
      </w:r>
    </w:p>
    <w:p>
      <w:pPr>
        <w:pStyle w:val="198"/>
        <w:rPr>
          <w:rFonts w:ascii="Times New Roman" w:hAnsi="Times New Roman"/>
        </w:rPr>
      </w:pPr>
      <w:bookmarkStart w:id="60" w:name="_Toc162996230"/>
      <w:r>
        <w:rPr>
          <w:rFonts w:ascii="Times New Roman" w:hAnsi="Times New Roman"/>
        </w:rPr>
        <w:t>7.3 与主体结构连接计算</w:t>
      </w:r>
      <w:bookmarkEnd w:id="60"/>
    </w:p>
    <w:p>
      <w:pPr>
        <w:pStyle w:val="189"/>
      </w:pPr>
      <w:r>
        <w:rPr>
          <w:b/>
        </w:rPr>
        <w:t>7.3.1</w:t>
      </w:r>
      <w:r>
        <w:t xml:space="preserve"> 幕墙与主体结构连接设计应符合下列规定：</w:t>
      </w:r>
    </w:p>
    <w:p>
      <w:pPr>
        <w:pStyle w:val="188"/>
        <w:ind w:firstLine="482"/>
        <w:rPr>
          <w:rFonts w:cs="Times New Roman"/>
          <w:b/>
        </w:rPr>
      </w:pPr>
      <w:r>
        <w:rPr>
          <w:rFonts w:cs="Times New Roman"/>
          <w:b/>
        </w:rPr>
        <w:t xml:space="preserve">1 </w:t>
      </w:r>
      <w:r>
        <w:rPr>
          <w:rFonts w:cs="Times New Roman"/>
        </w:rPr>
        <w:t>主体结构应能承受幕墙结构传递的荷载和作用。幕墙和主体结构的连接构造除应满足幕墙的荷载传递外，还应满足主体结构和幕墙间的相互变形要求。可会同主体结构设计校核主体结构对幕墙体系的影响</w:t>
      </w:r>
      <w:r>
        <w:rPr>
          <w:rFonts w:hint="eastAsia" w:cs="Times New Roman"/>
        </w:rPr>
        <w:t>；</w:t>
      </w:r>
      <w:r>
        <w:rPr>
          <w:rFonts w:cs="Times New Roman"/>
          <w:b/>
        </w:rPr>
        <w:t xml:space="preserve"> </w:t>
      </w:r>
    </w:p>
    <w:p>
      <w:pPr>
        <w:pStyle w:val="188"/>
        <w:ind w:firstLine="482"/>
        <w:rPr>
          <w:rFonts w:cs="Times New Roman"/>
          <w:b/>
        </w:rPr>
      </w:pPr>
      <w:r>
        <w:rPr>
          <w:rFonts w:cs="Times New Roman"/>
          <w:b/>
        </w:rPr>
        <w:t xml:space="preserve">2 </w:t>
      </w:r>
      <w:r>
        <w:rPr>
          <w:rFonts w:cs="Times New Roman"/>
        </w:rPr>
        <w:t>幕墙结构与砌体结构连接时，宜在连接部位的主体结构上增设钢筋混凝土或钢结构梁、柱。幕墙的支承结构不应直接支承在轻质填充墙上</w:t>
      </w:r>
      <w:r>
        <w:rPr>
          <w:rFonts w:hint="eastAsia" w:cs="Times New Roman"/>
        </w:rPr>
        <w:t>；</w:t>
      </w:r>
      <w:r>
        <w:rPr>
          <w:rFonts w:cs="Times New Roman"/>
          <w:b/>
        </w:rPr>
        <w:t xml:space="preserve"> </w:t>
      </w:r>
    </w:p>
    <w:p>
      <w:pPr>
        <w:pStyle w:val="188"/>
        <w:ind w:firstLine="482"/>
        <w:rPr>
          <w:rFonts w:cs="Times New Roman"/>
          <w:b/>
        </w:rPr>
      </w:pPr>
      <w:r>
        <w:rPr>
          <w:rFonts w:cs="Times New Roman"/>
          <w:b/>
        </w:rPr>
        <w:t xml:space="preserve">3 </w:t>
      </w:r>
      <w:r>
        <w:rPr>
          <w:rFonts w:cs="Times New Roman"/>
        </w:rPr>
        <w:t>幕墙与主体钢结构连接，应在主体钢结构加工前提出连接的设计要求，并在加工时完成连接构造。未经主体结构设计同意，现场不得在钢结构柱及主梁上焊接各类转接件</w:t>
      </w:r>
      <w:r>
        <w:rPr>
          <w:rFonts w:hint="eastAsia" w:cs="Times New Roman"/>
        </w:rPr>
        <w:t>；</w:t>
      </w:r>
      <w:r>
        <w:rPr>
          <w:rFonts w:cs="Times New Roman"/>
        </w:rPr>
        <w:t xml:space="preserve"> </w:t>
      </w:r>
    </w:p>
    <w:p>
      <w:pPr>
        <w:pStyle w:val="188"/>
        <w:ind w:firstLine="482"/>
        <w:rPr>
          <w:rFonts w:cs="Times New Roman"/>
          <w:b/>
        </w:rPr>
      </w:pPr>
      <w:r>
        <w:rPr>
          <w:rFonts w:cs="Times New Roman"/>
          <w:b/>
        </w:rPr>
        <w:t xml:space="preserve">4 </w:t>
      </w:r>
      <w:r>
        <w:rPr>
          <w:rFonts w:cs="Times New Roman"/>
        </w:rPr>
        <w:t>主体结构变形缝部位的幕墙构造，应能满足幕墙变形的要求，且与主体结构变形相协调</w:t>
      </w:r>
      <w:r>
        <w:rPr>
          <w:rFonts w:hint="eastAsia" w:cs="Times New Roman"/>
        </w:rPr>
        <w:t>；</w:t>
      </w:r>
    </w:p>
    <w:p>
      <w:pPr>
        <w:pStyle w:val="188"/>
        <w:ind w:firstLine="482"/>
        <w:rPr>
          <w:rFonts w:cs="Times New Roman"/>
        </w:rPr>
      </w:pPr>
      <w:r>
        <w:rPr>
          <w:rFonts w:cs="Times New Roman"/>
          <w:b/>
        </w:rPr>
        <w:t xml:space="preserve">5 </w:t>
      </w:r>
      <w:r>
        <w:rPr>
          <w:rFonts w:cs="Times New Roman"/>
        </w:rPr>
        <w:t>幕墙构件和连接的计算分析应有明确的计算模型。应力和变形计算应计入面板自重偏心和其他连接偏心产生的附加影响</w:t>
      </w:r>
      <w:r>
        <w:rPr>
          <w:rFonts w:hint="eastAsia" w:cs="Times New Roman"/>
        </w:rPr>
        <w:t>；</w:t>
      </w:r>
    </w:p>
    <w:p>
      <w:pPr>
        <w:pStyle w:val="188"/>
        <w:ind w:firstLine="482"/>
        <w:rPr>
          <w:rFonts w:cs="Times New Roman"/>
        </w:rPr>
      </w:pPr>
      <w:r>
        <w:rPr>
          <w:rFonts w:cs="Times New Roman"/>
          <w:b/>
        </w:rPr>
        <w:t>6</w:t>
      </w:r>
      <w:r>
        <w:rPr>
          <w:rFonts w:cs="Times New Roman"/>
        </w:rPr>
        <w:t xml:space="preserve"> 当没有条件采用预埋件连接时，应采用后置埋件等其他可靠的连接措施，并通过试验确定其可靠性。预埋件埋设时应有防浇筑混疑土震动时产生偏位措施，但不得与主体结构钢筋直接焊接。</w:t>
      </w:r>
    </w:p>
    <w:p>
      <w:pPr>
        <w:pStyle w:val="189"/>
      </w:pPr>
      <w:r>
        <w:rPr>
          <w:b/>
        </w:rPr>
        <w:t xml:space="preserve">7.3.2 </w:t>
      </w:r>
      <w:r>
        <w:t xml:space="preserve">预埋件连接应符合下列规定： </w:t>
      </w:r>
    </w:p>
    <w:p>
      <w:pPr>
        <w:pStyle w:val="188"/>
        <w:ind w:firstLine="482"/>
        <w:rPr>
          <w:rFonts w:cs="Times New Roman"/>
          <w:b/>
        </w:rPr>
      </w:pPr>
      <w:r>
        <w:rPr>
          <w:rFonts w:cs="Times New Roman"/>
          <w:b/>
        </w:rPr>
        <w:t xml:space="preserve">1 </w:t>
      </w:r>
      <w:r>
        <w:rPr>
          <w:rFonts w:cs="Times New Roman"/>
        </w:rPr>
        <w:t>幕墙结构连接件与主体结构的锚固承载力设计值应大于连接件的实际承载力设计值。与主体结构或埋板直接连接的连接件厚度不应小于6mm。重要连接件或主要受力构件不宜与埋件仰焊连接。</w:t>
      </w:r>
      <w:r>
        <w:rPr>
          <w:rFonts w:cs="Times New Roman"/>
          <w:b/>
        </w:rPr>
        <w:t xml:space="preserve"> </w:t>
      </w:r>
    </w:p>
    <w:p>
      <w:pPr>
        <w:pStyle w:val="188"/>
        <w:ind w:firstLine="482"/>
        <w:rPr>
          <w:rFonts w:cs="Times New Roman"/>
          <w:b/>
        </w:rPr>
      </w:pPr>
      <w:r>
        <w:rPr>
          <w:rFonts w:cs="Times New Roman"/>
          <w:b/>
        </w:rPr>
        <w:t xml:space="preserve">2 </w:t>
      </w:r>
      <w:r>
        <w:rPr>
          <w:rFonts w:cs="Times New Roman"/>
        </w:rPr>
        <w:t>幕墙结构与主体混凝土结构应通过预埋件连接，预埋件应在主体结构混凝土施工时埋入，预埋件的位置应准确。主体结构应能满足埋件的结构受力需要，并应经主体结构设计单位确认。</w:t>
      </w:r>
      <w:r>
        <w:rPr>
          <w:rFonts w:cs="Times New Roman"/>
          <w:b/>
        </w:rPr>
        <w:t xml:space="preserve"> </w:t>
      </w:r>
    </w:p>
    <w:p>
      <w:pPr>
        <w:pStyle w:val="188"/>
        <w:ind w:firstLine="482"/>
        <w:rPr>
          <w:rFonts w:cs="Times New Roman"/>
        </w:rPr>
      </w:pPr>
      <w:r>
        <w:rPr>
          <w:rFonts w:cs="Times New Roman"/>
          <w:b/>
        </w:rPr>
        <w:t xml:space="preserve">3 </w:t>
      </w:r>
      <w:r>
        <w:rPr>
          <w:rFonts w:cs="Times New Roman"/>
        </w:rPr>
        <w:t>由锚板和对称配置的锚固钢筋所组成的受力预埋件，可按现行国家标准《混凝土结构设计规范》GB 50010的相关规定设计。</w:t>
      </w:r>
    </w:p>
    <w:p>
      <w:pPr>
        <w:pStyle w:val="188"/>
        <w:ind w:firstLine="480"/>
        <w:rPr>
          <w:rFonts w:eastAsia="楷体" w:cs="Times New Roman"/>
          <w:bCs w:val="0"/>
          <w:color w:val="0000FF"/>
          <w:lang w:bidi="ar"/>
        </w:rPr>
      </w:pPr>
      <w:r>
        <w:rPr>
          <w:rFonts w:cs="Times New Roman"/>
        </w:rPr>
        <w:drawing>
          <wp:inline distT="0" distB="0" distL="114300" distR="114300">
            <wp:extent cx="5060950" cy="1865630"/>
            <wp:effectExtent l="0" t="0" r="6350" b="127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01"/>
                    <a:stretch>
                      <a:fillRect/>
                    </a:stretch>
                  </pic:blipFill>
                  <pic:spPr>
                    <a:xfrm>
                      <a:off x="0" y="0"/>
                      <a:ext cx="5060950" cy="1865630"/>
                    </a:xfrm>
                    <a:prstGeom prst="rect">
                      <a:avLst/>
                    </a:prstGeom>
                    <a:noFill/>
                    <a:ln>
                      <a:noFill/>
                    </a:ln>
                  </pic:spPr>
                </pic:pic>
              </a:graphicData>
            </a:graphic>
          </wp:inline>
        </w:drawing>
      </w:r>
    </w:p>
    <w:p>
      <w:pPr>
        <w:autoSpaceDE w:val="0"/>
        <w:autoSpaceDN w:val="0"/>
        <w:spacing w:line="360" w:lineRule="auto"/>
        <w:contextualSpacing/>
        <w:jc w:val="center"/>
        <w:rPr>
          <w:rFonts w:ascii="Times New Roman" w:hAnsi="Times New Roman" w:cs="Times New Roman"/>
          <w:bCs/>
          <w:sz w:val="21"/>
          <w:szCs w:val="21"/>
        </w:rPr>
      </w:pPr>
      <w:r>
        <w:rPr>
          <w:rFonts w:ascii="Times New Roman" w:hAnsi="Times New Roman" w:eastAsia="黑体" w:cs="Times New Roman"/>
          <w:bCs/>
          <w:sz w:val="21"/>
          <w:szCs w:val="21"/>
        </w:rPr>
        <w:t>图7.3.2</w:t>
      </w:r>
      <w:r>
        <w:rPr>
          <w:rFonts w:ascii="Times New Roman" w:hAnsi="Times New Roman" w:cs="Times New Roman"/>
          <w:bCs/>
          <w:sz w:val="21"/>
          <w:szCs w:val="21"/>
        </w:rPr>
        <w:t xml:space="preserve">  </w:t>
      </w:r>
      <w:r>
        <w:rPr>
          <w:rFonts w:ascii="Times New Roman" w:hAnsi="Times New Roman" w:eastAsia="黑体" w:cs="Times New Roman"/>
          <w:bCs/>
          <w:sz w:val="21"/>
          <w:szCs w:val="21"/>
        </w:rPr>
        <w:t>预埋板连接构造示意图</w:t>
      </w:r>
    </w:p>
    <w:p>
      <w:pPr>
        <w:pStyle w:val="188"/>
        <w:ind w:firstLine="720" w:firstLineChars="300"/>
        <w:rPr>
          <w:rFonts w:cs="Times New Roman"/>
          <w:bCs w:val="0"/>
          <w:lang w:bidi="ar"/>
        </w:rPr>
      </w:pPr>
      <w:r>
        <w:rPr>
          <w:rFonts w:cs="Times New Roman"/>
          <w:bCs w:val="0"/>
          <w:lang w:bidi="ar"/>
        </w:rPr>
        <w:t>1）当有剪力、法向拉力和弯矩共同作用时，应分别按式（1）和式（2）计算，并取二者的较大值：</w:t>
      </w:r>
    </w:p>
    <w:tbl>
      <w:tblPr>
        <w:tblStyle w:val="37"/>
        <w:tblW w:w="4750" w:type="pct"/>
        <w:jc w:val="right"/>
        <w:tblLayout w:type="fixed"/>
        <w:tblCellMar>
          <w:top w:w="0" w:type="dxa"/>
          <w:left w:w="108" w:type="dxa"/>
          <w:bottom w:w="0" w:type="dxa"/>
          <w:right w:w="108" w:type="dxa"/>
        </w:tblCellMar>
      </w:tblPr>
      <w:tblGrid>
        <w:gridCol w:w="7745"/>
        <w:gridCol w:w="1616"/>
      </w:tblGrid>
      <w:tr>
        <w:tblPrEx>
          <w:tblCellMar>
            <w:top w:w="0" w:type="dxa"/>
            <w:left w:w="108" w:type="dxa"/>
            <w:bottom w:w="0" w:type="dxa"/>
            <w:right w:w="108" w:type="dxa"/>
          </w:tblCellMar>
        </w:tblPrEx>
        <w:trPr>
          <w:jc w:val="right"/>
        </w:trPr>
        <w:tc>
          <w:tcPr>
            <w:tcW w:w="7299" w:type="dxa"/>
            <w:shd w:val="clear" w:color="auto" w:fill="auto"/>
            <w:vAlign w:val="center"/>
          </w:tcPr>
          <w:p>
            <w:pPr>
              <w:spacing w:line="360" w:lineRule="auto"/>
              <w:jc w:val="center"/>
              <w:rPr>
                <w:rFonts w:ascii="Times New Roman" w:hAnsi="Times New Roman" w:cs="Times New Roman"/>
              </w:rPr>
            </w:pPr>
            <w:r>
              <w:rPr>
                <w:rFonts w:ascii="Times New Roman" w:hAnsi="Times New Roman" w:cs="Times New Roman"/>
                <w:position w:val="-32"/>
              </w:rPr>
              <w:object>
                <v:shape id="_x0000_i1183" o:spt="75" type="#_x0000_t75" style="height:34.8pt;width:177.6pt;" o:ole="t" filled="f" o:preferrelative="t" stroked="f" coordsize="21600,21600">
                  <v:path/>
                  <v:fill on="f" focussize="0,0"/>
                  <v:stroke on="f" joinstyle="miter"/>
                  <v:imagedata r:id="rId303" o:title=""/>
                  <o:lock v:ext="edit" aspectratio="t"/>
                  <w10:wrap type="none"/>
                  <w10:anchorlock/>
                </v:shape>
                <o:OLEObject Type="Embed" ProgID="Equation.DSMT4" ShapeID="_x0000_i1183" DrawAspect="Content" ObjectID="_1468075883" r:id="rId302">
                  <o:LockedField>false</o:LockedField>
                </o:OLEObject>
              </w:object>
            </w:r>
          </w:p>
        </w:tc>
        <w:tc>
          <w:tcPr>
            <w:tcW w:w="1523" w:type="dxa"/>
            <w:shd w:val="clear" w:color="auto" w:fill="auto"/>
            <w:vAlign w:val="center"/>
          </w:tcPr>
          <w:p>
            <w:pPr>
              <w:pStyle w:val="189"/>
              <w:jc w:val="right"/>
            </w:pPr>
            <w:r>
              <w:rPr>
                <w:kern w:val="2"/>
              </w:rPr>
              <w:t>（7.3.2-1）</w:t>
            </w:r>
          </w:p>
        </w:tc>
      </w:tr>
      <w:tr>
        <w:tblPrEx>
          <w:tblCellMar>
            <w:top w:w="0" w:type="dxa"/>
            <w:left w:w="108" w:type="dxa"/>
            <w:bottom w:w="0" w:type="dxa"/>
            <w:right w:w="108" w:type="dxa"/>
          </w:tblCellMar>
        </w:tblPrEx>
        <w:trPr>
          <w:jc w:val="right"/>
        </w:trPr>
        <w:tc>
          <w:tcPr>
            <w:tcW w:w="7299" w:type="dxa"/>
            <w:shd w:val="clear" w:color="auto" w:fill="auto"/>
            <w:vAlign w:val="center"/>
          </w:tcPr>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position w:val="-42"/>
              </w:rPr>
              <w:object>
                <v:shape id="_x0000_i1184" o:spt="75" type="#_x0000_t75" style="height:40.2pt;width:147pt;" o:ole="t" filled="f" o:preferrelative="t" stroked="f" coordsize="21600,21600">
                  <v:path/>
                  <v:fill on="f" focussize="0,0"/>
                  <v:stroke on="f" joinstyle="miter"/>
                  <v:imagedata r:id="rId305" o:title=""/>
                  <o:lock v:ext="edit" aspectratio="t"/>
                  <w10:wrap type="none"/>
                  <w10:anchorlock/>
                </v:shape>
                <o:OLEObject Type="Embed" ProgID="Equation.DSMT4" ShapeID="_x0000_i1184" DrawAspect="Content" ObjectID="_1468075884" r:id="rId304">
                  <o:LockedField>false</o:LockedField>
                </o:OLEObject>
              </w:object>
            </w:r>
          </w:p>
        </w:tc>
        <w:tc>
          <w:tcPr>
            <w:tcW w:w="1523" w:type="dxa"/>
            <w:shd w:val="clear" w:color="auto" w:fill="auto"/>
            <w:vAlign w:val="center"/>
          </w:tcPr>
          <w:p>
            <w:pPr>
              <w:pStyle w:val="189"/>
              <w:spacing w:before="120" w:beforeLines="50" w:after="120" w:afterLines="50"/>
              <w:jc w:val="right"/>
            </w:pPr>
            <w:r>
              <w:rPr>
                <w:kern w:val="2"/>
              </w:rPr>
              <w:t>（7.3.2-2）</w:t>
            </w:r>
          </w:p>
        </w:tc>
      </w:tr>
    </w:tbl>
    <w:p>
      <w:pPr>
        <w:pStyle w:val="188"/>
        <w:ind w:firstLine="720" w:firstLineChars="300"/>
        <w:rPr>
          <w:rFonts w:cs="Times New Roman" w:eastAsiaTheme="minorEastAsia"/>
          <w:bCs w:val="0"/>
          <w:lang w:bidi="ar"/>
        </w:rPr>
      </w:pPr>
      <w:r>
        <w:rPr>
          <w:rFonts w:cs="Times New Roman" w:eastAsiaTheme="minorEastAsia"/>
          <w:bCs w:val="0"/>
          <w:lang w:bidi="ar"/>
        </w:rPr>
        <w:t>2）当有剪力、法向压力和弯矩共同作用时，应分别按式（3）和式（4）计算，并取二者的较大值：</w:t>
      </w:r>
    </w:p>
    <w:tbl>
      <w:tblPr>
        <w:tblStyle w:val="37"/>
        <w:tblW w:w="4750" w:type="pct"/>
        <w:jc w:val="right"/>
        <w:tblLayout w:type="fixed"/>
        <w:tblCellMar>
          <w:top w:w="0" w:type="dxa"/>
          <w:left w:w="108" w:type="dxa"/>
          <w:bottom w:w="0" w:type="dxa"/>
          <w:right w:w="108" w:type="dxa"/>
        </w:tblCellMar>
      </w:tblPr>
      <w:tblGrid>
        <w:gridCol w:w="7745"/>
        <w:gridCol w:w="1616"/>
      </w:tblGrid>
      <w:tr>
        <w:tblPrEx>
          <w:tblCellMar>
            <w:top w:w="0" w:type="dxa"/>
            <w:left w:w="108" w:type="dxa"/>
            <w:bottom w:w="0" w:type="dxa"/>
            <w:right w:w="108" w:type="dxa"/>
          </w:tblCellMar>
        </w:tblPrEx>
        <w:trPr>
          <w:jc w:val="right"/>
        </w:trPr>
        <w:tc>
          <w:tcPr>
            <w:tcW w:w="7299" w:type="dxa"/>
            <w:shd w:val="clear" w:color="auto" w:fill="auto"/>
            <w:vAlign w:val="center"/>
          </w:tcPr>
          <w:p>
            <w:pPr>
              <w:spacing w:line="360" w:lineRule="auto"/>
              <w:jc w:val="center"/>
              <w:rPr>
                <w:rFonts w:ascii="Times New Roman" w:hAnsi="Times New Roman" w:cs="Times New Roman"/>
              </w:rPr>
            </w:pPr>
            <w:r>
              <w:rPr>
                <w:rFonts w:ascii="Times New Roman" w:hAnsi="Times New Roman" w:cs="Times New Roman"/>
                <w:position w:val="-32"/>
              </w:rPr>
              <w:object>
                <v:shape id="_x0000_i1185" o:spt="75" type="#_x0000_t75" style="height:34.8pt;width:137.4pt;" o:ole="t" filled="f" o:preferrelative="t" stroked="f" coordsize="21600,21600">
                  <v:path/>
                  <v:fill on="f" focussize="0,0"/>
                  <v:stroke on="f" joinstyle="miter"/>
                  <v:imagedata r:id="rId307" o:title=""/>
                  <o:lock v:ext="edit" aspectratio="t"/>
                  <w10:wrap type="none"/>
                  <w10:anchorlock/>
                </v:shape>
                <o:OLEObject Type="Embed" ProgID="Equation.DSMT4" ShapeID="_x0000_i1185" DrawAspect="Content" ObjectID="_1468075885" r:id="rId306">
                  <o:LockedField>false</o:LockedField>
                </o:OLEObject>
              </w:object>
            </w:r>
          </w:p>
        </w:tc>
        <w:tc>
          <w:tcPr>
            <w:tcW w:w="1523" w:type="dxa"/>
            <w:shd w:val="clear" w:color="auto" w:fill="auto"/>
            <w:vAlign w:val="center"/>
          </w:tcPr>
          <w:p>
            <w:pPr>
              <w:pStyle w:val="189"/>
              <w:jc w:val="right"/>
            </w:pPr>
            <w:r>
              <w:rPr>
                <w:kern w:val="2"/>
              </w:rPr>
              <w:t>（7.3.2-3）</w:t>
            </w:r>
          </w:p>
        </w:tc>
      </w:tr>
      <w:tr>
        <w:tblPrEx>
          <w:tblCellMar>
            <w:top w:w="0" w:type="dxa"/>
            <w:left w:w="108" w:type="dxa"/>
            <w:bottom w:w="0" w:type="dxa"/>
            <w:right w:w="108" w:type="dxa"/>
          </w:tblCellMar>
        </w:tblPrEx>
        <w:trPr>
          <w:jc w:val="right"/>
        </w:trPr>
        <w:tc>
          <w:tcPr>
            <w:tcW w:w="7299" w:type="dxa"/>
            <w:shd w:val="clear" w:color="auto" w:fill="auto"/>
            <w:vAlign w:val="center"/>
          </w:tcPr>
          <w:p>
            <w:pPr>
              <w:spacing w:line="360" w:lineRule="auto"/>
              <w:jc w:val="center"/>
              <w:rPr>
                <w:rFonts w:ascii="Times New Roman" w:hAnsi="Times New Roman" w:cs="Times New Roman" w:eastAsiaTheme="minorEastAsia"/>
              </w:rPr>
            </w:pPr>
            <w:r>
              <w:rPr>
                <w:rFonts w:ascii="Times New Roman" w:hAnsi="Times New Roman" w:cs="Times New Roman"/>
                <w:position w:val="-32"/>
              </w:rPr>
              <w:object>
                <v:shape id="_x0000_i1186" o:spt="75" type="#_x0000_t75" style="height:34.8pt;width:82.8pt;" o:ole="t" filled="f" o:preferrelative="t" stroked="f" coordsize="21600,21600">
                  <v:path/>
                  <v:fill on="f" focussize="0,0"/>
                  <v:stroke on="f" joinstyle="miter"/>
                  <v:imagedata r:id="rId309" o:title=""/>
                  <o:lock v:ext="edit" aspectratio="t"/>
                  <w10:wrap type="none"/>
                  <w10:anchorlock/>
                </v:shape>
                <o:OLEObject Type="Embed" ProgID="Equation.DSMT4" ShapeID="_x0000_i1186" DrawAspect="Content" ObjectID="_1468075886" r:id="rId308">
                  <o:LockedField>false</o:LockedField>
                </o:OLEObject>
              </w:object>
            </w:r>
          </w:p>
        </w:tc>
        <w:tc>
          <w:tcPr>
            <w:tcW w:w="1523" w:type="dxa"/>
            <w:shd w:val="clear" w:color="auto" w:fill="auto"/>
            <w:vAlign w:val="center"/>
          </w:tcPr>
          <w:p>
            <w:pPr>
              <w:pStyle w:val="189"/>
              <w:jc w:val="right"/>
            </w:pPr>
            <w:r>
              <w:rPr>
                <w:kern w:val="2"/>
              </w:rPr>
              <w:t>（7.3.2-4）</w:t>
            </w:r>
          </w:p>
        </w:tc>
      </w:tr>
      <w:tr>
        <w:tblPrEx>
          <w:tblCellMar>
            <w:top w:w="0" w:type="dxa"/>
            <w:left w:w="108" w:type="dxa"/>
            <w:bottom w:w="0" w:type="dxa"/>
            <w:right w:w="108" w:type="dxa"/>
          </w:tblCellMar>
        </w:tblPrEx>
        <w:trPr>
          <w:trHeight w:val="806" w:hRule="atLeast"/>
          <w:jc w:val="right"/>
        </w:trPr>
        <w:tc>
          <w:tcPr>
            <w:tcW w:w="7299" w:type="dxa"/>
            <w:shd w:val="clear" w:color="auto" w:fill="auto"/>
            <w:vAlign w:val="center"/>
          </w:tcPr>
          <w:p>
            <w:pPr>
              <w:spacing w:line="360" w:lineRule="auto"/>
              <w:jc w:val="center"/>
              <w:rPr>
                <w:rFonts w:ascii="Cambria Math" w:hAnsi="Cambria Math" w:cs="Times New Roman"/>
                <w:oMath/>
              </w:rPr>
            </w:pPr>
            <w:r>
              <w:rPr>
                <w:rFonts w:ascii="Times New Roman" w:hAnsi="Times New Roman" w:cs="Times New Roman"/>
                <w:position w:val="-34"/>
              </w:rPr>
              <w:object>
                <v:shape id="_x0000_i1187" o:spt="75" type="#_x0000_t75" style="height:39pt;width:114pt;" o:ole="t" filled="f" o:preferrelative="t" stroked="f" coordsize="21600,21600">
                  <v:path/>
                  <v:fill on="f" focussize="0,0"/>
                  <v:stroke on="f" joinstyle="miter"/>
                  <v:imagedata r:id="rId311" o:title=""/>
                  <o:lock v:ext="edit" aspectratio="t"/>
                  <w10:wrap type="none"/>
                  <w10:anchorlock/>
                </v:shape>
                <o:OLEObject Type="Embed" ProgID="Equation.DSMT4" ShapeID="_x0000_i1187" DrawAspect="Content" ObjectID="_1468075887" r:id="rId310">
                  <o:LockedField>false</o:LockedField>
                </o:OLEObject>
              </w:object>
            </w:r>
          </w:p>
        </w:tc>
        <w:tc>
          <w:tcPr>
            <w:tcW w:w="1523" w:type="dxa"/>
            <w:shd w:val="clear" w:color="auto" w:fill="auto"/>
            <w:vAlign w:val="center"/>
          </w:tcPr>
          <w:p>
            <w:pPr>
              <w:pStyle w:val="189"/>
              <w:jc w:val="right"/>
              <w:rPr>
                <w:kern w:val="2"/>
              </w:rPr>
            </w:pPr>
            <w:r>
              <w:rPr>
                <w:kern w:val="2"/>
              </w:rPr>
              <w:t>（7.3.2-5）</w:t>
            </w:r>
          </w:p>
        </w:tc>
      </w:tr>
      <w:tr>
        <w:tblPrEx>
          <w:tblCellMar>
            <w:top w:w="0" w:type="dxa"/>
            <w:left w:w="108" w:type="dxa"/>
            <w:bottom w:w="0" w:type="dxa"/>
            <w:right w:w="108" w:type="dxa"/>
          </w:tblCellMar>
        </w:tblPrEx>
        <w:trPr>
          <w:trHeight w:val="903" w:hRule="atLeast"/>
          <w:jc w:val="right"/>
        </w:trPr>
        <w:tc>
          <w:tcPr>
            <w:tcW w:w="7299" w:type="dxa"/>
            <w:shd w:val="clear" w:color="auto" w:fill="auto"/>
            <w:vAlign w:val="center"/>
          </w:tcPr>
          <w:p>
            <w:pPr>
              <w:spacing w:line="360" w:lineRule="auto"/>
              <w:jc w:val="center"/>
              <w:rPr>
                <w:rFonts w:ascii="Times New Roman" w:hAnsi="Times New Roman" w:cs="Times New Roman"/>
              </w:rPr>
            </w:pPr>
            <w:r>
              <w:rPr>
                <w:rFonts w:ascii="Times New Roman" w:hAnsi="Times New Roman" w:cs="Times New Roman"/>
                <w:position w:val="-24"/>
              </w:rPr>
              <w:object>
                <v:shape id="_x0000_i1188" o:spt="75" type="#_x0000_t75" style="height:31.2pt;width:84.6pt;" o:ole="t" filled="f" o:preferrelative="t" stroked="f" coordsize="21600,21600">
                  <v:path/>
                  <v:fill on="f" focussize="0,0"/>
                  <v:stroke on="f" joinstyle="miter"/>
                  <v:imagedata r:id="rId313" o:title=""/>
                  <o:lock v:ext="edit" aspectratio="t"/>
                  <w10:wrap type="none"/>
                  <w10:anchorlock/>
                </v:shape>
                <o:OLEObject Type="Embed" ProgID="Equation.DSMT4" ShapeID="_x0000_i1188" DrawAspect="Content" ObjectID="_1468075888" r:id="rId312">
                  <o:LockedField>false</o:LockedField>
                </o:OLEObject>
              </w:object>
            </w:r>
          </w:p>
        </w:tc>
        <w:tc>
          <w:tcPr>
            <w:tcW w:w="1523" w:type="dxa"/>
            <w:shd w:val="clear" w:color="auto" w:fill="auto"/>
            <w:vAlign w:val="center"/>
          </w:tcPr>
          <w:p>
            <w:pPr>
              <w:pStyle w:val="189"/>
              <w:jc w:val="right"/>
              <w:rPr>
                <w:kern w:val="2"/>
              </w:rPr>
            </w:pPr>
            <w:r>
              <w:rPr>
                <w:kern w:val="2"/>
              </w:rPr>
              <w:t>（7.3.2-6）</w:t>
            </w:r>
          </w:p>
        </w:tc>
      </w:tr>
    </w:tbl>
    <w:p>
      <w:pPr>
        <w:pStyle w:val="188"/>
        <w:ind w:firstLine="720" w:firstLineChars="300"/>
        <w:rPr>
          <w:rFonts w:cs="Times New Roman"/>
          <w:bCs w:val="0"/>
          <w:lang w:bidi="ar"/>
        </w:rPr>
      </w:pPr>
      <w:r>
        <w:rPr>
          <w:rFonts w:cs="Times New Roman"/>
          <w:bCs w:val="0"/>
          <w:lang w:bidi="ar"/>
        </w:rPr>
        <w:t>3）当有双向剪力、拉（压）力和双向弯矩共同作用时，可将另一方向剪力和弯矩需要的锚筋面积叠加到式（1）～式（4）中；但是对于式（3）和式（4），应将N用0.5N代替。α</w:t>
      </w:r>
      <w:r>
        <w:rPr>
          <w:rFonts w:cs="Times New Roman"/>
          <w:bCs w:val="0"/>
          <w:vertAlign w:val="subscript"/>
          <w:lang w:bidi="ar"/>
        </w:rPr>
        <w:t>r</w:t>
      </w:r>
      <w:r>
        <w:rPr>
          <w:rFonts w:cs="Times New Roman"/>
          <w:bCs w:val="0"/>
          <w:lang w:bidi="ar"/>
        </w:rPr>
        <w:t>和z对于两个方向取不同值。</w:t>
      </w:r>
    </w:p>
    <w:p>
      <w:pPr>
        <w:pStyle w:val="188"/>
        <w:ind w:firstLine="720" w:firstLineChars="300"/>
        <w:rPr>
          <w:rFonts w:cs="Times New Roman"/>
          <w:bCs w:val="0"/>
          <w:lang w:bidi="ar"/>
        </w:rPr>
      </w:pPr>
      <w:r>
        <w:rPr>
          <w:rFonts w:cs="Times New Roman"/>
          <w:bCs w:val="0"/>
          <w:lang w:bidi="ar"/>
        </w:rPr>
        <w:t>4）当有比较大的扭矩作用时，应按照锚筋的布置计算锚筋的最大剪力， 由此得出剪力最大的锚筋的附加面积，乘以锚筋的总颗数叠加到A</w:t>
      </w:r>
      <w:r>
        <w:rPr>
          <w:rFonts w:cs="Times New Roman"/>
          <w:bCs w:val="0"/>
          <w:vertAlign w:val="subscript"/>
          <w:lang w:bidi="ar"/>
        </w:rPr>
        <w:t>s</w:t>
      </w:r>
      <w:r>
        <w:rPr>
          <w:rFonts w:cs="Times New Roman"/>
          <w:bCs w:val="0"/>
          <w:lang w:bidi="ar"/>
        </w:rPr>
        <w:t>中。</w:t>
      </w:r>
    </w:p>
    <w:p>
      <w:pPr>
        <w:pStyle w:val="189"/>
        <w:rPr>
          <w:rFonts w:eastAsia="楷体"/>
          <w:bCs w:val="0"/>
          <w:szCs w:val="24"/>
          <w:lang w:bidi="ar"/>
        </w:rPr>
      </w:pPr>
      <w:r>
        <w:rPr>
          <w:rFonts w:eastAsia="楷体"/>
          <w:bCs w:val="0"/>
          <w:szCs w:val="24"/>
          <w:lang w:bidi="ar"/>
        </w:rP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i/>
              </w:rPr>
            </w:pPr>
            <w:r>
              <w:rPr>
                <w:rFonts w:ascii="Times New Roman" w:hAnsi="Times New Roman" w:cs="Times New Roman"/>
                <w:i/>
              </w:rPr>
              <w:t>V</w:t>
            </w:r>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剪力设计值（N）；</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i/>
              </w:rPr>
            </w:pPr>
            <w:r>
              <w:rPr>
                <w:rFonts w:ascii="Times New Roman" w:hAnsi="Times New Roman" w:cs="Times New Roman"/>
                <w:bCs/>
                <w:i/>
              </w:rPr>
              <w:t>N</w:t>
            </w:r>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法向拉力或法向压力设计值（N）。当为法向压力设计值时，不应大于0.5</w:t>
            </w:r>
            <w:r>
              <w:rPr>
                <w:i/>
                <w:iCs/>
              </w:rPr>
              <w:t>f</w:t>
            </w:r>
            <w:r>
              <w:rPr>
                <w:i/>
                <w:iCs/>
                <w:vertAlign w:val="subscript"/>
              </w:rPr>
              <w:t>c</w:t>
            </w:r>
            <w:r>
              <w:rPr>
                <w:i/>
                <w:iCs/>
              </w:rPr>
              <w:t>A</w:t>
            </w:r>
            <w:r>
              <w:t>，此处</w:t>
            </w:r>
            <w:r>
              <w:rPr>
                <w:i/>
                <w:iCs/>
              </w:rPr>
              <w:t>A</w:t>
            </w:r>
            <w:r>
              <w:t>为锚板的面积（mm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bCs/>
                <w:i/>
              </w:rPr>
            </w:pPr>
            <w:r>
              <w:rPr>
                <w:rFonts w:ascii="Times New Roman" w:hAnsi="Times New Roman" w:cs="Times New Roman"/>
                <w:bCs/>
                <w:i/>
              </w:rPr>
              <w:t>M</w:t>
            </w:r>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弯矩设计值（</w:t>
            </w:r>
            <w:r>
              <w:rPr>
                <w:i/>
                <w:iCs/>
              </w:rPr>
              <w:t>N·mm</w:t>
            </w:r>
            <w:r>
              <w:t>）。当</w:t>
            </w:r>
            <w:r>
              <w:rPr>
                <w:i/>
                <w:iCs/>
              </w:rPr>
              <w:t>M</w:t>
            </w:r>
            <w:r>
              <w:t>小于0.4</w:t>
            </w:r>
            <w:r>
              <w:rPr>
                <w:i/>
                <w:iCs/>
              </w:rPr>
              <w:t>N</w:t>
            </w:r>
            <w:r>
              <w:rPr>
                <w:i/>
                <w:iCs/>
                <w:vertAlign w:val="subscript"/>
              </w:rPr>
              <w:t>z</w:t>
            </w:r>
            <w:r>
              <w:t>时，取</w:t>
            </w:r>
            <w:r>
              <w:rPr>
                <w:i/>
                <w:iCs/>
              </w:rPr>
              <w:t>M</w:t>
            </w:r>
            <w:r>
              <w:t>等于0.4</w:t>
            </w:r>
            <w:r>
              <w:rPr>
                <w:i/>
                <w:iCs/>
              </w:rPr>
              <w:t>N</w:t>
            </w:r>
            <w:r>
              <w:rPr>
                <w:i/>
                <w:iCs/>
                <w:vertAlign w:val="subscript"/>
              </w:rPr>
              <w:t>z</w:t>
            </w:r>
            <w:r>
              <w:rPr>
                <w:i/>
                <w:iCs/>
              </w:rPr>
              <w:t>；</w:t>
            </w:r>
          </w:p>
        </w:tc>
      </w:tr>
      <w:tr>
        <w:tblPrEx>
          <w:tblCellMar>
            <w:top w:w="0" w:type="dxa"/>
            <w:left w:w="108" w:type="dxa"/>
            <w:bottom w:w="0" w:type="dxa"/>
            <w:right w:w="108" w:type="dxa"/>
          </w:tblCellMar>
        </w:tblPrEx>
        <w:tc>
          <w:tcPr>
            <w:tcW w:w="1134" w:type="dxa"/>
            <w:shd w:val="clear" w:color="auto" w:fill="auto"/>
          </w:tcPr>
          <w:p>
            <w:pPr>
              <w:jc w:val="right"/>
              <w:rPr>
                <w:rFonts w:ascii="Cambria Math" w:hAnsi="Cambria Math" w:cs="Times New Roman"/>
                <w:oMath/>
              </w:rPr>
            </w:pPr>
            <w:r>
              <w:rPr>
                <w:rFonts w:ascii="Times New Roman" w:hAnsi="Times New Roman" w:cs="Times New Roman"/>
              </w:rPr>
              <w:drawing>
                <wp:inline distT="0" distB="0" distL="114300" distR="114300">
                  <wp:extent cx="180975" cy="209550"/>
                  <wp:effectExtent l="0" t="0" r="0" b="0"/>
                  <wp:docPr id="2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2"/>
                          <pic:cNvPicPr>
                            <a:picLocks noChangeAspect="1"/>
                          </pic:cNvPicPr>
                        </pic:nvPicPr>
                        <pic:blipFill>
                          <a:blip r:embed="rId314"/>
                          <a:stretch>
                            <a:fillRect/>
                          </a:stretch>
                        </pic:blipFill>
                        <pic:spPr>
                          <a:xfrm>
                            <a:off x="0" y="0"/>
                            <a:ext cx="180975" cy="209550"/>
                          </a:xfrm>
                          <a:prstGeom prst="rect">
                            <a:avLst/>
                          </a:prstGeom>
                          <a:noFill/>
                          <a:ln>
                            <a:noFill/>
                          </a:ln>
                        </pic:spPr>
                      </pic:pic>
                    </a:graphicData>
                  </a:graphic>
                </wp:inline>
              </w:drawing>
            </w:r>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钢筋层数影响系数。当锚筋等间距配置时，二层取1.0，三层取0.9，四层取0.85；</w:t>
            </w:r>
          </w:p>
        </w:tc>
      </w:tr>
      <w:tr>
        <w:tblPrEx>
          <w:tblCellMar>
            <w:top w:w="0" w:type="dxa"/>
            <w:left w:w="108" w:type="dxa"/>
            <w:bottom w:w="0" w:type="dxa"/>
            <w:right w:w="108" w:type="dxa"/>
          </w:tblCellMar>
        </w:tblPrEx>
        <w:tc>
          <w:tcPr>
            <w:tcW w:w="1134" w:type="dxa"/>
            <w:shd w:val="clear" w:color="auto" w:fill="auto"/>
          </w:tcPr>
          <w:p>
            <w:pPr>
              <w:jc w:val="right"/>
              <w:rPr>
                <w:rFonts w:ascii="Cambria Math" w:hAnsi="Cambria Math" w:cs="Times New Roman"/>
                <w:oMath/>
              </w:rPr>
            </w:pPr>
            <w:r>
              <w:rPr>
                <w:rFonts w:ascii="Times New Roman" w:hAnsi="Times New Roman" w:cs="Times New Roman"/>
              </w:rPr>
              <w:drawing>
                <wp:inline distT="0" distB="0" distL="114300" distR="114300">
                  <wp:extent cx="180975" cy="228600"/>
                  <wp:effectExtent l="0" t="0" r="9525" b="0"/>
                  <wp:docPr id="2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0"/>
                          <pic:cNvPicPr>
                            <a:picLocks noChangeAspect="1"/>
                          </pic:cNvPicPr>
                        </pic:nvPicPr>
                        <pic:blipFill>
                          <a:blip r:embed="rId315"/>
                          <a:stretch>
                            <a:fillRect/>
                          </a:stretch>
                        </pic:blipFill>
                        <pic:spPr>
                          <a:xfrm>
                            <a:off x="0" y="0"/>
                            <a:ext cx="180975" cy="228600"/>
                          </a:xfrm>
                          <a:prstGeom prst="rect">
                            <a:avLst/>
                          </a:prstGeom>
                          <a:noFill/>
                          <a:ln>
                            <a:noFill/>
                          </a:ln>
                        </pic:spPr>
                      </pic:pic>
                    </a:graphicData>
                  </a:graphic>
                </wp:inline>
              </w:drawing>
            </w:r>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锚筋抗剪承载力系数，当</w:t>
            </w:r>
            <w:r>
              <w:drawing>
                <wp:inline distT="0" distB="0" distL="114300" distR="114300">
                  <wp:extent cx="180975" cy="228600"/>
                  <wp:effectExtent l="0" t="0" r="9525" b="0"/>
                  <wp:docPr id="2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0"/>
                          <pic:cNvPicPr>
                            <a:picLocks noChangeAspect="1"/>
                          </pic:cNvPicPr>
                        </pic:nvPicPr>
                        <pic:blipFill>
                          <a:blip r:embed="rId315"/>
                          <a:stretch>
                            <a:fillRect/>
                          </a:stretch>
                        </pic:blipFill>
                        <pic:spPr>
                          <a:xfrm>
                            <a:off x="0" y="0"/>
                            <a:ext cx="180975" cy="228600"/>
                          </a:xfrm>
                          <a:prstGeom prst="rect">
                            <a:avLst/>
                          </a:prstGeom>
                          <a:noFill/>
                          <a:ln>
                            <a:noFill/>
                          </a:ln>
                        </pic:spPr>
                      </pic:pic>
                    </a:graphicData>
                  </a:graphic>
                </wp:inline>
              </w:drawing>
            </w:r>
            <w:r>
              <w:t>大于 0.7 时取 0.7；</w:t>
            </w:r>
          </w:p>
        </w:tc>
      </w:tr>
      <w:tr>
        <w:tblPrEx>
          <w:tblCellMar>
            <w:top w:w="0" w:type="dxa"/>
            <w:left w:w="108" w:type="dxa"/>
            <w:bottom w:w="0" w:type="dxa"/>
            <w:right w:w="108" w:type="dxa"/>
          </w:tblCellMar>
        </w:tblPrEx>
        <w:tc>
          <w:tcPr>
            <w:tcW w:w="1134" w:type="dxa"/>
            <w:shd w:val="clear" w:color="auto" w:fill="auto"/>
          </w:tcPr>
          <w:p>
            <w:pPr>
              <w:jc w:val="right"/>
              <w:rPr>
                <w:rFonts w:ascii="Cambria Math" w:hAnsi="Cambria Math" w:cs="Times New Roman"/>
                <w:oMath/>
              </w:rPr>
            </w:pPr>
            <w:r>
              <w:rPr>
                <w:rFonts w:ascii="Times New Roman" w:hAnsi="Times New Roman" w:cs="Times New Roman"/>
              </w:rPr>
              <w:drawing>
                <wp:inline distT="0" distB="0" distL="114300" distR="114300">
                  <wp:extent cx="180975" cy="228600"/>
                  <wp:effectExtent l="0" t="0" r="8890" b="0"/>
                  <wp:docPr id="2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1"/>
                          <pic:cNvPicPr>
                            <a:picLocks noChangeAspect="1"/>
                          </pic:cNvPicPr>
                        </pic:nvPicPr>
                        <pic:blipFill>
                          <a:blip r:embed="rId316"/>
                          <a:stretch>
                            <a:fillRect/>
                          </a:stretch>
                        </pic:blipFill>
                        <pic:spPr>
                          <a:xfrm>
                            <a:off x="0" y="0"/>
                            <a:ext cx="180975" cy="228600"/>
                          </a:xfrm>
                          <a:prstGeom prst="rect">
                            <a:avLst/>
                          </a:prstGeom>
                          <a:noFill/>
                          <a:ln>
                            <a:noFill/>
                          </a:ln>
                        </pic:spPr>
                      </pic:pic>
                    </a:graphicData>
                  </a:graphic>
                </wp:inline>
              </w:drawing>
            </w:r>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锚板弯曲变形折减系数。当采取防止锚板弯曲变形的措施时，可取</w:t>
            </w:r>
          </w:p>
          <w:p>
            <w:pPr>
              <w:pStyle w:val="189"/>
            </w:pPr>
            <w:r>
              <w:t>1.0；</w:t>
            </w:r>
          </w:p>
        </w:tc>
      </w:tr>
      <w:tr>
        <w:tblPrEx>
          <w:tblCellMar>
            <w:top w:w="0" w:type="dxa"/>
            <w:left w:w="108" w:type="dxa"/>
            <w:bottom w:w="0" w:type="dxa"/>
            <w:right w:w="108" w:type="dxa"/>
          </w:tblCellMar>
        </w:tblPrEx>
        <w:tc>
          <w:tcPr>
            <w:tcW w:w="1134" w:type="dxa"/>
            <w:shd w:val="clear" w:color="auto" w:fill="auto"/>
          </w:tcPr>
          <w:p>
            <w:pPr>
              <w:jc w:val="right"/>
              <w:rPr>
                <w:rFonts w:ascii="Cambria Math" w:hAnsi="Cambria Math" w:cs="Times New Roman"/>
                <w:oMath/>
              </w:rPr>
            </w:pPr>
            <w:r>
              <w:rPr>
                <w:rFonts w:ascii="Times New Roman" w:hAnsi="Times New Roman" w:cs="Times New Roman"/>
                <w:i/>
              </w:rPr>
              <w:t>d</w:t>
            </w:r>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锚筋直径（mm）；</w:t>
            </w:r>
          </w:p>
        </w:tc>
      </w:tr>
      <w:tr>
        <w:tblPrEx>
          <w:tblCellMar>
            <w:top w:w="0" w:type="dxa"/>
            <w:left w:w="108" w:type="dxa"/>
            <w:bottom w:w="0" w:type="dxa"/>
            <w:right w:w="108" w:type="dxa"/>
          </w:tblCellMar>
        </w:tblPrEx>
        <w:tc>
          <w:tcPr>
            <w:tcW w:w="1134" w:type="dxa"/>
            <w:shd w:val="clear" w:color="auto" w:fill="auto"/>
          </w:tcPr>
          <w:p>
            <w:pPr>
              <w:jc w:val="right"/>
              <w:rPr>
                <w:rFonts w:ascii="Cambria Math" w:hAnsi="Cambria Math" w:cs="Times New Roman"/>
                <w:oMath/>
              </w:rPr>
            </w:pPr>
            <w:r>
              <w:rPr>
                <w:rFonts w:ascii="Times New Roman" w:hAnsi="Times New Roman" w:cs="Times New Roman"/>
                <w:i/>
              </w:rPr>
              <w:t>t</w:t>
            </w:r>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锚板厚度（mm）；</w:t>
            </w:r>
          </w:p>
        </w:tc>
      </w:tr>
      <w:tr>
        <w:tblPrEx>
          <w:tblCellMar>
            <w:top w:w="0" w:type="dxa"/>
            <w:left w:w="108" w:type="dxa"/>
            <w:bottom w:w="0" w:type="dxa"/>
            <w:right w:w="108" w:type="dxa"/>
          </w:tblCellMar>
        </w:tblPrEx>
        <w:tc>
          <w:tcPr>
            <w:tcW w:w="1134" w:type="dxa"/>
            <w:shd w:val="clear" w:color="auto" w:fill="auto"/>
          </w:tcPr>
          <w:p>
            <w:pPr>
              <w:jc w:val="right"/>
              <w:rPr>
                <w:rFonts w:ascii="Cambria Math" w:hAnsi="Cambria Math" w:cs="Times New Roman"/>
                <w:oMath/>
              </w:rPr>
            </w:pPr>
            <w:r>
              <w:rPr>
                <w:rFonts w:ascii="Times New Roman" w:hAnsi="Times New Roman" w:cs="Times New Roman"/>
                <w:i/>
              </w:rPr>
              <w:t>Z</w:t>
            </w:r>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沿剪力作用方向最外层锚筋中心线之间的距离（mm）；</w:t>
            </w:r>
          </w:p>
        </w:tc>
      </w:tr>
      <w:tr>
        <w:tc>
          <w:tcPr>
            <w:tcW w:w="1134" w:type="dxa"/>
            <w:shd w:val="clear" w:color="auto" w:fill="auto"/>
          </w:tcPr>
          <w:p>
            <w:pPr>
              <w:jc w:val="right"/>
              <w:rPr>
                <w:rFonts w:ascii="Times New Roman" w:hAnsi="Times New Roman" w:cs="Times New Roman"/>
                <w:i/>
              </w:rPr>
            </w:pPr>
            <w:r>
              <w:rPr>
                <w:rFonts w:ascii="Times New Roman" w:hAnsi="Times New Roman" w:cs="Times New Roman"/>
                <w:i/>
              </w:rPr>
              <w:t>f</w:t>
            </w:r>
            <w:r>
              <w:rPr>
                <w:rFonts w:ascii="Times New Roman" w:hAnsi="Times New Roman" w:cs="Times New Roman"/>
                <w:i/>
                <w:vertAlign w:val="subscript"/>
              </w:rPr>
              <w:t>c</w:t>
            </w:r>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混凝土轴心抗压强度设计值（N/mm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i/>
              </w:rPr>
            </w:pPr>
            <w:r>
              <w:rPr>
                <w:rFonts w:ascii="Times New Roman" w:hAnsi="Times New Roman" w:cs="Times New Roman"/>
                <w:i/>
              </w:rPr>
              <w:t>f</w:t>
            </w:r>
            <w:r>
              <w:rPr>
                <w:rFonts w:ascii="Times New Roman" w:hAnsi="Times New Roman" w:cs="Times New Roman"/>
                <w:i/>
                <w:vertAlign w:val="subscript"/>
              </w:rPr>
              <w:t>y</w:t>
            </w:r>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钢筋抗拉强度设计值（N/mm</w:t>
            </w:r>
            <w:r>
              <w:rPr>
                <w:vertAlign w:val="superscript"/>
              </w:rPr>
              <w:t>2</w:t>
            </w:r>
            <w:r>
              <w:t>），但不应大于 300N/mm</w:t>
            </w:r>
            <w:r>
              <w:rPr>
                <w:vertAlign w:val="superscript"/>
              </w:rPr>
              <w:t>2</w:t>
            </w:r>
            <w:r>
              <w:t>。</w:t>
            </w:r>
          </w:p>
        </w:tc>
      </w:tr>
    </w:tbl>
    <w:p>
      <w:pPr>
        <w:pStyle w:val="188"/>
        <w:ind w:firstLine="482"/>
        <w:rPr>
          <w:rFonts w:eastAsia="楷体" w:cs="Times New Roman"/>
          <w:bCs w:val="0"/>
          <w:lang w:bidi="ar"/>
        </w:rPr>
      </w:pPr>
      <w:r>
        <w:rPr>
          <w:rFonts w:eastAsia="楷体" w:cs="Times New Roman"/>
          <w:b/>
          <w:lang w:bidi="ar"/>
        </w:rPr>
        <w:t>4</w:t>
      </w:r>
      <w:r>
        <w:rPr>
          <w:rFonts w:eastAsia="楷体" w:cs="Times New Roman"/>
          <w:bCs w:val="0"/>
          <w:lang w:bidi="ar"/>
        </w:rPr>
        <w:t xml:space="preserve"> </w:t>
      </w:r>
      <w:r>
        <w:rPr>
          <w:rFonts w:cs="Times New Roman"/>
          <w:bCs w:val="0"/>
          <w:lang w:bidi="ar"/>
        </w:rPr>
        <w:t>受拉直锚筋的基本锚固长度应按式（7）计算，同时不应小于200mm。受剪和受压直锚筋的锚固长度不应小于 15 倍锚固钢筋直径。当混凝土的厚度不能满足锚筋的锚固长度要求时，可采用两侧都有埋板的对穿埋件，且应保证其设计反力不超过混凝土的冲切承载力。</w:t>
      </w:r>
    </w:p>
    <w:tbl>
      <w:tblPr>
        <w:tblStyle w:val="37"/>
        <w:tblW w:w="4750" w:type="pct"/>
        <w:jc w:val="right"/>
        <w:tblLayout w:type="fixed"/>
        <w:tblCellMar>
          <w:top w:w="0" w:type="dxa"/>
          <w:left w:w="108" w:type="dxa"/>
          <w:bottom w:w="0" w:type="dxa"/>
          <w:right w:w="108" w:type="dxa"/>
        </w:tblCellMar>
      </w:tblPr>
      <w:tblGrid>
        <w:gridCol w:w="7745"/>
        <w:gridCol w:w="1616"/>
      </w:tblGrid>
      <w:tr>
        <w:tblPrEx>
          <w:tblCellMar>
            <w:top w:w="0" w:type="dxa"/>
            <w:left w:w="108" w:type="dxa"/>
            <w:bottom w:w="0" w:type="dxa"/>
            <w:right w:w="108" w:type="dxa"/>
          </w:tblCellMar>
        </w:tblPrEx>
        <w:trPr>
          <w:jc w:val="right"/>
        </w:trPr>
        <w:tc>
          <w:tcPr>
            <w:tcW w:w="7299" w:type="dxa"/>
            <w:shd w:val="clear" w:color="auto" w:fill="auto"/>
            <w:vAlign w:val="center"/>
          </w:tcPr>
          <w:p>
            <w:pPr>
              <w:spacing w:line="360" w:lineRule="auto"/>
              <w:jc w:val="center"/>
              <w:rPr>
                <w:rFonts w:ascii="Times New Roman" w:hAnsi="Times New Roman" w:cs="Times New Roman"/>
              </w:rPr>
            </w:pPr>
            <w:r>
              <w:rPr>
                <w:rFonts w:ascii="Times New Roman" w:hAnsi="Times New Roman" w:cs="Times New Roman"/>
                <w:position w:val="-30"/>
              </w:rPr>
              <w:object>
                <v:shape id="_x0000_i1189" o:spt="75" type="#_x0000_t75" style="height:36pt;width:59.4pt;" o:ole="t" filled="f" o:preferrelative="t" stroked="f" coordsize="21600,21600">
                  <v:path/>
                  <v:fill on="f" focussize="0,0"/>
                  <v:stroke on="f" joinstyle="miter"/>
                  <v:imagedata r:id="rId318" o:title=""/>
                  <o:lock v:ext="edit" aspectratio="t"/>
                  <w10:wrap type="none"/>
                  <w10:anchorlock/>
                </v:shape>
                <o:OLEObject Type="Embed" ProgID="Equation.DSMT4" ShapeID="_x0000_i1189" DrawAspect="Content" ObjectID="_1468075889" r:id="rId317">
                  <o:LockedField>false</o:LockedField>
                </o:OLEObject>
              </w:object>
            </w:r>
          </w:p>
        </w:tc>
        <w:tc>
          <w:tcPr>
            <w:tcW w:w="1523" w:type="dxa"/>
            <w:shd w:val="clear" w:color="auto" w:fill="auto"/>
            <w:vAlign w:val="center"/>
          </w:tcPr>
          <w:p>
            <w:pPr>
              <w:pStyle w:val="189"/>
              <w:jc w:val="right"/>
            </w:pPr>
            <w:r>
              <w:rPr>
                <w:kern w:val="2"/>
              </w:rPr>
              <w:t>（7.3.2-7）</w:t>
            </w:r>
          </w:p>
        </w:tc>
      </w:tr>
    </w:tbl>
    <w:p>
      <w:pPr>
        <w:pStyle w:val="188"/>
        <w:ind w:firstLine="0" w:firstLineChars="0"/>
        <w:rPr>
          <w:rFonts w:cs="Times New Roman"/>
          <w:bCs w:val="0"/>
          <w:lang w:bidi="ar"/>
        </w:rPr>
      </w:pPr>
      <w:r>
        <w:rPr>
          <w:rFonts w:cs="Times New Roman"/>
          <w:bCs w:val="0"/>
          <w:lang w:bidi="ar"/>
        </w:rPr>
        <w:t>式中：</w:t>
      </w:r>
    </w:p>
    <w:tbl>
      <w:tblPr>
        <w:tblStyle w:val="37"/>
        <w:tblW w:w="0" w:type="auto"/>
        <w:tblInd w:w="0" w:type="dxa"/>
        <w:tblLayout w:type="fixed"/>
        <w:tblCellMar>
          <w:top w:w="0" w:type="dxa"/>
          <w:left w:w="108" w:type="dxa"/>
          <w:bottom w:w="0" w:type="dxa"/>
          <w:right w:w="108" w:type="dxa"/>
        </w:tblCellMar>
      </w:tblPr>
      <w:tblGrid>
        <w:gridCol w:w="1242"/>
        <w:gridCol w:w="743"/>
        <w:gridCol w:w="7195"/>
      </w:tblGrid>
      <w:tr>
        <w:tc>
          <w:tcPr>
            <w:tcW w:w="1242" w:type="dxa"/>
            <w:shd w:val="clear" w:color="auto" w:fill="auto"/>
          </w:tcPr>
          <w:p>
            <w:pPr>
              <w:jc w:val="right"/>
              <w:rPr>
                <w:rFonts w:ascii="Times New Roman" w:hAnsi="Times New Roman" w:cs="Times New Roman"/>
                <w:i/>
              </w:rPr>
            </w:pPr>
            <w:r>
              <w:rPr>
                <w:rFonts w:ascii="Times New Roman" w:hAnsi="Times New Roman" w:cs="Times New Roman"/>
                <w:i/>
              </w:rPr>
              <w:t>l</w:t>
            </w:r>
            <w:r>
              <w:rPr>
                <w:rFonts w:ascii="Times New Roman" w:hAnsi="Times New Roman" w:cs="Times New Roman"/>
                <w:i/>
                <w:vertAlign w:val="subscript"/>
              </w:rPr>
              <w:t>ab</w:t>
            </w:r>
          </w:p>
        </w:tc>
        <w:tc>
          <w:tcPr>
            <w:tcW w:w="743"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受拉钢筋基本锚固长度（mm）；</w:t>
            </w:r>
          </w:p>
        </w:tc>
      </w:tr>
      <w:tr>
        <w:tblPrEx>
          <w:tblCellMar>
            <w:top w:w="0" w:type="dxa"/>
            <w:left w:w="108" w:type="dxa"/>
            <w:bottom w:w="0" w:type="dxa"/>
            <w:right w:w="108" w:type="dxa"/>
          </w:tblCellMar>
        </w:tblPrEx>
        <w:tc>
          <w:tcPr>
            <w:tcW w:w="1242" w:type="dxa"/>
            <w:shd w:val="clear" w:color="auto" w:fill="auto"/>
          </w:tcPr>
          <w:p>
            <w:pPr>
              <w:jc w:val="right"/>
              <w:rPr>
                <w:rFonts w:ascii="Times New Roman" w:hAnsi="Times New Roman" w:cs="Times New Roman"/>
                <w:bCs/>
                <w:i/>
              </w:rPr>
            </w:pPr>
            <w:r>
              <w:rPr>
                <w:rFonts w:ascii="Times New Roman" w:hAnsi="Times New Roman" w:cs="Times New Roman"/>
                <w:i/>
              </w:rPr>
              <w:t>f</w:t>
            </w:r>
            <w:r>
              <w:rPr>
                <w:rFonts w:ascii="Times New Roman" w:hAnsi="Times New Roman" w:cs="Times New Roman"/>
                <w:i/>
                <w:vertAlign w:val="subscript"/>
              </w:rPr>
              <w:t>y</w:t>
            </w:r>
          </w:p>
        </w:tc>
        <w:tc>
          <w:tcPr>
            <w:tcW w:w="743"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钢筋抗拉强度设计值（N/mm</w:t>
            </w:r>
            <w:r>
              <w:rPr>
                <w:vertAlign w:val="superscript"/>
              </w:rPr>
              <w:t>2</w:t>
            </w:r>
            <w:r>
              <w:t>）；</w:t>
            </w:r>
          </w:p>
        </w:tc>
      </w:tr>
      <w:tr>
        <w:tblPrEx>
          <w:tblCellMar>
            <w:top w:w="0" w:type="dxa"/>
            <w:left w:w="108" w:type="dxa"/>
            <w:bottom w:w="0" w:type="dxa"/>
            <w:right w:w="108" w:type="dxa"/>
          </w:tblCellMar>
        </w:tblPrEx>
        <w:tc>
          <w:tcPr>
            <w:tcW w:w="1242" w:type="dxa"/>
            <w:shd w:val="clear" w:color="auto" w:fill="auto"/>
          </w:tcPr>
          <w:p>
            <w:pPr>
              <w:jc w:val="right"/>
              <w:rPr>
                <w:rFonts w:ascii="Times New Roman" w:hAnsi="Times New Roman" w:cs="Times New Roman"/>
                <w:bCs/>
                <w:i/>
              </w:rPr>
            </w:pPr>
            <w:r>
              <w:rPr>
                <w:rFonts w:ascii="Times New Roman" w:hAnsi="Times New Roman" w:cs="Times New Roman"/>
                <w:i/>
              </w:rPr>
              <w:t>f</w:t>
            </w:r>
            <w:r>
              <w:rPr>
                <w:rFonts w:ascii="Times New Roman" w:hAnsi="Times New Roman" w:cs="Times New Roman"/>
                <w:i/>
                <w:vertAlign w:val="subscript"/>
              </w:rPr>
              <w:t>t</w:t>
            </w:r>
          </w:p>
        </w:tc>
        <w:tc>
          <w:tcPr>
            <w:tcW w:w="743"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混凝土轴心抗拉强度设计值；当混凝土强度等级高于C40时，按C40取值；</w:t>
            </w:r>
          </w:p>
        </w:tc>
      </w:tr>
      <w:tr>
        <w:tblPrEx>
          <w:tblCellMar>
            <w:top w:w="0" w:type="dxa"/>
            <w:left w:w="108" w:type="dxa"/>
            <w:bottom w:w="0" w:type="dxa"/>
            <w:right w:w="108" w:type="dxa"/>
          </w:tblCellMar>
        </w:tblPrEx>
        <w:tc>
          <w:tcPr>
            <w:tcW w:w="1242" w:type="dxa"/>
            <w:shd w:val="clear" w:color="auto" w:fill="auto"/>
          </w:tcPr>
          <w:p>
            <w:pPr>
              <w:jc w:val="right"/>
              <w:rPr>
                <w:rFonts w:ascii="Cambria Math" w:hAnsi="Cambria Math" w:cs="Times New Roman"/>
                <w:oMath/>
              </w:rPr>
            </w:pPr>
            <w:r>
              <w:rPr>
                <w:rFonts w:ascii="Times New Roman" w:hAnsi="Times New Roman" w:cs="Times New Roman"/>
                <w:i/>
                <w:iCs/>
              </w:rPr>
              <w:t>d</w:t>
            </w:r>
          </w:p>
        </w:tc>
        <w:tc>
          <w:tcPr>
            <w:tcW w:w="743"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锚筋公称直径（mm）;</w:t>
            </w:r>
          </w:p>
        </w:tc>
      </w:tr>
      <w:tr>
        <w:tblPrEx>
          <w:tblCellMar>
            <w:top w:w="0" w:type="dxa"/>
            <w:left w:w="108" w:type="dxa"/>
            <w:bottom w:w="0" w:type="dxa"/>
            <w:right w:w="108" w:type="dxa"/>
          </w:tblCellMar>
        </w:tblPrEx>
        <w:tc>
          <w:tcPr>
            <w:tcW w:w="1242" w:type="dxa"/>
            <w:shd w:val="clear" w:color="auto" w:fill="auto"/>
          </w:tcPr>
          <w:p>
            <w:pPr>
              <w:jc w:val="right"/>
              <w:rPr>
                <w:rFonts w:ascii="Cambria Math" w:hAnsi="Cambria Math" w:cs="Times New Roman"/>
                <w:oMath/>
              </w:rPr>
            </w:pPr>
            <w:r>
              <w:rPr>
                <w:rFonts w:ascii="Times New Roman" w:hAnsi="Times New Roman" w:cs="Times New Roman"/>
                <w:i/>
                <w:iCs/>
              </w:rPr>
              <w:t>α</w:t>
            </w:r>
          </w:p>
        </w:tc>
        <w:tc>
          <w:tcPr>
            <w:tcW w:w="743"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锚筋的外形系数，光圆钢筋取 0.16，带肋钢筋取0.14。</w:t>
            </w:r>
          </w:p>
        </w:tc>
      </w:tr>
    </w:tbl>
    <w:p>
      <w:pPr>
        <w:pStyle w:val="188"/>
        <w:ind w:firstLine="482"/>
        <w:rPr>
          <w:rFonts w:cs="Times New Roman" w:eastAsiaTheme="minorEastAsia"/>
          <w:bCs w:val="0"/>
          <w:lang w:bidi="ar"/>
        </w:rPr>
      </w:pPr>
      <w:r>
        <w:rPr>
          <w:rFonts w:cs="Times New Roman" w:eastAsiaTheme="minorEastAsia"/>
          <w:b/>
          <w:lang w:bidi="ar"/>
        </w:rPr>
        <w:t>5</w:t>
      </w:r>
      <w:r>
        <w:rPr>
          <w:rFonts w:cs="Times New Roman" w:eastAsiaTheme="minorEastAsia"/>
          <w:bCs w:val="0"/>
          <w:lang w:bidi="ar"/>
        </w:rPr>
        <w:t xml:space="preserve"> </w:t>
      </w:r>
      <w:r>
        <w:rPr>
          <w:rFonts w:cs="Times New Roman"/>
          <w:bCs w:val="0"/>
          <w:lang w:bidi="ar"/>
        </w:rPr>
        <w:t>当锚筋末端采用弯钩或机械锚固措施时，包括弯钩和锚固端头在内的锚固长度（投影长度）可取基本锚固长度</w:t>
      </w:r>
      <w:r>
        <w:rPr>
          <w:rFonts w:cs="Times New Roman"/>
          <w:bCs w:val="0"/>
          <w:i/>
          <w:iCs/>
          <w:lang w:bidi="ar"/>
        </w:rPr>
        <w:t>l</w:t>
      </w:r>
      <w:r>
        <w:rPr>
          <w:rFonts w:cs="Times New Roman"/>
          <w:bCs w:val="0"/>
          <w:i/>
          <w:iCs/>
          <w:vertAlign w:val="subscript"/>
          <w:lang w:bidi="ar"/>
        </w:rPr>
        <w:t>ab</w:t>
      </w:r>
      <w:r>
        <w:rPr>
          <w:rFonts w:cs="Times New Roman"/>
          <w:bCs w:val="0"/>
          <w:lang w:bidi="ar"/>
        </w:rPr>
        <w:t>的 60%，弯钩和机械锚固的形式和技术要求应满足 GB 50010 中的相关要求。抗震设计的幕墙，钢筋锚固长度应按照计算锚固长度放大 1.1 倍采用，且不得小于 200mm。</w:t>
      </w:r>
    </w:p>
    <w:p>
      <w:pPr>
        <w:pStyle w:val="188"/>
        <w:ind w:firstLine="482"/>
        <w:rPr>
          <w:rFonts w:cs="Times New Roman" w:eastAsiaTheme="minorEastAsia"/>
          <w:bCs w:val="0"/>
          <w:lang w:bidi="ar"/>
        </w:rPr>
      </w:pPr>
      <w:r>
        <w:rPr>
          <w:rFonts w:cs="Times New Roman" w:eastAsiaTheme="minorEastAsia"/>
          <w:b/>
          <w:lang w:bidi="ar"/>
        </w:rPr>
        <w:t>6</w:t>
      </w:r>
      <w:r>
        <w:rPr>
          <w:rFonts w:cs="Times New Roman" w:eastAsiaTheme="minorEastAsia"/>
          <w:bCs w:val="0"/>
          <w:lang w:bidi="ar"/>
        </w:rPr>
        <w:t xml:space="preserve"> 锚筋中心至锚板边缘的距离 </w:t>
      </w:r>
      <w:r>
        <w:rPr>
          <w:rFonts w:cs="Times New Roman" w:eastAsiaTheme="minorEastAsia"/>
          <w:bCs w:val="0"/>
          <w:i/>
          <w:iCs/>
          <w:lang w:bidi="ar"/>
        </w:rPr>
        <w:t>a</w:t>
      </w:r>
      <w:r>
        <w:rPr>
          <w:rFonts w:cs="Times New Roman" w:eastAsiaTheme="minorEastAsia"/>
          <w:bCs w:val="0"/>
          <w:lang w:bidi="ar"/>
        </w:rPr>
        <w:t xml:space="preserve"> 不应小于锚筋直径的 2 倍和 20mm 的较大值。</w:t>
      </w:r>
    </w:p>
    <w:p>
      <w:pPr>
        <w:pStyle w:val="188"/>
        <w:ind w:firstLine="720" w:firstLineChars="300"/>
        <w:rPr>
          <w:rFonts w:cs="Times New Roman" w:eastAsiaTheme="minorEastAsia"/>
          <w:bCs w:val="0"/>
          <w:lang w:bidi="ar"/>
        </w:rPr>
      </w:pPr>
      <w:r>
        <w:rPr>
          <w:rFonts w:cs="Times New Roman" w:eastAsiaTheme="minorEastAsia"/>
          <w:bCs w:val="0"/>
          <w:lang w:bidi="ar"/>
        </w:rPr>
        <w:t>1）对受拉和受弯预埋件，其钢筋的间距</w:t>
      </w:r>
      <w:r>
        <w:rPr>
          <w:rFonts w:cs="Times New Roman" w:eastAsiaTheme="minorEastAsia"/>
          <w:bCs w:val="0"/>
          <w:i/>
          <w:iCs/>
          <w:lang w:bidi="ar"/>
        </w:rPr>
        <w:t xml:space="preserve"> b、b</w:t>
      </w:r>
      <w:r>
        <w:rPr>
          <w:rFonts w:cs="Times New Roman" w:eastAsiaTheme="minorEastAsia"/>
          <w:bCs w:val="0"/>
          <w:i/>
          <w:iCs/>
          <w:vertAlign w:val="subscript"/>
          <w:lang w:bidi="ar"/>
        </w:rPr>
        <w:t>1</w:t>
      </w:r>
      <w:r>
        <w:rPr>
          <w:rFonts w:cs="Times New Roman" w:eastAsiaTheme="minorEastAsia"/>
          <w:bCs w:val="0"/>
          <w:i/>
          <w:iCs/>
          <w:lang w:bidi="ar"/>
        </w:rPr>
        <w:t xml:space="preserve"> </w:t>
      </w:r>
      <w:r>
        <w:rPr>
          <w:rFonts w:cs="Times New Roman" w:eastAsiaTheme="minorEastAsia"/>
          <w:bCs w:val="0"/>
          <w:lang w:bidi="ar"/>
        </w:rPr>
        <w:t>和锚筋至构件边缘的距离</w:t>
      </w:r>
      <w:r>
        <w:rPr>
          <w:rFonts w:cs="Times New Roman" w:eastAsiaTheme="minorEastAsia"/>
          <w:bCs w:val="0"/>
          <w:i/>
          <w:iCs/>
          <w:lang w:bidi="ar"/>
        </w:rPr>
        <w:t xml:space="preserve"> c、c</w:t>
      </w:r>
      <w:r>
        <w:rPr>
          <w:rFonts w:cs="Times New Roman" w:eastAsiaTheme="minorEastAsia"/>
          <w:bCs w:val="0"/>
          <w:i/>
          <w:iCs/>
          <w:vertAlign w:val="subscript"/>
          <w:lang w:bidi="ar"/>
        </w:rPr>
        <w:t>1</w:t>
      </w:r>
      <w:r>
        <w:rPr>
          <w:rFonts w:cs="Times New Roman" w:eastAsiaTheme="minorEastAsia"/>
          <w:bCs w:val="0"/>
          <w:lang w:bidi="ar"/>
        </w:rPr>
        <w:t xml:space="preserve"> 均不应小于锚筋直径的 3 倍和 45mm 的较大值：</w:t>
      </w:r>
    </w:p>
    <w:p>
      <w:pPr>
        <w:pStyle w:val="188"/>
        <w:ind w:firstLine="720" w:firstLineChars="300"/>
        <w:rPr>
          <w:rFonts w:cs="Times New Roman" w:eastAsiaTheme="minorEastAsia"/>
          <w:bCs w:val="0"/>
          <w:lang w:bidi="ar"/>
        </w:rPr>
      </w:pPr>
      <w:r>
        <w:rPr>
          <w:rFonts w:cs="Times New Roman" w:eastAsiaTheme="minorEastAsia"/>
          <w:bCs w:val="0"/>
          <w:lang w:bidi="ar"/>
        </w:rPr>
        <w:t>2）对受剪预埋件， 其锚筋的间距</w:t>
      </w:r>
      <w:r>
        <w:rPr>
          <w:rFonts w:cs="Times New Roman" w:eastAsiaTheme="minorEastAsia"/>
          <w:bCs w:val="0"/>
          <w:i/>
          <w:iCs/>
          <w:lang w:bidi="ar"/>
        </w:rPr>
        <w:t xml:space="preserve"> b、 b</w:t>
      </w:r>
      <w:r>
        <w:rPr>
          <w:rFonts w:cs="Times New Roman" w:eastAsiaTheme="minorEastAsia"/>
          <w:bCs w:val="0"/>
          <w:i/>
          <w:iCs/>
          <w:vertAlign w:val="subscript"/>
          <w:lang w:bidi="ar"/>
        </w:rPr>
        <w:t>1</w:t>
      </w:r>
      <w:r>
        <w:rPr>
          <w:rFonts w:cs="Times New Roman" w:eastAsiaTheme="minorEastAsia"/>
          <w:bCs w:val="0"/>
          <w:lang w:bidi="ar"/>
        </w:rPr>
        <w:t xml:space="preserve"> 均不应大于 300mm， 且 </w:t>
      </w:r>
      <w:r>
        <w:rPr>
          <w:rFonts w:cs="Times New Roman" w:eastAsiaTheme="minorEastAsia"/>
          <w:bCs w:val="0"/>
          <w:i/>
          <w:iCs/>
          <w:lang w:bidi="ar"/>
        </w:rPr>
        <w:t>b</w:t>
      </w:r>
      <w:r>
        <w:rPr>
          <w:rFonts w:cs="Times New Roman" w:eastAsiaTheme="minorEastAsia"/>
          <w:bCs w:val="0"/>
          <w:i/>
          <w:iCs/>
          <w:vertAlign w:val="subscript"/>
          <w:lang w:bidi="ar"/>
        </w:rPr>
        <w:t>1</w:t>
      </w:r>
      <w:r>
        <w:rPr>
          <w:rFonts w:cs="Times New Roman" w:eastAsiaTheme="minorEastAsia"/>
          <w:bCs w:val="0"/>
          <w:lang w:bidi="ar"/>
        </w:rPr>
        <w:t xml:space="preserve"> 不应小于锚筋直径的 6 倍及 70mm的较大值； 锚筋至构件边缘的距离 </w:t>
      </w:r>
      <w:r>
        <w:rPr>
          <w:rFonts w:cs="Times New Roman" w:eastAsiaTheme="minorEastAsia"/>
          <w:bCs w:val="0"/>
          <w:i/>
          <w:iCs/>
          <w:lang w:bidi="ar"/>
        </w:rPr>
        <w:t>c</w:t>
      </w:r>
      <w:r>
        <w:rPr>
          <w:rFonts w:cs="Times New Roman" w:eastAsiaTheme="minorEastAsia"/>
          <w:bCs w:val="0"/>
          <w:i/>
          <w:iCs/>
          <w:vertAlign w:val="subscript"/>
          <w:lang w:bidi="ar"/>
        </w:rPr>
        <w:t>1</w:t>
      </w:r>
      <w:r>
        <w:rPr>
          <w:rFonts w:cs="Times New Roman" w:eastAsiaTheme="minorEastAsia"/>
          <w:bCs w:val="0"/>
          <w:lang w:bidi="ar"/>
        </w:rPr>
        <w:t xml:space="preserve"> 不应小于锚筋直径的 6 倍及 70mm 的较大值，锚筋的间距</w:t>
      </w:r>
      <w:r>
        <w:rPr>
          <w:rFonts w:cs="Times New Roman" w:eastAsiaTheme="minorEastAsia"/>
          <w:bCs w:val="0"/>
          <w:i/>
          <w:iCs/>
          <w:lang w:bidi="ar"/>
        </w:rPr>
        <w:t>b</w:t>
      </w:r>
      <w:r>
        <w:rPr>
          <w:rFonts w:cs="Times New Roman" w:eastAsiaTheme="minorEastAsia"/>
          <w:bCs w:val="0"/>
          <w:lang w:bidi="ar"/>
        </w:rPr>
        <w:t xml:space="preserve">、锚筋至构件边缘的距离 </w:t>
      </w:r>
      <w:r>
        <w:rPr>
          <w:rFonts w:cs="Times New Roman" w:eastAsiaTheme="minorEastAsia"/>
          <w:bCs w:val="0"/>
          <w:i/>
          <w:iCs/>
          <w:lang w:bidi="ar"/>
        </w:rPr>
        <w:t>c</w:t>
      </w:r>
      <w:r>
        <w:rPr>
          <w:rFonts w:cs="Times New Roman" w:eastAsiaTheme="minorEastAsia"/>
          <w:bCs w:val="0"/>
          <w:lang w:bidi="ar"/>
        </w:rPr>
        <w:t xml:space="preserve"> 均不应小于锚筋直径的 3 倍和 45mm 的较大值。</w:t>
      </w:r>
    </w:p>
    <w:p>
      <w:pPr>
        <w:pStyle w:val="189"/>
      </w:pPr>
      <w:r>
        <w:rPr>
          <w:b/>
        </w:rPr>
        <w:t xml:space="preserve">7.3.3 </w:t>
      </w:r>
      <w:r>
        <w:t xml:space="preserve">幕墙后置埋件应符合现行行业标准《混凝土结构后锚固技术规程》JGJ 145的有关规定，并应符合下列规定： </w:t>
      </w:r>
    </w:p>
    <w:p>
      <w:pPr>
        <w:pStyle w:val="188"/>
        <w:ind w:firstLine="482"/>
        <w:rPr>
          <w:rFonts w:cs="Times New Roman"/>
          <w:b/>
        </w:rPr>
      </w:pPr>
      <w:r>
        <w:rPr>
          <w:rFonts w:cs="Times New Roman"/>
          <w:b/>
        </w:rPr>
        <w:t xml:space="preserve">1 </w:t>
      </w:r>
      <w:r>
        <w:rPr>
          <w:rFonts w:cs="Times New Roman"/>
        </w:rPr>
        <w:t>后置埋件用锚栓可选用膨胀螺栓、自扩底锚栓、模扩底锚栓、化学锚栓；</w:t>
      </w:r>
    </w:p>
    <w:p>
      <w:pPr>
        <w:pStyle w:val="188"/>
        <w:ind w:firstLine="482"/>
        <w:rPr>
          <w:rFonts w:cs="Times New Roman"/>
          <w:b/>
        </w:rPr>
      </w:pPr>
      <w:r>
        <w:rPr>
          <w:rFonts w:cs="Times New Roman"/>
          <w:b/>
        </w:rPr>
        <w:t xml:space="preserve">2 </w:t>
      </w:r>
      <w:r>
        <w:rPr>
          <w:rFonts w:cs="Times New Roman"/>
        </w:rPr>
        <w:t>普通化学锚栓不宜用于主要受力构件的构造连接；</w:t>
      </w:r>
      <w:r>
        <w:rPr>
          <w:rFonts w:cs="Times New Roman"/>
          <w:b/>
        </w:rPr>
        <w:t xml:space="preserve"> </w:t>
      </w:r>
    </w:p>
    <w:p>
      <w:pPr>
        <w:pStyle w:val="188"/>
        <w:ind w:firstLine="482"/>
        <w:rPr>
          <w:rFonts w:cs="Times New Roman"/>
          <w:b/>
        </w:rPr>
      </w:pPr>
      <w:r>
        <w:rPr>
          <w:rFonts w:cs="Times New Roman"/>
          <w:b/>
        </w:rPr>
        <w:t xml:space="preserve">3 </w:t>
      </w:r>
      <w:r>
        <w:rPr>
          <w:rFonts w:cs="Times New Roman"/>
        </w:rPr>
        <w:t>锚栓直径和数量应经计算确定；</w:t>
      </w:r>
      <w:r>
        <w:rPr>
          <w:rFonts w:cs="Times New Roman"/>
          <w:b/>
        </w:rPr>
        <w:t xml:space="preserve"> </w:t>
      </w:r>
    </w:p>
    <w:p>
      <w:pPr>
        <w:pStyle w:val="188"/>
        <w:ind w:firstLine="482"/>
        <w:rPr>
          <w:rFonts w:cs="Times New Roman"/>
        </w:rPr>
      </w:pPr>
      <w:r>
        <w:rPr>
          <w:rFonts w:cs="Times New Roman"/>
          <w:b/>
        </w:rPr>
        <w:t xml:space="preserve">4 </w:t>
      </w:r>
      <w:r>
        <w:rPr>
          <w:rFonts w:cs="Times New Roman"/>
        </w:rPr>
        <w:t>就位后需焊接作业的后置埋件宜使用机械锚栓。当采用化学锚栓时，焊接时应采取防止化学锚栓受热失效的措施，并应有焊接高温后抗拉承载力检验报告。</w:t>
      </w:r>
    </w:p>
    <w:p>
      <w:pPr>
        <w:pStyle w:val="188"/>
        <w:ind w:firstLine="482"/>
        <w:rPr>
          <w:rFonts w:cs="Times New Roman"/>
        </w:rPr>
      </w:pPr>
      <w:r>
        <w:rPr>
          <w:rFonts w:cs="Times New Roman"/>
          <w:b/>
          <w:bCs w:val="0"/>
        </w:rPr>
        <w:t>5</w:t>
      </w:r>
      <w:r>
        <w:rPr>
          <w:rFonts w:cs="Times New Roman"/>
        </w:rPr>
        <w:t xml:space="preserve"> 在同一个后置埋件上应采用同种类型、同种规格的锚栓，不得采用不同种类锚栓混合使用。</w:t>
      </w:r>
    </w:p>
    <w:p>
      <w:pPr>
        <w:pStyle w:val="188"/>
        <w:ind w:firstLine="0" w:firstLineChars="0"/>
        <w:rPr>
          <w:rFonts w:cs="Times New Roman"/>
          <w:b/>
        </w:rPr>
      </w:pPr>
      <w:r>
        <w:rPr>
          <w:rFonts w:cs="Times New Roman"/>
          <w:b/>
        </w:rPr>
        <w:t xml:space="preserve">7.3.4 </w:t>
      </w:r>
      <w:r>
        <w:rPr>
          <w:rFonts w:cs="Times New Roman"/>
        </w:rPr>
        <w:t>幕墙结构与砌体结构连接时，应在连接部分的主体结构上增设钢筋混凝土或钢结构梁、柱。轻质填充墙不应作为幕墙的支承结构。</w:t>
      </w:r>
    </w:p>
    <w:p>
      <w:pPr>
        <w:pStyle w:val="189"/>
      </w:pPr>
      <w:r>
        <w:rPr>
          <w:b/>
        </w:rPr>
        <w:t xml:space="preserve">7.3.5 </w:t>
      </w:r>
      <w:r>
        <w:t>单元式幕墙板块与主体结构的连接应符合下列规定：</w:t>
      </w:r>
    </w:p>
    <w:p>
      <w:pPr>
        <w:pStyle w:val="188"/>
        <w:ind w:firstLine="482"/>
        <w:rPr>
          <w:rFonts w:cs="Times New Roman"/>
          <w:b/>
        </w:rPr>
      </w:pPr>
      <w:r>
        <w:rPr>
          <w:rFonts w:cs="Times New Roman"/>
          <w:b/>
        </w:rPr>
        <w:t xml:space="preserve">1 </w:t>
      </w:r>
      <w:r>
        <w:rPr>
          <w:rFonts w:cs="Times New Roman"/>
        </w:rPr>
        <w:t>单元式幕墙板块上的挂件与主体结构上的支座间宜采用挂接方式固定，宜设置成绕水平轴可相对转动的构造形式。幕墙单元挂接后应有限制单元平面内水平方向移动的措施，同时应设置消除板块自身在地震作用、温差等因素引起的组件伸缩或位移的措施。挂件组应能三维调节，各方向的调节量不应小于20mm。</w:t>
      </w:r>
      <w:r>
        <w:rPr>
          <w:rFonts w:cs="Times New Roman"/>
          <w:b/>
        </w:rPr>
        <w:t xml:space="preserve"> </w:t>
      </w:r>
    </w:p>
    <w:p>
      <w:pPr>
        <w:pStyle w:val="188"/>
        <w:ind w:firstLine="482"/>
        <w:rPr>
          <w:rFonts w:cs="Times New Roman"/>
          <w:b/>
        </w:rPr>
      </w:pPr>
      <w:r>
        <w:rPr>
          <w:rFonts w:cs="Times New Roman"/>
          <w:b/>
        </w:rPr>
        <w:t xml:space="preserve">2 </w:t>
      </w:r>
      <w:r>
        <w:rPr>
          <w:rFonts w:cs="Times New Roman"/>
        </w:rPr>
        <w:t xml:space="preserve">应复核挂件组在各种荷载及其偏心产生的拉、剪、弯、扭等共同作用下的承载能力。 </w:t>
      </w:r>
    </w:p>
    <w:p>
      <w:pPr>
        <w:pStyle w:val="188"/>
        <w:ind w:firstLine="482"/>
        <w:rPr>
          <w:rFonts w:cs="Times New Roman"/>
          <w:b/>
        </w:rPr>
      </w:pPr>
      <w:r>
        <w:rPr>
          <w:rFonts w:cs="Times New Roman"/>
          <w:b/>
        </w:rPr>
        <w:t xml:space="preserve">3 </w:t>
      </w:r>
      <w:r>
        <w:rPr>
          <w:rFonts w:cs="Times New Roman"/>
        </w:rPr>
        <w:t>应采用荷载偏心不敏感的构造。计算荷载偏心时应计入对计算结果不利的调节量。</w:t>
      </w:r>
      <w:r>
        <w:rPr>
          <w:rFonts w:cs="Times New Roman"/>
          <w:b/>
        </w:rPr>
        <w:t xml:space="preserve"> </w:t>
      </w:r>
    </w:p>
    <w:p>
      <w:pPr>
        <w:pStyle w:val="188"/>
        <w:ind w:firstLine="482"/>
        <w:rPr>
          <w:rFonts w:cs="Times New Roman"/>
          <w:b/>
        </w:rPr>
      </w:pPr>
      <w:r>
        <w:rPr>
          <w:rFonts w:cs="Times New Roman"/>
          <w:b/>
        </w:rPr>
        <w:t xml:space="preserve">4 </w:t>
      </w:r>
      <w:r>
        <w:rPr>
          <w:rFonts w:cs="Times New Roman"/>
        </w:rPr>
        <w:t>铝合金型材连接件宜采用6061-T6材质。</w:t>
      </w:r>
      <w:r>
        <w:rPr>
          <w:rFonts w:cs="Times New Roman"/>
          <w:b/>
        </w:rPr>
        <w:t xml:space="preserve"> </w:t>
      </w:r>
    </w:p>
    <w:p>
      <w:pPr>
        <w:pStyle w:val="188"/>
        <w:ind w:firstLine="482"/>
        <w:rPr>
          <w:rFonts w:cs="Times New Roman"/>
        </w:rPr>
      </w:pPr>
      <w:r>
        <w:rPr>
          <w:rFonts w:cs="Times New Roman"/>
          <w:b/>
        </w:rPr>
        <w:t xml:space="preserve">5 </w:t>
      </w:r>
      <w:r>
        <w:rPr>
          <w:rFonts w:cs="Times New Roman"/>
        </w:rPr>
        <w:t xml:space="preserve">应采用不锈钢螺栓连接，不锈钢螺栓规格不宜小于M12，每个连接处不宜少于2个螺栓。 </w:t>
      </w:r>
    </w:p>
    <w:p>
      <w:pPr>
        <w:pStyle w:val="188"/>
        <w:ind w:firstLine="482"/>
        <w:rPr>
          <w:rFonts w:cs="Times New Roman"/>
        </w:rPr>
      </w:pPr>
      <w:r>
        <w:rPr>
          <w:rFonts w:cs="Times New Roman"/>
          <w:b/>
        </w:rPr>
        <w:t>6</w:t>
      </w:r>
      <w:r>
        <w:rPr>
          <w:rFonts w:cs="Times New Roman"/>
        </w:rPr>
        <w:t xml:space="preserve"> 单元板块间的过桥型材应计算上下左右单元的荷载传递，满足强度及刚度要求。</w:t>
      </w:r>
    </w:p>
    <w:p>
      <w:pPr>
        <w:pStyle w:val="188"/>
        <w:ind w:firstLine="482"/>
        <w:rPr>
          <w:rFonts w:cs="Times New Roman"/>
        </w:rPr>
      </w:pPr>
      <w:r>
        <w:rPr>
          <w:rFonts w:cs="Times New Roman"/>
          <w:b/>
        </w:rPr>
        <w:t>7</w:t>
      </w:r>
      <w:r>
        <w:rPr>
          <w:rFonts w:cs="Times New Roman"/>
        </w:rPr>
        <w:t xml:space="preserve"> 单元板块与主体结构连接的构造节点复杂时，应按荷载传递途径建立计算模型进行强度校核。</w:t>
      </w:r>
    </w:p>
    <w:p>
      <w:pPr>
        <w:pStyle w:val="189"/>
      </w:pPr>
      <w:r>
        <w:rPr>
          <w:b/>
        </w:rPr>
        <w:t>7.3.6</w:t>
      </w:r>
      <w:r>
        <w:t xml:space="preserve"> 建筑主体结构变形缝部位的幕墙构造，应能满足幕墙变形的要求。</w:t>
      </w:r>
    </w:p>
    <w:p>
      <w:pPr>
        <w:pStyle w:val="189"/>
      </w:pPr>
      <w:r>
        <w:rPr>
          <w:b/>
        </w:rPr>
        <w:t>7.3.7</w:t>
      </w:r>
      <w:r>
        <w:t xml:space="preserve"> 幕墙构件和连接的计算分析应有明确的计算模型。应力计算必须考虑面板重力偏心和其他连接偏心产生的附加影响。</w:t>
      </w:r>
    </w:p>
    <w:p>
      <w:pPr>
        <w:pStyle w:val="189"/>
      </w:pPr>
      <w:r>
        <w:rPr>
          <w:b/>
        </w:rPr>
        <w:t>7.3.8</w:t>
      </w:r>
      <w:r>
        <w:t xml:space="preserve"> 吊挂全玻璃幕墙的主体结构和结构构件应有足够的刚度，每块玻璃应吊挂在同一结构体上。采用钢架或钢梁作为受力构件时，在竖向荷载标准值作用下，最大挠度不应超过其跨度的 1/400:在水平荷载标准值作用下，最大挠度应不超过其跨度的1/250。</w:t>
      </w:r>
    </w:p>
    <w:p>
      <w:pPr>
        <w:pStyle w:val="198"/>
        <w:rPr>
          <w:rFonts w:ascii="Times New Roman" w:hAnsi="Times New Roman"/>
          <w:sz w:val="24"/>
          <w:szCs w:val="24"/>
        </w:rPr>
      </w:pPr>
      <w:bookmarkStart w:id="61" w:name="_Toc162996231"/>
      <w:r>
        <w:rPr>
          <w:rFonts w:ascii="Times New Roman" w:hAnsi="Times New Roman"/>
          <w:sz w:val="24"/>
          <w:szCs w:val="24"/>
        </w:rPr>
        <w:t xml:space="preserve">7.4 </w:t>
      </w:r>
      <w:r>
        <w:rPr>
          <w:rFonts w:ascii="Times New Roman" w:hAnsi="Times New Roman"/>
          <w:b w:val="0"/>
          <w:bCs/>
          <w:sz w:val="24"/>
          <w:szCs w:val="24"/>
        </w:rPr>
        <w:t>外挑装饰连接计算</w:t>
      </w:r>
      <w:bookmarkEnd w:id="61"/>
    </w:p>
    <w:p>
      <w:pPr>
        <w:pStyle w:val="189"/>
        <w:spacing w:line="348" w:lineRule="auto"/>
      </w:pPr>
      <w:r>
        <w:rPr>
          <w:b/>
        </w:rPr>
        <w:t xml:space="preserve">7.4.1 </w:t>
      </w:r>
      <w:r>
        <w:t xml:space="preserve">设计带竖向装饰翼的立柱时，应计入装饰翼传递的侧向荷载。玻璃面板和横梁立柱之间仅通过压板或压块连接时，应考虑横梁对立柱的侧向支撑。 </w:t>
      </w:r>
    </w:p>
    <w:p>
      <w:pPr>
        <w:pStyle w:val="189"/>
        <w:spacing w:line="348" w:lineRule="auto"/>
      </w:pPr>
      <w:r>
        <w:rPr>
          <w:b/>
        </w:rPr>
        <w:t xml:space="preserve">7.4.2 </w:t>
      </w:r>
      <w:r>
        <w:t xml:space="preserve">转角位置第一根装饰翼的侧向风荷载体形系数应取值2.0，且不应小于风洞试验结果，其余装饰翼的风荷载体型系数可适当折减。 </w:t>
      </w:r>
    </w:p>
    <w:p>
      <w:pPr>
        <w:pStyle w:val="189"/>
        <w:spacing w:line="348" w:lineRule="auto"/>
      </w:pPr>
      <w:r>
        <w:rPr>
          <w:b/>
        </w:rPr>
        <w:t xml:space="preserve">7.4.3 </w:t>
      </w:r>
      <w:r>
        <w:t>校核装饰翼时，应同时校核装饰翼及其支臂整体的侧向挠度。</w:t>
      </w:r>
    </w:p>
    <w:p>
      <w:pPr>
        <w:pStyle w:val="189"/>
        <w:spacing w:line="348" w:lineRule="auto"/>
      </w:pPr>
      <w:r>
        <w:rPr>
          <w:b/>
        </w:rPr>
        <w:t xml:space="preserve">7.4.4 </w:t>
      </w:r>
      <w:r>
        <w:t>装饰翼的连接支臂设计应满足计算要求，应计入支臂截面螺栓孔的削弱作用。装饰翼支臂和型材之间可采用螺栓、机制螺钉或自攻螺钉连接。当使用螺栓和机制螺钉时应采取防松措施。</w:t>
      </w:r>
    </w:p>
    <w:p>
      <w:pPr>
        <w:pStyle w:val="189"/>
        <w:spacing w:line="348" w:lineRule="auto"/>
      </w:pPr>
      <w:r>
        <w:rPr>
          <w:b/>
        </w:rPr>
        <w:t xml:space="preserve">7.4.5 </w:t>
      </w:r>
      <w:r>
        <w:t>固定装饰翼的幕墙除了横梁立柱以外，还应校核转接件、埋件的侧向荷载承载力，尺寸较大、风压较大的竖向装饰翼，可直接固定到主体结构上。</w:t>
      </w:r>
    </w:p>
    <w:p>
      <w:pPr>
        <w:spacing w:line="348" w:lineRule="auto"/>
        <w:rPr>
          <w:rFonts w:ascii="Times New Roman" w:hAnsi="Times New Roman" w:cs="Times New Roman"/>
          <w:color w:val="000000"/>
          <w:lang w:bidi="ar"/>
        </w:rPr>
      </w:pPr>
      <w:r>
        <w:rPr>
          <w:rFonts w:ascii="Times New Roman" w:hAnsi="Times New Roman" w:cs="Times New Roman"/>
          <w:b/>
          <w:bCs/>
          <w:color w:val="000000"/>
          <w:lang w:bidi="ar"/>
        </w:rPr>
        <w:t>7.4.6</w:t>
      </w:r>
      <w:r>
        <w:rPr>
          <w:rFonts w:ascii="Times New Roman" w:hAnsi="Times New Roman" w:cs="Times New Roman"/>
          <w:color w:val="000000"/>
          <w:lang w:bidi="ar"/>
        </w:rPr>
        <w:t xml:space="preserve"> 突出幕墙面的装饰构件和遮阳构件，负风压体型系数取-2.0，正风压体型系数取+1.0，且设计值均不小于1.0 kN/m</w:t>
      </w:r>
      <w:r>
        <w:rPr>
          <w:rFonts w:ascii="Times New Roman" w:hAnsi="Times New Roman" w:cs="Times New Roman"/>
          <w:color w:val="000000"/>
          <w:vertAlign w:val="superscript"/>
          <w:lang w:bidi="ar"/>
        </w:rPr>
        <w:t>2</w:t>
      </w:r>
      <w:r>
        <w:rPr>
          <w:rFonts w:ascii="Times New Roman" w:hAnsi="Times New Roman" w:cs="Times New Roman"/>
          <w:color w:val="000000"/>
          <w:lang w:bidi="ar"/>
        </w:rPr>
        <w:t xml:space="preserve">。 </w:t>
      </w:r>
    </w:p>
    <w:p>
      <w:pPr>
        <w:spacing w:line="348" w:lineRule="auto"/>
        <w:rPr>
          <w:rFonts w:ascii="Times New Roman" w:hAnsi="Times New Roman" w:cs="Times New Roman"/>
          <w:color w:val="000000"/>
          <w:lang w:bidi="ar"/>
        </w:rPr>
      </w:pPr>
      <w:r>
        <w:rPr>
          <w:rFonts w:ascii="Times New Roman" w:hAnsi="Times New Roman" w:cs="Times New Roman"/>
          <w:b/>
          <w:bCs/>
          <w:color w:val="000000"/>
          <w:lang w:bidi="ar"/>
        </w:rPr>
        <w:t xml:space="preserve">7.4.7 </w:t>
      </w:r>
      <w:r>
        <w:rPr>
          <w:rFonts w:ascii="Times New Roman" w:hAnsi="Times New Roman" w:cs="Times New Roman"/>
          <w:color w:val="000000"/>
          <w:lang w:bidi="ar"/>
        </w:rPr>
        <w:t xml:space="preserve">突出幕墙表面的外挑装饰构件，宜按双向受弯构件计算。外挑装饰构件应同时承受两个正交方向的风荷载作用。 </w:t>
      </w:r>
    </w:p>
    <w:p>
      <w:pPr>
        <w:autoSpaceDE w:val="0"/>
        <w:autoSpaceDN w:val="0"/>
        <w:spacing w:line="360" w:lineRule="auto"/>
        <w:contextualSpacing/>
        <w:jc w:val="center"/>
        <w:rPr>
          <w:rFonts w:ascii="Times New Roman" w:hAnsi="Times New Roman" w:cs="Times New Roman"/>
        </w:rPr>
      </w:pPr>
      <w:r>
        <w:rPr>
          <w:rFonts w:ascii="Times New Roman" w:hAnsi="Times New Roman" w:cs="Times New Roman"/>
        </w:rPr>
        <w:drawing>
          <wp:inline distT="0" distB="0" distL="114300" distR="114300">
            <wp:extent cx="1709420" cy="1715770"/>
            <wp:effectExtent l="0" t="0" r="508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319"/>
                    <a:stretch>
                      <a:fillRect/>
                    </a:stretch>
                  </pic:blipFill>
                  <pic:spPr>
                    <a:xfrm>
                      <a:off x="0" y="0"/>
                      <a:ext cx="1712946" cy="1719756"/>
                    </a:xfrm>
                    <a:prstGeom prst="rect">
                      <a:avLst/>
                    </a:prstGeom>
                  </pic:spPr>
                </pic:pic>
              </a:graphicData>
            </a:graphic>
          </wp:inline>
        </w:drawing>
      </w:r>
      <w:r>
        <w:rPr>
          <w:rFonts w:ascii="Times New Roman" w:hAnsi="Times New Roman" w:cs="Times New Roman"/>
        </w:rPr>
        <w:drawing>
          <wp:inline distT="0" distB="0" distL="114300" distR="114300">
            <wp:extent cx="1939925" cy="1569720"/>
            <wp:effectExtent l="0" t="0" r="3175"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320"/>
                    <a:stretch>
                      <a:fillRect/>
                    </a:stretch>
                  </pic:blipFill>
                  <pic:spPr>
                    <a:xfrm>
                      <a:off x="0" y="0"/>
                      <a:ext cx="1959852" cy="1586343"/>
                    </a:xfrm>
                    <a:prstGeom prst="rect">
                      <a:avLst/>
                    </a:prstGeom>
                  </pic:spPr>
                </pic:pic>
              </a:graphicData>
            </a:graphic>
          </wp:inline>
        </w:drawing>
      </w:r>
      <w:r>
        <w:rPr>
          <w:rFonts w:ascii="Times New Roman" w:hAnsi="Times New Roman" w:cs="Times New Roman"/>
        </w:rPr>
        <w:drawing>
          <wp:inline distT="0" distB="0" distL="114300" distR="114300">
            <wp:extent cx="1992630" cy="1567180"/>
            <wp:effectExtent l="0" t="0" r="762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321"/>
                    <a:stretch>
                      <a:fillRect/>
                    </a:stretch>
                  </pic:blipFill>
                  <pic:spPr>
                    <a:xfrm>
                      <a:off x="0" y="0"/>
                      <a:ext cx="1999606" cy="1572740"/>
                    </a:xfrm>
                    <a:prstGeom prst="rect">
                      <a:avLst/>
                    </a:prstGeom>
                  </pic:spPr>
                </pic:pic>
              </a:graphicData>
            </a:graphic>
          </wp:inline>
        </w:drawing>
      </w:r>
    </w:p>
    <w:p>
      <w:pPr>
        <w:autoSpaceDE w:val="0"/>
        <w:autoSpaceDN w:val="0"/>
        <w:spacing w:line="360" w:lineRule="auto"/>
        <w:contextualSpacing/>
        <w:jc w:val="center"/>
        <w:rPr>
          <w:rFonts w:ascii="Times New Roman" w:hAnsi="Times New Roman" w:cs="Times New Roman"/>
          <w:bCs/>
          <w:sz w:val="21"/>
          <w:szCs w:val="21"/>
        </w:rPr>
      </w:pPr>
      <w:r>
        <w:rPr>
          <w:rFonts w:ascii="Times New Roman" w:hAnsi="Times New Roman" w:eastAsia="黑体" w:cs="Times New Roman"/>
          <w:bCs/>
          <w:sz w:val="21"/>
          <w:szCs w:val="21"/>
        </w:rPr>
        <w:t>图7.4.7</w:t>
      </w:r>
      <w:r>
        <w:rPr>
          <w:rFonts w:ascii="Times New Roman" w:hAnsi="Times New Roman" w:cs="Times New Roman"/>
          <w:bCs/>
          <w:sz w:val="21"/>
          <w:szCs w:val="21"/>
        </w:rPr>
        <w:t xml:space="preserve">  </w:t>
      </w:r>
      <w:r>
        <w:rPr>
          <w:rFonts w:ascii="Times New Roman" w:hAnsi="Times New Roman" w:eastAsia="黑体" w:cs="Times New Roman"/>
          <w:bCs/>
          <w:sz w:val="21"/>
          <w:szCs w:val="21"/>
        </w:rPr>
        <w:t>外挑装饰构件荷载示意图</w:t>
      </w:r>
    </w:p>
    <w:p>
      <w:pPr>
        <w:spacing w:line="360" w:lineRule="auto"/>
        <w:rPr>
          <w:rFonts w:ascii="Times New Roman" w:hAnsi="Times New Roman" w:cs="Times New Roman"/>
          <w:color w:val="000000"/>
          <w:lang w:bidi="ar"/>
        </w:rPr>
      </w:pPr>
      <w:r>
        <w:rPr>
          <w:rFonts w:ascii="Times New Roman" w:hAnsi="Times New Roman" w:cs="Times New Roman"/>
          <w:b/>
          <w:bCs/>
          <w:color w:val="000000"/>
          <w:lang w:bidi="ar"/>
        </w:rPr>
        <w:t>7.4.8</w:t>
      </w:r>
      <w:r>
        <w:rPr>
          <w:rFonts w:ascii="Times New Roman" w:hAnsi="Times New Roman" w:cs="Times New Roman"/>
          <w:color w:val="000000"/>
          <w:lang w:bidi="ar"/>
        </w:rPr>
        <w:t xml:space="preserve"> 扣合在幕墙面板压板上的装饰型材等部件，扣合连接应紧密可靠，当外侧装饰型材凸出尺寸超过80mm时，扣合的连接构造应加强，必要时可用机械方式加固。</w:t>
      </w:r>
    </w:p>
    <w:p>
      <w:pPr>
        <w:autoSpaceDE w:val="0"/>
        <w:autoSpaceDN w:val="0"/>
        <w:spacing w:line="360" w:lineRule="auto"/>
        <w:contextualSpacing/>
        <w:jc w:val="center"/>
        <w:rPr>
          <w:rFonts w:ascii="Times New Roman" w:hAnsi="Times New Roman" w:eastAsia="楷体" w:cs="Times New Roman"/>
          <w:color w:val="0000FF"/>
        </w:rPr>
      </w:pPr>
      <w:r>
        <w:rPr>
          <w:rFonts w:ascii="Times New Roman" w:hAnsi="Times New Roman" w:cs="Times New Roman"/>
        </w:rPr>
        <w:drawing>
          <wp:inline distT="0" distB="0" distL="0" distR="0">
            <wp:extent cx="4121785" cy="2753995"/>
            <wp:effectExtent l="0" t="0" r="0" b="8255"/>
            <wp:docPr id="1392867995" name="图片 139286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67995" name="图片 1392867995"/>
                    <pic:cNvPicPr>
                      <a:picLocks noChangeAspect="1"/>
                    </pic:cNvPicPr>
                  </pic:nvPicPr>
                  <pic:blipFill>
                    <a:blip r:embed="rId322"/>
                    <a:stretch>
                      <a:fillRect/>
                    </a:stretch>
                  </pic:blipFill>
                  <pic:spPr>
                    <a:xfrm>
                      <a:off x="0" y="0"/>
                      <a:ext cx="4144332" cy="2769624"/>
                    </a:xfrm>
                    <a:prstGeom prst="rect">
                      <a:avLst/>
                    </a:prstGeom>
                  </pic:spPr>
                </pic:pic>
              </a:graphicData>
            </a:graphic>
          </wp:inline>
        </w:drawing>
      </w:r>
    </w:p>
    <w:p>
      <w:pPr>
        <w:autoSpaceDE w:val="0"/>
        <w:autoSpaceDN w:val="0"/>
        <w:spacing w:line="360" w:lineRule="auto"/>
        <w:contextualSpacing/>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1-幕墙框架；2-玻璃压板；3-装饰型材；4连接螺栓；5扣合连接</w:t>
      </w:r>
    </w:p>
    <w:p>
      <w:pPr>
        <w:autoSpaceDE w:val="0"/>
        <w:autoSpaceDN w:val="0"/>
        <w:spacing w:line="360" w:lineRule="auto"/>
        <w:contextualSpacing/>
        <w:jc w:val="center"/>
        <w:rPr>
          <w:rFonts w:ascii="Times New Roman" w:hAnsi="Times New Roman" w:eastAsia="黑体" w:cs="Times New Roman"/>
          <w:bCs/>
          <w:sz w:val="21"/>
          <w:szCs w:val="21"/>
        </w:rPr>
      </w:pPr>
      <w:r>
        <w:rPr>
          <w:rFonts w:ascii="Times New Roman" w:hAnsi="Times New Roman" w:eastAsia="黑体" w:cs="Times New Roman"/>
          <w:bCs/>
          <w:sz w:val="21"/>
          <w:szCs w:val="21"/>
        </w:rPr>
        <w:t>图7.4.8  扣盖压板示意图</w:t>
      </w:r>
    </w:p>
    <w:p>
      <w:pPr>
        <w:spacing w:line="360" w:lineRule="auto"/>
        <w:rPr>
          <w:rFonts w:ascii="Times New Roman" w:hAnsi="Times New Roman" w:cs="Times New Roman"/>
          <w:color w:val="000000"/>
          <w:lang w:bidi="ar"/>
        </w:rPr>
      </w:pPr>
      <w:r>
        <w:rPr>
          <w:rFonts w:ascii="Times New Roman" w:hAnsi="Times New Roman" w:cs="Times New Roman"/>
          <w:b/>
          <w:bCs/>
          <w:color w:val="000000"/>
          <w:lang w:bidi="ar"/>
        </w:rPr>
        <w:t>7.4.9</w:t>
      </w:r>
      <w:r>
        <w:rPr>
          <w:rFonts w:ascii="Times New Roman" w:hAnsi="Times New Roman" w:cs="Times New Roman"/>
          <w:color w:val="000000"/>
          <w:lang w:bidi="ar"/>
        </w:rPr>
        <w:t xml:space="preserve"> 幕墙外挑装饰构件到幕墙面板的外挑尺寸大于等于200mm时，应考虑对幕墙整体构架的影响。宜采用连接件、转接件与幕墙支承框架紧固连接，不得采用自攻螺钉连接，必要时应采用螺栓连接。开口截面型材不宜设置外挑构件。</w:t>
      </w:r>
    </w:p>
    <w:p>
      <w:pPr>
        <w:spacing w:line="360" w:lineRule="auto"/>
        <w:rPr>
          <w:rFonts w:ascii="Times New Roman" w:hAnsi="Times New Roman" w:cs="Times New Roman"/>
          <w:color w:val="000000"/>
          <w:lang w:bidi="ar"/>
        </w:rPr>
      </w:pPr>
      <w:r>
        <w:rPr>
          <w:rFonts w:ascii="Times New Roman" w:hAnsi="Times New Roman" w:cs="Times New Roman"/>
          <w:b/>
          <w:bCs/>
          <w:color w:val="000000"/>
          <w:lang w:bidi="ar"/>
        </w:rPr>
        <w:t xml:space="preserve">7.4.10 </w:t>
      </w:r>
      <w:r>
        <w:rPr>
          <w:rFonts w:ascii="Times New Roman" w:hAnsi="Times New Roman" w:cs="Times New Roman"/>
          <w:color w:val="000000"/>
          <w:lang w:bidi="ar"/>
        </w:rPr>
        <w:t>幕墙外挑装饰构件到幕墙面板的外挑尺寸大于等于500mm时，宜和主体结构连接。</w:t>
      </w:r>
    </w:p>
    <w:p>
      <w:pPr>
        <w:spacing w:line="360" w:lineRule="auto"/>
        <w:rPr>
          <w:rFonts w:ascii="Times New Roman" w:hAnsi="Times New Roman" w:cs="Times New Roman"/>
          <w:color w:val="000000"/>
          <w:lang w:bidi="ar"/>
        </w:rPr>
      </w:pPr>
      <w:r>
        <w:rPr>
          <w:rFonts w:ascii="Times New Roman" w:hAnsi="Times New Roman" w:cs="Times New Roman"/>
          <w:b/>
          <w:bCs/>
          <w:color w:val="000000"/>
          <w:lang w:bidi="ar"/>
        </w:rPr>
        <w:t xml:space="preserve">7.4.11 </w:t>
      </w:r>
      <w:r>
        <w:rPr>
          <w:rFonts w:ascii="Times New Roman" w:hAnsi="Times New Roman" w:cs="Times New Roman"/>
          <w:color w:val="000000"/>
          <w:lang w:bidi="ar"/>
        </w:rPr>
        <w:t>外挑装饰构件与单元体的连接应符合下列规定：</w:t>
      </w:r>
    </w:p>
    <w:p>
      <w:pPr>
        <w:spacing w:line="360" w:lineRule="auto"/>
        <w:ind w:firstLine="482" w:firstLineChars="200"/>
        <w:rPr>
          <w:rFonts w:ascii="Times New Roman" w:hAnsi="Times New Roman" w:cs="Times New Roman"/>
          <w:color w:val="000000"/>
          <w:lang w:bidi="ar"/>
        </w:rPr>
      </w:pPr>
      <w:r>
        <w:rPr>
          <w:rFonts w:ascii="Times New Roman" w:hAnsi="Times New Roman" w:cs="Times New Roman"/>
          <w:b/>
          <w:bCs/>
          <w:color w:val="000000"/>
          <w:lang w:bidi="ar"/>
        </w:rPr>
        <w:t>1</w:t>
      </w:r>
      <w:r>
        <w:rPr>
          <w:rFonts w:ascii="Times New Roman" w:hAnsi="Times New Roman" w:cs="Times New Roman"/>
          <w:color w:val="000000"/>
          <w:lang w:bidi="ar"/>
        </w:rPr>
        <w:t xml:space="preserve"> 用于固定外挑装饰构件的立柱、横梁及连接件应能独立承受装饰构件、面板传递的拉力、剪力、双向弯矩、扭矩等共同作用。装饰构件宜固定在立柱或顶底横梁中刚度较大的型材上。立柱、横梁插接部位的厚度应能有效传递、协调公母型材上的荷载，确保公母型材的协调变形；</w:t>
      </w:r>
    </w:p>
    <w:p>
      <w:pPr>
        <w:spacing w:line="360" w:lineRule="auto"/>
        <w:ind w:firstLine="482" w:firstLineChars="200"/>
        <w:rPr>
          <w:rFonts w:ascii="Times New Roman" w:hAnsi="Times New Roman" w:cs="Times New Roman"/>
          <w:color w:val="000000"/>
          <w:lang w:bidi="ar"/>
        </w:rPr>
      </w:pPr>
      <w:r>
        <w:rPr>
          <w:rFonts w:ascii="Times New Roman" w:hAnsi="Times New Roman" w:cs="Times New Roman"/>
          <w:b/>
          <w:bCs/>
          <w:color w:val="000000"/>
          <w:lang w:bidi="ar"/>
        </w:rPr>
        <w:t>2</w:t>
      </w:r>
      <w:r>
        <w:rPr>
          <w:rFonts w:ascii="Times New Roman" w:hAnsi="Times New Roman" w:cs="Times New Roman"/>
          <w:color w:val="000000"/>
          <w:lang w:bidi="ar"/>
        </w:rPr>
        <w:t xml:space="preserve"> 装饰线条宜固定于闭腔箱式型材上；</w:t>
      </w:r>
    </w:p>
    <w:p>
      <w:pPr>
        <w:spacing w:line="360" w:lineRule="auto"/>
        <w:ind w:firstLine="482" w:firstLineChars="200"/>
        <w:rPr>
          <w:rFonts w:ascii="Times New Roman" w:hAnsi="Times New Roman" w:cs="Times New Roman"/>
          <w:color w:val="000000"/>
          <w:lang w:bidi="ar"/>
        </w:rPr>
      </w:pPr>
      <w:r>
        <w:rPr>
          <w:rFonts w:ascii="Times New Roman" w:hAnsi="Times New Roman" w:cs="Times New Roman"/>
          <w:b/>
          <w:bCs/>
          <w:color w:val="000000"/>
          <w:lang w:bidi="ar"/>
        </w:rPr>
        <w:t>3</w:t>
      </w:r>
      <w:r>
        <w:rPr>
          <w:rFonts w:ascii="Times New Roman" w:hAnsi="Times New Roman" w:cs="Times New Roman"/>
          <w:color w:val="000000"/>
          <w:lang w:bidi="ar"/>
        </w:rPr>
        <w:t xml:space="preserve"> 宜选用合理的受力模型，减少装饰构件对立柱、横梁的影响；</w:t>
      </w:r>
    </w:p>
    <w:p>
      <w:pPr>
        <w:spacing w:line="360" w:lineRule="auto"/>
        <w:ind w:firstLine="482" w:firstLineChars="200"/>
        <w:rPr>
          <w:rFonts w:ascii="Times New Roman" w:hAnsi="Times New Roman" w:cs="Times New Roman"/>
          <w:color w:val="000000"/>
          <w:lang w:bidi="ar"/>
        </w:rPr>
      </w:pPr>
      <w:r>
        <w:rPr>
          <w:rFonts w:ascii="Times New Roman" w:hAnsi="Times New Roman" w:cs="Times New Roman"/>
          <w:b/>
          <w:bCs/>
          <w:color w:val="000000"/>
          <w:lang w:bidi="ar"/>
        </w:rPr>
        <w:t>4</w:t>
      </w:r>
      <w:r>
        <w:rPr>
          <w:rFonts w:ascii="Times New Roman" w:hAnsi="Times New Roman" w:cs="Times New Roman"/>
          <w:color w:val="000000"/>
          <w:lang w:bidi="ar"/>
        </w:rPr>
        <w:t xml:space="preserve"> 横梁与立柱的连接节点和截面设计，应考虑来自装饰构件的荷载所产生的拉力、剪力和扭矩，必要时连接节点宜增设辅助连接件加强；</w:t>
      </w:r>
    </w:p>
    <w:p>
      <w:pPr>
        <w:spacing w:line="360" w:lineRule="auto"/>
        <w:ind w:firstLine="482" w:firstLineChars="200"/>
        <w:rPr>
          <w:rFonts w:ascii="Times New Roman" w:hAnsi="Times New Roman" w:cs="Times New Roman"/>
          <w:color w:val="000000"/>
          <w:lang w:bidi="ar"/>
        </w:rPr>
      </w:pPr>
      <w:r>
        <w:rPr>
          <w:rFonts w:ascii="Times New Roman" w:hAnsi="Times New Roman" w:cs="Times New Roman"/>
          <w:b/>
          <w:bCs/>
          <w:color w:val="000000"/>
          <w:lang w:bidi="ar"/>
        </w:rPr>
        <w:t>5</w:t>
      </w:r>
      <w:r>
        <w:rPr>
          <w:rFonts w:ascii="Times New Roman" w:hAnsi="Times New Roman" w:cs="Times New Roman"/>
          <w:color w:val="000000"/>
          <w:lang w:bidi="ar"/>
        </w:rPr>
        <w:t xml:space="preserve"> 装饰条应独立承受自身所负担的荷载和作用，满足强度和刚度要求。装饰条不应于梁、柱组成复合构件受力。</w:t>
      </w:r>
    </w:p>
    <w:p>
      <w:pPr>
        <w:spacing w:line="360" w:lineRule="auto"/>
        <w:rPr>
          <w:rFonts w:ascii="Times New Roman" w:hAnsi="Times New Roman" w:cs="Times New Roman"/>
        </w:rPr>
      </w:pPr>
      <w:r>
        <w:rPr>
          <w:rFonts w:ascii="Times New Roman" w:hAnsi="Times New Roman" w:cs="Times New Roman"/>
          <w:b/>
          <w:bCs/>
          <w:color w:val="000000"/>
          <w:lang w:bidi="ar"/>
        </w:rPr>
        <w:t xml:space="preserve">7.4.12 </w:t>
      </w:r>
      <w:r>
        <w:rPr>
          <w:rFonts w:ascii="Times New Roman" w:hAnsi="Times New Roman" w:cs="Times New Roman"/>
        </w:rPr>
        <w:t>对于高层建筑表面尺寸</w:t>
      </w:r>
      <w:r>
        <w:rPr>
          <w:rFonts w:ascii="Times New Roman" w:hAnsi="Times New Roman" w:cs="Times New Roman"/>
          <w:i/>
          <w:iCs/>
        </w:rPr>
        <w:t>a</w:t>
      </w:r>
      <w:r>
        <w:rPr>
          <w:rFonts w:ascii="Times New Roman" w:hAnsi="Times New Roman" w:cs="Times New Roman"/>
        </w:rPr>
        <w:t>小于1m的横向或竖向不镂空外挑装饰构件，其局部体型系数</w:t>
      </w:r>
      <m:oMath>
        <m:sSubSup>
          <m:sSubSupPr>
            <m:ctrlPr>
              <w:rPr>
                <w:rFonts w:ascii="Cambria Math" w:hAnsi="Cambria Math" w:cs="Times New Roman"/>
              </w:rPr>
            </m:ctrlPr>
          </m:sSubSupPr>
          <m:e>
            <m:r>
              <m:rPr>
                <m:sty m:val="p"/>
              </m:rPr>
              <w:rPr>
                <w:rFonts w:ascii="Cambria Math" w:hAnsi="Cambria Math" w:cs="Times New Roman"/>
              </w:rPr>
              <m:t>μ</m:t>
            </m:r>
            <m:ctrlPr>
              <w:rPr>
                <w:rFonts w:ascii="Cambria Math" w:hAnsi="Cambria Math" w:cs="Times New Roman"/>
              </w:rPr>
            </m:ctrlPr>
          </m:e>
          <m:sub>
            <m:r>
              <m:rPr>
                <m:sty m:val="p"/>
              </m:rPr>
              <w:rPr>
                <w:rFonts w:ascii="Cambria Math" w:hAnsi="Cambria Math" w:cs="Times New Roman"/>
              </w:rPr>
              <m:t>sl</m:t>
            </m:r>
            <m:ctrlPr>
              <w:rPr>
                <w:rFonts w:ascii="Cambria Math" w:hAnsi="Cambria Math" w:cs="Times New Roman"/>
              </w:rPr>
            </m:ctrlPr>
          </m:sub>
          <m:sup>
            <m:r>
              <m:rPr>
                <m:sty m:val="p"/>
              </m:rPr>
              <w:rPr>
                <w:rFonts w:ascii="Cambria Math" w:hAnsi="Cambria Math" w:cs="Times New Roman"/>
              </w:rPr>
              <m:t>'</m:t>
            </m:r>
            <m:ctrlPr>
              <w:rPr>
                <w:rFonts w:ascii="Cambria Math" w:hAnsi="Cambria Math" w:cs="Times New Roman"/>
              </w:rPr>
            </m:ctrlPr>
          </m:sup>
        </m:sSubSup>
      </m:oMath>
      <w:r>
        <w:rPr>
          <w:rFonts w:ascii="Times New Roman" w:hAnsi="Times New Roman" w:cs="Times New Roman"/>
        </w:rPr>
        <w:t>按如下规定取值，且不应小于风洞试验结果。</w:t>
      </w:r>
    </w:p>
    <w:p>
      <w:pPr>
        <w:spacing w:line="360" w:lineRule="auto"/>
        <w:ind w:firstLine="420"/>
        <w:rPr>
          <w:rFonts w:ascii="Times New Roman" w:hAnsi="Times New Roman" w:cs="Times New Roman"/>
        </w:rPr>
      </w:pPr>
      <m:oMathPara>
        <m:oMath>
          <m:sSubSup>
            <m:sSubSupPr>
              <m:ctrlPr>
                <w:rPr>
                  <w:rFonts w:ascii="Cambria Math" w:hAnsi="Cambria Math" w:cs="Times New Roman"/>
                </w:rPr>
              </m:ctrlPr>
            </m:sSubSupPr>
            <m:e>
              <m:r>
                <m:rPr>
                  <m:sty m:val="p"/>
                </m:rPr>
                <w:rPr>
                  <w:rFonts w:ascii="Cambria Math" w:hAnsi="Cambria Math" w:cs="Times New Roman"/>
                </w:rPr>
                <m:t>μ</m:t>
              </m:r>
              <m:ctrlPr>
                <w:rPr>
                  <w:rFonts w:ascii="Cambria Math" w:hAnsi="Cambria Math" w:cs="Times New Roman"/>
                </w:rPr>
              </m:ctrlPr>
            </m:e>
            <m:sub>
              <m:r>
                <m:rPr>
                  <m:sty m:val="p"/>
                </m:rPr>
                <w:rPr>
                  <w:rFonts w:ascii="Cambria Math" w:hAnsi="Cambria Math" w:cs="Times New Roman"/>
                </w:rPr>
                <m:t>sl</m:t>
              </m:r>
              <m:ctrlPr>
                <w:rPr>
                  <w:rFonts w:ascii="Cambria Math" w:hAnsi="Cambria Math" w:cs="Times New Roman"/>
                </w:rPr>
              </m:ctrlPr>
            </m:sub>
            <m:sup>
              <m:r>
                <m:rPr>
                  <m:sty m:val="p"/>
                </m:rPr>
                <w:rPr>
                  <w:rFonts w:ascii="Cambria Math" w:hAnsi="Cambria Math" w:cs="Times New Roman"/>
                </w:rPr>
                <m:t>'</m:t>
              </m:r>
              <m:ctrlPr>
                <w:rPr>
                  <w:rFonts w:ascii="Cambria Math" w:hAnsi="Cambria Math" w:cs="Times New Roman"/>
                </w:rPr>
              </m:ctrlPr>
            </m:sup>
          </m:sSubSup>
          <m:r>
            <m:rPr>
              <m:sty m:val="p"/>
            </m:rPr>
            <w:rPr>
              <w:rFonts w:ascii="Cambria Math" w:hAnsi="Cambria Math" w:cs="Times New Roman"/>
            </w:rPr>
            <m:t>=k∙</m:t>
          </m:r>
          <m:sSub>
            <m:sSubPr>
              <m:ctrlPr>
                <w:rPr>
                  <w:rFonts w:ascii="Cambria Math" w:hAnsi="Cambria Math" w:cs="Times New Roman"/>
                </w:rPr>
              </m:ctrlPr>
            </m:sSubPr>
            <m:e>
              <m:r>
                <m:rPr>
                  <m:sty m:val="p"/>
                </m:rPr>
                <w:rPr>
                  <w:rFonts w:ascii="Cambria Math" w:hAnsi="Cambria Math" w:cs="Times New Roman"/>
                </w:rPr>
                <m:t>μ</m:t>
              </m:r>
              <m:ctrlPr>
                <w:rPr>
                  <w:rFonts w:ascii="Cambria Math" w:hAnsi="Cambria Math" w:cs="Times New Roman"/>
                </w:rPr>
              </m:ctrlPr>
            </m:e>
            <m:sub>
              <m:r>
                <m:rPr>
                  <m:sty m:val="p"/>
                </m:rPr>
                <w:rPr>
                  <w:rFonts w:ascii="Cambria Math" w:hAnsi="Cambria Math" w:cs="Times New Roman"/>
                </w:rPr>
                <m:t>sl</m:t>
              </m:r>
              <m:ctrlPr>
                <w:rPr>
                  <w:rFonts w:ascii="Cambria Math" w:hAnsi="Cambria Math" w:cs="Times New Roman"/>
                </w:rPr>
              </m:ctrlPr>
            </m:sub>
          </m:sSub>
        </m:oMath>
      </m:oMathPara>
    </w:p>
    <w:p>
      <w:pPr>
        <w:pStyle w:val="200"/>
      </w:pPr>
      <w:r>
        <w:rPr>
          <w:color w:val="000000"/>
          <w:lang w:bidi="ar"/>
        </w:rPr>
        <w:t>式中：</w:t>
      </w:r>
      <m:oMath>
        <m:r>
          <m:rPr>
            <m:sty m:val="p"/>
          </m:rPr>
          <w:rPr>
            <w:rFonts w:ascii="Cambria Math" w:hAnsi="Cambria Math"/>
          </w:rPr>
          <m:t>k</m:t>
        </m:r>
      </m:oMath>
      <w:r>
        <w:t>——系数，按表10.1.1取值；</w:t>
      </w:r>
    </w:p>
    <w:p>
      <w:pPr>
        <w:pStyle w:val="200"/>
      </w:pPr>
      <w:r>
        <w:t xml:space="preserve">      </w:t>
      </w:r>
      <m:oMath>
        <m:sSub>
          <m:sSubPr>
            <m:ctrlPr>
              <w:rPr>
                <w:rFonts w:ascii="Cambria Math" w:hAnsi="Cambria Math"/>
              </w:rPr>
            </m:ctrlPr>
          </m:sSubPr>
          <m:e>
            <m:r>
              <m:rPr>
                <m:sty m:val="p"/>
              </m:rPr>
              <w:rPr>
                <w:rFonts w:ascii="Cambria Math" w:hAnsi="Cambria Math"/>
              </w:rPr>
              <m:t>μ</m:t>
            </m:r>
            <m:ctrlPr>
              <w:rPr>
                <w:rFonts w:ascii="Cambria Math" w:hAnsi="Cambria Math"/>
              </w:rPr>
            </m:ctrlPr>
          </m:e>
          <m:sub>
            <m:r>
              <m:rPr>
                <m:sty m:val="p"/>
              </m:rPr>
              <w:rPr>
                <w:rFonts w:ascii="Cambria Math" w:hAnsi="Cambria Math"/>
              </w:rPr>
              <m:t>sl</m:t>
            </m:r>
            <m:ctrlPr>
              <w:rPr>
                <w:rFonts w:ascii="Cambria Math" w:hAnsi="Cambria Math"/>
              </w:rPr>
            </m:ctrlPr>
          </m:sub>
        </m:sSub>
      </m:oMath>
      <w:r>
        <w:t>——临近区域墙体体型系数，转角区取1.4，大面区取1.0。</w:t>
      </w:r>
    </w:p>
    <w:p>
      <w:pPr>
        <w:ind w:firstLine="420"/>
        <w:jc w:val="center"/>
        <w:rPr>
          <w:rFonts w:ascii="Times New Roman" w:hAnsi="Times New Roman" w:cs="Times New Roman"/>
        </w:rPr>
      </w:pPr>
      <w:r>
        <w:rPr>
          <w:rFonts w:ascii="Times New Roman" w:hAnsi="Times New Roman" w:cs="Times New Roman"/>
        </w:rPr>
        <w:drawing>
          <wp:inline distT="0" distB="0" distL="0" distR="0">
            <wp:extent cx="4984750" cy="2220595"/>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3"/>
                    <a:stretch>
                      <a:fillRect/>
                    </a:stretch>
                  </pic:blipFill>
                  <pic:spPr>
                    <a:xfrm>
                      <a:off x="0" y="0"/>
                      <a:ext cx="4996668" cy="2226156"/>
                    </a:xfrm>
                    <a:prstGeom prst="rect">
                      <a:avLst/>
                    </a:prstGeom>
                  </pic:spPr>
                </pic:pic>
              </a:graphicData>
            </a:graphic>
          </wp:inline>
        </w:drawing>
      </w:r>
    </w:p>
    <w:p>
      <w:pPr>
        <w:autoSpaceDE w:val="0"/>
        <w:autoSpaceDN w:val="0"/>
        <w:spacing w:line="360" w:lineRule="auto"/>
        <w:contextualSpacing/>
        <w:jc w:val="center"/>
        <w:rPr>
          <w:rFonts w:ascii="Times New Roman" w:hAnsi="Times New Roman" w:eastAsia="黑体" w:cs="Times New Roman"/>
          <w:bCs/>
          <w:sz w:val="21"/>
          <w:szCs w:val="21"/>
        </w:rPr>
      </w:pPr>
      <w:r>
        <w:rPr>
          <w:rFonts w:ascii="Times New Roman" w:hAnsi="Times New Roman" w:eastAsia="黑体" w:cs="Times New Roman"/>
          <w:bCs/>
          <w:sz w:val="21"/>
          <w:szCs w:val="21"/>
        </w:rPr>
        <w:t>图7.4.12  高层建筑横向或竖向不镂空外挑装饰构件示意图</w:t>
      </w:r>
    </w:p>
    <w:p>
      <w:pPr>
        <w:spacing w:line="360" w:lineRule="auto"/>
        <w:rPr>
          <w:rFonts w:ascii="Times New Roman" w:hAnsi="Times New Roman" w:cs="Times New Roman"/>
        </w:rPr>
      </w:pPr>
      <w:r>
        <w:rPr>
          <w:rFonts w:ascii="Times New Roman" w:hAnsi="Times New Roman" w:cs="Times New Roman"/>
          <w:b/>
          <w:bCs/>
          <w:szCs w:val="21"/>
        </w:rPr>
        <w:t xml:space="preserve">7.4.13 </w:t>
      </w:r>
      <w:r>
        <w:rPr>
          <w:rFonts w:ascii="Times New Roman" w:hAnsi="Times New Roman" w:cs="Times New Roman"/>
        </w:rPr>
        <w:t>突出幕墙表面的外挑装饰构件，宜按双向受弯构件计算强度，在风荷载标准值作用下，挠度限值可按照支臂间距离的1/150控制。</w:t>
      </w:r>
    </w:p>
    <w:p>
      <w:pPr>
        <w:spacing w:line="360" w:lineRule="auto"/>
        <w:rPr>
          <w:rFonts w:ascii="Times New Roman" w:hAnsi="Times New Roman" w:cs="Times New Roman"/>
        </w:rPr>
      </w:pPr>
      <w:r>
        <w:rPr>
          <w:rFonts w:ascii="Times New Roman" w:hAnsi="Times New Roman" w:cs="Times New Roman"/>
          <w:b/>
          <w:bCs/>
          <w:szCs w:val="21"/>
        </w:rPr>
        <w:t xml:space="preserve">7.4.14 </w:t>
      </w:r>
      <w:r>
        <w:rPr>
          <w:rFonts w:ascii="Times New Roman" w:hAnsi="Times New Roman" w:cs="Times New Roman"/>
        </w:rPr>
        <w:t>外挑装饰构件支臂和型材之间的连接应牢固，连接支臂不利截面强度应满足受力要求，应计入支臂截面开孔的削弱作用。</w:t>
      </w:r>
    </w:p>
    <w:p>
      <w:pPr>
        <w:spacing w:line="360" w:lineRule="auto"/>
        <w:rPr>
          <w:rFonts w:ascii="Times New Roman" w:hAnsi="Times New Roman" w:cs="Times New Roman"/>
          <w:bCs/>
          <w:szCs w:val="21"/>
        </w:rPr>
      </w:pPr>
      <w:r>
        <w:rPr>
          <w:rFonts w:ascii="Times New Roman" w:hAnsi="Times New Roman" w:cs="Times New Roman"/>
          <w:b/>
          <w:bCs/>
          <w:szCs w:val="21"/>
        </w:rPr>
        <w:t xml:space="preserve">7.4.15 </w:t>
      </w:r>
      <w:r>
        <w:rPr>
          <w:rFonts w:ascii="Times New Roman" w:hAnsi="Times New Roman" w:cs="Times New Roman"/>
          <w:bCs/>
          <w:szCs w:val="21"/>
        </w:rPr>
        <w:t>固定外挑装饰构件的幕墙除横梁立柱以外，还应校核转接件、埋件的侧向荷载承载力，尺寸较大、风压较大的竖向装饰翼，可直接固定到主体结构上。</w:t>
      </w:r>
    </w:p>
    <w:p>
      <w:pPr>
        <w:pStyle w:val="198"/>
        <w:rPr>
          <w:rFonts w:ascii="Times New Roman" w:hAnsi="Times New Roman"/>
          <w:sz w:val="24"/>
          <w:szCs w:val="24"/>
        </w:rPr>
      </w:pPr>
      <w:bookmarkStart w:id="62" w:name="_Toc162996232"/>
      <w:r>
        <w:rPr>
          <w:rFonts w:ascii="Times New Roman" w:hAnsi="Times New Roman"/>
          <w:sz w:val="24"/>
          <w:szCs w:val="24"/>
        </w:rPr>
        <w:t xml:space="preserve">7.5 </w:t>
      </w:r>
      <w:r>
        <w:rPr>
          <w:rFonts w:ascii="Times New Roman" w:hAnsi="Times New Roman"/>
          <w:b w:val="0"/>
          <w:bCs/>
          <w:sz w:val="24"/>
          <w:szCs w:val="24"/>
        </w:rPr>
        <w:t>防火封堵连接计算</w:t>
      </w:r>
      <w:bookmarkEnd w:id="62"/>
    </w:p>
    <w:p>
      <w:pPr>
        <w:pStyle w:val="189"/>
      </w:pPr>
      <w:r>
        <w:rPr>
          <w:b/>
        </w:rPr>
        <w:t>7.5.1</w:t>
      </w:r>
      <w:r>
        <w:t xml:space="preserve"> 幕墙防火封堵的承托板或支承构架应与主体结构牢固连接，缝隙应采用防火密封胶封闭。承托板、支承构架和连接件应满足耐火时限要求。</w:t>
      </w:r>
    </w:p>
    <w:p>
      <w:pPr>
        <w:pStyle w:val="189"/>
      </w:pPr>
      <w:r>
        <w:rPr>
          <w:b/>
        </w:rPr>
        <w:t>7.5.2</w:t>
      </w:r>
      <w:r>
        <w:t xml:space="preserve"> 幕墙与主体建筑建筑缝隙缝宽大于250mm时， 应通过增设角钢等刚性支承构件或紧固件提高防火封堵紧密性，支承构件应与主体结构牢固连接。</w:t>
      </w:r>
    </w:p>
    <w:p>
      <w:pPr>
        <w:pStyle w:val="189"/>
      </w:pPr>
      <w:r>
        <w:rPr>
          <w:b/>
        </w:rPr>
        <w:t>7.5.3</w:t>
      </w:r>
      <w:r>
        <w:t xml:space="preserve"> 防火封堵承托板宽度或高度大于300mm时，应计算承托板的强度及挠度并增设支承加固措施。</w:t>
      </w:r>
    </w:p>
    <w:p>
      <w:pPr>
        <w:pStyle w:val="189"/>
      </w:pPr>
      <w:r>
        <w:rPr>
          <w:b/>
        </w:rPr>
        <w:t>7.5.4</w:t>
      </w:r>
      <w:r>
        <w:t xml:space="preserve"> 幕墙与隔墙竖向防火封堵宜有钢构架支承，并牢固连接。钢构架两侧应采用厚度不小于 1.5mm 的镀锌钢板封闭。</w:t>
      </w:r>
    </w:p>
    <w:p>
      <w:pPr>
        <w:pStyle w:val="198"/>
        <w:rPr>
          <w:rFonts w:ascii="Times New Roman" w:hAnsi="Times New Roman"/>
          <w:b w:val="0"/>
          <w:bCs/>
          <w:sz w:val="24"/>
          <w:szCs w:val="24"/>
        </w:rPr>
      </w:pPr>
      <w:bookmarkStart w:id="63" w:name="_Toc162996233"/>
      <w:r>
        <w:rPr>
          <w:rFonts w:ascii="Times New Roman" w:hAnsi="Times New Roman"/>
          <w:sz w:val="24"/>
          <w:szCs w:val="24"/>
        </w:rPr>
        <w:t>7.6</w:t>
      </w:r>
      <w:r>
        <w:rPr>
          <w:rFonts w:ascii="Times New Roman" w:hAnsi="Times New Roman"/>
          <w:b w:val="0"/>
          <w:bCs/>
          <w:sz w:val="24"/>
          <w:szCs w:val="24"/>
        </w:rPr>
        <w:t xml:space="preserve"> 其他构造计算</w:t>
      </w:r>
      <w:bookmarkEnd w:id="63"/>
    </w:p>
    <w:p>
      <w:pPr>
        <w:pStyle w:val="189"/>
      </w:pPr>
      <w:r>
        <w:rPr>
          <w:b/>
        </w:rPr>
        <w:t xml:space="preserve">7.6.1 </w:t>
      </w:r>
      <w:r>
        <w:t>压板、压块及扣盖计算要求：</w:t>
      </w:r>
    </w:p>
    <w:p>
      <w:pPr>
        <w:pStyle w:val="188"/>
        <w:ind w:firstLine="482"/>
        <w:rPr>
          <w:rFonts w:cs="Times New Roman"/>
          <w:b/>
        </w:rPr>
      </w:pPr>
      <w:r>
        <w:rPr>
          <w:rFonts w:cs="Times New Roman"/>
          <w:b/>
        </w:rPr>
        <w:t xml:space="preserve">1 </w:t>
      </w:r>
      <w:r>
        <w:rPr>
          <w:rFonts w:cs="Times New Roman"/>
          <w:szCs w:val="21"/>
        </w:rPr>
        <w:t>压板、压块及连接应符合下列规定：</w:t>
      </w:r>
    </w:p>
    <w:p>
      <w:pPr>
        <w:pStyle w:val="189"/>
        <w:numPr>
          <w:ilvl w:val="0"/>
          <w:numId w:val="16"/>
        </w:numPr>
        <w:ind w:left="360" w:firstLine="489" w:firstLineChars="204"/>
      </w:pPr>
      <w:r>
        <w:t xml:space="preserve">明框幕墙压板宜通长设置； </w:t>
      </w:r>
    </w:p>
    <w:p>
      <w:pPr>
        <w:pStyle w:val="189"/>
        <w:numPr>
          <w:ilvl w:val="0"/>
          <w:numId w:val="16"/>
        </w:numPr>
        <w:ind w:left="360" w:firstLine="489" w:firstLineChars="204"/>
      </w:pPr>
      <w:r>
        <w:t>明框压板宜采用有限元分析计算，应计入钉孔对截面的削弱；</w:t>
      </w:r>
    </w:p>
    <w:p>
      <w:pPr>
        <w:pStyle w:val="189"/>
        <w:numPr>
          <w:ilvl w:val="0"/>
          <w:numId w:val="16"/>
        </w:numPr>
        <w:ind w:left="360" w:firstLine="489" w:firstLineChars="204"/>
      </w:pPr>
      <w:r>
        <w:t>压块受力分析时应计入钉孔对截面的削弱。单边受力压块应校核撬力引起的螺钉拔出的受拉承载力。</w:t>
      </w:r>
    </w:p>
    <w:p>
      <w:pPr>
        <w:pStyle w:val="188"/>
        <w:ind w:firstLine="482"/>
        <w:rPr>
          <w:rFonts w:cs="Times New Roman"/>
          <w:b/>
        </w:rPr>
      </w:pPr>
      <w:r>
        <w:rPr>
          <w:rFonts w:cs="Times New Roman"/>
          <w:b/>
        </w:rPr>
        <w:t xml:space="preserve">2 </w:t>
      </w:r>
      <w:r>
        <w:rPr>
          <w:rFonts w:cs="Times New Roman"/>
          <w:szCs w:val="21"/>
        </w:rPr>
        <w:t>咬合型扣盖设计应符合下列规定：</w:t>
      </w:r>
    </w:p>
    <w:p>
      <w:pPr>
        <w:pStyle w:val="189"/>
        <w:numPr>
          <w:ilvl w:val="0"/>
          <w:numId w:val="17"/>
        </w:numPr>
        <w:ind w:left="840" w:firstLine="9" w:firstLineChars="4"/>
      </w:pPr>
      <w:r>
        <w:t xml:space="preserve">有结构性要求的扣盖应满足受力要求； </w:t>
      </w:r>
    </w:p>
    <w:p>
      <w:pPr>
        <w:pStyle w:val="189"/>
        <w:numPr>
          <w:ilvl w:val="0"/>
          <w:numId w:val="17"/>
        </w:numPr>
        <w:ind w:left="840" w:firstLine="9" w:firstLineChars="4"/>
      </w:pPr>
      <w:r>
        <w:t>起装饰作用的扣盖应满足刚度要求；</w:t>
      </w:r>
    </w:p>
    <w:p>
      <w:pPr>
        <w:pStyle w:val="189"/>
        <w:numPr>
          <w:ilvl w:val="0"/>
          <w:numId w:val="17"/>
        </w:numPr>
        <w:ind w:left="840" w:firstLine="9" w:firstLineChars="4"/>
      </w:pPr>
      <w:r>
        <w:t xml:space="preserve">工程现场安装前应开模试装； </w:t>
      </w:r>
    </w:p>
    <w:p>
      <w:pPr>
        <w:pStyle w:val="189"/>
        <w:numPr>
          <w:ilvl w:val="0"/>
          <w:numId w:val="17"/>
        </w:numPr>
        <w:ind w:left="840" w:firstLine="9" w:firstLineChars="4"/>
      </w:pPr>
      <w:r>
        <w:t>槽口无预变形或者悬挑长度超过100mm的扣盖应在扣盖两端设置防脱机械连接。</w:t>
      </w:r>
    </w:p>
    <w:p>
      <w:pPr>
        <w:pStyle w:val="188"/>
        <w:ind w:firstLine="482"/>
        <w:rPr>
          <w:rFonts w:cs="Times New Roman"/>
          <w:szCs w:val="21"/>
        </w:rPr>
      </w:pPr>
      <w:r>
        <w:rPr>
          <w:rFonts w:cs="Times New Roman"/>
          <w:b/>
        </w:rPr>
        <w:t xml:space="preserve">3 </w:t>
      </w:r>
      <w:r>
        <w:rPr>
          <w:rFonts w:cs="Times New Roman"/>
          <w:szCs w:val="21"/>
        </w:rPr>
        <w:t>悬臂压紧型扣盖设计应符合下列规定：</w:t>
      </w:r>
      <w:r>
        <w:rPr>
          <w:rFonts w:cs="Times New Roman"/>
        </w:rPr>
        <w:t xml:space="preserve"> </w:t>
      </w:r>
    </w:p>
    <w:p>
      <w:pPr>
        <w:pStyle w:val="189"/>
        <w:numPr>
          <w:ilvl w:val="0"/>
          <w:numId w:val="18"/>
        </w:numPr>
        <w:ind w:firstLine="849" w:firstLineChars="354"/>
      </w:pPr>
      <w:r>
        <w:t xml:space="preserve">应避免支臂无止退凸起、支撑面尺寸过小或悬臂段过长； </w:t>
      </w:r>
    </w:p>
    <w:p>
      <w:pPr>
        <w:pStyle w:val="189"/>
        <w:numPr>
          <w:ilvl w:val="0"/>
          <w:numId w:val="18"/>
        </w:numPr>
        <w:ind w:firstLine="849" w:firstLineChars="354"/>
      </w:pPr>
      <w:r>
        <w:t>隔热型材应关注隔热条受弯强度和抗弯刚度。隔热条的抗弯强度和刚度应通过包括80℃高温试验在内的试验确定。</w:t>
      </w:r>
    </w:p>
    <w:p>
      <w:pPr>
        <w:pStyle w:val="189"/>
      </w:pPr>
      <w:r>
        <w:rPr>
          <w:b/>
        </w:rPr>
        <w:t xml:space="preserve">7.6.2 </w:t>
      </w:r>
      <w:r>
        <w:t>转角位置玻璃墙可采用玻璃面板互为支承方式。结构胶受力应计及双向受力，同时在玻璃墙上下端部应采取侧向支承措施。当面板为中空玻璃时，在转角处可采用内外错片的构造，由内外片玻璃通过结构胶分别互相传力。</w:t>
      </w:r>
    </w:p>
    <w:p>
      <w:pPr>
        <w:pStyle w:val="189"/>
      </w:pPr>
      <w:r>
        <w:rPr>
          <w:b/>
        </w:rPr>
        <w:t xml:space="preserve">7.6.3 </w:t>
      </w:r>
      <w:r>
        <w:t>隔热条不能作为传递荷载的受力部件，压板、压条固定螺栓应按承载能力极限状态计算确定。</w:t>
      </w:r>
    </w:p>
    <w:p>
      <w:pPr>
        <w:pStyle w:val="189"/>
      </w:pPr>
      <w:r>
        <w:rPr>
          <w:b/>
        </w:rPr>
        <w:t>7.6.4</w:t>
      </w:r>
      <w:r>
        <w:t xml:space="preserve"> 双层幕墙应分别对外层幕墙、内层幕墙、马道、支撑外层幕墙的悬挑构件及连接内层幕墙与主体结构的连接件进行承载力和挠度验算：</w:t>
      </w:r>
    </w:p>
    <w:p>
      <w:pPr>
        <w:pStyle w:val="188"/>
        <w:ind w:firstLine="482"/>
        <w:rPr>
          <w:rFonts w:cs="Times New Roman"/>
        </w:rPr>
      </w:pPr>
      <w:r>
        <w:rPr>
          <w:rFonts w:cs="Times New Roman"/>
          <w:b/>
        </w:rPr>
        <w:t>1</w:t>
      </w:r>
      <w:r>
        <w:rPr>
          <w:rFonts w:cs="Times New Roman"/>
        </w:rPr>
        <w:t xml:space="preserve"> 分体式双层幕墙内、外层幕墙应分别验算其承载能力、刚度、稳定性和相对于主体结构的位移；</w:t>
      </w:r>
    </w:p>
    <w:p>
      <w:pPr>
        <w:pStyle w:val="188"/>
        <w:ind w:firstLine="482"/>
        <w:rPr>
          <w:rFonts w:cs="Times New Roman"/>
        </w:rPr>
      </w:pPr>
      <w:r>
        <w:rPr>
          <w:rFonts w:cs="Times New Roman"/>
          <w:b/>
        </w:rPr>
        <w:t>2</w:t>
      </w:r>
      <w:r>
        <w:rPr>
          <w:rFonts w:cs="Times New Roman"/>
        </w:rPr>
        <w:t xml:space="preserve"> 整体式双层慕墙内外两层幕墙共用立柱时，立柱计算应考虑偏心重力荷载；</w:t>
      </w:r>
    </w:p>
    <w:p>
      <w:pPr>
        <w:pStyle w:val="188"/>
        <w:ind w:firstLine="482"/>
        <w:rPr>
          <w:rFonts w:cs="Times New Roman"/>
        </w:rPr>
      </w:pPr>
      <w:r>
        <w:rPr>
          <w:rFonts w:cs="Times New Roman"/>
          <w:b/>
        </w:rPr>
        <w:t>3</w:t>
      </w:r>
      <w:r>
        <w:rPr>
          <w:rFonts w:cs="Times New Roman"/>
        </w:rPr>
        <w:t xml:space="preserve"> 双层幕墙采用悬挑构件支撑外层幕墙时，悬挑构件应具有足够的刚度，其挠度不宜超过悬挑构件跨度的 1/250，安装外层幕墙的悬挑构件应具有足够的侧向刚度，必要时可设侧向支承。</w:t>
      </w:r>
    </w:p>
    <w:p>
      <w:pPr>
        <w:pStyle w:val="196"/>
        <w:spacing w:before="120"/>
        <w:sectPr>
          <w:pgSz w:w="11906" w:h="16838"/>
          <w:pgMar w:top="1134" w:right="1134" w:bottom="1134" w:left="1134" w:header="851" w:footer="992" w:gutter="0"/>
          <w:cols w:space="720" w:num="1"/>
          <w:docGrid w:linePitch="312" w:charSpace="0"/>
        </w:sectPr>
      </w:pPr>
    </w:p>
    <w:p>
      <w:pPr>
        <w:pStyle w:val="196"/>
        <w:spacing w:before="120"/>
      </w:pPr>
      <w:bookmarkStart w:id="64" w:name="_Toc162996234"/>
      <w:r>
        <w:t>8 连接计算</w:t>
      </w:r>
      <w:bookmarkEnd w:id="56"/>
      <w:bookmarkEnd w:id="57"/>
      <w:bookmarkEnd w:id="64"/>
    </w:p>
    <w:p>
      <w:pPr>
        <w:pStyle w:val="4"/>
        <w:rPr>
          <w:rFonts w:ascii="Times New Roman" w:hAnsi="Times New Roman"/>
        </w:rPr>
      </w:pPr>
      <w:bookmarkStart w:id="65" w:name="_Toc162996235"/>
      <w:r>
        <w:rPr>
          <w:rFonts w:ascii="Times New Roman" w:hAnsi="Times New Roman"/>
        </w:rPr>
        <w:t xml:space="preserve">8.1 </w:t>
      </w:r>
      <w:r>
        <w:rPr>
          <w:rFonts w:ascii="Times New Roman" w:hAnsi="Times New Roman" w:eastAsia="黑体"/>
          <w:b w:val="0"/>
          <w:bCs w:val="0"/>
          <w:kern w:val="0"/>
          <w:szCs w:val="24"/>
        </w:rPr>
        <w:t>一般规定</w:t>
      </w:r>
      <w:bookmarkEnd w:id="65"/>
    </w:p>
    <w:p>
      <w:pPr>
        <w:pStyle w:val="5"/>
        <w:rPr>
          <w:rFonts w:ascii="Times New Roman" w:hAnsi="Times New Roman" w:cs="Times New Roman"/>
        </w:rPr>
      </w:pPr>
      <w:r>
        <w:rPr>
          <w:rFonts w:ascii="Times New Roman" w:hAnsi="Times New Roman" w:cs="Times New Roman"/>
          <w:b/>
          <w:bCs w:val="0"/>
        </w:rPr>
        <w:t>8.1.1</w:t>
      </w:r>
      <w:r>
        <w:rPr>
          <w:rFonts w:ascii="Times New Roman" w:hAnsi="Times New Roman" w:cs="Times New Roman"/>
        </w:rPr>
        <w:t xml:space="preserve"> 幕墙的连接应可靠牢固，连接的尺寸和数量应按计算或试验确定，并应满足构造要求。</w:t>
      </w:r>
    </w:p>
    <w:p>
      <w:pPr>
        <w:pStyle w:val="5"/>
        <w:rPr>
          <w:rFonts w:ascii="Times New Roman" w:hAnsi="Times New Roman" w:cs="Times New Roman"/>
        </w:rPr>
      </w:pPr>
      <w:r>
        <w:rPr>
          <w:rFonts w:ascii="Times New Roman" w:hAnsi="Times New Roman" w:cs="Times New Roman"/>
          <w:b/>
          <w:bCs w:val="0"/>
        </w:rPr>
        <w:t>8.1.2</w:t>
      </w:r>
      <w:r>
        <w:rPr>
          <w:rFonts w:ascii="Times New Roman" w:hAnsi="Times New Roman" w:cs="Times New Roman"/>
        </w:rPr>
        <w:t xml:space="preserve"> 幕墙的结构性连接可采用焊接连接、螺栓连接、螺钉连接、铆钉连接、销轴连接、硅酮结构密封胶粘接等。</w:t>
      </w:r>
    </w:p>
    <w:p>
      <w:pPr>
        <w:keepLines/>
        <w:widowControl w:val="0"/>
        <w:tabs>
          <w:tab w:val="left" w:pos="432"/>
        </w:tabs>
        <w:adjustRightInd w:val="0"/>
        <w:spacing w:before="120" w:after="120" w:line="360" w:lineRule="auto"/>
        <w:jc w:val="center"/>
        <w:textAlignment w:val="baseline"/>
        <w:outlineLvl w:val="1"/>
        <w:rPr>
          <w:rFonts w:ascii="Times New Roman" w:hAnsi="Times New Roman" w:cs="Times New Roman"/>
        </w:rPr>
      </w:pPr>
      <w:bookmarkStart w:id="66" w:name="_Toc4163022"/>
      <w:bookmarkStart w:id="67" w:name="_Toc17472924"/>
      <w:bookmarkStart w:id="68" w:name="_Toc4743750"/>
      <w:bookmarkStart w:id="69" w:name="_Toc17474035"/>
      <w:bookmarkStart w:id="70" w:name="_Toc162996236"/>
      <w:r>
        <w:rPr>
          <w:rFonts w:ascii="Times New Roman" w:hAnsi="Times New Roman" w:eastAsia="黑体" w:cs="Times New Roman"/>
          <w:b/>
        </w:rPr>
        <w:t>8.2</w:t>
      </w:r>
      <w:r>
        <w:rPr>
          <w:rFonts w:ascii="Times New Roman" w:hAnsi="Times New Roman" w:eastAsia="黑体" w:cs="Times New Roman"/>
        </w:rPr>
        <w:t xml:space="preserve"> 硅酮结构密封胶</w:t>
      </w:r>
      <w:bookmarkEnd w:id="66"/>
      <w:bookmarkEnd w:id="67"/>
      <w:bookmarkEnd w:id="68"/>
      <w:bookmarkEnd w:id="69"/>
      <w:r>
        <w:rPr>
          <w:rFonts w:ascii="Times New Roman" w:hAnsi="Times New Roman" w:eastAsia="黑体" w:cs="Times New Roman"/>
        </w:rPr>
        <w:t>粘接计算</w:t>
      </w:r>
      <w:bookmarkEnd w:id="70"/>
    </w:p>
    <w:p>
      <w:pPr>
        <w:widowControl w:val="0"/>
        <w:spacing w:line="360" w:lineRule="auto"/>
        <w:jc w:val="both"/>
        <w:rPr>
          <w:rFonts w:ascii="Times New Roman" w:hAnsi="Times New Roman" w:cs="Times New Roman"/>
          <w:kern w:val="2"/>
        </w:rPr>
      </w:pPr>
      <w:r>
        <w:rPr>
          <w:rFonts w:ascii="Times New Roman" w:hAnsi="Times New Roman" w:cs="Times New Roman"/>
          <w:b/>
          <w:bCs/>
          <w:kern w:val="2"/>
        </w:rPr>
        <w:t xml:space="preserve">8.2.1 </w:t>
      </w:r>
      <w:r>
        <w:rPr>
          <w:rFonts w:ascii="Times New Roman" w:hAnsi="Times New Roman" w:cs="Times New Roman"/>
          <w:kern w:val="2"/>
        </w:rPr>
        <w:t>硅酮结构密封胶的粘接宽度和粘接厚度应经计算确定；粘接宽度h</w:t>
      </w:r>
      <w:r>
        <w:rPr>
          <w:rFonts w:ascii="Times New Roman" w:hAnsi="Times New Roman" w:cs="Times New Roman"/>
          <w:kern w:val="2"/>
          <w:vertAlign w:val="subscript"/>
        </w:rPr>
        <w:t>c</w:t>
      </w:r>
      <w:r>
        <w:rPr>
          <w:rFonts w:ascii="Times New Roman" w:hAnsi="Times New Roman" w:cs="Times New Roman"/>
          <w:kern w:val="2"/>
        </w:rPr>
        <w:t>应不小于6mm，且应不大于20mm；粘接厚度e应不小于4mm，不宜小于6mm。粘接宽度与粘接厚度宜满足e≤h</w:t>
      </w:r>
      <w:r>
        <w:rPr>
          <w:rFonts w:ascii="Times New Roman" w:hAnsi="Times New Roman" w:cs="Times New Roman"/>
          <w:kern w:val="2"/>
          <w:vertAlign w:val="subscript"/>
        </w:rPr>
        <w:t>c</w:t>
      </w:r>
      <w:r>
        <w:rPr>
          <w:rFonts w:ascii="Times New Roman" w:hAnsi="Times New Roman" w:cs="Times New Roman"/>
          <w:kern w:val="2"/>
        </w:rPr>
        <w:t>≤3e。</w:t>
      </w:r>
    </w:p>
    <w:p>
      <w:pPr>
        <w:widowControl w:val="0"/>
        <w:spacing w:line="360" w:lineRule="auto"/>
        <w:jc w:val="both"/>
        <w:rPr>
          <w:rFonts w:ascii="Times New Roman" w:hAnsi="Times New Roman" w:cs="Times New Roman"/>
          <w:kern w:val="2"/>
        </w:rPr>
      </w:pPr>
      <w:r>
        <w:rPr>
          <w:rFonts w:ascii="Times New Roman" w:hAnsi="Times New Roman" w:cs="Times New Roman"/>
          <w:b/>
          <w:bCs/>
          <w:kern w:val="2"/>
        </w:rPr>
        <w:t xml:space="preserve">8.2.2 </w:t>
      </w:r>
      <w:r>
        <w:rPr>
          <w:rFonts w:ascii="Times New Roman" w:hAnsi="Times New Roman" w:cs="Times New Roman"/>
          <w:kern w:val="2"/>
        </w:rPr>
        <w:t>结构胶强度设计值应按下列公式计算：</w:t>
      </w:r>
    </w:p>
    <w:p>
      <w:pPr>
        <w:widowControl w:val="0"/>
        <w:spacing w:line="360" w:lineRule="auto"/>
        <w:ind w:firstLine="4080" w:firstLineChars="1700"/>
        <w:jc w:val="both"/>
        <w:rPr>
          <w:rFonts w:ascii="Times New Roman" w:hAnsi="Times New Roman" w:cs="Times New Roman"/>
          <w:kern w:val="2"/>
        </w:rPr>
      </w:pPr>
      <m:oMath>
        <m:sSub>
          <m:sSubPr>
            <m:ctrlPr>
              <w:rPr>
                <w:rFonts w:ascii="Cambria Math" w:hAnsi="Cambria Math" w:cs="Times New Roman"/>
                <w:kern w:val="2"/>
              </w:rPr>
            </m:ctrlPr>
          </m:sSubPr>
          <m:e>
            <m:r>
              <m:rPr>
                <m:sty m:val="p"/>
              </m:rPr>
              <w:rPr>
                <w:rFonts w:ascii="Cambria Math" w:hAnsi="Cambria Math" w:cs="Times New Roman"/>
                <w:kern w:val="2"/>
              </w:rPr>
              <m:t>σ</m:t>
            </m:r>
            <m:ctrlPr>
              <w:rPr>
                <w:rFonts w:ascii="Cambria Math" w:hAnsi="Cambria Math" w:cs="Times New Roman"/>
                <w:kern w:val="2"/>
              </w:rPr>
            </m:ctrlPr>
          </m:e>
          <m:sub>
            <m:r>
              <m:rPr>
                <m:sty m:val="p"/>
              </m:rPr>
              <w:rPr>
                <w:rFonts w:ascii="Cambria Math" w:hAnsi="Cambria Math" w:cs="Times New Roman"/>
                <w:kern w:val="2"/>
              </w:rPr>
              <m:t>des</m:t>
            </m:r>
            <m:ctrlPr>
              <w:rPr>
                <w:rFonts w:ascii="Cambria Math" w:hAnsi="Cambria Math" w:cs="Times New Roman"/>
                <w:kern w:val="2"/>
              </w:rPr>
            </m:ctrlPr>
          </m:sub>
        </m:sSub>
        <m:r>
          <m:rPr>
            <m:sty m:val="p"/>
          </m:rPr>
          <w:rPr>
            <w:rFonts w:ascii="Cambria Math" w:hAnsi="Cambria Math" w:cs="Times New Roman"/>
            <w:kern w:val="2"/>
          </w:rPr>
          <m:t>=</m:t>
        </m:r>
        <m:sSub>
          <m:sSubPr>
            <m:ctrlPr>
              <w:rPr>
                <w:rFonts w:ascii="Cambria Math" w:hAnsi="Cambria Math" w:cs="Times New Roman"/>
                <w:kern w:val="2"/>
              </w:rPr>
            </m:ctrlPr>
          </m:sSubPr>
          <m:e>
            <m:r>
              <m:rPr>
                <m:sty m:val="p"/>
              </m:rPr>
              <w:rPr>
                <w:rFonts w:ascii="Cambria Math" w:hAnsi="Cambria Math" w:cs="Times New Roman"/>
                <w:kern w:val="2"/>
              </w:rPr>
              <m:t>R</m:t>
            </m:r>
            <m:ctrlPr>
              <w:rPr>
                <w:rFonts w:ascii="Cambria Math" w:hAnsi="Cambria Math" w:cs="Times New Roman"/>
                <w:kern w:val="2"/>
              </w:rPr>
            </m:ctrlPr>
          </m:e>
          <m:sub>
            <m:r>
              <m:rPr>
                <m:sty m:val="p"/>
              </m:rPr>
              <w:rPr>
                <w:rFonts w:ascii="Cambria Math" w:hAnsi="Cambria Math" w:cs="Times New Roman"/>
                <w:kern w:val="2"/>
              </w:rPr>
              <m:t>u5</m:t>
            </m:r>
            <m:ctrlPr>
              <w:rPr>
                <w:rFonts w:ascii="Cambria Math" w:hAnsi="Cambria Math" w:cs="Times New Roman"/>
                <w:kern w:val="2"/>
              </w:rPr>
            </m:ctrlPr>
          </m:sub>
        </m:sSub>
        <m:r>
          <m:rPr>
            <m:sty m:val="p"/>
          </m:rPr>
          <w:rPr>
            <w:rFonts w:ascii="Cambria Math" w:hAnsi="Cambria Math" w:cs="Times New Roman"/>
            <w:kern w:val="2"/>
          </w:rPr>
          <m:t>/</m:t>
        </m:r>
        <m:sSub>
          <m:sSubPr>
            <m:ctrlPr>
              <w:rPr>
                <w:rFonts w:ascii="Cambria Math" w:hAnsi="Cambria Math" w:cs="Times New Roman"/>
                <w:kern w:val="2"/>
              </w:rPr>
            </m:ctrlPr>
          </m:sSubPr>
          <m:e>
            <m:r>
              <m:rPr>
                <m:sty m:val="p"/>
              </m:rPr>
              <w:rPr>
                <w:rFonts w:ascii="Cambria Math" w:hAnsi="Cambria Math" w:cs="Times New Roman"/>
                <w:kern w:val="2"/>
              </w:rPr>
              <m:t>γ</m:t>
            </m:r>
            <m:ctrlPr>
              <w:rPr>
                <w:rFonts w:ascii="Cambria Math" w:hAnsi="Cambria Math" w:cs="Times New Roman"/>
                <w:kern w:val="2"/>
              </w:rPr>
            </m:ctrlPr>
          </m:e>
          <m:sub>
            <m:r>
              <m:rPr>
                <m:sty m:val="p"/>
              </m:rPr>
              <w:rPr>
                <w:rFonts w:ascii="Cambria Math" w:hAnsi="Cambria Math" w:cs="Times New Roman"/>
                <w:kern w:val="2"/>
              </w:rPr>
              <m:t>tot</m:t>
            </m:r>
            <m:ctrlPr>
              <w:rPr>
                <w:rFonts w:ascii="Cambria Math" w:hAnsi="Cambria Math" w:cs="Times New Roman"/>
                <w:kern w:val="2"/>
              </w:rPr>
            </m:ctrlPr>
          </m:sub>
        </m:sSub>
      </m:oMath>
      <w:r>
        <w:rPr>
          <w:rFonts w:ascii="Times New Roman" w:hAnsi="Times New Roman" w:cs="Times New Roman"/>
          <w:kern w:val="2"/>
        </w:rPr>
        <w:t xml:space="preserve">                </w:t>
      </w:r>
      <w:r>
        <w:rPr>
          <w:rFonts w:ascii="Times New Roman" w:hAnsi="Times New Roman" w:cs="Times New Roman"/>
          <w:kern w:val="2"/>
        </w:rPr>
        <w:tab/>
      </w:r>
      <w:r>
        <w:rPr>
          <w:rFonts w:ascii="Times New Roman" w:hAnsi="Times New Roman" w:cs="Times New Roman"/>
          <w:kern w:val="2"/>
        </w:rPr>
        <w:t xml:space="preserve">   （8.2.2-1）</w:t>
      </w:r>
    </w:p>
    <w:p>
      <w:pPr>
        <w:widowControl w:val="0"/>
        <w:spacing w:line="360" w:lineRule="auto"/>
        <w:jc w:val="both"/>
        <w:rPr>
          <w:rFonts w:ascii="Times New Roman" w:hAnsi="Times New Roman" w:cs="Times New Roman"/>
          <w:kern w:val="2"/>
        </w:rPr>
      </w:pPr>
      <w:r>
        <w:rPr>
          <w:rFonts w:ascii="Times New Roman" w:hAnsi="Times New Roman" w:cs="Times New Roman"/>
          <w:kern w:val="2"/>
        </w:rPr>
        <w:t xml:space="preserve">                                  </w:t>
      </w:r>
      <m:oMath>
        <m:sSub>
          <m:sSubPr>
            <m:ctrlPr>
              <w:rPr>
                <w:rFonts w:ascii="Cambria Math" w:hAnsi="Cambria Math" w:cs="Times New Roman"/>
                <w:kern w:val="2"/>
              </w:rPr>
            </m:ctrlPr>
          </m:sSubPr>
          <m:e>
            <m:r>
              <m:rPr>
                <m:sty m:val="p"/>
              </m:rPr>
              <w:rPr>
                <w:rFonts w:ascii="Cambria Math" w:hAnsi="Cambria Math" w:cs="Times New Roman"/>
                <w:kern w:val="2"/>
              </w:rPr>
              <m:t>Γ</m:t>
            </m:r>
            <m:ctrlPr>
              <w:rPr>
                <w:rFonts w:ascii="Cambria Math" w:hAnsi="Cambria Math" w:cs="Times New Roman"/>
                <w:kern w:val="2"/>
              </w:rPr>
            </m:ctrlPr>
          </m:e>
          <m:sub>
            <m:r>
              <m:rPr>
                <m:sty m:val="p"/>
              </m:rPr>
              <w:rPr>
                <w:rFonts w:ascii="Cambria Math" w:hAnsi="Cambria Math" w:cs="Times New Roman"/>
                <w:kern w:val="2"/>
              </w:rPr>
              <m:t>des</m:t>
            </m:r>
            <m:ctrlPr>
              <w:rPr>
                <w:rFonts w:ascii="Cambria Math" w:hAnsi="Cambria Math" w:cs="Times New Roman"/>
                <w:kern w:val="2"/>
              </w:rPr>
            </m:ctrlPr>
          </m:sub>
        </m:sSub>
        <m:r>
          <m:rPr>
            <m:sty m:val="p"/>
          </m:rPr>
          <w:rPr>
            <w:rFonts w:ascii="Cambria Math" w:hAnsi="Cambria Math" w:cs="Times New Roman"/>
            <w:kern w:val="2"/>
          </w:rPr>
          <m:t>=</m:t>
        </m:r>
        <m:sSub>
          <m:sSubPr>
            <m:ctrlPr>
              <w:rPr>
                <w:rFonts w:ascii="Cambria Math" w:hAnsi="Cambria Math" w:cs="Times New Roman"/>
                <w:kern w:val="2"/>
              </w:rPr>
            </m:ctrlPr>
          </m:sSubPr>
          <m:e>
            <m:r>
              <m:rPr>
                <m:sty m:val="p"/>
              </m:rPr>
              <w:rPr>
                <w:rFonts w:ascii="Cambria Math" w:hAnsi="Cambria Math" w:cs="Times New Roman"/>
                <w:kern w:val="2"/>
              </w:rPr>
              <m:t>R</m:t>
            </m:r>
            <m:ctrlPr>
              <w:rPr>
                <w:rFonts w:ascii="Cambria Math" w:hAnsi="Cambria Math" w:cs="Times New Roman"/>
                <w:kern w:val="2"/>
              </w:rPr>
            </m:ctrlPr>
          </m:e>
          <m:sub>
            <m:r>
              <m:rPr>
                <m:sty m:val="p"/>
              </m:rPr>
              <w:rPr>
                <w:rFonts w:ascii="Cambria Math" w:hAnsi="Cambria Math" w:cs="Times New Roman"/>
                <w:kern w:val="2"/>
              </w:rPr>
              <m:t>u5</m:t>
            </m:r>
            <m:ctrlPr>
              <w:rPr>
                <w:rFonts w:ascii="Cambria Math" w:hAnsi="Cambria Math" w:cs="Times New Roman"/>
                <w:kern w:val="2"/>
              </w:rPr>
            </m:ctrlPr>
          </m:sub>
        </m:sSub>
        <m:r>
          <m:rPr>
            <m:sty m:val="p"/>
          </m:rPr>
          <w:rPr>
            <w:rFonts w:ascii="Cambria Math" w:hAnsi="Cambria Math" w:cs="Times New Roman"/>
            <w:kern w:val="2"/>
          </w:rPr>
          <m:t>/</m:t>
        </m:r>
        <m:sSub>
          <m:sSubPr>
            <m:ctrlPr>
              <w:rPr>
                <w:rFonts w:ascii="Cambria Math" w:hAnsi="Cambria Math" w:cs="Times New Roman"/>
                <w:kern w:val="2"/>
              </w:rPr>
            </m:ctrlPr>
          </m:sSubPr>
          <m:e>
            <m:r>
              <m:rPr>
                <m:sty m:val="p"/>
              </m:rPr>
              <w:rPr>
                <w:rFonts w:ascii="Cambria Math" w:hAnsi="Cambria Math" w:cs="Times New Roman"/>
                <w:kern w:val="2"/>
              </w:rPr>
              <m:t>γ</m:t>
            </m:r>
            <m:ctrlPr>
              <w:rPr>
                <w:rFonts w:ascii="Cambria Math" w:hAnsi="Cambria Math" w:cs="Times New Roman"/>
                <w:kern w:val="2"/>
              </w:rPr>
            </m:ctrlPr>
          </m:e>
          <m:sub>
            <m:r>
              <m:rPr>
                <m:sty m:val="p"/>
              </m:rPr>
              <w:rPr>
                <w:rFonts w:ascii="Cambria Math" w:hAnsi="Cambria Math" w:cs="Times New Roman"/>
                <w:kern w:val="2"/>
              </w:rPr>
              <m:t>tot</m:t>
            </m:r>
            <m:ctrlPr>
              <w:rPr>
                <w:rFonts w:ascii="Cambria Math" w:hAnsi="Cambria Math" w:cs="Times New Roman"/>
                <w:kern w:val="2"/>
              </w:rPr>
            </m:ctrlPr>
          </m:sub>
        </m:sSub>
      </m:oMath>
      <w:r>
        <w:rPr>
          <w:rFonts w:ascii="Times New Roman" w:hAnsi="Times New Roman" w:cs="Times New Roman"/>
          <w:kern w:val="2"/>
        </w:rPr>
        <w:t xml:space="preserve">                </w:t>
      </w:r>
      <w:r>
        <w:rPr>
          <w:rFonts w:ascii="Times New Roman" w:hAnsi="Times New Roman" w:cs="Times New Roman"/>
          <w:kern w:val="2"/>
        </w:rPr>
        <w:tab/>
      </w:r>
      <w:r>
        <w:rPr>
          <w:rFonts w:ascii="Times New Roman" w:hAnsi="Times New Roman" w:cs="Times New Roman"/>
          <w:kern w:val="2"/>
        </w:rPr>
        <w:t xml:space="preserve">   （8.2.2-2）</w:t>
      </w:r>
    </w:p>
    <w:p>
      <w:pPr>
        <w:widowControl w:val="0"/>
        <w:spacing w:line="360" w:lineRule="auto"/>
        <w:jc w:val="both"/>
        <w:rPr>
          <w:rFonts w:ascii="Times New Roman" w:hAnsi="Times New Roman" w:cs="Times New Roman"/>
          <w:kern w:val="2"/>
        </w:rPr>
      </w:pPr>
      <w:r>
        <w:rPr>
          <w:rFonts w:ascii="Times New Roman" w:hAnsi="Times New Roman" w:cs="Times New Roman"/>
          <w:kern w:val="2"/>
        </w:rPr>
        <w:t xml:space="preserve">                                  </w:t>
      </w:r>
      <m:oMath>
        <m:sSub>
          <m:sSubPr>
            <m:ctrlPr>
              <w:rPr>
                <w:rFonts w:ascii="Cambria Math" w:hAnsi="Cambria Math" w:cs="Times New Roman"/>
                <w:kern w:val="2"/>
              </w:rPr>
            </m:ctrlPr>
          </m:sSubPr>
          <m:e>
            <m:r>
              <m:rPr>
                <m:sty m:val="p"/>
              </m:rPr>
              <w:rPr>
                <w:rFonts w:ascii="Cambria Math" w:hAnsi="Cambria Math" w:cs="Times New Roman"/>
                <w:kern w:val="2"/>
              </w:rPr>
              <m:t>Γ</m:t>
            </m:r>
            <m:ctrlPr>
              <w:rPr>
                <w:rFonts w:ascii="Cambria Math" w:hAnsi="Cambria Math" w:cs="Times New Roman"/>
                <w:kern w:val="2"/>
              </w:rPr>
            </m:ctrlPr>
          </m:e>
          <m:sub>
            <m:r>
              <m:rPr>
                <m:sty m:val="p"/>
              </m:rPr>
              <w:rPr>
                <w:rFonts w:ascii="Cambria Math" w:hAnsi="Cambria Math" w:cs="Times New Roman"/>
                <w:kern w:val="2"/>
              </w:rPr>
              <m:t>∞</m:t>
            </m:r>
            <m:ctrlPr>
              <w:rPr>
                <w:rFonts w:ascii="Cambria Math" w:hAnsi="Cambria Math" w:cs="Times New Roman"/>
                <w:kern w:val="2"/>
              </w:rPr>
            </m:ctrlPr>
          </m:sub>
        </m:sSub>
        <m:r>
          <m:rPr>
            <m:sty m:val="p"/>
          </m:rPr>
          <w:rPr>
            <w:rFonts w:ascii="Cambria Math" w:hAnsi="Cambria Math" w:cs="Times New Roman"/>
            <w:kern w:val="2"/>
          </w:rPr>
          <m:t>=</m:t>
        </m:r>
        <m:sSub>
          <m:sSubPr>
            <m:ctrlPr>
              <w:rPr>
                <w:rFonts w:ascii="Cambria Math" w:hAnsi="Cambria Math" w:cs="Times New Roman"/>
                <w:kern w:val="2"/>
              </w:rPr>
            </m:ctrlPr>
          </m:sSubPr>
          <m:e>
            <m:r>
              <m:rPr>
                <m:sty m:val="p"/>
              </m:rPr>
              <w:rPr>
                <w:rFonts w:ascii="Cambria Math" w:hAnsi="Cambria Math" w:cs="Times New Roman"/>
                <w:kern w:val="2"/>
              </w:rPr>
              <m:t>Γ</m:t>
            </m:r>
            <m:ctrlPr>
              <w:rPr>
                <w:rFonts w:ascii="Cambria Math" w:hAnsi="Cambria Math" w:cs="Times New Roman"/>
                <w:kern w:val="2"/>
              </w:rPr>
            </m:ctrlPr>
          </m:e>
          <m:sub>
            <m:r>
              <m:rPr>
                <m:sty m:val="p"/>
              </m:rPr>
              <w:rPr>
                <w:rFonts w:ascii="Cambria Math" w:hAnsi="Cambria Math" w:cs="Times New Roman"/>
                <w:kern w:val="2"/>
              </w:rPr>
              <m:t>des</m:t>
            </m:r>
            <m:ctrlPr>
              <w:rPr>
                <w:rFonts w:ascii="Cambria Math" w:hAnsi="Cambria Math" w:cs="Times New Roman"/>
                <w:kern w:val="2"/>
              </w:rPr>
            </m:ctrlPr>
          </m:sub>
        </m:sSub>
        <m:r>
          <m:rPr>
            <m:sty m:val="p"/>
          </m:rPr>
          <w:rPr>
            <w:rFonts w:ascii="Cambria Math" w:hAnsi="Cambria Math" w:cs="Times New Roman"/>
            <w:kern w:val="2"/>
          </w:rPr>
          <m:t>/</m:t>
        </m:r>
        <m:sSub>
          <m:sSubPr>
            <m:ctrlPr>
              <w:rPr>
                <w:rFonts w:ascii="Cambria Math" w:hAnsi="Cambria Math" w:cs="Times New Roman"/>
                <w:kern w:val="2"/>
              </w:rPr>
            </m:ctrlPr>
          </m:sSubPr>
          <m:e>
            <m:r>
              <m:rPr>
                <m:sty m:val="p"/>
              </m:rPr>
              <w:rPr>
                <w:rFonts w:ascii="Cambria Math" w:hAnsi="Cambria Math" w:cs="Times New Roman"/>
                <w:kern w:val="2"/>
              </w:rPr>
              <m:t>γ</m:t>
            </m:r>
            <m:ctrlPr>
              <w:rPr>
                <w:rFonts w:ascii="Cambria Math" w:hAnsi="Cambria Math" w:cs="Times New Roman"/>
                <w:kern w:val="2"/>
              </w:rPr>
            </m:ctrlPr>
          </m:e>
          <m:sub>
            <m:r>
              <m:rPr>
                <m:sty m:val="p"/>
              </m:rPr>
              <w:rPr>
                <w:rFonts w:ascii="Cambria Math" w:hAnsi="Cambria Math" w:cs="Times New Roman"/>
                <w:kern w:val="2"/>
              </w:rPr>
              <m:t>c</m:t>
            </m:r>
            <m:ctrlPr>
              <w:rPr>
                <w:rFonts w:ascii="Cambria Math" w:hAnsi="Cambria Math" w:cs="Times New Roman"/>
                <w:kern w:val="2"/>
              </w:rPr>
            </m:ctrlPr>
          </m:sub>
        </m:sSub>
      </m:oMath>
      <w:r>
        <w:rPr>
          <w:rFonts w:ascii="Times New Roman" w:hAnsi="Times New Roman" w:cs="Times New Roman"/>
          <w:kern w:val="2"/>
        </w:rPr>
        <w:t xml:space="preserve">                 </w:t>
      </w:r>
      <w:r>
        <w:rPr>
          <w:rFonts w:ascii="Times New Roman" w:hAnsi="Times New Roman" w:cs="Times New Roman"/>
          <w:kern w:val="2"/>
        </w:rPr>
        <w:tab/>
      </w:r>
      <w:r>
        <w:rPr>
          <w:rFonts w:ascii="Times New Roman" w:hAnsi="Times New Roman" w:cs="Times New Roman"/>
          <w:kern w:val="2"/>
        </w:rPr>
        <w:t xml:space="preserve">    （8.2.2-3）</w:t>
      </w:r>
    </w:p>
    <w:p>
      <w:pPr>
        <w:widowControl w:val="0"/>
        <w:spacing w:line="360" w:lineRule="auto"/>
        <w:ind w:left="1560" w:hanging="1560" w:hangingChars="650"/>
        <w:jc w:val="both"/>
        <w:rPr>
          <w:rFonts w:ascii="Times New Roman" w:hAnsi="Times New Roman" w:cs="Times New Roman"/>
          <w:kern w:val="2"/>
        </w:rPr>
      </w:pPr>
      <w:r>
        <w:rPr>
          <w:rFonts w:ascii="Times New Roman" w:hAnsi="Times New Roman" w:cs="Times New Roman"/>
          <w:kern w:val="2"/>
        </w:rPr>
        <w:t>式中：R</w:t>
      </w:r>
      <w:r>
        <w:rPr>
          <w:rFonts w:ascii="Times New Roman" w:hAnsi="Times New Roman" w:cs="Times New Roman"/>
          <w:kern w:val="2"/>
          <w:vertAlign w:val="subscript"/>
        </w:rPr>
        <w:t>u.5</w:t>
      </w:r>
      <w:r>
        <w:rPr>
          <w:rFonts w:ascii="Times New Roman" w:hAnsi="Times New Roman" w:eastAsia="黑体" w:cs="Times New Roman"/>
          <w:kern w:val="2"/>
        </w:rPr>
        <w:t>——</w:t>
      </w:r>
      <w:r>
        <w:rPr>
          <w:rFonts w:ascii="Times New Roman" w:hAnsi="Times New Roman" w:cs="Times New Roman"/>
          <w:kern w:val="2"/>
        </w:rPr>
        <w:t>75%置信度时的强度标准值（N/mm</w:t>
      </w:r>
      <w:r>
        <w:rPr>
          <w:rFonts w:ascii="Times New Roman" w:hAnsi="Times New Roman" w:cs="Times New Roman"/>
          <w:kern w:val="2"/>
          <w:vertAlign w:val="superscript"/>
        </w:rPr>
        <w:t>2</w:t>
      </w:r>
      <w:r>
        <w:rPr>
          <w:rFonts w:ascii="Times New Roman" w:hAnsi="Times New Roman" w:cs="Times New Roman"/>
          <w:kern w:val="2"/>
        </w:rPr>
        <w:t>）；</w:t>
      </w:r>
    </w:p>
    <w:p>
      <w:pPr>
        <w:widowControl w:val="0"/>
        <w:spacing w:line="360" w:lineRule="auto"/>
        <w:ind w:left="1557" w:leftChars="295" w:hanging="849" w:hangingChars="354"/>
        <w:jc w:val="both"/>
        <w:rPr>
          <w:rFonts w:ascii="Times New Roman" w:hAnsi="Times New Roman" w:cs="Times New Roman"/>
          <w:kern w:val="2"/>
        </w:rPr>
      </w:pPr>
      <w:r>
        <w:rPr>
          <w:rFonts w:ascii="Times New Roman" w:hAnsi="Times New Roman" w:cs="Times New Roman"/>
          <w:kern w:val="2"/>
        </w:rPr>
        <w:t>σ</w:t>
      </w:r>
      <w:r>
        <w:rPr>
          <w:rFonts w:ascii="Times New Roman" w:hAnsi="Times New Roman" w:cs="Times New Roman"/>
          <w:kern w:val="2"/>
          <w:vertAlign w:val="subscript"/>
        </w:rPr>
        <w:t>des</w:t>
      </w:r>
      <w:r>
        <w:rPr>
          <w:rFonts w:ascii="Times New Roman" w:hAnsi="Times New Roman" w:eastAsia="黑体" w:cs="Times New Roman"/>
          <w:kern w:val="2"/>
        </w:rPr>
        <w:t>——</w:t>
      </w:r>
      <w:r>
        <w:rPr>
          <w:rFonts w:ascii="Times New Roman" w:hAnsi="Times New Roman" w:cs="Times New Roman"/>
          <w:kern w:val="2"/>
        </w:rPr>
        <w:t>结构胶抗拉强度（N/mm</w:t>
      </w:r>
      <w:r>
        <w:rPr>
          <w:rFonts w:ascii="Times New Roman" w:hAnsi="Times New Roman" w:cs="Times New Roman"/>
          <w:kern w:val="2"/>
          <w:vertAlign w:val="superscript"/>
        </w:rPr>
        <w:t>2</w:t>
      </w:r>
      <w:r>
        <w:rPr>
          <w:rFonts w:ascii="Times New Roman" w:hAnsi="Times New Roman" w:cs="Times New Roman"/>
          <w:kern w:val="2"/>
        </w:rPr>
        <w:t>）；</w:t>
      </w:r>
    </w:p>
    <w:p>
      <w:pPr>
        <w:widowControl w:val="0"/>
        <w:spacing w:line="360" w:lineRule="auto"/>
        <w:ind w:firstLine="708" w:firstLineChars="295"/>
        <w:jc w:val="both"/>
        <w:rPr>
          <w:rFonts w:ascii="Times New Roman" w:hAnsi="Times New Roman" w:cs="Times New Roman"/>
          <w:kern w:val="2"/>
        </w:rPr>
      </w:pPr>
      <w:r>
        <w:rPr>
          <w:rFonts w:ascii="Times New Roman" w:hAnsi="Times New Roman" w:cs="Times New Roman"/>
          <w:kern w:val="2"/>
        </w:rPr>
        <w:t>Γ</w:t>
      </w:r>
      <w:r>
        <w:rPr>
          <w:rFonts w:ascii="Times New Roman" w:hAnsi="Times New Roman" w:cs="Times New Roman"/>
          <w:kern w:val="2"/>
          <w:vertAlign w:val="subscript"/>
        </w:rPr>
        <w:t>des</w:t>
      </w:r>
      <w:r>
        <w:rPr>
          <w:rFonts w:ascii="Times New Roman" w:hAnsi="Times New Roman" w:eastAsia="黑体" w:cs="Times New Roman"/>
          <w:kern w:val="2"/>
        </w:rPr>
        <w:t>——</w:t>
      </w:r>
      <w:r>
        <w:rPr>
          <w:rFonts w:ascii="Times New Roman" w:hAnsi="Times New Roman" w:cs="Times New Roman"/>
          <w:kern w:val="2"/>
        </w:rPr>
        <w:t>可变荷载作用下的结构胶抗剪强度标准值（N/mm</w:t>
      </w:r>
      <w:r>
        <w:rPr>
          <w:rFonts w:ascii="Times New Roman" w:hAnsi="Times New Roman" w:cs="Times New Roman"/>
          <w:kern w:val="2"/>
          <w:vertAlign w:val="superscript"/>
        </w:rPr>
        <w:t>2</w:t>
      </w:r>
      <w:r>
        <w:rPr>
          <w:rFonts w:ascii="Times New Roman" w:hAnsi="Times New Roman" w:cs="Times New Roman"/>
          <w:kern w:val="2"/>
        </w:rPr>
        <w:t>）；</w:t>
      </w:r>
    </w:p>
    <w:p>
      <w:pPr>
        <w:widowControl w:val="0"/>
        <w:spacing w:line="360" w:lineRule="auto"/>
        <w:ind w:firstLine="708" w:firstLineChars="295"/>
        <w:jc w:val="both"/>
        <w:rPr>
          <w:rFonts w:ascii="Times New Roman" w:hAnsi="Times New Roman" w:cs="Times New Roman"/>
          <w:kern w:val="2"/>
        </w:rPr>
      </w:pPr>
      <w:r>
        <w:rPr>
          <w:rFonts w:ascii="Times New Roman" w:hAnsi="Times New Roman" w:cs="Times New Roman"/>
          <w:kern w:val="2"/>
        </w:rPr>
        <w:t>Γ</w:t>
      </w:r>
      <w:r>
        <w:rPr>
          <w:rFonts w:ascii="Times New Roman" w:hAnsi="Times New Roman" w:cs="Times New Roman"/>
          <w:kern w:val="2"/>
          <w:vertAlign w:val="subscript"/>
        </w:rPr>
        <w:t>∞</w:t>
      </w:r>
      <w:r>
        <w:rPr>
          <w:rFonts w:ascii="Times New Roman" w:hAnsi="Times New Roman" w:eastAsia="黑体" w:cs="Times New Roman"/>
          <w:kern w:val="2"/>
        </w:rPr>
        <w:t>——</w:t>
      </w:r>
      <w:r>
        <w:rPr>
          <w:rFonts w:ascii="Times New Roman" w:hAnsi="Times New Roman" w:cs="Times New Roman"/>
          <w:kern w:val="2"/>
        </w:rPr>
        <w:t>永久荷载作用下的结构胶抗剪强度标准值（N/mm</w:t>
      </w:r>
      <w:r>
        <w:rPr>
          <w:rFonts w:ascii="Times New Roman" w:hAnsi="Times New Roman" w:cs="Times New Roman"/>
          <w:kern w:val="2"/>
          <w:vertAlign w:val="superscript"/>
        </w:rPr>
        <w:t>2</w:t>
      </w:r>
      <w:r>
        <w:rPr>
          <w:rFonts w:ascii="Times New Roman" w:hAnsi="Times New Roman" w:cs="Times New Roman"/>
          <w:kern w:val="2"/>
        </w:rPr>
        <w:t>）；</w:t>
      </w:r>
    </w:p>
    <w:p>
      <w:pPr>
        <w:widowControl w:val="0"/>
        <w:spacing w:line="360" w:lineRule="auto"/>
        <w:ind w:firstLine="708" w:firstLineChars="295"/>
        <w:jc w:val="both"/>
        <w:rPr>
          <w:rFonts w:ascii="Times New Roman" w:hAnsi="Times New Roman" w:cs="Times New Roman"/>
          <w:kern w:val="2"/>
        </w:rPr>
      </w:pPr>
      <w:r>
        <w:rPr>
          <w:rFonts w:ascii="Times New Roman" w:hAnsi="Times New Roman" w:cs="Times New Roman"/>
          <w:kern w:val="2"/>
        </w:rPr>
        <w:t>γ</w:t>
      </w:r>
      <w:r>
        <w:rPr>
          <w:rFonts w:ascii="Times New Roman" w:hAnsi="Times New Roman" w:cs="Times New Roman"/>
          <w:kern w:val="2"/>
          <w:vertAlign w:val="subscript"/>
        </w:rPr>
        <w:t>tot</w:t>
      </w:r>
      <w:r>
        <w:rPr>
          <w:rFonts w:ascii="Times New Roman" w:hAnsi="Times New Roman" w:eastAsia="黑体" w:cs="Times New Roman"/>
          <w:kern w:val="2"/>
        </w:rPr>
        <w:t>——</w:t>
      </w:r>
      <w:r>
        <w:rPr>
          <w:rFonts w:ascii="Times New Roman" w:hAnsi="Times New Roman" w:cs="Times New Roman"/>
          <w:kern w:val="2"/>
        </w:rPr>
        <w:t>总安全系数，可取6；</w:t>
      </w:r>
    </w:p>
    <w:p>
      <w:pPr>
        <w:widowControl w:val="0"/>
        <w:spacing w:line="360" w:lineRule="auto"/>
        <w:ind w:firstLine="708" w:firstLineChars="295"/>
        <w:jc w:val="both"/>
        <w:rPr>
          <w:rFonts w:ascii="Times New Roman" w:hAnsi="Times New Roman" w:cs="Times New Roman"/>
          <w:kern w:val="2"/>
        </w:rPr>
      </w:pPr>
      <w:r>
        <w:rPr>
          <w:rFonts w:ascii="Times New Roman" w:hAnsi="Times New Roman" w:cs="Times New Roman"/>
          <w:kern w:val="2"/>
        </w:rPr>
        <w:t>γ</w:t>
      </w:r>
      <w:r>
        <w:rPr>
          <w:rFonts w:ascii="Times New Roman" w:hAnsi="Times New Roman" w:cs="Times New Roman"/>
          <w:kern w:val="2"/>
          <w:vertAlign w:val="subscript"/>
        </w:rPr>
        <w:t>c</w:t>
      </w:r>
      <w:r>
        <w:rPr>
          <w:rFonts w:ascii="Times New Roman" w:hAnsi="Times New Roman" w:eastAsia="黑体" w:cs="Times New Roman"/>
          <w:kern w:val="2"/>
        </w:rPr>
        <w:t>——</w:t>
      </w:r>
      <w:r>
        <w:rPr>
          <w:rFonts w:ascii="Times New Roman" w:hAnsi="Times New Roman" w:cs="Times New Roman"/>
          <w:kern w:val="2"/>
        </w:rPr>
        <w:t>长期剪切和循环拉伸载荷下的蠕变系数，按现行行业标准《建筑幕墙用硅酮结构密封》JG/T 475测得且不小于10。</w:t>
      </w:r>
    </w:p>
    <w:p>
      <w:pPr>
        <w:widowControl w:val="0"/>
        <w:spacing w:line="360" w:lineRule="auto"/>
        <w:jc w:val="both"/>
        <w:rPr>
          <w:rFonts w:ascii="Times New Roman" w:hAnsi="Times New Roman" w:cs="Times New Roman"/>
          <w:kern w:val="2"/>
        </w:rPr>
      </w:pPr>
      <w:r>
        <w:rPr>
          <w:rFonts w:ascii="Times New Roman" w:hAnsi="Times New Roman" w:cs="Times New Roman"/>
          <w:b/>
          <w:bCs/>
          <w:kern w:val="2"/>
        </w:rPr>
        <w:t xml:space="preserve">8.2.3 </w:t>
      </w:r>
      <w:r>
        <w:rPr>
          <w:rFonts w:ascii="Times New Roman" w:hAnsi="Times New Roman" w:cs="Times New Roman"/>
          <w:kern w:val="2"/>
        </w:rPr>
        <w:t>隐框、半隐框玻璃幕墙中玻璃和铝框之间硅酮结构密封胶的粘接宽度，应根据受力情况按下列公式计算并取最大值。</w:t>
      </w:r>
    </w:p>
    <w:p>
      <w:pPr>
        <w:widowControl w:val="0"/>
        <w:spacing w:line="360" w:lineRule="auto"/>
        <w:ind w:left="420" w:firstLine="241" w:firstLineChars="100"/>
        <w:jc w:val="both"/>
        <w:rPr>
          <w:rFonts w:ascii="Times New Roman" w:hAnsi="Times New Roman" w:cs="Times New Roman"/>
          <w:kern w:val="2"/>
        </w:rPr>
      </w:pPr>
      <w:r>
        <w:rPr>
          <w:rFonts w:ascii="Times New Roman" w:hAnsi="Times New Roman" w:cs="Times New Roman"/>
          <w:b/>
          <w:kern w:val="2"/>
        </w:rPr>
        <w:t>1</w:t>
      </w:r>
      <w:r>
        <w:rPr>
          <w:rFonts w:ascii="Times New Roman" w:hAnsi="Times New Roman" w:cs="Times New Roman"/>
          <w:kern w:val="2"/>
        </w:rPr>
        <w:t xml:space="preserve"> 在可变荷载作用下，粘接宽度应按下式计算：</w:t>
      </w:r>
    </w:p>
    <w:p>
      <w:pPr>
        <w:widowControl w:val="0"/>
        <w:spacing w:line="360" w:lineRule="auto"/>
        <w:ind w:left="420"/>
        <w:jc w:val="right"/>
        <w:rPr>
          <w:rFonts w:ascii="Times New Roman" w:hAnsi="Times New Roman" w:cs="Times New Roman"/>
          <w:kern w:val="2"/>
        </w:rPr>
      </w:pPr>
      <w:r>
        <w:rPr>
          <w:rFonts w:ascii="Times New Roman" w:hAnsi="Times New Roman" w:cs="Times New Roman"/>
          <w:kern w:val="2"/>
        </w:rPr>
        <w:t xml:space="preserve">                  </w:t>
      </w:r>
      <w:r>
        <w:rPr>
          <w:rFonts w:ascii="Times New Roman" w:hAnsi="Times New Roman" w:cs="Times New Roman"/>
          <w:kern w:val="2"/>
          <w:sz w:val="30"/>
          <w:szCs w:val="30"/>
        </w:rPr>
        <w:t xml:space="preserve"> </w:t>
      </w:r>
      <m:oMath>
        <m:sSub>
          <m:sSubPr>
            <m:ctrlPr>
              <w:rPr>
                <w:rFonts w:ascii="Cambria Math" w:hAnsi="Cambria Math" w:cs="Times New Roman"/>
                <w:i/>
                <w:kern w:val="2"/>
                <w:sz w:val="30"/>
                <w:szCs w:val="30"/>
              </w:rPr>
            </m:ctrlPr>
          </m:sSubPr>
          <m:e>
            <m:r>
              <m:rPr/>
              <w:rPr>
                <w:rFonts w:ascii="Cambria Math" w:hAnsi="Cambria Math" w:cs="Times New Roman"/>
                <w:kern w:val="2"/>
                <w:sz w:val="30"/>
                <w:szCs w:val="30"/>
              </w:rPr>
              <m:t>ℎ</m:t>
            </m:r>
            <m:ctrlPr>
              <w:rPr>
                <w:rFonts w:ascii="Cambria Math" w:hAnsi="Cambria Math" w:cs="Times New Roman"/>
                <w:i/>
                <w:kern w:val="2"/>
                <w:sz w:val="30"/>
                <w:szCs w:val="30"/>
              </w:rPr>
            </m:ctrlPr>
          </m:e>
          <m:sub>
            <m:r>
              <m:rPr/>
              <w:rPr>
                <w:rFonts w:ascii="Cambria Math" w:hAnsi="Cambria Math" w:cs="Times New Roman"/>
                <w:kern w:val="2"/>
                <w:sz w:val="30"/>
                <w:szCs w:val="30"/>
              </w:rPr>
              <m:t>c</m:t>
            </m:r>
            <m:ctrlPr>
              <w:rPr>
                <w:rFonts w:ascii="Cambria Math" w:hAnsi="Cambria Math" w:cs="Times New Roman"/>
                <w:i/>
                <w:kern w:val="2"/>
                <w:sz w:val="30"/>
                <w:szCs w:val="30"/>
              </w:rPr>
            </m:ctrlPr>
          </m:sub>
        </m:sSub>
        <m:r>
          <m:rPr>
            <m:sty m:val="p"/>
          </m:rPr>
          <w:rPr>
            <w:rFonts w:ascii="Cambria Math" w:hAnsi="Cambria Math" w:cs="Times New Roman"/>
            <w:kern w:val="2"/>
            <w:sz w:val="30"/>
            <w:szCs w:val="30"/>
          </w:rPr>
          <m:t>=</m:t>
        </m:r>
        <m:f>
          <m:fPr>
            <m:ctrlPr>
              <w:rPr>
                <w:rFonts w:ascii="Cambria Math" w:hAnsi="Cambria Math" w:cs="Times New Roman"/>
                <w:kern w:val="2"/>
                <w:sz w:val="30"/>
                <w:szCs w:val="30"/>
              </w:rPr>
            </m:ctrlPr>
          </m:fPr>
          <m:num>
            <m:sSub>
              <m:sSubPr>
                <m:ctrlPr>
                  <w:rPr>
                    <w:rFonts w:ascii="Cambria Math" w:hAnsi="Cambria Math" w:cs="Times New Roman"/>
                    <w:kern w:val="2"/>
                    <w:sz w:val="30"/>
                    <w:szCs w:val="30"/>
                  </w:rPr>
                </m:ctrlPr>
              </m:sSubPr>
              <m:e>
                <m:r>
                  <m:rPr>
                    <m:sty m:val="p"/>
                  </m:rPr>
                  <w:rPr>
                    <w:rFonts w:ascii="Cambria Math" w:hAnsi="Cambria Math" w:cs="Times New Roman"/>
                    <w:kern w:val="2"/>
                    <w:sz w:val="30"/>
                    <w:szCs w:val="30"/>
                  </w:rPr>
                  <m:t>q</m:t>
                </m:r>
                <m:ctrlPr>
                  <w:rPr>
                    <w:rFonts w:ascii="Cambria Math" w:hAnsi="Cambria Math" w:cs="Times New Roman"/>
                    <w:kern w:val="2"/>
                    <w:sz w:val="30"/>
                    <w:szCs w:val="30"/>
                  </w:rPr>
                </m:ctrlPr>
              </m:e>
              <m:sub>
                <m:r>
                  <m:rPr>
                    <m:sty m:val="p"/>
                  </m:rPr>
                  <w:rPr>
                    <w:rFonts w:ascii="Cambria Math" w:hAnsi="Cambria Math" w:cs="Times New Roman"/>
                    <w:kern w:val="2"/>
                    <w:sz w:val="30"/>
                    <w:szCs w:val="30"/>
                  </w:rPr>
                  <m:t>k</m:t>
                </m:r>
                <m:ctrlPr>
                  <w:rPr>
                    <w:rFonts w:ascii="Cambria Math" w:hAnsi="Cambria Math" w:cs="Times New Roman"/>
                    <w:kern w:val="2"/>
                    <w:sz w:val="30"/>
                    <w:szCs w:val="30"/>
                  </w:rPr>
                </m:ctrlPr>
              </m:sub>
            </m:sSub>
            <m:r>
              <m:rPr>
                <m:sty m:val="p"/>
              </m:rPr>
              <w:rPr>
                <w:rFonts w:ascii="Cambria Math" w:hAnsi="Cambria Math" w:cs="Times New Roman"/>
                <w:kern w:val="2"/>
                <w:sz w:val="30"/>
                <w:szCs w:val="30"/>
              </w:rPr>
              <m:t>a</m:t>
            </m:r>
            <m:ctrlPr>
              <w:rPr>
                <w:rFonts w:ascii="Cambria Math" w:hAnsi="Cambria Math" w:cs="Times New Roman"/>
                <w:kern w:val="2"/>
                <w:sz w:val="30"/>
                <w:szCs w:val="30"/>
              </w:rPr>
            </m:ctrlPr>
          </m:num>
          <m:den>
            <m:r>
              <m:rPr>
                <m:sty m:val="p"/>
              </m:rPr>
              <w:rPr>
                <w:rFonts w:ascii="Cambria Math" w:hAnsi="Cambria Math" w:cs="Times New Roman"/>
                <w:kern w:val="2"/>
                <w:sz w:val="30"/>
                <w:szCs w:val="30"/>
              </w:rPr>
              <m:t>2</m:t>
            </m:r>
            <m:sSub>
              <m:sSubPr>
                <m:ctrlPr>
                  <w:rPr>
                    <w:rFonts w:ascii="Cambria Math" w:hAnsi="Cambria Math" w:cs="Times New Roman"/>
                    <w:kern w:val="2"/>
                    <w:sz w:val="30"/>
                    <w:szCs w:val="30"/>
                  </w:rPr>
                </m:ctrlPr>
              </m:sSubPr>
              <m:e>
                <m:r>
                  <m:rPr>
                    <m:sty m:val="p"/>
                  </m:rPr>
                  <w:rPr>
                    <w:rFonts w:ascii="Cambria Math" w:hAnsi="Cambria Math" w:cs="Times New Roman"/>
                    <w:kern w:val="2"/>
                    <w:sz w:val="30"/>
                    <w:szCs w:val="30"/>
                  </w:rPr>
                  <m:t>σ</m:t>
                </m:r>
                <m:ctrlPr>
                  <w:rPr>
                    <w:rFonts w:ascii="Cambria Math" w:hAnsi="Cambria Math" w:cs="Times New Roman"/>
                    <w:kern w:val="2"/>
                    <w:sz w:val="30"/>
                    <w:szCs w:val="30"/>
                  </w:rPr>
                </m:ctrlPr>
              </m:e>
              <m:sub>
                <m:r>
                  <m:rPr>
                    <m:sty m:val="p"/>
                  </m:rPr>
                  <w:rPr>
                    <w:rFonts w:ascii="Cambria Math" w:hAnsi="Cambria Math" w:cs="Times New Roman"/>
                    <w:kern w:val="2"/>
                    <w:sz w:val="30"/>
                    <w:szCs w:val="30"/>
                  </w:rPr>
                  <m:t>des</m:t>
                </m:r>
                <m:ctrlPr>
                  <w:rPr>
                    <w:rFonts w:ascii="Cambria Math" w:hAnsi="Cambria Math" w:cs="Times New Roman"/>
                    <w:kern w:val="2"/>
                    <w:sz w:val="30"/>
                    <w:szCs w:val="30"/>
                  </w:rPr>
                </m:ctrlPr>
              </m:sub>
            </m:sSub>
            <m:ctrlPr>
              <w:rPr>
                <w:rFonts w:ascii="Cambria Math" w:hAnsi="Cambria Math" w:cs="Times New Roman"/>
                <w:kern w:val="2"/>
                <w:sz w:val="30"/>
                <w:szCs w:val="30"/>
              </w:rPr>
            </m:ctrlPr>
          </m:den>
        </m:f>
      </m:oMath>
      <w:r>
        <w:rPr>
          <w:rFonts w:ascii="Times New Roman" w:hAnsi="Times New Roman" w:cs="Times New Roman"/>
          <w:kern w:val="2"/>
        </w:rPr>
        <w:t xml:space="preserve">                       （</w:t>
      </w:r>
      <w:r>
        <w:rPr>
          <w:rFonts w:ascii="Times New Roman" w:hAnsi="Times New Roman" w:cs="Times New Roman"/>
          <w:bCs/>
          <w:kern w:val="2"/>
        </w:rPr>
        <w:t>8.2.3-1</w:t>
      </w:r>
      <w:r>
        <w:rPr>
          <w:rFonts w:ascii="Times New Roman" w:hAnsi="Times New Roman" w:cs="Times New Roman"/>
          <w:kern w:val="2"/>
        </w:rPr>
        <w:t>）</w:t>
      </w:r>
    </w:p>
    <w:p>
      <w:pPr>
        <w:widowControl w:val="0"/>
        <w:spacing w:line="360" w:lineRule="auto"/>
        <w:ind w:firstLine="723" w:firstLineChars="300"/>
        <w:jc w:val="both"/>
        <w:rPr>
          <w:rFonts w:ascii="Times New Roman" w:hAnsi="Times New Roman" w:cs="Times New Roman"/>
          <w:kern w:val="2"/>
        </w:rPr>
      </w:pPr>
      <w:r>
        <w:rPr>
          <w:rFonts w:ascii="Times New Roman" w:hAnsi="Times New Roman" w:cs="Times New Roman"/>
          <w:b/>
          <w:bCs/>
          <w:kern w:val="2"/>
        </w:rPr>
        <w:t>2</w:t>
      </w:r>
      <w:r>
        <w:rPr>
          <w:rFonts w:ascii="Times New Roman" w:hAnsi="Times New Roman" w:cs="Times New Roman"/>
          <w:kern w:val="2"/>
        </w:rPr>
        <w:t>在永久荷载作用下，粘接宽度应按下式计算</w:t>
      </w:r>
      <w:r>
        <w:rPr>
          <w:rFonts w:hint="eastAsia" w:ascii="Times New Roman" w:hAnsi="Times New Roman" w:cs="Times New Roman"/>
          <w:kern w:val="2"/>
          <w:lang w:eastAsia="zh-CN"/>
        </w:rPr>
        <w:t>（</w:t>
      </w:r>
      <w:r>
        <w:rPr>
          <w:rFonts w:ascii="Times New Roman" w:hAnsi="Times New Roman" w:cs="Times New Roman"/>
          <w:kern w:val="2"/>
        </w:rPr>
        <w:t>假定荷载由玻璃竖边的结构胶承受</w:t>
      </w:r>
      <w:r>
        <w:rPr>
          <w:rFonts w:hint="eastAsia" w:ascii="Times New Roman" w:hAnsi="Times New Roman" w:cs="Times New Roman"/>
          <w:kern w:val="2"/>
          <w:lang w:eastAsia="zh-CN"/>
        </w:rPr>
        <w:t>）</w:t>
      </w:r>
      <w:r>
        <w:rPr>
          <w:rFonts w:ascii="Times New Roman" w:hAnsi="Times New Roman" w:cs="Times New Roman"/>
          <w:kern w:val="2"/>
        </w:rPr>
        <w:t>：</w:t>
      </w:r>
    </w:p>
    <w:p>
      <w:pPr>
        <w:widowControl w:val="0"/>
        <w:spacing w:line="360" w:lineRule="auto"/>
        <w:ind w:left="420"/>
        <w:jc w:val="right"/>
        <w:rPr>
          <w:rFonts w:ascii="Times New Roman" w:hAnsi="Times New Roman" w:cs="Times New Roman"/>
          <w:kern w:val="2"/>
        </w:rPr>
      </w:pPr>
      <m:oMath>
        <m:r>
          <m:rPr>
            <m:sty m:val="p"/>
          </m:rPr>
          <w:rPr>
            <w:rFonts w:ascii="Cambria Math" w:hAnsi="Cambria Math" w:cs="Times New Roman"/>
            <w:kern w:val="2"/>
            <w:sz w:val="30"/>
            <w:szCs w:val="30"/>
          </w:rPr>
          <m:t xml:space="preserve">                                         </m:t>
        </m:r>
        <m:sSub>
          <m:sSubPr>
            <m:ctrlPr>
              <w:rPr>
                <w:rFonts w:ascii="Cambria Math" w:hAnsi="Cambria Math" w:cs="Times New Roman"/>
                <w:i/>
                <w:kern w:val="2"/>
                <w:sz w:val="30"/>
                <w:szCs w:val="30"/>
              </w:rPr>
            </m:ctrlPr>
          </m:sSubPr>
          <m:e>
            <m:r>
              <m:rPr/>
              <w:rPr>
                <w:rFonts w:ascii="Cambria Math" w:hAnsi="Cambria Math" w:cs="Times New Roman"/>
                <w:kern w:val="2"/>
                <w:sz w:val="30"/>
                <w:szCs w:val="30"/>
              </w:rPr>
              <m:t>ℎ</m:t>
            </m:r>
            <m:ctrlPr>
              <w:rPr>
                <w:rFonts w:ascii="Cambria Math" w:hAnsi="Cambria Math" w:cs="Times New Roman"/>
                <w:i/>
                <w:kern w:val="2"/>
                <w:sz w:val="30"/>
                <w:szCs w:val="30"/>
              </w:rPr>
            </m:ctrlPr>
          </m:e>
          <m:sub>
            <m:r>
              <m:rPr/>
              <w:rPr>
                <w:rFonts w:ascii="Cambria Math" w:hAnsi="Cambria Math" w:cs="Times New Roman"/>
                <w:kern w:val="2"/>
                <w:sz w:val="30"/>
                <w:szCs w:val="30"/>
              </w:rPr>
              <m:t>c</m:t>
            </m:r>
            <m:ctrlPr>
              <w:rPr>
                <w:rFonts w:ascii="Cambria Math" w:hAnsi="Cambria Math" w:cs="Times New Roman"/>
                <w:i/>
                <w:kern w:val="2"/>
                <w:sz w:val="30"/>
                <w:szCs w:val="30"/>
              </w:rPr>
            </m:ctrlPr>
          </m:sub>
        </m:sSub>
        <m:r>
          <m:rPr>
            <m:sty m:val="p"/>
          </m:rPr>
          <w:rPr>
            <w:rFonts w:ascii="Cambria Math" w:hAnsi="Cambria Math" w:cs="Times New Roman"/>
            <w:kern w:val="2"/>
            <w:sz w:val="30"/>
            <w:szCs w:val="30"/>
          </w:rPr>
          <m:t>=</m:t>
        </m:r>
        <m:f>
          <m:fPr>
            <m:ctrlPr>
              <w:rPr>
                <w:rFonts w:ascii="Cambria Math" w:hAnsi="Cambria Math" w:cs="Times New Roman"/>
                <w:kern w:val="2"/>
                <w:sz w:val="30"/>
                <w:szCs w:val="30"/>
              </w:rPr>
            </m:ctrlPr>
          </m:fPr>
          <m:num>
            <m:sSub>
              <m:sSubPr>
                <m:ctrlPr>
                  <w:rPr>
                    <w:rFonts w:ascii="Cambria Math" w:hAnsi="Cambria Math" w:cs="Times New Roman"/>
                    <w:i/>
                    <w:kern w:val="2"/>
                    <w:sz w:val="30"/>
                    <w:szCs w:val="30"/>
                  </w:rPr>
                </m:ctrlPr>
              </m:sSubPr>
              <m:e>
                <m:r>
                  <m:rPr/>
                  <w:rPr>
                    <w:rFonts w:ascii="Cambria Math" w:hAnsi="Cambria Math" w:cs="Times New Roman"/>
                    <w:kern w:val="2"/>
                    <w:sz w:val="30"/>
                    <w:szCs w:val="30"/>
                  </w:rPr>
                  <m:t>G</m:t>
                </m:r>
                <m:ctrlPr>
                  <w:rPr>
                    <w:rFonts w:ascii="Cambria Math" w:hAnsi="Cambria Math" w:cs="Times New Roman"/>
                    <w:i/>
                    <w:kern w:val="2"/>
                    <w:sz w:val="30"/>
                    <w:szCs w:val="30"/>
                  </w:rPr>
                </m:ctrlPr>
              </m:e>
              <m:sub>
                <m:r>
                  <m:rPr/>
                  <w:rPr>
                    <w:rFonts w:ascii="Cambria Math" w:hAnsi="Cambria Math" w:cs="Times New Roman"/>
                    <w:kern w:val="2"/>
                    <w:sz w:val="30"/>
                    <w:szCs w:val="30"/>
                  </w:rPr>
                  <m:t>k</m:t>
                </m:r>
                <m:ctrlPr>
                  <w:rPr>
                    <w:rFonts w:ascii="Cambria Math" w:hAnsi="Cambria Math" w:cs="Times New Roman"/>
                    <w:i/>
                    <w:kern w:val="2"/>
                    <w:sz w:val="30"/>
                    <w:szCs w:val="30"/>
                  </w:rPr>
                </m:ctrlPr>
              </m:sub>
            </m:sSub>
            <m:ctrlPr>
              <w:rPr>
                <w:rFonts w:ascii="Cambria Math" w:hAnsi="Cambria Math" w:cs="Times New Roman"/>
                <w:kern w:val="2"/>
                <w:sz w:val="30"/>
                <w:szCs w:val="30"/>
              </w:rPr>
            </m:ctrlPr>
          </m:num>
          <m:den>
            <m:r>
              <m:rPr>
                <m:sty m:val="p"/>
              </m:rPr>
              <w:rPr>
                <w:rFonts w:ascii="Cambria Math" w:hAnsi="Cambria Math" w:cs="Times New Roman"/>
                <w:kern w:val="2"/>
                <w:sz w:val="30"/>
                <w:szCs w:val="30"/>
              </w:rPr>
              <m:t>2</m:t>
            </m:r>
            <m:sSub>
              <m:sSubPr>
                <m:ctrlPr>
                  <w:rPr>
                    <w:rFonts w:ascii="Cambria Math" w:hAnsi="Cambria Math" w:cs="Times New Roman"/>
                    <w:kern w:val="2"/>
                    <w:sz w:val="30"/>
                    <w:szCs w:val="30"/>
                  </w:rPr>
                </m:ctrlPr>
              </m:sSubPr>
              <m:e>
                <m:r>
                  <m:rPr>
                    <m:sty m:val="p"/>
                  </m:rPr>
                  <w:rPr>
                    <w:rFonts w:ascii="Cambria Math" w:hAnsi="Cambria Math" w:cs="Times New Roman"/>
                    <w:kern w:val="2"/>
                    <w:sz w:val="30"/>
                    <w:szCs w:val="30"/>
                  </w:rPr>
                  <m:t>h</m:t>
                </m:r>
                <m:ctrlPr>
                  <w:rPr>
                    <w:rFonts w:ascii="Cambria Math" w:hAnsi="Cambria Math" w:cs="Times New Roman"/>
                    <w:kern w:val="2"/>
                    <w:sz w:val="30"/>
                    <w:szCs w:val="30"/>
                  </w:rPr>
                </m:ctrlPr>
              </m:e>
              <m:sub>
                <m:r>
                  <m:rPr>
                    <m:sty m:val="p"/>
                  </m:rPr>
                  <w:rPr>
                    <w:rFonts w:ascii="Cambria Math" w:hAnsi="Cambria Math" w:cs="Times New Roman"/>
                    <w:kern w:val="2"/>
                    <w:sz w:val="30"/>
                    <w:szCs w:val="30"/>
                  </w:rPr>
                  <m:t>v</m:t>
                </m:r>
                <m:ctrlPr>
                  <w:rPr>
                    <w:rFonts w:ascii="Cambria Math" w:hAnsi="Cambria Math" w:cs="Times New Roman"/>
                    <w:kern w:val="2"/>
                    <w:sz w:val="30"/>
                    <w:szCs w:val="30"/>
                  </w:rPr>
                </m:ctrlPr>
              </m:sub>
            </m:sSub>
            <m:sSub>
              <m:sSubPr>
                <m:ctrlPr>
                  <w:rPr>
                    <w:rFonts w:ascii="Cambria Math" w:hAnsi="Cambria Math" w:cs="Times New Roman"/>
                    <w:kern w:val="2"/>
                    <w:sz w:val="30"/>
                    <w:szCs w:val="30"/>
                  </w:rPr>
                </m:ctrlPr>
              </m:sSubPr>
              <m:e>
                <m:r>
                  <m:rPr>
                    <m:sty m:val="p"/>
                  </m:rPr>
                  <w:rPr>
                    <w:rFonts w:ascii="Cambria Math" w:hAnsi="Cambria Math" w:cs="Times New Roman"/>
                    <w:kern w:val="2"/>
                    <w:sz w:val="30"/>
                    <w:szCs w:val="30"/>
                  </w:rPr>
                  <m:t>Γ</m:t>
                </m:r>
                <m:ctrlPr>
                  <w:rPr>
                    <w:rFonts w:ascii="Cambria Math" w:hAnsi="Cambria Math" w:cs="Times New Roman"/>
                    <w:kern w:val="2"/>
                    <w:sz w:val="30"/>
                    <w:szCs w:val="30"/>
                  </w:rPr>
                </m:ctrlPr>
              </m:e>
              <m:sub>
                <m:r>
                  <m:rPr>
                    <m:sty m:val="p"/>
                  </m:rPr>
                  <w:rPr>
                    <w:rFonts w:ascii="Cambria Math" w:hAnsi="Cambria Math" w:cs="Times New Roman"/>
                    <w:kern w:val="2"/>
                    <w:sz w:val="30"/>
                    <w:szCs w:val="30"/>
                  </w:rPr>
                  <m:t>∞</m:t>
                </m:r>
                <m:ctrlPr>
                  <w:rPr>
                    <w:rFonts w:ascii="Cambria Math" w:hAnsi="Cambria Math" w:cs="Times New Roman"/>
                    <w:kern w:val="2"/>
                    <w:sz w:val="30"/>
                    <w:szCs w:val="30"/>
                  </w:rPr>
                </m:ctrlPr>
              </m:sub>
            </m:sSub>
            <m:ctrlPr>
              <w:rPr>
                <w:rFonts w:ascii="Cambria Math" w:hAnsi="Cambria Math" w:cs="Times New Roman"/>
                <w:kern w:val="2"/>
                <w:sz w:val="30"/>
                <w:szCs w:val="30"/>
              </w:rPr>
            </m:ctrlPr>
          </m:den>
        </m:f>
      </m:oMath>
      <w:r>
        <w:rPr>
          <w:rFonts w:ascii="Times New Roman" w:hAnsi="Times New Roman" w:cs="Times New Roman"/>
          <w:kern w:val="2"/>
        </w:rPr>
        <w:t xml:space="preserve">                       （</w:t>
      </w:r>
      <w:r>
        <w:rPr>
          <w:rFonts w:ascii="Times New Roman" w:hAnsi="Times New Roman" w:cs="Times New Roman"/>
          <w:bCs/>
          <w:kern w:val="2"/>
        </w:rPr>
        <w:t>8.2.3-2</w:t>
      </w:r>
      <w:r>
        <w:rPr>
          <w:rFonts w:ascii="Times New Roman" w:hAnsi="Times New Roman" w:cs="Times New Roman"/>
          <w:kern w:val="2"/>
        </w:rPr>
        <w:t>）</w:t>
      </w:r>
    </w:p>
    <w:p>
      <w:pPr>
        <w:widowControl w:val="0"/>
        <w:spacing w:line="360" w:lineRule="auto"/>
        <w:jc w:val="both"/>
        <w:rPr>
          <w:rFonts w:ascii="Times New Roman" w:hAnsi="Times New Roman" w:cs="Times New Roman"/>
          <w:kern w:val="2"/>
        </w:rPr>
      </w:pPr>
      <w:r>
        <w:rPr>
          <w:rFonts w:ascii="Times New Roman" w:hAnsi="Times New Roman" w:cs="Times New Roman"/>
          <w:kern w:val="2"/>
        </w:rPr>
        <w:t>式中：</w:t>
      </w:r>
      <w:r>
        <w:rPr>
          <w:rFonts w:ascii="Times New Roman" w:hAnsi="Times New Roman" w:cs="Times New Roman"/>
          <w:i/>
          <w:iCs/>
          <w:kern w:val="2"/>
        </w:rPr>
        <w:t>h</w:t>
      </w:r>
      <w:r>
        <w:rPr>
          <w:rFonts w:ascii="Times New Roman" w:hAnsi="Times New Roman" w:cs="Times New Roman"/>
          <w:i/>
          <w:iCs/>
          <w:kern w:val="2"/>
          <w:vertAlign w:val="subscript"/>
        </w:rPr>
        <w:t>c</w:t>
      </w:r>
      <w:r>
        <w:rPr>
          <w:rFonts w:ascii="Times New Roman" w:hAnsi="Times New Roman" w:eastAsia="黑体" w:cs="Times New Roman"/>
          <w:kern w:val="2"/>
        </w:rPr>
        <w:t>——</w:t>
      </w:r>
      <w:r>
        <w:rPr>
          <w:rFonts w:ascii="Times New Roman" w:hAnsi="Times New Roman" w:cs="Times New Roman"/>
          <w:kern w:val="2"/>
        </w:rPr>
        <w:t>硅酮结构密封胶的粘接宽度（mm）；</w:t>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kern w:val="2"/>
        </w:rPr>
        <w:t>q</w:t>
      </w:r>
      <w:r>
        <w:rPr>
          <w:rFonts w:ascii="Times New Roman" w:hAnsi="Times New Roman" w:cs="Times New Roman"/>
          <w:kern w:val="2"/>
          <w:vertAlign w:val="subscript"/>
        </w:rPr>
        <w:t>k</w:t>
      </w:r>
      <w:r>
        <w:rPr>
          <w:rFonts w:ascii="Times New Roman" w:hAnsi="Times New Roman" w:eastAsia="黑体" w:cs="Times New Roman"/>
          <w:kern w:val="2"/>
        </w:rPr>
        <w:t>——</w:t>
      </w:r>
      <w:r>
        <w:rPr>
          <w:rFonts w:ascii="Times New Roman" w:hAnsi="Times New Roman" w:cs="Times New Roman"/>
          <w:kern w:val="2"/>
        </w:rPr>
        <w:t>作用在计算单元上的可变荷载作用标准值（N/mm</w:t>
      </w:r>
      <w:r>
        <w:rPr>
          <w:rFonts w:ascii="Times New Roman" w:hAnsi="Times New Roman" w:cs="Times New Roman"/>
          <w:kern w:val="2"/>
          <w:vertAlign w:val="superscript"/>
        </w:rPr>
        <w:t>2</w:t>
      </w:r>
      <w:r>
        <w:rPr>
          <w:rFonts w:ascii="Times New Roman" w:hAnsi="Times New Roman" w:cs="Times New Roman"/>
          <w:kern w:val="2"/>
        </w:rPr>
        <w:t>）；</w:t>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kern w:val="2"/>
        </w:rPr>
        <w:t>G</w:t>
      </w:r>
      <w:r>
        <w:rPr>
          <w:rFonts w:ascii="Times New Roman" w:hAnsi="Times New Roman" w:cs="Times New Roman"/>
          <w:kern w:val="2"/>
          <w:vertAlign w:val="subscript"/>
        </w:rPr>
        <w:t>k</w:t>
      </w:r>
      <w:r>
        <w:rPr>
          <w:rFonts w:ascii="Times New Roman" w:hAnsi="Times New Roman" w:eastAsia="黑体" w:cs="Times New Roman"/>
          <w:kern w:val="2"/>
        </w:rPr>
        <w:t>——</w:t>
      </w:r>
      <w:r>
        <w:rPr>
          <w:rFonts w:ascii="Times New Roman" w:hAnsi="Times New Roman" w:cs="Times New Roman"/>
          <w:kern w:val="2"/>
        </w:rPr>
        <w:t>玻璃自重标准值（N）；</w:t>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i/>
          <w:iCs/>
          <w:kern w:val="2"/>
        </w:rPr>
        <w:t>a</w:t>
      </w:r>
      <w:r>
        <w:rPr>
          <w:rFonts w:ascii="Times New Roman" w:hAnsi="Times New Roman" w:eastAsia="黑体" w:cs="Times New Roman"/>
          <w:kern w:val="2"/>
        </w:rPr>
        <w:t>——</w:t>
      </w:r>
      <w:r>
        <w:rPr>
          <w:rFonts w:ascii="Times New Roman" w:hAnsi="Times New Roman" w:cs="Times New Roman"/>
          <w:kern w:val="2"/>
        </w:rPr>
        <w:t>矩形玻璃板的短边长度（mm）；</w:t>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i/>
          <w:iCs/>
          <w:kern w:val="2"/>
        </w:rPr>
        <w:t>b</w:t>
      </w:r>
      <w:r>
        <w:rPr>
          <w:rFonts w:ascii="Times New Roman" w:hAnsi="Times New Roman" w:eastAsia="黑体" w:cs="Times New Roman"/>
          <w:kern w:val="2"/>
        </w:rPr>
        <w:t>——</w:t>
      </w:r>
      <w:r>
        <w:rPr>
          <w:rFonts w:ascii="Times New Roman" w:hAnsi="Times New Roman" w:cs="Times New Roman"/>
          <w:kern w:val="2"/>
        </w:rPr>
        <w:t>矩形玻璃板的长边长度（mm）；</w:t>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kern w:val="2"/>
        </w:rPr>
        <w:t>h</w:t>
      </w:r>
      <w:r>
        <w:rPr>
          <w:rFonts w:ascii="Times New Roman" w:hAnsi="Times New Roman" w:cs="Times New Roman"/>
          <w:kern w:val="2"/>
          <w:vertAlign w:val="subscript"/>
        </w:rPr>
        <w:t>v</w:t>
      </w:r>
      <w:r>
        <w:rPr>
          <w:rFonts w:ascii="Times New Roman" w:hAnsi="Times New Roman" w:eastAsia="黑体" w:cs="Times New Roman"/>
          <w:kern w:val="2"/>
        </w:rPr>
        <w:t>——</w:t>
      </w:r>
      <w:r>
        <w:rPr>
          <w:rFonts w:ascii="Times New Roman" w:hAnsi="Times New Roman" w:cs="Times New Roman"/>
          <w:kern w:val="2"/>
        </w:rPr>
        <w:t>矩形玻璃板的高度或平行于永久荷载方向的边长（mm），取</w:t>
      </w:r>
      <w:r>
        <w:rPr>
          <w:rFonts w:ascii="Times New Roman" w:hAnsi="Times New Roman" w:cs="Times New Roman"/>
          <w:i/>
          <w:iCs/>
          <w:kern w:val="2"/>
        </w:rPr>
        <w:t>a</w:t>
      </w:r>
      <w:r>
        <w:rPr>
          <w:rFonts w:ascii="Times New Roman" w:hAnsi="Times New Roman" w:cs="Times New Roman"/>
          <w:kern w:val="2"/>
        </w:rPr>
        <w:t>或</w:t>
      </w:r>
      <w:r>
        <w:rPr>
          <w:rFonts w:ascii="Times New Roman" w:hAnsi="Times New Roman" w:cs="Times New Roman"/>
          <w:i/>
          <w:iCs/>
          <w:kern w:val="2"/>
        </w:rPr>
        <w:t>b</w:t>
      </w:r>
      <w:r>
        <w:rPr>
          <w:rFonts w:ascii="Times New Roman" w:hAnsi="Times New Roman" w:cs="Times New Roman"/>
          <w:kern w:val="2"/>
        </w:rPr>
        <w:t>。</w:t>
      </w:r>
    </w:p>
    <w:p>
      <w:pPr>
        <w:widowControl w:val="0"/>
        <w:spacing w:line="360" w:lineRule="auto"/>
        <w:jc w:val="both"/>
        <w:rPr>
          <w:rFonts w:ascii="Times New Roman" w:hAnsi="Times New Roman" w:cs="Times New Roman"/>
          <w:kern w:val="2"/>
        </w:rPr>
      </w:pPr>
      <w:r>
        <w:rPr>
          <w:rFonts w:ascii="Times New Roman" w:hAnsi="Times New Roman" w:cs="Times New Roman"/>
          <w:b/>
          <w:bCs/>
          <w:kern w:val="2"/>
        </w:rPr>
        <w:t>8.2.4</w:t>
      </w:r>
      <w:r>
        <w:rPr>
          <w:rFonts w:ascii="Times New Roman" w:hAnsi="Times New Roman" w:cs="Times New Roman"/>
          <w:kern w:val="2"/>
        </w:rPr>
        <w:t>中空玻璃结构胶粘接宽度， 应按下式计算：</w:t>
      </w:r>
    </w:p>
    <w:p>
      <w:pPr>
        <w:widowControl w:val="0"/>
        <w:spacing w:line="360" w:lineRule="auto"/>
        <w:ind w:left="480" w:leftChars="200" w:firstLine="2550" w:firstLineChars="850"/>
        <w:jc w:val="right"/>
        <w:rPr>
          <w:rFonts w:ascii="Times New Roman" w:hAnsi="Times New Roman" w:cs="Times New Roman"/>
          <w:kern w:val="2"/>
        </w:rPr>
      </w:pPr>
      <m:oMath>
        <m:r>
          <m:rPr>
            <m:sty m:val="p"/>
          </m:rPr>
          <w:rPr>
            <w:rFonts w:ascii="Cambria Math" w:hAnsi="Cambria Math" w:cs="Times New Roman"/>
            <w:kern w:val="2"/>
            <w:sz w:val="30"/>
            <w:szCs w:val="30"/>
          </w:rPr>
          <m:t>r=</m:t>
        </m:r>
        <m:f>
          <m:fPr>
            <m:ctrlPr>
              <w:rPr>
                <w:rFonts w:ascii="Cambria Math" w:hAnsi="Cambria Math" w:cs="Times New Roman"/>
                <w:kern w:val="2"/>
                <w:sz w:val="30"/>
                <w:szCs w:val="30"/>
              </w:rPr>
            </m:ctrlPr>
          </m:fPr>
          <m:num>
            <m:r>
              <m:rPr>
                <m:sty m:val="p"/>
              </m:rPr>
              <w:rPr>
                <w:rFonts w:ascii="Cambria Math" w:hAnsi="Cambria Math" w:cs="Times New Roman"/>
                <w:kern w:val="2"/>
                <w:sz w:val="30"/>
                <w:szCs w:val="30"/>
              </w:rPr>
              <m:t>β∙</m:t>
            </m:r>
            <m:sSub>
              <m:sSubPr>
                <m:ctrlPr>
                  <w:rPr>
                    <w:rFonts w:ascii="Cambria Math" w:hAnsi="Cambria Math" w:cs="Times New Roman"/>
                    <w:kern w:val="2"/>
                    <w:sz w:val="30"/>
                    <w:szCs w:val="30"/>
                  </w:rPr>
                </m:ctrlPr>
              </m:sSubPr>
              <m:e>
                <m:r>
                  <m:rPr>
                    <m:sty m:val="p"/>
                  </m:rPr>
                  <w:rPr>
                    <w:rFonts w:ascii="Cambria Math" w:hAnsi="Cambria Math" w:cs="Times New Roman"/>
                    <w:kern w:val="2"/>
                    <w:sz w:val="30"/>
                    <w:szCs w:val="30"/>
                  </w:rPr>
                  <m:t>q</m:t>
                </m:r>
                <m:ctrlPr>
                  <w:rPr>
                    <w:rFonts w:ascii="Cambria Math" w:hAnsi="Cambria Math" w:cs="Times New Roman"/>
                    <w:kern w:val="2"/>
                    <w:sz w:val="30"/>
                    <w:szCs w:val="30"/>
                  </w:rPr>
                </m:ctrlPr>
              </m:e>
              <m:sub>
                <m:r>
                  <m:rPr>
                    <m:sty m:val="p"/>
                  </m:rPr>
                  <w:rPr>
                    <w:rFonts w:ascii="Cambria Math" w:hAnsi="Cambria Math" w:cs="Times New Roman"/>
                    <w:kern w:val="2"/>
                    <w:sz w:val="30"/>
                    <w:szCs w:val="30"/>
                  </w:rPr>
                  <m:t>k</m:t>
                </m:r>
                <m:ctrlPr>
                  <w:rPr>
                    <w:rFonts w:ascii="Cambria Math" w:hAnsi="Cambria Math" w:cs="Times New Roman"/>
                    <w:kern w:val="2"/>
                    <w:sz w:val="30"/>
                    <w:szCs w:val="30"/>
                  </w:rPr>
                </m:ctrlPr>
              </m:sub>
            </m:sSub>
            <m:r>
              <m:rPr>
                <m:sty m:val="p"/>
              </m:rPr>
              <w:rPr>
                <w:rFonts w:ascii="Cambria Math" w:hAnsi="Cambria Math" w:cs="Times New Roman"/>
                <w:kern w:val="2"/>
                <w:sz w:val="30"/>
                <w:szCs w:val="30"/>
              </w:rPr>
              <m:t>∙a</m:t>
            </m:r>
            <m:ctrlPr>
              <w:rPr>
                <w:rFonts w:ascii="Cambria Math" w:hAnsi="Cambria Math" w:cs="Times New Roman"/>
                <w:kern w:val="2"/>
                <w:sz w:val="30"/>
                <w:szCs w:val="30"/>
              </w:rPr>
            </m:ctrlPr>
          </m:num>
          <m:den>
            <m:r>
              <m:rPr>
                <m:sty m:val="p"/>
              </m:rPr>
              <w:rPr>
                <w:rFonts w:ascii="Cambria Math" w:hAnsi="Cambria Math" w:cs="Times New Roman"/>
                <w:kern w:val="2"/>
                <w:sz w:val="30"/>
                <w:szCs w:val="30"/>
              </w:rPr>
              <m:t>2</m:t>
            </m:r>
            <m:sSub>
              <m:sSubPr>
                <m:ctrlPr>
                  <w:rPr>
                    <w:rFonts w:ascii="Cambria Math" w:hAnsi="Cambria Math" w:cs="Times New Roman"/>
                    <w:kern w:val="2"/>
                    <w:sz w:val="30"/>
                    <w:szCs w:val="30"/>
                  </w:rPr>
                </m:ctrlPr>
              </m:sSubPr>
              <m:e>
                <m:r>
                  <m:rPr>
                    <m:sty m:val="p"/>
                  </m:rPr>
                  <w:rPr>
                    <w:rFonts w:ascii="Cambria Math" w:hAnsi="Cambria Math" w:cs="Times New Roman"/>
                    <w:kern w:val="2"/>
                    <w:sz w:val="30"/>
                    <w:szCs w:val="30"/>
                  </w:rPr>
                  <m:t>σ</m:t>
                </m:r>
                <m:ctrlPr>
                  <w:rPr>
                    <w:rFonts w:ascii="Cambria Math" w:hAnsi="Cambria Math" w:cs="Times New Roman"/>
                    <w:kern w:val="2"/>
                    <w:sz w:val="30"/>
                    <w:szCs w:val="30"/>
                  </w:rPr>
                </m:ctrlPr>
              </m:e>
              <m:sub>
                <m:r>
                  <m:rPr>
                    <m:sty m:val="p"/>
                  </m:rPr>
                  <w:rPr>
                    <w:rFonts w:ascii="Cambria Math" w:hAnsi="Cambria Math" w:cs="Times New Roman"/>
                    <w:kern w:val="2"/>
                    <w:sz w:val="30"/>
                    <w:szCs w:val="30"/>
                  </w:rPr>
                  <m:t>des</m:t>
                </m:r>
                <m:ctrlPr>
                  <w:rPr>
                    <w:rFonts w:ascii="Cambria Math" w:hAnsi="Cambria Math" w:cs="Times New Roman"/>
                    <w:kern w:val="2"/>
                    <w:sz w:val="30"/>
                    <w:szCs w:val="30"/>
                  </w:rPr>
                </m:ctrlPr>
              </m:sub>
            </m:sSub>
            <m:ctrlPr>
              <w:rPr>
                <w:rFonts w:ascii="Cambria Math" w:hAnsi="Cambria Math" w:cs="Times New Roman"/>
                <w:kern w:val="2"/>
                <w:sz w:val="30"/>
                <w:szCs w:val="30"/>
              </w:rPr>
            </m:ctrlPr>
          </m:den>
        </m:f>
      </m:oMath>
      <w:r>
        <w:rPr>
          <w:rFonts w:ascii="Times New Roman" w:hAnsi="Times New Roman" w:cs="Times New Roman"/>
          <w:kern w:val="2"/>
        </w:rPr>
        <w:t xml:space="preserve">                               （</w:t>
      </w:r>
      <w:r>
        <w:rPr>
          <w:rFonts w:ascii="Times New Roman" w:hAnsi="Times New Roman" w:cs="Times New Roman"/>
          <w:bCs/>
          <w:kern w:val="2"/>
        </w:rPr>
        <w:t>8.2.4</w:t>
      </w:r>
      <w:r>
        <w:rPr>
          <w:rFonts w:ascii="Times New Roman" w:hAnsi="Times New Roman" w:cs="Times New Roman"/>
          <w:kern w:val="2"/>
        </w:rPr>
        <w:t>）</w:t>
      </w:r>
    </w:p>
    <w:p>
      <w:pPr>
        <w:widowControl w:val="0"/>
        <w:spacing w:line="360" w:lineRule="auto"/>
        <w:jc w:val="both"/>
        <w:rPr>
          <w:rFonts w:ascii="Times New Roman" w:hAnsi="Times New Roman" w:cs="Times New Roman"/>
          <w:kern w:val="2"/>
        </w:rPr>
      </w:pPr>
      <w:r>
        <w:rPr>
          <w:rFonts w:ascii="Times New Roman" w:hAnsi="Times New Roman" w:cs="Times New Roman"/>
          <w:kern w:val="2"/>
        </w:rPr>
        <w:t>式中：r</w:t>
      </w:r>
      <w:r>
        <w:rPr>
          <w:rFonts w:ascii="Times New Roman" w:hAnsi="Times New Roman" w:eastAsia="黑体" w:cs="Times New Roman"/>
          <w:kern w:val="2"/>
        </w:rPr>
        <w:t>——</w:t>
      </w:r>
      <w:r>
        <w:rPr>
          <w:rFonts w:ascii="Times New Roman" w:hAnsi="Times New Roman" w:cs="Times New Roman"/>
          <w:kern w:val="2"/>
        </w:rPr>
        <w:t>中空玻璃的中空层的结构胶宽度（mm），</w:t>
      </w:r>
      <m:oMath>
        <m:r>
          <m:rPr>
            <m:sty m:val="p"/>
          </m:rPr>
          <w:rPr>
            <w:rFonts w:ascii="Cambria Math" w:hAnsi="Cambria Math" w:cs="Times New Roman"/>
            <w:kern w:val="2"/>
          </w:rPr>
          <m:t>r≥6</m:t>
        </m:r>
      </m:oMath>
      <w:r>
        <w:rPr>
          <w:rFonts w:ascii="Times New Roman" w:hAnsi="Times New Roman" w:cs="Times New Roman"/>
          <w:kern w:val="2"/>
        </w:rPr>
        <w:t>mm；</w:t>
      </w:r>
    </w:p>
    <w:p>
      <w:pPr>
        <w:widowControl w:val="0"/>
        <w:spacing w:line="360" w:lineRule="auto"/>
        <w:ind w:left="1080" w:leftChars="250" w:hanging="480" w:hangingChars="200"/>
        <w:jc w:val="both"/>
        <w:rPr>
          <w:rFonts w:ascii="Times New Roman" w:hAnsi="Times New Roman" w:cs="Times New Roman"/>
          <w:kern w:val="2"/>
        </w:rPr>
      </w:pPr>
      <w:r>
        <w:rPr>
          <w:rFonts w:ascii="Times New Roman" w:hAnsi="Times New Roman" w:cs="Times New Roman"/>
          <w:kern w:val="2"/>
        </w:rPr>
        <w:t>β</w:t>
      </w:r>
      <w:r>
        <w:rPr>
          <w:rFonts w:ascii="Times New Roman" w:hAnsi="Times New Roman" w:eastAsia="黑体" w:cs="Times New Roman"/>
          <w:kern w:val="2"/>
        </w:rPr>
        <w:t>——</w:t>
      </w:r>
      <w:r>
        <w:rPr>
          <w:rFonts w:ascii="Times New Roman" w:hAnsi="Times New Roman" w:cs="Times New Roman"/>
          <w:kern w:val="2"/>
        </w:rPr>
        <w:t>中空玻璃的外片承受可变荷载的分配系数，按照各玻璃刚度进行分配；</w:t>
      </w:r>
    </w:p>
    <w:p>
      <w:pPr>
        <w:widowControl w:val="0"/>
        <w:spacing w:line="360" w:lineRule="auto"/>
        <w:ind w:left="1557" w:leftChars="295" w:hanging="849" w:hangingChars="354"/>
        <w:jc w:val="both"/>
        <w:rPr>
          <w:rFonts w:ascii="Times New Roman" w:hAnsi="Times New Roman" w:cs="Times New Roman"/>
          <w:kern w:val="2"/>
        </w:rPr>
      </w:pPr>
      <w:r>
        <w:rPr>
          <w:rFonts w:ascii="Times New Roman" w:hAnsi="Times New Roman" w:cs="Times New Roman"/>
          <w:kern w:val="2"/>
        </w:rPr>
        <w:t>σ</w:t>
      </w:r>
      <w:r>
        <w:rPr>
          <w:rFonts w:ascii="Times New Roman" w:hAnsi="Times New Roman" w:cs="Times New Roman"/>
          <w:kern w:val="2"/>
          <w:vertAlign w:val="subscript"/>
        </w:rPr>
        <w:t>des</w:t>
      </w:r>
      <w:r>
        <w:rPr>
          <w:rFonts w:ascii="Times New Roman" w:hAnsi="Times New Roman" w:eastAsia="黑体" w:cs="Times New Roman"/>
          <w:kern w:val="2"/>
        </w:rPr>
        <w:t>——</w:t>
      </w:r>
      <w:r>
        <w:rPr>
          <w:rFonts w:ascii="Times New Roman" w:hAnsi="Times New Roman" w:cs="Times New Roman"/>
          <w:kern w:val="2"/>
        </w:rPr>
        <w:t>结构胶抗拉强度（N/mm</w:t>
      </w:r>
      <w:r>
        <w:rPr>
          <w:rFonts w:ascii="Times New Roman" w:hAnsi="Times New Roman" w:cs="Times New Roman"/>
          <w:kern w:val="2"/>
          <w:vertAlign w:val="superscript"/>
        </w:rPr>
        <w:t>2</w:t>
      </w:r>
      <w:r>
        <w:rPr>
          <w:rFonts w:ascii="Times New Roman" w:hAnsi="Times New Roman" w:cs="Times New Roman"/>
          <w:kern w:val="2"/>
        </w:rPr>
        <w:t>）。</w:t>
      </w:r>
    </w:p>
    <w:p>
      <w:pPr>
        <w:widowControl w:val="0"/>
        <w:spacing w:line="360" w:lineRule="auto"/>
        <w:jc w:val="both"/>
        <w:rPr>
          <w:rFonts w:ascii="Times New Roman" w:hAnsi="Times New Roman" w:cs="Times New Roman"/>
          <w:kern w:val="2"/>
        </w:rPr>
      </w:pPr>
      <w:r>
        <w:rPr>
          <w:rFonts w:ascii="Times New Roman" w:hAnsi="Times New Roman" w:cs="Times New Roman"/>
          <w:b/>
          <w:bCs/>
          <w:kern w:val="2"/>
        </w:rPr>
        <w:t xml:space="preserve">8.2.5 </w:t>
      </w:r>
      <w:r>
        <w:rPr>
          <w:rFonts w:ascii="Times New Roman" w:hAnsi="Times New Roman" w:cs="Times New Roman"/>
          <w:kern w:val="2"/>
        </w:rPr>
        <w:t>硅酮结构密封胶的粘接厚度应按下式计算：</w:t>
      </w:r>
    </w:p>
    <w:p>
      <w:pPr>
        <w:widowControl w:val="0"/>
        <w:spacing w:line="360" w:lineRule="auto"/>
        <w:ind w:firstLine="4200" w:firstLineChars="1400"/>
        <w:jc w:val="right"/>
        <w:rPr>
          <w:rFonts w:ascii="Times New Roman" w:hAnsi="Times New Roman" w:cs="Times New Roman"/>
          <w:kern w:val="2"/>
        </w:rPr>
      </w:pPr>
      <m:oMath>
        <m:r>
          <m:rPr/>
          <w:rPr>
            <w:rFonts w:ascii="Cambria Math" w:hAnsi="Cambria Math" w:cs="Times New Roman"/>
            <w:kern w:val="2"/>
            <w:sz w:val="30"/>
            <w:szCs w:val="30"/>
          </w:rPr>
          <m:t>e</m:t>
        </m:r>
        <m:r>
          <m:rPr>
            <m:sty m:val="p"/>
          </m:rPr>
          <w:rPr>
            <w:rFonts w:ascii="Cambria Math" w:hAnsi="Cambria Math" w:cs="Times New Roman"/>
            <w:kern w:val="2"/>
            <w:sz w:val="30"/>
            <w:szCs w:val="30"/>
          </w:rPr>
          <m:t>=</m:t>
        </m:r>
        <m:f>
          <m:fPr>
            <m:ctrlPr>
              <w:rPr>
                <w:rFonts w:ascii="Cambria Math" w:hAnsi="Cambria Math" w:cs="Times New Roman"/>
                <w:kern w:val="2"/>
                <w:sz w:val="30"/>
                <w:szCs w:val="30"/>
              </w:rPr>
            </m:ctrlPr>
          </m:fPr>
          <m:num>
            <m:r>
              <m:rPr>
                <m:sty m:val="p"/>
              </m:rPr>
              <w:rPr>
                <w:rFonts w:ascii="Cambria Math" w:hAnsi="Cambria Math" w:cs="Times New Roman"/>
                <w:kern w:val="2"/>
                <w:sz w:val="30"/>
                <w:szCs w:val="30"/>
              </w:rPr>
              <m:t>G∙Δ</m:t>
            </m:r>
            <m:ctrlPr>
              <w:rPr>
                <w:rFonts w:ascii="Cambria Math" w:hAnsi="Cambria Math" w:cs="Times New Roman"/>
                <w:kern w:val="2"/>
                <w:sz w:val="30"/>
                <w:szCs w:val="30"/>
              </w:rPr>
            </m:ctrlPr>
          </m:num>
          <m:den>
            <m:sSub>
              <m:sSubPr>
                <m:ctrlPr>
                  <w:rPr>
                    <w:rFonts w:ascii="Cambria Math" w:hAnsi="Cambria Math" w:cs="Times New Roman"/>
                    <w:kern w:val="2"/>
                    <w:sz w:val="30"/>
                    <w:szCs w:val="30"/>
                  </w:rPr>
                </m:ctrlPr>
              </m:sSubPr>
              <m:e>
                <m:r>
                  <m:rPr>
                    <m:sty m:val="p"/>
                  </m:rPr>
                  <w:rPr>
                    <w:rFonts w:ascii="Cambria Math" w:hAnsi="Cambria Math" w:cs="Times New Roman"/>
                    <w:kern w:val="2"/>
                    <w:sz w:val="30"/>
                    <w:szCs w:val="30"/>
                  </w:rPr>
                  <m:t>Γ</m:t>
                </m:r>
                <m:ctrlPr>
                  <w:rPr>
                    <w:rFonts w:ascii="Cambria Math" w:hAnsi="Cambria Math" w:cs="Times New Roman"/>
                    <w:kern w:val="2"/>
                    <w:sz w:val="30"/>
                    <w:szCs w:val="30"/>
                  </w:rPr>
                </m:ctrlPr>
              </m:e>
              <m:sub>
                <m:r>
                  <m:rPr>
                    <m:sty m:val="p"/>
                  </m:rPr>
                  <w:rPr>
                    <w:rFonts w:ascii="Cambria Math" w:hAnsi="Cambria Math" w:cs="Times New Roman"/>
                    <w:kern w:val="2"/>
                    <w:sz w:val="30"/>
                    <w:szCs w:val="30"/>
                  </w:rPr>
                  <m:t>des</m:t>
                </m:r>
                <m:ctrlPr>
                  <w:rPr>
                    <w:rFonts w:ascii="Cambria Math" w:hAnsi="Cambria Math" w:cs="Times New Roman"/>
                    <w:kern w:val="2"/>
                    <w:sz w:val="30"/>
                    <w:szCs w:val="30"/>
                  </w:rPr>
                </m:ctrlPr>
              </m:sub>
            </m:sSub>
            <m:ctrlPr>
              <w:rPr>
                <w:rFonts w:ascii="Cambria Math" w:hAnsi="Cambria Math" w:cs="Times New Roman"/>
                <w:kern w:val="2"/>
                <w:sz w:val="30"/>
                <w:szCs w:val="30"/>
              </w:rPr>
            </m:ctrlPr>
          </m:den>
        </m:f>
      </m:oMath>
      <w:r>
        <w:rPr>
          <w:rFonts w:ascii="Times New Roman" w:hAnsi="Times New Roman" w:cs="Times New Roman"/>
          <w:kern w:val="2"/>
          <w:sz w:val="30"/>
          <w:szCs w:val="30"/>
        </w:rPr>
        <w:t xml:space="preserve"> </w:t>
      </w:r>
      <w:r>
        <w:rPr>
          <w:rFonts w:ascii="Times New Roman" w:hAnsi="Times New Roman" w:cs="Times New Roman"/>
          <w:kern w:val="2"/>
        </w:rPr>
        <w:t xml:space="preserve">                             （</w:t>
      </w:r>
      <w:r>
        <w:rPr>
          <w:rFonts w:ascii="Times New Roman" w:hAnsi="Times New Roman" w:cs="Times New Roman"/>
          <w:bCs/>
          <w:kern w:val="2"/>
        </w:rPr>
        <w:t>8.2.5-1</w:t>
      </w:r>
      <w:r>
        <w:rPr>
          <w:rFonts w:ascii="Times New Roman" w:hAnsi="Times New Roman" w:cs="Times New Roman"/>
          <w:kern w:val="2"/>
        </w:rPr>
        <w:t>）</w:t>
      </w:r>
    </w:p>
    <w:p>
      <w:pPr>
        <w:widowControl w:val="0"/>
        <w:spacing w:line="360" w:lineRule="auto"/>
        <w:ind w:firstLine="4200" w:firstLineChars="1400"/>
        <w:jc w:val="right"/>
        <w:rPr>
          <w:rFonts w:ascii="Times New Roman" w:hAnsi="Times New Roman" w:cs="Times New Roman"/>
          <w:kern w:val="2"/>
        </w:rPr>
      </w:pPr>
      <m:oMath>
        <m:r>
          <m:rPr/>
          <w:rPr>
            <w:rFonts w:ascii="Cambria Math" w:hAnsi="Cambria Math" w:cs="Times New Roman"/>
            <w:kern w:val="2"/>
            <w:sz w:val="30"/>
            <w:szCs w:val="30"/>
          </w:rPr>
          <m:t>G</m:t>
        </m:r>
        <m:r>
          <m:rPr>
            <m:sty m:val="p"/>
          </m:rPr>
          <w:rPr>
            <w:rFonts w:ascii="Cambria Math" w:hAnsi="Cambria Math" w:cs="Times New Roman"/>
            <w:kern w:val="2"/>
            <w:sz w:val="30"/>
            <w:szCs w:val="30"/>
          </w:rPr>
          <m:t>=</m:t>
        </m:r>
        <m:f>
          <m:fPr>
            <m:ctrlPr>
              <w:rPr>
                <w:rFonts w:ascii="Cambria Math" w:hAnsi="Cambria Math" w:cs="Times New Roman"/>
                <w:kern w:val="2"/>
                <w:sz w:val="30"/>
                <w:szCs w:val="30"/>
              </w:rPr>
            </m:ctrlPr>
          </m:fPr>
          <m:num>
            <m:r>
              <m:rPr>
                <m:sty m:val="p"/>
              </m:rPr>
              <w:rPr>
                <w:rFonts w:ascii="Cambria Math" w:hAnsi="Cambria Math" w:cs="Times New Roman"/>
                <w:kern w:val="2"/>
                <w:sz w:val="30"/>
                <w:szCs w:val="30"/>
              </w:rPr>
              <m:t>E</m:t>
            </m:r>
            <m:ctrlPr>
              <w:rPr>
                <w:rFonts w:ascii="Cambria Math" w:hAnsi="Cambria Math" w:cs="Times New Roman"/>
                <w:kern w:val="2"/>
                <w:sz w:val="30"/>
                <w:szCs w:val="30"/>
              </w:rPr>
            </m:ctrlPr>
          </m:num>
          <m:den>
            <m:r>
              <m:rPr>
                <m:sty m:val="p"/>
              </m:rPr>
              <w:rPr>
                <w:rFonts w:ascii="Cambria Math" w:hAnsi="Cambria Math" w:cs="Times New Roman"/>
                <w:kern w:val="2"/>
                <w:sz w:val="30"/>
                <w:szCs w:val="30"/>
              </w:rPr>
              <m:t>3</m:t>
            </m:r>
            <m:ctrlPr>
              <w:rPr>
                <w:rFonts w:ascii="Cambria Math" w:hAnsi="Cambria Math" w:cs="Times New Roman"/>
                <w:kern w:val="2"/>
                <w:sz w:val="30"/>
                <w:szCs w:val="30"/>
              </w:rPr>
            </m:ctrlPr>
          </m:den>
        </m:f>
      </m:oMath>
      <w:r>
        <w:rPr>
          <w:rFonts w:ascii="Times New Roman" w:hAnsi="Times New Roman" w:cs="Times New Roman"/>
          <w:kern w:val="2"/>
          <w:sz w:val="30"/>
          <w:szCs w:val="30"/>
        </w:rPr>
        <w:t xml:space="preserve"> </w:t>
      </w:r>
      <w:r>
        <w:rPr>
          <w:rFonts w:ascii="Times New Roman" w:hAnsi="Times New Roman" w:cs="Times New Roman"/>
          <w:kern w:val="2"/>
        </w:rPr>
        <w:t xml:space="preserve">                               （</w:t>
      </w:r>
      <w:r>
        <w:rPr>
          <w:rFonts w:ascii="Times New Roman" w:hAnsi="Times New Roman" w:cs="Times New Roman"/>
          <w:bCs/>
          <w:kern w:val="2"/>
        </w:rPr>
        <w:t>8.2.5-2</w:t>
      </w:r>
      <w:r>
        <w:rPr>
          <w:rFonts w:ascii="Times New Roman" w:hAnsi="Times New Roman" w:cs="Times New Roman"/>
          <w:kern w:val="2"/>
        </w:rPr>
        <w:t>）</w:t>
      </w:r>
    </w:p>
    <w:p>
      <w:pPr>
        <w:widowControl w:val="0"/>
        <w:spacing w:line="360" w:lineRule="auto"/>
        <w:jc w:val="both"/>
        <w:rPr>
          <w:rFonts w:ascii="Times New Roman" w:hAnsi="Times New Roman" w:cs="Times New Roman"/>
          <w:kern w:val="2"/>
        </w:rPr>
      </w:pPr>
      <w:r>
        <w:rPr>
          <w:rFonts w:ascii="Times New Roman" w:hAnsi="Times New Roman" w:cs="Times New Roman"/>
          <w:kern w:val="2"/>
        </w:rPr>
        <w:t>式中：</w:t>
      </w:r>
      <w:r>
        <w:rPr>
          <w:rFonts w:ascii="Times New Roman" w:hAnsi="Times New Roman" w:cs="Times New Roman"/>
          <w:i/>
          <w:iCs/>
          <w:kern w:val="2"/>
        </w:rPr>
        <w:t>e</w:t>
      </w:r>
      <w:r>
        <w:rPr>
          <w:rFonts w:ascii="Times New Roman" w:hAnsi="Times New Roman" w:eastAsia="黑体" w:cs="Times New Roman"/>
          <w:kern w:val="2"/>
        </w:rPr>
        <w:t>——</w:t>
      </w:r>
      <w:r>
        <w:rPr>
          <w:rFonts w:ascii="Times New Roman" w:hAnsi="Times New Roman" w:cs="Times New Roman"/>
          <w:kern w:val="2"/>
        </w:rPr>
        <w:t>硅酮结构密封胶的粘接厚度（mm）；</w:t>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kern w:val="2"/>
        </w:rPr>
        <w:t>G</w:t>
      </w:r>
      <w:r>
        <w:rPr>
          <w:rFonts w:ascii="Times New Roman" w:hAnsi="Times New Roman" w:eastAsia="黑体" w:cs="Times New Roman"/>
          <w:kern w:val="2"/>
        </w:rPr>
        <w:t>——</w:t>
      </w:r>
      <w:r>
        <w:rPr>
          <w:rFonts w:ascii="Times New Roman" w:hAnsi="Times New Roman" w:cs="Times New Roman"/>
          <w:kern w:val="2"/>
        </w:rPr>
        <w:t>硅酮结构胶的剪切刚度（N/mm</w:t>
      </w:r>
      <w:r>
        <w:rPr>
          <w:rFonts w:ascii="Times New Roman" w:hAnsi="Times New Roman" w:cs="Times New Roman"/>
          <w:kern w:val="2"/>
          <w:vertAlign w:val="superscript"/>
        </w:rPr>
        <w:t>2</w:t>
      </w:r>
      <w:r>
        <w:rPr>
          <w:rFonts w:ascii="Times New Roman" w:hAnsi="Times New Roman" w:cs="Times New Roman"/>
          <w:kern w:val="2"/>
        </w:rPr>
        <w:t>）；</w:t>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kern w:val="2"/>
        </w:rPr>
        <w:t>E</w:t>
      </w:r>
      <w:r>
        <w:rPr>
          <w:rFonts w:ascii="Times New Roman" w:hAnsi="Times New Roman" w:eastAsia="黑体" w:cs="Times New Roman"/>
          <w:kern w:val="2"/>
        </w:rPr>
        <w:t>——</w:t>
      </w:r>
      <w:r>
        <w:rPr>
          <w:rFonts w:ascii="Times New Roman" w:hAnsi="Times New Roman" w:cs="Times New Roman"/>
          <w:kern w:val="2"/>
        </w:rPr>
        <w:t>硅酮结构胶的拉伸弹性模量，根据《建筑幕墙用硅酮结构密封胶》JG/T 475试验测得（N/mm</w:t>
      </w:r>
      <w:r>
        <w:rPr>
          <w:rFonts w:ascii="Times New Roman" w:hAnsi="Times New Roman" w:cs="Times New Roman"/>
          <w:kern w:val="2"/>
          <w:vertAlign w:val="superscript"/>
        </w:rPr>
        <w:t>2</w:t>
      </w:r>
      <w:r>
        <w:rPr>
          <w:rFonts w:ascii="Times New Roman" w:hAnsi="Times New Roman" w:cs="Times New Roman"/>
          <w:kern w:val="2"/>
        </w:rPr>
        <w:t>）；</w:t>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kern w:val="2"/>
        </w:rPr>
        <w:t>Δ</w:t>
      </w:r>
      <w:r>
        <w:rPr>
          <w:rFonts w:ascii="Times New Roman" w:hAnsi="Times New Roman" w:eastAsia="黑体" w:cs="Times New Roman"/>
          <w:kern w:val="2"/>
        </w:rPr>
        <w:t>——</w:t>
      </w:r>
      <w:r>
        <w:rPr>
          <w:rFonts w:ascii="Times New Roman" w:hAnsi="Times New Roman" w:cs="Times New Roman"/>
          <w:kern w:val="2"/>
        </w:rPr>
        <w:t>硅酮结构密封胶的热膨胀位移（mm）；</w:t>
      </w:r>
    </w:p>
    <w:p>
      <w:pPr>
        <w:widowControl w:val="0"/>
        <w:spacing w:line="360" w:lineRule="auto"/>
        <w:ind w:firstLine="708" w:firstLineChars="295"/>
        <w:jc w:val="both"/>
        <w:rPr>
          <w:rFonts w:ascii="Times New Roman" w:hAnsi="Times New Roman" w:cs="Times New Roman"/>
          <w:kern w:val="2"/>
        </w:rPr>
      </w:pPr>
      <w:r>
        <w:rPr>
          <w:rFonts w:ascii="Times New Roman" w:hAnsi="Times New Roman" w:cs="Times New Roman"/>
          <w:kern w:val="2"/>
        </w:rPr>
        <w:t>Γ</w:t>
      </w:r>
      <w:r>
        <w:rPr>
          <w:rFonts w:ascii="Times New Roman" w:hAnsi="Times New Roman" w:cs="Times New Roman"/>
          <w:kern w:val="2"/>
          <w:vertAlign w:val="subscript"/>
        </w:rPr>
        <w:t>des</w:t>
      </w:r>
      <w:r>
        <w:rPr>
          <w:rFonts w:ascii="Times New Roman" w:hAnsi="Times New Roman" w:eastAsia="黑体" w:cs="Times New Roman"/>
          <w:kern w:val="2"/>
        </w:rPr>
        <w:t>——</w:t>
      </w:r>
      <w:r>
        <w:rPr>
          <w:rFonts w:ascii="Times New Roman" w:hAnsi="Times New Roman" w:cs="Times New Roman"/>
          <w:kern w:val="2"/>
        </w:rPr>
        <w:t>可变荷载作用下的结构胶抗剪强度标准值（N/mm</w:t>
      </w:r>
      <w:r>
        <w:rPr>
          <w:rFonts w:ascii="Times New Roman" w:hAnsi="Times New Roman" w:cs="Times New Roman"/>
          <w:kern w:val="2"/>
          <w:vertAlign w:val="superscript"/>
        </w:rPr>
        <w:t>2</w:t>
      </w:r>
      <w:r>
        <w:rPr>
          <w:rFonts w:ascii="Times New Roman" w:hAnsi="Times New Roman" w:cs="Times New Roman"/>
          <w:kern w:val="2"/>
        </w:rPr>
        <w:t>）。</w:t>
      </w:r>
    </w:p>
    <w:p>
      <w:pPr>
        <w:widowControl w:val="0"/>
        <w:spacing w:line="360" w:lineRule="auto"/>
        <w:jc w:val="both"/>
        <w:rPr>
          <w:rFonts w:ascii="Times New Roman" w:hAnsi="Times New Roman" w:cs="Times New Roman"/>
          <w:kern w:val="2"/>
        </w:rPr>
      </w:pPr>
      <w:r>
        <w:rPr>
          <w:rFonts w:ascii="Times New Roman" w:hAnsi="Times New Roman" w:cs="Times New Roman"/>
          <w:b/>
          <w:bCs/>
          <w:kern w:val="2"/>
        </w:rPr>
        <w:t xml:space="preserve">8.2.6 </w:t>
      </w:r>
      <w:r>
        <w:rPr>
          <w:rFonts w:ascii="Times New Roman" w:hAnsi="Times New Roman" w:cs="Times New Roman"/>
          <w:kern w:val="2"/>
        </w:rPr>
        <w:t>幕墙面板通过硅酮结构密封胶与型材粘接时，应按下式计算：</w:t>
      </w:r>
    </w:p>
    <w:p>
      <w:pPr>
        <w:widowControl w:val="0"/>
        <w:spacing w:line="360" w:lineRule="auto"/>
        <w:ind w:left="420"/>
        <w:jc w:val="right"/>
        <w:rPr>
          <w:rFonts w:ascii="Times New Roman" w:hAnsi="Times New Roman" w:cs="Times New Roman"/>
          <w:kern w:val="2"/>
        </w:rPr>
      </w:pPr>
      <m:oMath>
        <m:r>
          <m:rPr>
            <m:sty m:val="p"/>
          </m:rPr>
          <w:rPr>
            <w:rFonts w:ascii="Cambria Math" w:hAnsi="Cambria Math" w:cs="Times New Roman"/>
            <w:kern w:val="2"/>
          </w:rPr>
          <m:t>∆=</m:t>
        </m:r>
        <m:d>
          <m:dPr>
            <m:begChr m:val="["/>
            <m:endChr m:val="]"/>
            <m:ctrlPr>
              <w:rPr>
                <w:rFonts w:ascii="Cambria Math" w:hAnsi="Cambria Math" w:cs="Times New Roman"/>
                <w:kern w:val="2"/>
              </w:rPr>
            </m:ctrlPr>
          </m:dPr>
          <m:e>
            <m:d>
              <m:dPr>
                <m:ctrlPr>
                  <w:rPr>
                    <w:rFonts w:ascii="Cambria Math" w:hAnsi="Cambria Math" w:cs="Times New Roman"/>
                    <w:kern w:val="2"/>
                  </w:rPr>
                </m:ctrlPr>
              </m:dPr>
              <m:e>
                <m:sSub>
                  <m:sSubPr>
                    <m:ctrlPr>
                      <w:rPr>
                        <w:rFonts w:ascii="Cambria Math" w:hAnsi="Cambria Math" w:cs="Times New Roman"/>
                        <w:kern w:val="2"/>
                      </w:rPr>
                    </m:ctrlPr>
                  </m:sSubPr>
                  <m:e>
                    <m:r>
                      <m:rPr>
                        <m:sty m:val="p"/>
                      </m:rPr>
                      <w:rPr>
                        <w:rFonts w:ascii="Cambria Math" w:hAnsi="Cambria Math" w:cs="Times New Roman"/>
                        <w:kern w:val="2"/>
                      </w:rPr>
                      <m:t>T</m:t>
                    </m:r>
                    <m:ctrlPr>
                      <w:rPr>
                        <w:rFonts w:ascii="Cambria Math" w:hAnsi="Cambria Math" w:cs="Times New Roman"/>
                        <w:kern w:val="2"/>
                      </w:rPr>
                    </m:ctrlPr>
                  </m:e>
                  <m:sub>
                    <m:r>
                      <m:rPr>
                        <m:sty m:val="p"/>
                      </m:rPr>
                      <w:rPr>
                        <w:rFonts w:ascii="Cambria Math" w:hAnsi="Cambria Math" w:cs="Times New Roman"/>
                        <w:kern w:val="2"/>
                      </w:rPr>
                      <m:t>c</m:t>
                    </m:r>
                    <m:ctrlPr>
                      <w:rPr>
                        <w:rFonts w:ascii="Cambria Math" w:hAnsi="Cambria Math" w:cs="Times New Roman"/>
                        <w:kern w:val="2"/>
                      </w:rPr>
                    </m:ctrlPr>
                  </m:sub>
                </m:sSub>
                <m:r>
                  <m:rPr>
                    <m:sty m:val="p"/>
                  </m:rPr>
                  <w:rPr>
                    <w:rFonts w:ascii="Cambria Math" w:hAnsi="Cambria Math" w:cs="Times New Roman"/>
                    <w:kern w:val="2"/>
                  </w:rPr>
                  <m:t>−</m:t>
                </m:r>
                <m:sSub>
                  <m:sSubPr>
                    <m:ctrlPr>
                      <w:rPr>
                        <w:rFonts w:ascii="Cambria Math" w:hAnsi="Cambria Math" w:cs="Times New Roman"/>
                        <w:kern w:val="2"/>
                      </w:rPr>
                    </m:ctrlPr>
                  </m:sSubPr>
                  <m:e>
                    <m:r>
                      <m:rPr>
                        <m:sty m:val="p"/>
                      </m:rPr>
                      <w:rPr>
                        <w:rFonts w:ascii="Cambria Math" w:hAnsi="Cambria Math" w:cs="Times New Roman"/>
                        <w:kern w:val="2"/>
                      </w:rPr>
                      <m:t>T</m:t>
                    </m:r>
                    <m:ctrlPr>
                      <w:rPr>
                        <w:rFonts w:ascii="Cambria Math" w:hAnsi="Cambria Math" w:cs="Times New Roman"/>
                        <w:kern w:val="2"/>
                      </w:rPr>
                    </m:ctrlPr>
                  </m:e>
                  <m:sub>
                    <m:r>
                      <m:rPr>
                        <m:sty m:val="p"/>
                      </m:rPr>
                      <w:rPr>
                        <w:rFonts w:ascii="Cambria Math" w:hAnsi="Cambria Math" w:cs="Times New Roman"/>
                        <w:kern w:val="2"/>
                      </w:rPr>
                      <m:t>0</m:t>
                    </m:r>
                    <m:ctrlPr>
                      <w:rPr>
                        <w:rFonts w:ascii="Cambria Math" w:hAnsi="Cambria Math" w:cs="Times New Roman"/>
                        <w:kern w:val="2"/>
                      </w:rPr>
                    </m:ctrlPr>
                  </m:sub>
                </m:sSub>
                <m:ctrlPr>
                  <w:rPr>
                    <w:rFonts w:ascii="Cambria Math" w:hAnsi="Cambria Math" w:cs="Times New Roman"/>
                    <w:kern w:val="2"/>
                  </w:rPr>
                </m:ctrlPr>
              </m:e>
            </m:d>
            <m:sSub>
              <m:sSubPr>
                <m:ctrlPr>
                  <w:rPr>
                    <w:rFonts w:ascii="Cambria Math" w:hAnsi="Cambria Math" w:cs="Times New Roman"/>
                    <w:kern w:val="2"/>
                  </w:rPr>
                </m:ctrlPr>
              </m:sSubPr>
              <m:e>
                <m:r>
                  <m:rPr>
                    <m:sty m:val="p"/>
                  </m:rPr>
                  <w:rPr>
                    <w:rFonts w:ascii="Cambria Math" w:hAnsi="Cambria Math" w:cs="Times New Roman"/>
                    <w:kern w:val="2"/>
                  </w:rPr>
                  <m:t>α</m:t>
                </m:r>
                <m:ctrlPr>
                  <w:rPr>
                    <w:rFonts w:ascii="Cambria Math" w:hAnsi="Cambria Math" w:cs="Times New Roman"/>
                    <w:kern w:val="2"/>
                  </w:rPr>
                </m:ctrlPr>
              </m:e>
              <m:sub>
                <m:r>
                  <m:rPr>
                    <m:sty m:val="p"/>
                  </m:rPr>
                  <w:rPr>
                    <w:rFonts w:ascii="Cambria Math" w:hAnsi="Cambria Math" w:cs="Times New Roman"/>
                    <w:kern w:val="2"/>
                  </w:rPr>
                  <m:t>c</m:t>
                </m:r>
                <m:ctrlPr>
                  <w:rPr>
                    <w:rFonts w:ascii="Cambria Math" w:hAnsi="Cambria Math" w:cs="Times New Roman"/>
                    <w:kern w:val="2"/>
                  </w:rPr>
                </m:ctrlPr>
              </m:sub>
            </m:sSub>
            <m:r>
              <m:rPr>
                <m:sty m:val="p"/>
              </m:rPr>
              <w:rPr>
                <w:rFonts w:ascii="Cambria Math" w:hAnsi="Cambria Math" w:cs="Times New Roman"/>
                <w:kern w:val="2"/>
              </w:rPr>
              <m:t>−</m:t>
            </m:r>
            <m:d>
              <m:dPr>
                <m:ctrlPr>
                  <w:rPr>
                    <w:rFonts w:ascii="Cambria Math" w:hAnsi="Cambria Math" w:cs="Times New Roman"/>
                    <w:kern w:val="2"/>
                  </w:rPr>
                </m:ctrlPr>
              </m:dPr>
              <m:e>
                <m:sSub>
                  <m:sSubPr>
                    <m:ctrlPr>
                      <w:rPr>
                        <w:rFonts w:ascii="Cambria Math" w:hAnsi="Cambria Math" w:cs="Times New Roman"/>
                        <w:kern w:val="2"/>
                      </w:rPr>
                    </m:ctrlPr>
                  </m:sSubPr>
                  <m:e>
                    <m:r>
                      <m:rPr>
                        <m:sty m:val="p"/>
                      </m:rPr>
                      <w:rPr>
                        <w:rFonts w:ascii="Cambria Math" w:hAnsi="Cambria Math" w:cs="Times New Roman"/>
                        <w:kern w:val="2"/>
                      </w:rPr>
                      <m:t>T</m:t>
                    </m:r>
                    <m:ctrlPr>
                      <w:rPr>
                        <w:rFonts w:ascii="Cambria Math" w:hAnsi="Cambria Math" w:cs="Times New Roman"/>
                        <w:kern w:val="2"/>
                      </w:rPr>
                    </m:ctrlPr>
                  </m:e>
                  <m:sub>
                    <m:r>
                      <m:rPr>
                        <m:sty m:val="p"/>
                      </m:rPr>
                      <w:rPr>
                        <w:rFonts w:ascii="Cambria Math" w:hAnsi="Cambria Math" w:cs="Times New Roman"/>
                        <w:kern w:val="2"/>
                      </w:rPr>
                      <m:t>v</m:t>
                    </m:r>
                    <m:ctrlPr>
                      <w:rPr>
                        <w:rFonts w:ascii="Cambria Math" w:hAnsi="Cambria Math" w:cs="Times New Roman"/>
                        <w:kern w:val="2"/>
                      </w:rPr>
                    </m:ctrlPr>
                  </m:sub>
                </m:sSub>
                <m:r>
                  <m:rPr>
                    <m:sty m:val="p"/>
                  </m:rPr>
                  <w:rPr>
                    <w:rFonts w:ascii="Cambria Math" w:hAnsi="Cambria Math" w:cs="Times New Roman"/>
                    <w:kern w:val="2"/>
                  </w:rPr>
                  <m:t>−</m:t>
                </m:r>
                <m:sSub>
                  <m:sSubPr>
                    <m:ctrlPr>
                      <w:rPr>
                        <w:rFonts w:ascii="Cambria Math" w:hAnsi="Cambria Math" w:cs="Times New Roman"/>
                        <w:kern w:val="2"/>
                      </w:rPr>
                    </m:ctrlPr>
                  </m:sSubPr>
                  <m:e>
                    <m:r>
                      <m:rPr>
                        <m:sty m:val="p"/>
                      </m:rPr>
                      <w:rPr>
                        <w:rFonts w:ascii="Cambria Math" w:hAnsi="Cambria Math" w:cs="Times New Roman"/>
                        <w:kern w:val="2"/>
                      </w:rPr>
                      <m:t>T</m:t>
                    </m:r>
                    <m:ctrlPr>
                      <w:rPr>
                        <w:rFonts w:ascii="Cambria Math" w:hAnsi="Cambria Math" w:cs="Times New Roman"/>
                        <w:kern w:val="2"/>
                      </w:rPr>
                    </m:ctrlPr>
                  </m:e>
                  <m:sub>
                    <m:r>
                      <m:rPr>
                        <m:sty m:val="p"/>
                      </m:rPr>
                      <w:rPr>
                        <w:rFonts w:ascii="Cambria Math" w:hAnsi="Cambria Math" w:cs="Times New Roman"/>
                        <w:kern w:val="2"/>
                      </w:rPr>
                      <m:t>0</m:t>
                    </m:r>
                    <m:ctrlPr>
                      <w:rPr>
                        <w:rFonts w:ascii="Cambria Math" w:hAnsi="Cambria Math" w:cs="Times New Roman"/>
                        <w:kern w:val="2"/>
                      </w:rPr>
                    </m:ctrlPr>
                  </m:sub>
                </m:sSub>
                <m:ctrlPr>
                  <w:rPr>
                    <w:rFonts w:ascii="Cambria Math" w:hAnsi="Cambria Math" w:cs="Times New Roman"/>
                    <w:kern w:val="2"/>
                  </w:rPr>
                </m:ctrlPr>
              </m:e>
            </m:d>
            <m:sSub>
              <m:sSubPr>
                <m:ctrlPr>
                  <w:rPr>
                    <w:rFonts w:ascii="Cambria Math" w:hAnsi="Cambria Math" w:cs="Times New Roman"/>
                    <w:kern w:val="2"/>
                  </w:rPr>
                </m:ctrlPr>
              </m:sSubPr>
              <m:e>
                <m:r>
                  <m:rPr>
                    <m:sty m:val="p"/>
                  </m:rPr>
                  <w:rPr>
                    <w:rFonts w:ascii="Cambria Math" w:hAnsi="Cambria Math" w:cs="Times New Roman"/>
                    <w:kern w:val="2"/>
                  </w:rPr>
                  <m:t>α</m:t>
                </m:r>
                <m:ctrlPr>
                  <w:rPr>
                    <w:rFonts w:ascii="Cambria Math" w:hAnsi="Cambria Math" w:cs="Times New Roman"/>
                    <w:kern w:val="2"/>
                  </w:rPr>
                </m:ctrlPr>
              </m:e>
              <m:sub>
                <m:r>
                  <m:rPr>
                    <m:sty m:val="p"/>
                  </m:rPr>
                  <w:rPr>
                    <w:rFonts w:ascii="Cambria Math" w:hAnsi="Cambria Math" w:cs="Times New Roman"/>
                    <w:kern w:val="2"/>
                  </w:rPr>
                  <m:t>v</m:t>
                </m:r>
                <m:ctrlPr>
                  <w:rPr>
                    <w:rFonts w:ascii="Cambria Math" w:hAnsi="Cambria Math" w:cs="Times New Roman"/>
                    <w:kern w:val="2"/>
                  </w:rPr>
                </m:ctrlPr>
              </m:sub>
            </m:sSub>
            <m:ctrlPr>
              <w:rPr>
                <w:rFonts w:ascii="Cambria Math" w:hAnsi="Cambria Math" w:cs="Times New Roman"/>
                <w:kern w:val="2"/>
              </w:rPr>
            </m:ctrlPr>
          </m:e>
        </m:d>
        <m:rad>
          <m:radPr>
            <m:degHide m:val="1"/>
            <m:ctrlPr>
              <w:rPr>
                <w:rFonts w:ascii="Cambria Math" w:hAnsi="Cambria Math" w:cs="Times New Roman"/>
                <w:kern w:val="2"/>
              </w:rPr>
            </m:ctrlPr>
          </m:radPr>
          <m:deg>
            <m:ctrlPr>
              <w:rPr>
                <w:rFonts w:ascii="Cambria Math" w:hAnsi="Cambria Math" w:cs="Times New Roman"/>
                <w:kern w:val="2"/>
              </w:rPr>
            </m:ctrlPr>
          </m:deg>
          <m:e>
            <m:sSup>
              <m:sSupPr>
                <m:ctrlPr>
                  <w:rPr>
                    <w:rFonts w:ascii="Cambria Math" w:hAnsi="Cambria Math" w:cs="Times New Roman"/>
                    <w:kern w:val="2"/>
                  </w:rPr>
                </m:ctrlPr>
              </m:sSupPr>
              <m:e>
                <m:d>
                  <m:dPr>
                    <m:ctrlPr>
                      <w:rPr>
                        <w:rFonts w:ascii="Cambria Math" w:hAnsi="Cambria Math" w:cs="Times New Roman"/>
                        <w:kern w:val="2"/>
                      </w:rPr>
                    </m:ctrlPr>
                  </m:dPr>
                  <m:e>
                    <m:f>
                      <m:fPr>
                        <m:ctrlPr>
                          <w:rPr>
                            <w:rFonts w:ascii="Cambria Math" w:hAnsi="Cambria Math" w:cs="Times New Roman"/>
                            <w:kern w:val="2"/>
                          </w:rPr>
                        </m:ctrlPr>
                      </m:fPr>
                      <m:num>
                        <m:r>
                          <m:rPr>
                            <m:sty m:val="p"/>
                          </m:rPr>
                          <w:rPr>
                            <w:rFonts w:ascii="Cambria Math" w:hAnsi="Cambria Math" w:cs="Times New Roman"/>
                            <w:kern w:val="2"/>
                          </w:rPr>
                          <m:t>a</m:t>
                        </m:r>
                        <m:ctrlPr>
                          <w:rPr>
                            <w:rFonts w:ascii="Cambria Math" w:hAnsi="Cambria Math" w:cs="Times New Roman"/>
                            <w:kern w:val="2"/>
                          </w:rPr>
                        </m:ctrlPr>
                      </m:num>
                      <m:den>
                        <m:r>
                          <m:rPr>
                            <m:sty m:val="p"/>
                          </m:rPr>
                          <w:rPr>
                            <w:rFonts w:ascii="Cambria Math" w:hAnsi="Cambria Math" w:cs="Times New Roman"/>
                            <w:kern w:val="2"/>
                          </w:rPr>
                          <m:t>2</m:t>
                        </m:r>
                        <m:ctrlPr>
                          <w:rPr>
                            <w:rFonts w:ascii="Cambria Math" w:hAnsi="Cambria Math" w:cs="Times New Roman"/>
                            <w:kern w:val="2"/>
                          </w:rPr>
                        </m:ctrlPr>
                      </m:den>
                    </m:f>
                    <m:ctrlPr>
                      <w:rPr>
                        <w:rFonts w:ascii="Cambria Math" w:hAnsi="Cambria Math" w:cs="Times New Roman"/>
                        <w:kern w:val="2"/>
                      </w:rPr>
                    </m:ctrlPr>
                  </m:e>
                </m:d>
                <m:ctrlPr>
                  <w:rPr>
                    <w:rFonts w:ascii="Cambria Math" w:hAnsi="Cambria Math" w:cs="Times New Roman"/>
                    <w:kern w:val="2"/>
                  </w:rPr>
                </m:ctrlPr>
              </m:e>
              <m:sup>
                <m:r>
                  <m:rPr>
                    <m:sty m:val="p"/>
                  </m:rPr>
                  <w:rPr>
                    <w:rFonts w:ascii="Cambria Math" w:hAnsi="Cambria Math" w:cs="Times New Roman"/>
                    <w:kern w:val="2"/>
                  </w:rPr>
                  <m:t>2</m:t>
                </m:r>
                <m:ctrlPr>
                  <w:rPr>
                    <w:rFonts w:ascii="Cambria Math" w:hAnsi="Cambria Math" w:cs="Times New Roman"/>
                    <w:kern w:val="2"/>
                  </w:rPr>
                </m:ctrlPr>
              </m:sup>
            </m:sSup>
            <m:r>
              <m:rPr>
                <m:sty m:val="p"/>
              </m:rPr>
              <w:rPr>
                <w:rFonts w:ascii="Cambria Math" w:hAnsi="Cambria Math" w:cs="Times New Roman"/>
                <w:kern w:val="2"/>
              </w:rPr>
              <m:t>+</m:t>
            </m:r>
            <m:sSup>
              <m:sSupPr>
                <m:ctrlPr>
                  <w:rPr>
                    <w:rFonts w:ascii="Cambria Math" w:hAnsi="Cambria Math" w:cs="Times New Roman"/>
                    <w:kern w:val="2"/>
                  </w:rPr>
                </m:ctrlPr>
              </m:sSupPr>
              <m:e>
                <m:r>
                  <m:rPr>
                    <m:sty m:val="p"/>
                  </m:rPr>
                  <w:rPr>
                    <w:rFonts w:ascii="Cambria Math" w:hAnsi="Cambria Math" w:cs="Times New Roman"/>
                    <w:kern w:val="2"/>
                  </w:rPr>
                  <m:t>b</m:t>
                </m:r>
                <m:ctrlPr>
                  <w:rPr>
                    <w:rFonts w:ascii="Cambria Math" w:hAnsi="Cambria Math" w:cs="Times New Roman"/>
                    <w:kern w:val="2"/>
                  </w:rPr>
                </m:ctrlPr>
              </m:e>
              <m:sup>
                <m:r>
                  <m:rPr>
                    <m:sty m:val="p"/>
                  </m:rPr>
                  <w:rPr>
                    <w:rFonts w:ascii="Cambria Math" w:hAnsi="Cambria Math" w:cs="Times New Roman"/>
                    <w:kern w:val="2"/>
                  </w:rPr>
                  <m:t>2</m:t>
                </m:r>
                <m:ctrlPr>
                  <w:rPr>
                    <w:rFonts w:ascii="Cambria Math" w:hAnsi="Cambria Math" w:cs="Times New Roman"/>
                    <w:kern w:val="2"/>
                  </w:rPr>
                </m:ctrlPr>
              </m:sup>
            </m:sSup>
            <m:ctrlPr>
              <w:rPr>
                <w:rFonts w:ascii="Cambria Math" w:hAnsi="Cambria Math" w:cs="Times New Roman"/>
                <w:kern w:val="2"/>
              </w:rPr>
            </m:ctrlPr>
          </m:e>
        </m:rad>
      </m:oMath>
      <w:r>
        <w:rPr>
          <w:rFonts w:ascii="Times New Roman" w:hAnsi="Times New Roman" w:cs="Times New Roman"/>
          <w:kern w:val="2"/>
        </w:rPr>
        <w:t xml:space="preserve">             （</w:t>
      </w:r>
      <w:r>
        <w:rPr>
          <w:rFonts w:ascii="Times New Roman" w:hAnsi="Times New Roman" w:cs="Times New Roman"/>
          <w:bCs/>
          <w:kern w:val="2"/>
        </w:rPr>
        <w:t>8.2.6</w:t>
      </w:r>
      <w:r>
        <w:rPr>
          <w:rFonts w:ascii="Times New Roman" w:hAnsi="Times New Roman" w:cs="Times New Roman"/>
          <w:kern w:val="2"/>
        </w:rPr>
        <w:t>）</w:t>
      </w:r>
    </w:p>
    <w:p>
      <w:pPr>
        <w:widowControl w:val="0"/>
        <w:spacing w:line="360" w:lineRule="auto"/>
        <w:jc w:val="both"/>
        <w:rPr>
          <w:rFonts w:ascii="Times New Roman" w:hAnsi="Times New Roman" w:cs="Times New Roman"/>
          <w:kern w:val="2"/>
        </w:rPr>
      </w:pPr>
      <w:r>
        <w:rPr>
          <w:rFonts w:ascii="Times New Roman" w:hAnsi="Times New Roman" w:cs="Times New Roman"/>
          <w:kern w:val="2"/>
        </w:rPr>
        <w:t>式中：α</w:t>
      </w:r>
      <w:r>
        <w:rPr>
          <w:rFonts w:ascii="Times New Roman" w:hAnsi="Times New Roman" w:cs="Times New Roman"/>
          <w:kern w:val="2"/>
          <w:vertAlign w:val="subscript"/>
        </w:rPr>
        <w:t xml:space="preserve">c </w:t>
      </w:r>
      <w:r>
        <w:rPr>
          <w:rFonts w:ascii="Times New Roman" w:hAnsi="Times New Roman" w:eastAsia="黑体" w:cs="Times New Roman"/>
          <w:kern w:val="2"/>
        </w:rPr>
        <w:t>——</w:t>
      </w:r>
      <w:r>
        <w:rPr>
          <w:rFonts w:ascii="Times New Roman" w:hAnsi="Times New Roman" w:cs="Times New Roman"/>
          <w:kern w:val="2"/>
        </w:rPr>
        <w:t>金属框的线膨胀系数1/ ºC；</w:t>
      </w:r>
      <w:r>
        <w:rPr>
          <w:rFonts w:ascii="Times New Roman" w:hAnsi="Times New Roman" w:cs="Times New Roman"/>
          <w:kern w:val="2"/>
        </w:rPr>
        <w:tab/>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kern w:val="2"/>
        </w:rPr>
        <w:t>α</w:t>
      </w:r>
      <w:r>
        <w:rPr>
          <w:rFonts w:ascii="Times New Roman" w:hAnsi="Times New Roman" w:cs="Times New Roman"/>
          <w:kern w:val="2"/>
          <w:vertAlign w:val="subscript"/>
        </w:rPr>
        <w:t xml:space="preserve">v </w:t>
      </w:r>
      <w:r>
        <w:rPr>
          <w:rFonts w:ascii="Times New Roman" w:hAnsi="Times New Roman" w:eastAsia="黑体" w:cs="Times New Roman"/>
          <w:kern w:val="2"/>
        </w:rPr>
        <w:t>——</w:t>
      </w:r>
      <w:r>
        <w:rPr>
          <w:rFonts w:ascii="Times New Roman" w:hAnsi="Times New Roman" w:cs="Times New Roman"/>
          <w:kern w:val="2"/>
        </w:rPr>
        <w:t>面板的线膨胀系数（1/ ºC）；</w:t>
      </w:r>
      <w:r>
        <w:rPr>
          <w:rFonts w:ascii="Times New Roman" w:hAnsi="Times New Roman" w:cs="Times New Roman"/>
          <w:kern w:val="2"/>
        </w:rPr>
        <w:tab/>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kern w:val="2"/>
        </w:rPr>
        <w:t>T</w:t>
      </w:r>
      <w:r>
        <w:rPr>
          <w:rFonts w:ascii="Times New Roman" w:hAnsi="Times New Roman" w:cs="Times New Roman"/>
          <w:kern w:val="2"/>
          <w:vertAlign w:val="subscript"/>
        </w:rPr>
        <w:t>0</w:t>
      </w:r>
      <w:r>
        <w:rPr>
          <w:rFonts w:ascii="Times New Roman" w:hAnsi="Times New Roman" w:eastAsia="黑体" w:cs="Times New Roman"/>
          <w:kern w:val="2"/>
        </w:rPr>
        <w:t>——</w:t>
      </w:r>
      <w:r>
        <w:rPr>
          <w:rFonts w:ascii="Times New Roman" w:hAnsi="Times New Roman" w:cs="Times New Roman"/>
          <w:kern w:val="2"/>
        </w:rPr>
        <w:t>结构胶施工时的环境温度（ºC）；</w:t>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kern w:val="2"/>
        </w:rPr>
        <w:t>T</w:t>
      </w:r>
      <w:r>
        <w:rPr>
          <w:rFonts w:ascii="Times New Roman" w:hAnsi="Times New Roman" w:cs="Times New Roman"/>
          <w:kern w:val="2"/>
          <w:vertAlign w:val="subscript"/>
        </w:rPr>
        <w:t>c</w:t>
      </w:r>
      <w:r>
        <w:rPr>
          <w:rFonts w:ascii="Times New Roman" w:hAnsi="Times New Roman" w:eastAsia="黑体" w:cs="Times New Roman"/>
          <w:kern w:val="2"/>
        </w:rPr>
        <w:t>——</w:t>
      </w:r>
      <w:r>
        <w:rPr>
          <w:rFonts w:ascii="Times New Roman" w:hAnsi="Times New Roman" w:cs="Times New Roman"/>
          <w:kern w:val="2"/>
        </w:rPr>
        <w:t>金属框的温度（ºC）；</w:t>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kern w:val="2"/>
        </w:rPr>
        <w:t>T</w:t>
      </w:r>
      <w:r>
        <w:rPr>
          <w:rFonts w:ascii="Times New Roman" w:hAnsi="Times New Roman" w:cs="Times New Roman"/>
          <w:kern w:val="2"/>
          <w:vertAlign w:val="subscript"/>
        </w:rPr>
        <w:t>v</w:t>
      </w:r>
      <w:r>
        <w:rPr>
          <w:rFonts w:ascii="Times New Roman" w:hAnsi="Times New Roman" w:eastAsia="黑体" w:cs="Times New Roman"/>
          <w:kern w:val="2"/>
        </w:rPr>
        <w:t>——</w:t>
      </w:r>
      <w:r>
        <w:rPr>
          <w:rFonts w:ascii="Times New Roman" w:hAnsi="Times New Roman" w:cs="Times New Roman"/>
          <w:kern w:val="2"/>
        </w:rPr>
        <w:t>面板的温度（ºC）；</w:t>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i/>
          <w:iCs/>
          <w:kern w:val="2"/>
        </w:rPr>
        <w:t>a</w:t>
      </w:r>
      <w:r>
        <w:rPr>
          <w:rFonts w:ascii="Times New Roman" w:hAnsi="Times New Roman" w:eastAsia="黑体" w:cs="Times New Roman"/>
          <w:kern w:val="2"/>
        </w:rPr>
        <w:t>——</w:t>
      </w:r>
      <w:r>
        <w:rPr>
          <w:rFonts w:ascii="Times New Roman" w:hAnsi="Times New Roman" w:cs="Times New Roman"/>
          <w:kern w:val="2"/>
        </w:rPr>
        <w:t>支撑边长度（mm）；</w:t>
      </w:r>
    </w:p>
    <w:p>
      <w:pPr>
        <w:widowControl w:val="0"/>
        <w:spacing w:line="360" w:lineRule="auto"/>
        <w:ind w:left="420" w:firstLine="240" w:firstLineChars="100"/>
        <w:jc w:val="both"/>
        <w:rPr>
          <w:rFonts w:ascii="Times New Roman" w:hAnsi="Times New Roman" w:cs="Times New Roman"/>
          <w:kern w:val="2"/>
        </w:rPr>
      </w:pPr>
      <w:r>
        <w:rPr>
          <w:rFonts w:ascii="Times New Roman" w:hAnsi="Times New Roman" w:cs="Times New Roman"/>
          <w:i/>
          <w:iCs/>
          <w:kern w:val="2"/>
        </w:rPr>
        <w:t>b</w:t>
      </w:r>
      <w:r>
        <w:rPr>
          <w:rFonts w:ascii="Times New Roman" w:hAnsi="Times New Roman" w:eastAsia="黑体" w:cs="Times New Roman"/>
          <w:kern w:val="2"/>
        </w:rPr>
        <w:t>——</w:t>
      </w:r>
      <w:r>
        <w:rPr>
          <w:rFonts w:ascii="Times New Roman" w:hAnsi="Times New Roman" w:cs="Times New Roman"/>
          <w:kern w:val="2"/>
        </w:rPr>
        <w:t>竖直边长度（mm）。</w:t>
      </w:r>
    </w:p>
    <w:p>
      <w:pPr>
        <w:widowControl w:val="0"/>
        <w:spacing w:line="360" w:lineRule="auto"/>
        <w:ind w:left="630" w:hanging="630" w:hangingChars="300"/>
        <w:jc w:val="both"/>
        <w:rPr>
          <w:rFonts w:ascii="Times New Roman" w:hAnsi="Times New Roman" w:cs="Times New Roman"/>
          <w:kern w:val="2"/>
          <w:sz w:val="21"/>
          <w:szCs w:val="21"/>
        </w:rPr>
      </w:pPr>
      <w:r>
        <w:rPr>
          <w:rFonts w:ascii="Times New Roman" w:hAnsi="Times New Roman" w:cs="Times New Roman"/>
          <w:kern w:val="2"/>
          <w:sz w:val="21"/>
          <w:szCs w:val="21"/>
        </w:rPr>
        <w:t>注：1在通常情况下，表面温度极限为-20℃~80℃。夏季环境可考虑</w:t>
      </w:r>
      <m:oMath>
        <m:r>
          <m:rPr>
            <m:sty m:val="p"/>
          </m:rPr>
          <w:rPr>
            <w:rFonts w:ascii="Cambria Math" w:hAnsi="Cambria Math" w:cs="Times New Roman"/>
            <w:kern w:val="2"/>
            <w:sz w:val="21"/>
            <w:szCs w:val="21"/>
          </w:rPr>
          <m:t>ΔT=</m:t>
        </m:r>
        <m:sSub>
          <m:sSubPr>
            <m:ctrlPr>
              <w:rPr>
                <w:rFonts w:ascii="Cambria Math" w:hAnsi="Cambria Math" w:cs="Times New Roman"/>
                <w:kern w:val="2"/>
                <w:sz w:val="21"/>
                <w:szCs w:val="21"/>
              </w:rPr>
            </m:ctrlPr>
          </m:sSubPr>
          <m:e>
            <m:r>
              <m:rPr>
                <m:sty m:val="p"/>
              </m:rPr>
              <w:rPr>
                <w:rFonts w:ascii="Cambria Math" w:hAnsi="Cambria Math" w:cs="Times New Roman"/>
                <w:kern w:val="2"/>
                <w:sz w:val="21"/>
                <w:szCs w:val="21"/>
              </w:rPr>
              <m:t>T</m:t>
            </m:r>
            <m:ctrlPr>
              <w:rPr>
                <w:rFonts w:ascii="Cambria Math" w:hAnsi="Cambria Math" w:cs="Times New Roman"/>
                <w:kern w:val="2"/>
                <w:sz w:val="21"/>
                <w:szCs w:val="21"/>
              </w:rPr>
            </m:ctrlPr>
          </m:e>
          <m:sub>
            <m:r>
              <m:rPr>
                <m:sty m:val="p"/>
              </m:rPr>
              <w:rPr>
                <w:rFonts w:ascii="Cambria Math" w:hAnsi="Cambria Math" w:cs="Times New Roman"/>
                <w:kern w:val="2"/>
                <w:sz w:val="21"/>
                <w:szCs w:val="21"/>
              </w:rPr>
              <m:t>v</m:t>
            </m:r>
            <m:ctrlPr>
              <w:rPr>
                <w:rFonts w:ascii="Cambria Math" w:hAnsi="Cambria Math" w:cs="Times New Roman"/>
                <w:kern w:val="2"/>
                <w:sz w:val="21"/>
                <w:szCs w:val="21"/>
              </w:rPr>
            </m:ctrlPr>
          </m:sub>
        </m:sSub>
        <m:r>
          <m:rPr>
            <m:sty m:val="p"/>
          </m:rPr>
          <w:rPr>
            <w:rFonts w:ascii="Cambria Math" w:hAnsi="Cambria Math" w:cs="Times New Roman"/>
            <w:kern w:val="2"/>
            <w:sz w:val="21"/>
            <w:szCs w:val="21"/>
          </w:rPr>
          <m:t>−</m:t>
        </m:r>
        <m:sSub>
          <m:sSubPr>
            <m:ctrlPr>
              <w:rPr>
                <w:rFonts w:ascii="Cambria Math" w:hAnsi="Cambria Math" w:cs="Times New Roman"/>
                <w:kern w:val="2"/>
                <w:sz w:val="21"/>
                <w:szCs w:val="21"/>
              </w:rPr>
            </m:ctrlPr>
          </m:sSubPr>
          <m:e>
            <m:r>
              <m:rPr>
                <m:sty m:val="p"/>
              </m:rPr>
              <w:rPr>
                <w:rFonts w:ascii="Cambria Math" w:hAnsi="Cambria Math" w:cs="Times New Roman"/>
                <w:kern w:val="2"/>
                <w:sz w:val="21"/>
                <w:szCs w:val="21"/>
              </w:rPr>
              <m:t>T</m:t>
            </m:r>
            <m:ctrlPr>
              <w:rPr>
                <w:rFonts w:ascii="Cambria Math" w:hAnsi="Cambria Math" w:cs="Times New Roman"/>
                <w:kern w:val="2"/>
                <w:sz w:val="21"/>
                <w:szCs w:val="21"/>
              </w:rPr>
            </m:ctrlPr>
          </m:e>
          <m:sub>
            <m:r>
              <m:rPr>
                <m:sty m:val="p"/>
              </m:rPr>
              <w:rPr>
                <w:rFonts w:ascii="Cambria Math" w:hAnsi="Cambria Math" w:cs="Times New Roman"/>
                <w:kern w:val="2"/>
                <w:sz w:val="21"/>
                <w:szCs w:val="21"/>
              </w:rPr>
              <m:t>c</m:t>
            </m:r>
            <m:ctrlPr>
              <w:rPr>
                <w:rFonts w:ascii="Cambria Math" w:hAnsi="Cambria Math" w:cs="Times New Roman"/>
                <w:kern w:val="2"/>
                <w:sz w:val="21"/>
                <w:szCs w:val="21"/>
              </w:rPr>
            </m:ctrlPr>
          </m:sub>
        </m:sSub>
        <m:r>
          <m:rPr>
            <m:sty m:val="p"/>
          </m:rPr>
          <w:rPr>
            <w:rFonts w:ascii="Cambria Math" w:hAnsi="Cambria Math" w:cs="Times New Roman"/>
            <w:kern w:val="2"/>
            <w:sz w:val="21"/>
            <w:szCs w:val="21"/>
          </w:rPr>
          <m:t xml:space="preserve">=+25℃ </m:t>
        </m:r>
      </m:oMath>
      <w:r>
        <w:rPr>
          <w:rFonts w:ascii="Times New Roman" w:hAnsi="Times New Roman" w:cs="Times New Roman"/>
          <w:kern w:val="2"/>
          <w:sz w:val="21"/>
          <w:szCs w:val="21"/>
        </w:rPr>
        <w:t>，冬季环境可考虑</w:t>
      </w:r>
      <m:oMath>
        <m:r>
          <m:rPr>
            <m:sty m:val="p"/>
          </m:rPr>
          <w:rPr>
            <w:rFonts w:ascii="Cambria Math" w:hAnsi="Cambria Math" w:cs="Times New Roman"/>
            <w:kern w:val="2"/>
            <w:sz w:val="21"/>
            <w:szCs w:val="21"/>
          </w:rPr>
          <m:t>ΔT=</m:t>
        </m:r>
        <m:sSub>
          <m:sSubPr>
            <m:ctrlPr>
              <w:rPr>
                <w:rFonts w:ascii="Cambria Math" w:hAnsi="Cambria Math" w:cs="Times New Roman"/>
                <w:kern w:val="2"/>
                <w:sz w:val="21"/>
                <w:szCs w:val="21"/>
              </w:rPr>
            </m:ctrlPr>
          </m:sSubPr>
          <m:e>
            <m:r>
              <m:rPr>
                <m:sty m:val="p"/>
              </m:rPr>
              <w:rPr>
                <w:rFonts w:ascii="Cambria Math" w:hAnsi="Cambria Math" w:cs="Times New Roman"/>
                <w:kern w:val="2"/>
                <w:sz w:val="21"/>
                <w:szCs w:val="21"/>
              </w:rPr>
              <m:t>T</m:t>
            </m:r>
            <m:ctrlPr>
              <w:rPr>
                <w:rFonts w:ascii="Cambria Math" w:hAnsi="Cambria Math" w:cs="Times New Roman"/>
                <w:kern w:val="2"/>
                <w:sz w:val="21"/>
                <w:szCs w:val="21"/>
              </w:rPr>
            </m:ctrlPr>
          </m:e>
          <m:sub>
            <m:r>
              <m:rPr>
                <m:sty m:val="p"/>
              </m:rPr>
              <w:rPr>
                <w:rFonts w:ascii="Cambria Math" w:hAnsi="Cambria Math" w:cs="Times New Roman"/>
                <w:kern w:val="2"/>
                <w:sz w:val="21"/>
                <w:szCs w:val="21"/>
              </w:rPr>
              <m:t>v</m:t>
            </m:r>
            <m:ctrlPr>
              <w:rPr>
                <w:rFonts w:ascii="Cambria Math" w:hAnsi="Cambria Math" w:cs="Times New Roman"/>
                <w:kern w:val="2"/>
                <w:sz w:val="21"/>
                <w:szCs w:val="21"/>
              </w:rPr>
            </m:ctrlPr>
          </m:sub>
        </m:sSub>
        <m:r>
          <m:rPr>
            <m:sty m:val="p"/>
          </m:rPr>
          <w:rPr>
            <w:rFonts w:ascii="Cambria Math" w:hAnsi="Cambria Math" w:cs="Times New Roman"/>
            <w:kern w:val="2"/>
            <w:sz w:val="21"/>
            <w:szCs w:val="21"/>
          </w:rPr>
          <m:t>−</m:t>
        </m:r>
        <m:sSub>
          <m:sSubPr>
            <m:ctrlPr>
              <w:rPr>
                <w:rFonts w:ascii="Cambria Math" w:hAnsi="Cambria Math" w:cs="Times New Roman"/>
                <w:kern w:val="2"/>
                <w:sz w:val="21"/>
                <w:szCs w:val="21"/>
              </w:rPr>
            </m:ctrlPr>
          </m:sSubPr>
          <m:e>
            <m:r>
              <m:rPr>
                <m:sty m:val="p"/>
              </m:rPr>
              <w:rPr>
                <w:rFonts w:ascii="Cambria Math" w:hAnsi="Cambria Math" w:cs="Times New Roman"/>
                <w:kern w:val="2"/>
                <w:sz w:val="21"/>
                <w:szCs w:val="21"/>
              </w:rPr>
              <m:t>T</m:t>
            </m:r>
            <m:ctrlPr>
              <w:rPr>
                <w:rFonts w:ascii="Cambria Math" w:hAnsi="Cambria Math" w:cs="Times New Roman"/>
                <w:kern w:val="2"/>
                <w:sz w:val="21"/>
                <w:szCs w:val="21"/>
              </w:rPr>
            </m:ctrlPr>
          </m:e>
          <m:sub>
            <m:r>
              <m:rPr>
                <m:sty m:val="p"/>
              </m:rPr>
              <w:rPr>
                <w:rFonts w:ascii="Cambria Math" w:hAnsi="Cambria Math" w:cs="Times New Roman"/>
                <w:kern w:val="2"/>
                <w:sz w:val="21"/>
                <w:szCs w:val="21"/>
              </w:rPr>
              <m:t>c</m:t>
            </m:r>
            <m:ctrlPr>
              <w:rPr>
                <w:rFonts w:ascii="Cambria Math" w:hAnsi="Cambria Math" w:cs="Times New Roman"/>
                <w:kern w:val="2"/>
                <w:sz w:val="21"/>
                <w:szCs w:val="21"/>
              </w:rPr>
            </m:ctrlPr>
          </m:sub>
        </m:sSub>
        <m:r>
          <m:rPr>
            <m:sty m:val="p"/>
          </m:rPr>
          <w:rPr>
            <w:rFonts w:ascii="Cambria Math" w:hAnsi="Cambria Math" w:cs="Times New Roman"/>
            <w:kern w:val="2"/>
            <w:sz w:val="21"/>
            <w:szCs w:val="21"/>
          </w:rPr>
          <m:t>=−25℃</m:t>
        </m:r>
      </m:oMath>
      <w:r>
        <w:rPr>
          <w:rFonts w:ascii="Times New Roman" w:hAnsi="Times New Roman" w:cs="Times New Roman"/>
          <w:kern w:val="2"/>
          <w:sz w:val="21"/>
          <w:szCs w:val="21"/>
        </w:rPr>
        <w:t>；</w:t>
      </w:r>
    </w:p>
    <w:p>
      <w:pPr>
        <w:widowControl w:val="0"/>
        <w:spacing w:line="360" w:lineRule="auto"/>
        <w:ind w:firstLine="420" w:firstLineChars="200"/>
        <w:jc w:val="both"/>
        <w:rPr>
          <w:rFonts w:ascii="Times New Roman" w:hAnsi="Times New Roman" w:cs="Times New Roman"/>
          <w:kern w:val="2"/>
          <w:sz w:val="21"/>
          <w:szCs w:val="21"/>
        </w:rPr>
      </w:pPr>
      <w:r>
        <w:rPr>
          <w:rFonts w:ascii="Times New Roman" w:hAnsi="Times New Roman" w:cs="Times New Roman"/>
          <w:kern w:val="2"/>
          <w:sz w:val="21"/>
          <w:szCs w:val="21"/>
        </w:rPr>
        <w:t>2当密封胶支撑框架四周完全与外部环境相连时，可采用</w:t>
      </w:r>
      <m:oMath>
        <m:sSub>
          <m:sSubPr>
            <m:ctrlPr>
              <w:rPr>
                <w:rFonts w:ascii="Cambria Math" w:hAnsi="Cambria Math" w:cs="Times New Roman"/>
                <w:kern w:val="2"/>
                <w:sz w:val="21"/>
                <w:szCs w:val="21"/>
              </w:rPr>
            </m:ctrlPr>
          </m:sSubPr>
          <m:e>
            <m:r>
              <m:rPr>
                <m:sty m:val="p"/>
              </m:rPr>
              <w:rPr>
                <w:rFonts w:ascii="Cambria Math" w:hAnsi="Cambria Math" w:cs="Times New Roman"/>
                <w:kern w:val="2"/>
                <w:sz w:val="21"/>
                <w:szCs w:val="21"/>
              </w:rPr>
              <m:t>T</m:t>
            </m:r>
            <m:ctrlPr>
              <w:rPr>
                <w:rFonts w:ascii="Cambria Math" w:hAnsi="Cambria Math" w:cs="Times New Roman"/>
                <w:kern w:val="2"/>
                <w:sz w:val="21"/>
                <w:szCs w:val="21"/>
              </w:rPr>
            </m:ctrlPr>
          </m:e>
          <m:sub>
            <m:r>
              <m:rPr>
                <m:sty m:val="p"/>
              </m:rPr>
              <w:rPr>
                <w:rFonts w:ascii="Cambria Math" w:hAnsi="Cambria Math" w:cs="Times New Roman"/>
                <w:kern w:val="2"/>
                <w:sz w:val="21"/>
                <w:szCs w:val="21"/>
              </w:rPr>
              <m:t>v</m:t>
            </m:r>
            <m:ctrlPr>
              <w:rPr>
                <w:rFonts w:ascii="Cambria Math" w:hAnsi="Cambria Math" w:cs="Times New Roman"/>
                <w:kern w:val="2"/>
                <w:sz w:val="21"/>
                <w:szCs w:val="21"/>
              </w:rPr>
            </m:ctrlPr>
          </m:sub>
        </m:sSub>
        <m:r>
          <m:rPr>
            <m:sty m:val="p"/>
          </m:rPr>
          <w:rPr>
            <w:rFonts w:ascii="Cambria Math" w:hAnsi="Cambria Math" w:cs="Times New Roman"/>
            <w:kern w:val="2"/>
            <w:sz w:val="21"/>
            <w:szCs w:val="21"/>
          </w:rPr>
          <m:t>=</m:t>
        </m:r>
        <m:sSub>
          <m:sSubPr>
            <m:ctrlPr>
              <w:rPr>
                <w:rFonts w:ascii="Cambria Math" w:hAnsi="Cambria Math" w:cs="Times New Roman"/>
                <w:kern w:val="2"/>
                <w:sz w:val="21"/>
                <w:szCs w:val="21"/>
              </w:rPr>
            </m:ctrlPr>
          </m:sSubPr>
          <m:e>
            <m:r>
              <m:rPr>
                <m:sty m:val="p"/>
              </m:rPr>
              <w:rPr>
                <w:rFonts w:ascii="Cambria Math" w:hAnsi="Cambria Math" w:cs="Times New Roman"/>
                <w:kern w:val="2"/>
                <w:sz w:val="21"/>
                <w:szCs w:val="21"/>
              </w:rPr>
              <m:t>T</m:t>
            </m:r>
            <m:ctrlPr>
              <w:rPr>
                <w:rFonts w:ascii="Cambria Math" w:hAnsi="Cambria Math" w:cs="Times New Roman"/>
                <w:kern w:val="2"/>
                <w:sz w:val="21"/>
                <w:szCs w:val="21"/>
              </w:rPr>
            </m:ctrlPr>
          </m:e>
          <m:sub>
            <m:r>
              <m:rPr>
                <m:sty m:val="p"/>
              </m:rPr>
              <w:rPr>
                <w:rFonts w:ascii="Cambria Math" w:hAnsi="Cambria Math" w:cs="Times New Roman"/>
                <w:kern w:val="2"/>
                <w:sz w:val="21"/>
                <w:szCs w:val="21"/>
              </w:rPr>
              <m:t>c</m:t>
            </m:r>
            <m:ctrlPr>
              <w:rPr>
                <w:rFonts w:ascii="Cambria Math" w:hAnsi="Cambria Math" w:cs="Times New Roman"/>
                <w:kern w:val="2"/>
                <w:sz w:val="21"/>
                <w:szCs w:val="21"/>
              </w:rPr>
            </m:ctrlPr>
          </m:sub>
        </m:sSub>
        <m:r>
          <m:rPr>
            <m:sty m:val="p"/>
          </m:rPr>
          <w:rPr>
            <w:rFonts w:ascii="Cambria Math" w:hAnsi="Cambria Math" w:cs="Times New Roman"/>
            <w:kern w:val="2"/>
            <w:sz w:val="21"/>
            <w:szCs w:val="21"/>
          </w:rPr>
          <m:t>=80℃</m:t>
        </m:r>
      </m:oMath>
      <w:r>
        <w:rPr>
          <w:rFonts w:ascii="Times New Roman" w:hAnsi="Times New Roman" w:cs="Times New Roman"/>
          <w:kern w:val="2"/>
          <w:sz w:val="21"/>
          <w:szCs w:val="21"/>
        </w:rPr>
        <w:t>，这更能代表某些具体情况；</w:t>
      </w:r>
    </w:p>
    <w:p>
      <w:pPr>
        <w:widowControl w:val="0"/>
        <w:spacing w:line="360" w:lineRule="auto"/>
        <w:ind w:firstLine="420" w:firstLineChars="200"/>
        <w:jc w:val="both"/>
        <w:rPr>
          <w:rFonts w:ascii="Times New Roman" w:hAnsi="Times New Roman" w:cs="Times New Roman"/>
          <w:kern w:val="2"/>
          <w:sz w:val="21"/>
          <w:szCs w:val="21"/>
        </w:rPr>
      </w:pPr>
      <w:r>
        <w:rPr>
          <w:rFonts w:ascii="Times New Roman" w:hAnsi="Times New Roman" w:cs="Times New Roman"/>
          <w:kern w:val="2"/>
          <w:sz w:val="21"/>
          <w:szCs w:val="21"/>
        </w:rPr>
        <w:t>3在面临特定的玻璃或外部环境时，也可修正ΔT。例如：幕墙为透明装配，最高温度取T</w:t>
      </w:r>
      <w:r>
        <w:rPr>
          <w:rFonts w:ascii="Times New Roman" w:hAnsi="Times New Roman" w:cs="Times New Roman"/>
          <w:kern w:val="2"/>
          <w:sz w:val="21"/>
          <w:szCs w:val="21"/>
          <w:vertAlign w:val="subscript"/>
        </w:rPr>
        <w:t>v</w:t>
      </w:r>
      <w:r>
        <w:rPr>
          <w:rFonts w:ascii="Times New Roman" w:hAnsi="Times New Roman" w:cs="Times New Roman"/>
          <w:kern w:val="2"/>
          <w:sz w:val="21"/>
          <w:szCs w:val="21"/>
        </w:rPr>
        <w:t>=80℃；幕墙为不透明装配，最高温度取T</w:t>
      </w:r>
      <w:r>
        <w:rPr>
          <w:rFonts w:ascii="Times New Roman" w:hAnsi="Times New Roman" w:cs="Times New Roman"/>
          <w:kern w:val="2"/>
          <w:sz w:val="21"/>
          <w:szCs w:val="21"/>
          <w:vertAlign w:val="subscript"/>
        </w:rPr>
        <w:t>v</w:t>
      </w:r>
      <w:r>
        <w:rPr>
          <w:rFonts w:ascii="Times New Roman" w:hAnsi="Times New Roman" w:cs="Times New Roman"/>
          <w:kern w:val="2"/>
          <w:sz w:val="21"/>
          <w:szCs w:val="21"/>
        </w:rPr>
        <w:t>=100℃。</w:t>
      </w:r>
    </w:p>
    <w:p>
      <w:pPr>
        <w:widowControl w:val="0"/>
        <w:spacing w:line="360" w:lineRule="auto"/>
        <w:jc w:val="both"/>
        <w:rPr>
          <w:rFonts w:ascii="Times New Roman" w:hAnsi="Times New Roman" w:cs="Times New Roman"/>
          <w:bCs/>
          <w:kern w:val="2"/>
        </w:rPr>
      </w:pPr>
      <w:r>
        <w:rPr>
          <w:rFonts w:ascii="Times New Roman" w:hAnsi="Times New Roman" w:cs="Times New Roman"/>
          <w:b/>
          <w:bCs/>
          <w:kern w:val="2"/>
        </w:rPr>
        <w:t>8.2.7</w:t>
      </w:r>
      <w:r>
        <w:rPr>
          <w:rFonts w:ascii="Times New Roman" w:hAnsi="Times New Roman" w:cs="Times New Roman"/>
          <w:bCs/>
          <w:kern w:val="2"/>
        </w:rPr>
        <w:t xml:space="preserve"> 隐框玻璃幕墙中面板通过硅酮结构密封胶直接粘接于横梁或立柱，需要通过结构胶变形吸收层间位移时，硅酮结构胶的粘接厚度</w:t>
      </w:r>
      <w:r>
        <w:rPr>
          <w:rFonts w:ascii="Times New Roman" w:hAnsi="Times New Roman" w:cs="Times New Roman"/>
          <w:bCs/>
          <w:i/>
          <w:iCs/>
          <w:kern w:val="2"/>
        </w:rPr>
        <w:t>t</w:t>
      </w:r>
      <w:r>
        <w:rPr>
          <w:rFonts w:ascii="Times New Roman" w:hAnsi="Times New Roman" w:cs="Times New Roman"/>
          <w:bCs/>
          <w:i/>
          <w:iCs/>
          <w:kern w:val="2"/>
          <w:vertAlign w:val="subscript"/>
        </w:rPr>
        <w:t>s</w:t>
      </w:r>
      <w:r>
        <w:rPr>
          <w:rFonts w:ascii="Times New Roman" w:hAnsi="Times New Roman" w:cs="Times New Roman"/>
          <w:bCs/>
          <w:kern w:val="2"/>
        </w:rPr>
        <w:t>应符合公式（8.2.7-1）的要求：</w:t>
      </w:r>
    </w:p>
    <w:p>
      <w:pPr>
        <w:widowControl w:val="0"/>
        <w:spacing w:line="360" w:lineRule="auto"/>
        <w:jc w:val="center"/>
        <w:rPr>
          <w:rFonts w:ascii="Times New Roman" w:hAnsi="Times New Roman" w:cs="Times New Roman"/>
          <w:snapToGrid w:val="0"/>
        </w:rPr>
      </w:pPr>
      <w:r>
        <w:rPr>
          <w:rFonts w:ascii="Times New Roman" w:hAnsi="Times New Roman" w:cs="Times New Roman"/>
          <w:snapToGrid w:val="0"/>
        </w:rPr>
        <w:object>
          <v:shape id="_x0000_i1190" o:spt="75" type="#_x0000_t75" style="height:100.2pt;width:168pt;" o:ole="t" filled="f" o:preferrelative="t" stroked="f" coordsize="21600,21600">
            <v:path/>
            <v:fill on="f" focussize="0,0"/>
            <v:stroke on="f" joinstyle="miter"/>
            <v:imagedata r:id="rId325" cropleft="22064f" croptop="20443f" cropright="20887f" cropbottom="20443f" o:title=""/>
            <o:lock v:ext="edit" aspectratio="t"/>
            <w10:wrap type="none"/>
            <w10:anchorlock/>
          </v:shape>
          <o:OLEObject Type="Embed" ProgID="AutoCAD.Drawing.14" ShapeID="_x0000_i1190" DrawAspect="Content" ObjectID="_1468075890" r:id="rId324">
            <o:LockedField>false</o:LockedField>
          </o:OLEObject>
        </w:object>
      </w:r>
    </w:p>
    <w:p>
      <w:pPr>
        <w:widowControl w:val="0"/>
        <w:spacing w:line="360" w:lineRule="auto"/>
        <w:jc w:val="center"/>
        <w:rPr>
          <w:rFonts w:ascii="Times New Roman" w:hAnsi="Times New Roman" w:cs="Times New Roman"/>
          <w:snapToGrid w:val="0"/>
          <w:sz w:val="21"/>
          <w:szCs w:val="21"/>
        </w:rPr>
      </w:pPr>
      <w:r>
        <w:rPr>
          <w:rFonts w:ascii="Times New Roman" w:hAnsi="Times New Roman" w:cs="Times New Roman"/>
          <w:snapToGrid w:val="0"/>
          <w:sz w:val="21"/>
          <w:szCs w:val="21"/>
        </w:rPr>
        <w:t>图8.2.7 结构硅酮密封胶变形示意</w:t>
      </w:r>
    </w:p>
    <w:p>
      <w:pPr>
        <w:widowControl w:val="0"/>
        <w:spacing w:line="360" w:lineRule="auto"/>
        <w:jc w:val="center"/>
        <w:rPr>
          <w:rFonts w:ascii="Times New Roman" w:hAnsi="Times New Roman" w:cs="Times New Roman"/>
          <w:snapToGrid w:val="0"/>
          <w:sz w:val="21"/>
          <w:szCs w:val="21"/>
        </w:rPr>
      </w:pPr>
      <w:r>
        <w:rPr>
          <w:rFonts w:ascii="Times New Roman" w:hAnsi="Times New Roman" w:cs="Times New Roman"/>
          <w:snapToGrid w:val="0"/>
          <w:sz w:val="21"/>
          <w:szCs w:val="21"/>
        </w:rPr>
        <w:t>1—玻璃面板；2—双面胶条；3—结构硅酮密封胶；4—铝框</w:t>
      </w:r>
    </w:p>
    <w:p>
      <w:pPr>
        <w:widowControl w:val="0"/>
        <w:spacing w:line="360" w:lineRule="auto"/>
        <w:ind w:right="420" w:firstLine="4340" w:firstLineChars="1550"/>
        <w:jc w:val="right"/>
        <w:rPr>
          <w:rFonts w:ascii="Times New Roman" w:hAnsi="Times New Roman" w:cs="Times New Roman"/>
          <w:snapToGrid w:val="0"/>
        </w:rPr>
      </w:pPr>
      <w:r>
        <w:rPr>
          <w:rFonts w:ascii="Times New Roman" w:hAnsi="Times New Roman" w:cs="Times New Roman"/>
          <w:kern w:val="2"/>
          <w:position w:val="-24"/>
          <w:sz w:val="28"/>
          <w:szCs w:val="28"/>
        </w:rPr>
        <w:object>
          <v:shape id="_x0000_i1191" o:spt="75" type="#_x0000_t75" style="height:30pt;width:37.8pt;" o:ole="t" filled="f" o:preferrelative="t" stroked="f" coordsize="21600,21600">
            <v:path/>
            <v:fill on="f" focussize="0,0"/>
            <v:stroke on="f" joinstyle="miter"/>
            <v:imagedata r:id="rId327" o:title=""/>
            <o:lock v:ext="edit" aspectratio="t"/>
            <w10:wrap type="none"/>
            <w10:anchorlock/>
          </v:shape>
          <o:OLEObject Type="Embed" ProgID="Equation.3" ShapeID="_x0000_i1191" DrawAspect="Content" ObjectID="_1468075891" r:id="rId326">
            <o:LockedField>false</o:LockedField>
          </o:OLEObject>
        </w:object>
      </w:r>
      <w:r>
        <w:rPr>
          <w:rFonts w:ascii="Times New Roman" w:hAnsi="Times New Roman" w:cs="Times New Roman"/>
          <w:kern w:val="2"/>
          <w:position w:val="-24"/>
          <w:sz w:val="28"/>
          <w:szCs w:val="28"/>
        </w:rPr>
        <w:t xml:space="preserve">   </w:t>
      </w:r>
      <w:r>
        <w:rPr>
          <w:rFonts w:ascii="Times New Roman" w:hAnsi="Times New Roman" w:cs="Times New Roman"/>
          <w:kern w:val="2"/>
          <w:position w:val="-24"/>
        </w:rPr>
        <w:t xml:space="preserve">                     </w:t>
      </w:r>
      <w:r>
        <w:rPr>
          <w:rFonts w:ascii="Times New Roman" w:hAnsi="Times New Roman" w:cs="Times New Roman"/>
          <w:snapToGrid w:val="0"/>
        </w:rPr>
        <w:t>（8.2.7-1）</w:t>
      </w:r>
    </w:p>
    <w:p>
      <w:pPr>
        <w:widowControl w:val="0"/>
        <w:spacing w:line="360" w:lineRule="auto"/>
        <w:ind w:right="420" w:firstLine="4340" w:firstLineChars="1550"/>
        <w:jc w:val="right"/>
        <w:rPr>
          <w:rFonts w:ascii="Times New Roman" w:hAnsi="Times New Roman" w:cs="Times New Roman"/>
          <w:snapToGrid w:val="0"/>
        </w:rPr>
      </w:pPr>
      <w:r>
        <w:rPr>
          <w:rFonts w:ascii="Times New Roman" w:hAnsi="Times New Roman" w:cs="Times New Roman"/>
          <w:kern w:val="2"/>
          <w:position w:val="-14"/>
          <w:sz w:val="28"/>
          <w:szCs w:val="28"/>
        </w:rPr>
        <w:object>
          <v:shape id="_x0000_i1192" o:spt="75" type="#_x0000_t75" style="height:18.6pt;width:51pt;" o:ole="t" filled="f" o:preferrelative="t" stroked="f" coordsize="21600,21600">
            <v:path/>
            <v:fill on="f" focussize="0,0"/>
            <v:stroke on="f" joinstyle="miter"/>
            <v:imagedata r:id="rId329" o:title=""/>
            <o:lock v:ext="edit" aspectratio="t"/>
            <w10:wrap type="none"/>
            <w10:anchorlock/>
          </v:shape>
          <o:OLEObject Type="Embed" ProgID="Equation.3" ShapeID="_x0000_i1192" DrawAspect="Content" ObjectID="_1468075892" r:id="rId328">
            <o:LockedField>false</o:LockedField>
          </o:OLEObject>
        </w:object>
      </w:r>
      <w:r>
        <w:rPr>
          <w:rFonts w:ascii="Times New Roman" w:hAnsi="Times New Roman" w:cs="Times New Roman"/>
          <w:kern w:val="2"/>
          <w:position w:val="-14"/>
          <w:sz w:val="28"/>
          <w:szCs w:val="28"/>
        </w:rPr>
        <w:t xml:space="preserve"> </w:t>
      </w:r>
      <w:r>
        <w:rPr>
          <w:rFonts w:ascii="Times New Roman" w:hAnsi="Times New Roman" w:cs="Times New Roman"/>
          <w:kern w:val="2"/>
          <w:position w:val="-14"/>
        </w:rPr>
        <w:t xml:space="preserve">                     </w:t>
      </w:r>
      <w:r>
        <w:rPr>
          <w:rFonts w:ascii="Times New Roman" w:hAnsi="Times New Roman" w:cs="Times New Roman"/>
          <w:snapToGrid w:val="0"/>
        </w:rPr>
        <w:t>（8.2.7-2）</w:t>
      </w:r>
    </w:p>
    <w:tbl>
      <w:tblPr>
        <w:tblStyle w:val="37"/>
        <w:tblpPr w:leftFromText="180" w:rightFromText="180" w:vertAnchor="text" w:tblpY="1"/>
        <w:tblOverlap w:val="never"/>
        <w:tblW w:w="0" w:type="auto"/>
        <w:tblInd w:w="0" w:type="dxa"/>
        <w:tblLayout w:type="autofit"/>
        <w:tblCellMar>
          <w:top w:w="0" w:type="dxa"/>
          <w:left w:w="108" w:type="dxa"/>
          <w:bottom w:w="0" w:type="dxa"/>
          <w:right w:w="108" w:type="dxa"/>
        </w:tblCellMar>
      </w:tblPr>
      <w:tblGrid>
        <w:gridCol w:w="1242"/>
        <w:gridCol w:w="8364"/>
      </w:tblGrid>
      <w:tr>
        <w:tblPrEx>
          <w:tblCellMar>
            <w:top w:w="0" w:type="dxa"/>
            <w:left w:w="108" w:type="dxa"/>
            <w:bottom w:w="0" w:type="dxa"/>
            <w:right w:w="108" w:type="dxa"/>
          </w:tblCellMar>
        </w:tblPrEx>
        <w:tc>
          <w:tcPr>
            <w:tcW w:w="1242" w:type="dxa"/>
          </w:tcPr>
          <w:p>
            <w:pPr>
              <w:widowControl w:val="0"/>
              <w:spacing w:line="360" w:lineRule="auto"/>
              <w:jc w:val="right"/>
              <w:rPr>
                <w:rFonts w:ascii="Times New Roman" w:hAnsi="Times New Roman" w:cs="Times New Roman"/>
                <w:snapToGrid w:val="0"/>
              </w:rPr>
            </w:pPr>
            <w:r>
              <w:rPr>
                <w:rFonts w:ascii="Times New Roman" w:hAnsi="Times New Roman" w:cs="Times New Roman"/>
                <w:snapToGrid w:val="0"/>
              </w:rPr>
              <w:t>式中：</w:t>
            </w:r>
            <w:r>
              <w:rPr>
                <w:rFonts w:ascii="Times New Roman" w:hAnsi="Times New Roman" w:cs="Times New Roman"/>
                <w:snapToGrid w:val="0"/>
                <w:position w:val="-10"/>
              </w:rPr>
              <w:object>
                <v:shape id="_x0000_i1193" o:spt="75" type="#_x0000_t75" style="height:16.2pt;width:9pt;" o:ole="t" filled="f" o:preferrelative="t" stroked="f" coordsize="21600,21600">
                  <v:path/>
                  <v:fill on="f" focussize="0,0"/>
                  <v:stroke on="f" joinstyle="miter"/>
                  <v:imagedata r:id="rId331" o:title=""/>
                  <o:lock v:ext="edit" aspectratio="t"/>
                  <w10:wrap type="none"/>
                  <w10:anchorlock/>
                </v:shape>
                <o:OLEObject Type="Embed" ProgID="Equation.DSMT4" ShapeID="_x0000_i1193" DrawAspect="Content" ObjectID="_1468075893" r:id="rId330">
                  <o:LockedField>false</o:LockedField>
                </o:OLEObject>
              </w:object>
            </w:r>
          </w:p>
        </w:tc>
        <w:tc>
          <w:tcPr>
            <w:tcW w:w="8364" w:type="dxa"/>
            <w:vAlign w:val="center"/>
          </w:tcPr>
          <w:p>
            <w:pPr>
              <w:widowControl w:val="0"/>
              <w:spacing w:line="360" w:lineRule="auto"/>
              <w:jc w:val="both"/>
              <w:rPr>
                <w:rFonts w:ascii="Times New Roman" w:hAnsi="Times New Roman" w:cs="Times New Roman"/>
                <w:snapToGrid w:val="0"/>
              </w:rPr>
            </w:pPr>
            <w:r>
              <w:rPr>
                <w:rFonts w:ascii="Times New Roman" w:hAnsi="Times New Roman" w:cs="Times New Roman"/>
                <w:snapToGrid w:val="0"/>
              </w:rPr>
              <w:t>—— 硅酮结构密封胶的粘接厚度（mm）；</w:t>
            </w:r>
          </w:p>
        </w:tc>
      </w:tr>
      <w:tr>
        <w:tblPrEx>
          <w:tblCellMar>
            <w:top w:w="0" w:type="dxa"/>
            <w:left w:w="108" w:type="dxa"/>
            <w:bottom w:w="0" w:type="dxa"/>
            <w:right w:w="108" w:type="dxa"/>
          </w:tblCellMar>
        </w:tblPrEx>
        <w:trPr>
          <w:trHeight w:val="439" w:hRule="atLeast"/>
        </w:trPr>
        <w:tc>
          <w:tcPr>
            <w:tcW w:w="1242" w:type="dxa"/>
          </w:tcPr>
          <w:p>
            <w:pPr>
              <w:widowControl w:val="0"/>
              <w:spacing w:line="360" w:lineRule="auto"/>
              <w:jc w:val="right"/>
              <w:rPr>
                <w:rFonts w:ascii="Times New Roman" w:hAnsi="Times New Roman" w:cs="Times New Roman"/>
                <w:snapToGrid w:val="0"/>
              </w:rPr>
            </w:pPr>
            <w:r>
              <w:rPr>
                <w:rFonts w:ascii="Times New Roman" w:hAnsi="Times New Roman" w:cs="Times New Roman"/>
                <w:snapToGrid w:val="0"/>
                <w:position w:val="-10"/>
              </w:rPr>
              <w:object>
                <v:shape id="_x0000_i1194" o:spt="75" type="#_x0000_t75" style="height:16.2pt;width:13.2pt;" o:ole="t" filled="f" o:preferrelative="t" stroked="f" coordsize="21600,21600">
                  <v:path/>
                  <v:fill on="f" focussize="0,0"/>
                  <v:stroke on="f" joinstyle="miter"/>
                  <v:imagedata r:id="rId333" o:title=""/>
                  <o:lock v:ext="edit" aspectratio="t"/>
                  <w10:wrap type="none"/>
                  <w10:anchorlock/>
                </v:shape>
                <o:OLEObject Type="Embed" ProgID="Equation.DSMT4" ShapeID="_x0000_i1194" DrawAspect="Content" ObjectID="_1468075894" r:id="rId332">
                  <o:LockedField>false</o:LockedField>
                </o:OLEObject>
              </w:object>
            </w:r>
          </w:p>
        </w:tc>
        <w:tc>
          <w:tcPr>
            <w:tcW w:w="8364" w:type="dxa"/>
            <w:vAlign w:val="center"/>
          </w:tcPr>
          <w:p>
            <w:pPr>
              <w:widowControl w:val="0"/>
              <w:snapToGrid w:val="0"/>
              <w:spacing w:line="360" w:lineRule="auto"/>
              <w:ind w:left="593" w:hanging="592" w:hangingChars="247"/>
              <w:jc w:val="both"/>
              <w:rPr>
                <w:rFonts w:ascii="Times New Roman" w:hAnsi="Times New Roman" w:cs="Times New Roman"/>
                <w:snapToGrid w:val="0"/>
              </w:rPr>
            </w:pPr>
            <w:r>
              <w:rPr>
                <w:rFonts w:ascii="Times New Roman" w:hAnsi="Times New Roman" w:cs="Times New Roman"/>
                <w:snapToGrid w:val="0"/>
              </w:rPr>
              <w:t>—— 幕墙玻璃面板相对于铝合金框的位移（mm），即硅酮结构密封胶沿厚度方向产生的剪切位移；</w:t>
            </w:r>
          </w:p>
        </w:tc>
      </w:tr>
      <w:tr>
        <w:tblPrEx>
          <w:tblCellMar>
            <w:top w:w="0" w:type="dxa"/>
            <w:left w:w="108" w:type="dxa"/>
            <w:bottom w:w="0" w:type="dxa"/>
            <w:right w:w="108" w:type="dxa"/>
          </w:tblCellMar>
        </w:tblPrEx>
        <w:trPr>
          <w:trHeight w:val="679" w:hRule="atLeast"/>
        </w:trPr>
        <w:tc>
          <w:tcPr>
            <w:tcW w:w="1242" w:type="dxa"/>
          </w:tcPr>
          <w:p>
            <w:pPr>
              <w:widowControl w:val="0"/>
              <w:spacing w:line="360" w:lineRule="auto"/>
              <w:jc w:val="right"/>
              <w:rPr>
                <w:rFonts w:ascii="Times New Roman" w:hAnsi="Times New Roman" w:cs="Times New Roman"/>
                <w:snapToGrid w:val="0"/>
              </w:rPr>
            </w:pPr>
            <w:r>
              <w:rPr>
                <w:rFonts w:ascii="Times New Roman" w:hAnsi="Times New Roman" w:cs="Times New Roman"/>
                <w:snapToGrid w:val="0"/>
                <w:position w:val="-10"/>
              </w:rPr>
              <w:object>
                <v:shape id="_x0000_i1195" o:spt="75" type="#_x0000_t75" style="height:13.2pt;width:9pt;" o:ole="t" filled="f" o:preferrelative="t" stroked="f" coordsize="21600,21600">
                  <v:path/>
                  <v:fill on="f" focussize="0,0"/>
                  <v:stroke on="f" joinstyle="miter"/>
                  <v:imagedata r:id="rId335" o:title=""/>
                  <o:lock v:ext="edit" aspectratio="t"/>
                  <w10:wrap type="none"/>
                  <w10:anchorlock/>
                </v:shape>
                <o:OLEObject Type="Embed" ProgID="Equation.DSMT4" ShapeID="_x0000_i1195" DrawAspect="Content" ObjectID="_1468075895" r:id="rId334">
                  <o:LockedField>false</o:LockedField>
                </o:OLEObject>
              </w:object>
            </w:r>
          </w:p>
        </w:tc>
        <w:tc>
          <w:tcPr>
            <w:tcW w:w="8364" w:type="dxa"/>
            <w:vAlign w:val="center"/>
          </w:tcPr>
          <w:p>
            <w:pPr>
              <w:widowControl w:val="0"/>
              <w:spacing w:line="360" w:lineRule="auto"/>
              <w:ind w:left="593" w:hanging="592" w:hangingChars="247"/>
              <w:jc w:val="both"/>
              <w:rPr>
                <w:rFonts w:ascii="Times New Roman" w:hAnsi="Times New Roman" w:cs="Times New Roman"/>
                <w:snapToGrid w:val="0"/>
              </w:rPr>
            </w:pPr>
            <w:r>
              <w:rPr>
                <w:rFonts w:ascii="Times New Roman" w:hAnsi="Times New Roman" w:cs="Times New Roman"/>
                <w:snapToGrid w:val="0"/>
              </w:rPr>
              <w:t>—— 位移折减系数。当玻璃面板宽度不大于高度时，取0.4；玻璃面板宽度大于高度时，取0.5；</w:t>
            </w:r>
          </w:p>
        </w:tc>
      </w:tr>
      <w:tr>
        <w:tblPrEx>
          <w:tblCellMar>
            <w:top w:w="0" w:type="dxa"/>
            <w:left w:w="108" w:type="dxa"/>
            <w:bottom w:w="0" w:type="dxa"/>
            <w:right w:w="108" w:type="dxa"/>
          </w:tblCellMar>
        </w:tblPrEx>
        <w:tc>
          <w:tcPr>
            <w:tcW w:w="1242" w:type="dxa"/>
          </w:tcPr>
          <w:p>
            <w:pPr>
              <w:widowControl w:val="0"/>
              <w:spacing w:line="360" w:lineRule="auto"/>
              <w:jc w:val="right"/>
              <w:rPr>
                <w:rFonts w:ascii="Times New Roman" w:hAnsi="Times New Roman" w:cs="Times New Roman"/>
                <w:snapToGrid w:val="0"/>
              </w:rPr>
            </w:pPr>
            <w:r>
              <w:rPr>
                <w:rFonts w:ascii="Times New Roman" w:hAnsi="Times New Roman" w:cs="Times New Roman"/>
                <w:kern w:val="2"/>
                <w:position w:val="-10"/>
              </w:rPr>
              <w:object>
                <v:shape id="_x0000_i1196" o:spt="75" type="#_x0000_t75" style="height:16.2pt;width:16.2pt;" o:ole="t" filled="f" o:preferrelative="t" stroked="f" coordsize="21600,21600">
                  <v:path/>
                  <v:fill on="f" focussize="0,0"/>
                  <v:stroke on="f" joinstyle="miter"/>
                  <v:imagedata r:id="rId337" o:title=""/>
                  <o:lock v:ext="edit" aspectratio="t"/>
                  <w10:wrap type="none"/>
                  <w10:anchorlock/>
                </v:shape>
                <o:OLEObject Type="Embed" ProgID="Equation.3" ShapeID="_x0000_i1196" DrawAspect="Content" ObjectID="_1468075896" r:id="rId336">
                  <o:LockedField>false</o:LockedField>
                </o:OLEObject>
              </w:object>
            </w:r>
          </w:p>
        </w:tc>
        <w:tc>
          <w:tcPr>
            <w:tcW w:w="8364" w:type="dxa"/>
            <w:vAlign w:val="center"/>
          </w:tcPr>
          <w:p>
            <w:pPr>
              <w:widowControl w:val="0"/>
              <w:spacing w:line="360" w:lineRule="auto"/>
              <w:ind w:left="593" w:hanging="592" w:hangingChars="247"/>
              <w:jc w:val="both"/>
              <w:rPr>
                <w:rFonts w:ascii="Times New Roman" w:hAnsi="Times New Roman" w:cs="Times New Roman"/>
                <w:snapToGrid w:val="0"/>
              </w:rPr>
            </w:pPr>
            <w:r>
              <w:rPr>
                <w:rFonts w:ascii="Times New Roman" w:hAnsi="Times New Roman" w:cs="Times New Roman"/>
                <w:snapToGrid w:val="0"/>
              </w:rPr>
              <w:t>—— 风荷载或多遇烈度地震标准值作用下主体结构的楼层弹性层间位移角限值（</w:t>
            </w:r>
            <w:r>
              <w:rPr>
                <w:rFonts w:ascii="Times New Roman" w:hAnsi="Times New Roman" w:cs="Times New Roman"/>
                <w:i/>
                <w:iCs/>
                <w:snapToGrid w:val="0"/>
              </w:rPr>
              <w:t>rad</w:t>
            </w:r>
            <w:r>
              <w:rPr>
                <w:rFonts w:ascii="Times New Roman" w:hAnsi="Times New Roman" w:cs="Times New Roman"/>
                <w:snapToGrid w:val="0"/>
              </w:rPr>
              <w:t>）；</w:t>
            </w:r>
          </w:p>
        </w:tc>
      </w:tr>
      <w:tr>
        <w:tblPrEx>
          <w:tblCellMar>
            <w:top w:w="0" w:type="dxa"/>
            <w:left w:w="108" w:type="dxa"/>
            <w:bottom w:w="0" w:type="dxa"/>
            <w:right w:w="108" w:type="dxa"/>
          </w:tblCellMar>
        </w:tblPrEx>
        <w:tc>
          <w:tcPr>
            <w:tcW w:w="1242" w:type="dxa"/>
          </w:tcPr>
          <w:p>
            <w:pPr>
              <w:widowControl w:val="0"/>
              <w:spacing w:line="360" w:lineRule="auto"/>
              <w:jc w:val="right"/>
              <w:rPr>
                <w:rFonts w:ascii="Times New Roman" w:hAnsi="Times New Roman" w:cs="Times New Roman"/>
                <w:snapToGrid w:val="0"/>
              </w:rPr>
            </w:pPr>
            <w:r>
              <w:rPr>
                <w:rFonts w:ascii="Times New Roman" w:hAnsi="Times New Roman" w:cs="Times New Roman"/>
                <w:snapToGrid w:val="0"/>
                <w:position w:val="-14"/>
              </w:rPr>
              <w:object>
                <v:shape id="_x0000_i1197" o:spt="75" type="#_x0000_t75" style="height:18.6pt;width:13.2pt;" o:ole="t" filled="f" o:preferrelative="t" stroked="f" coordsize="21600,21600">
                  <v:path/>
                  <v:fill on="f" focussize="0,0"/>
                  <v:stroke on="f" joinstyle="miter"/>
                  <v:imagedata r:id="rId339" o:title=""/>
                  <o:lock v:ext="edit" aspectratio="t"/>
                  <w10:wrap type="none"/>
                  <w10:anchorlock/>
                </v:shape>
                <o:OLEObject Type="Embed" ProgID="Equation.DSMT4" ShapeID="_x0000_i1197" DrawAspect="Content" ObjectID="_1468075897" r:id="rId338">
                  <o:LockedField>false</o:LockedField>
                </o:OLEObject>
              </w:object>
            </w:r>
          </w:p>
        </w:tc>
        <w:tc>
          <w:tcPr>
            <w:tcW w:w="8364" w:type="dxa"/>
            <w:vAlign w:val="center"/>
          </w:tcPr>
          <w:p>
            <w:pPr>
              <w:widowControl w:val="0"/>
              <w:spacing w:line="360" w:lineRule="auto"/>
              <w:jc w:val="both"/>
              <w:rPr>
                <w:rFonts w:ascii="Times New Roman" w:hAnsi="Times New Roman" w:cs="Times New Roman"/>
                <w:snapToGrid w:val="0"/>
              </w:rPr>
            </w:pPr>
            <w:r>
              <w:rPr>
                <w:rFonts w:ascii="Times New Roman" w:hAnsi="Times New Roman" w:cs="Times New Roman"/>
                <w:snapToGrid w:val="0"/>
              </w:rPr>
              <w:t>—— 玻璃面板高度（mm）。</w:t>
            </w:r>
          </w:p>
        </w:tc>
      </w:tr>
    </w:tbl>
    <w:p>
      <w:pPr>
        <w:keepLines/>
        <w:widowControl w:val="0"/>
        <w:tabs>
          <w:tab w:val="left" w:pos="432"/>
        </w:tabs>
        <w:adjustRightInd w:val="0"/>
        <w:spacing w:before="120" w:after="120" w:line="360" w:lineRule="auto"/>
        <w:ind w:left="602"/>
        <w:jc w:val="center"/>
        <w:textAlignment w:val="baseline"/>
        <w:outlineLvl w:val="1"/>
        <w:rPr>
          <w:rFonts w:ascii="Times New Roman" w:hAnsi="Times New Roman" w:eastAsia="黑体" w:cs="Times New Roman"/>
        </w:rPr>
      </w:pPr>
      <w:bookmarkStart w:id="71" w:name="_Toc162996237"/>
      <w:bookmarkStart w:id="72" w:name="_Toc4163024"/>
      <w:bookmarkStart w:id="73" w:name="_Toc4743752"/>
      <w:bookmarkStart w:id="74" w:name="_Toc17472926"/>
      <w:bookmarkStart w:id="75" w:name="_Toc17474037"/>
      <w:r>
        <w:rPr>
          <w:rFonts w:ascii="Times New Roman" w:hAnsi="Times New Roman" w:eastAsia="黑体" w:cs="Times New Roman"/>
        </w:rPr>
        <w:t>8.3 紧固件连接</w:t>
      </w:r>
      <w:bookmarkEnd w:id="71"/>
      <w:bookmarkEnd w:id="72"/>
      <w:bookmarkEnd w:id="73"/>
      <w:bookmarkEnd w:id="74"/>
      <w:bookmarkEnd w:id="75"/>
    </w:p>
    <w:p>
      <w:pPr>
        <w:widowControl w:val="0"/>
        <w:spacing w:line="360" w:lineRule="auto"/>
        <w:jc w:val="both"/>
        <w:rPr>
          <w:rFonts w:ascii="Times New Roman" w:hAnsi="Times New Roman" w:cs="Times New Roman"/>
          <w:kern w:val="2"/>
        </w:rPr>
      </w:pPr>
      <w:r>
        <w:rPr>
          <w:rFonts w:ascii="Times New Roman" w:hAnsi="Times New Roman" w:cs="Times New Roman"/>
          <w:b/>
          <w:bCs/>
          <w:kern w:val="2"/>
        </w:rPr>
        <w:t>8.3.</w:t>
      </w:r>
      <w:r>
        <w:rPr>
          <w:rFonts w:ascii="Times New Roman" w:hAnsi="Times New Roman" w:cs="Times New Roman"/>
          <w:b/>
          <w:kern w:val="2"/>
        </w:rPr>
        <w:t xml:space="preserve">1 </w:t>
      </w:r>
      <w:r>
        <w:rPr>
          <w:rFonts w:ascii="Times New Roman" w:hAnsi="Times New Roman" w:cs="Times New Roman"/>
          <w:kern w:val="2"/>
        </w:rPr>
        <w:t>螺栓、螺钉和铆钉连接的验算应符合现行国家标准《钢结构设计标准》GB50017、《冷弯薄壁型钢结构技术规范》GB50018、《铝合金结构设计规范》GB 50429的有关规定。</w:t>
      </w:r>
    </w:p>
    <w:p>
      <w:pPr>
        <w:widowControl w:val="0"/>
        <w:spacing w:line="360" w:lineRule="auto"/>
        <w:jc w:val="both"/>
        <w:rPr>
          <w:rFonts w:ascii="Times New Roman" w:hAnsi="Times New Roman" w:cs="Times New Roman"/>
          <w:bCs/>
          <w:kern w:val="2"/>
        </w:rPr>
      </w:pPr>
      <w:r>
        <w:rPr>
          <w:rFonts w:ascii="Times New Roman" w:hAnsi="Times New Roman" w:cs="Times New Roman"/>
          <w:b/>
          <w:bCs/>
          <w:kern w:val="2"/>
        </w:rPr>
        <w:t xml:space="preserve">8.3.2 </w:t>
      </w:r>
      <w:r>
        <w:rPr>
          <w:rFonts w:ascii="Times New Roman" w:hAnsi="Times New Roman" w:cs="Times New Roman"/>
          <w:bCs/>
          <w:kern w:val="2"/>
        </w:rPr>
        <w:t>自攻螺钉应满足现行《自攻螺钉用螺纹》GB/T5280的规定。其抗拉承载力为单个螺钉与铝基材的抗拉承载力、自攻螺钉钉帽从钉孔中脱出破坏承载力、自攻螺钉螺杆（取净截面积计算）拉断破坏承载力中的最小值。</w:t>
      </w:r>
    </w:p>
    <w:p>
      <w:pPr>
        <w:widowControl w:val="0"/>
        <w:spacing w:line="360" w:lineRule="auto"/>
        <w:jc w:val="both"/>
        <w:rPr>
          <w:rFonts w:ascii="Times New Roman" w:hAnsi="Times New Roman" w:cs="Times New Roman"/>
          <w:bCs/>
          <w:kern w:val="2"/>
        </w:rPr>
      </w:pPr>
      <w:r>
        <w:rPr>
          <w:rFonts w:ascii="Times New Roman" w:hAnsi="Times New Roman" w:cs="Times New Roman"/>
          <w:b/>
          <w:bCs/>
          <w:kern w:val="2"/>
        </w:rPr>
        <w:t xml:space="preserve">8.3.3 </w:t>
      </w:r>
      <w:r>
        <w:rPr>
          <w:rFonts w:ascii="Times New Roman" w:hAnsi="Times New Roman" w:cs="Times New Roman"/>
          <w:bCs/>
          <w:kern w:val="2"/>
        </w:rPr>
        <w:t>单个螺钉与铝基材的抗拉承载力设计值的计算应符合下列规定：</w:t>
      </w:r>
    </w:p>
    <w:p>
      <w:pPr>
        <w:widowControl w:val="0"/>
        <w:spacing w:line="360" w:lineRule="auto"/>
        <w:ind w:firstLine="472" w:firstLineChars="196"/>
        <w:jc w:val="both"/>
        <w:rPr>
          <w:rFonts w:ascii="Times New Roman" w:hAnsi="Times New Roman" w:cs="Times New Roman"/>
          <w:kern w:val="2"/>
        </w:rPr>
      </w:pPr>
      <w:r>
        <w:rPr>
          <w:rFonts w:ascii="Times New Roman" w:hAnsi="Times New Roman" w:cs="Times New Roman"/>
          <w:b/>
          <w:kern w:val="2"/>
        </w:rPr>
        <w:t xml:space="preserve">1 </w:t>
      </w:r>
      <w:r>
        <w:rPr>
          <w:rFonts w:ascii="Times New Roman" w:hAnsi="Times New Roman" w:cs="Times New Roman"/>
          <w:kern w:val="2"/>
        </w:rPr>
        <w:t>自攻螺钉通过合适的底孔或自钻自攻螺钉直接与铝材连接时：</w:t>
      </w:r>
    </w:p>
    <w:p>
      <w:pPr>
        <w:widowControl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当1mm≤</w:t>
      </w: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oMath>
      <w:r>
        <w:rPr>
          <w:rFonts w:ascii="Times New Roman" w:hAnsi="Times New Roman" w:cs="Times New Roman"/>
          <w:kern w:val="2"/>
        </w:rPr>
        <w:t>＜2mm</w:t>
      </w:r>
    </w:p>
    <w:p>
      <w:pPr>
        <w:widowControl w:val="0"/>
        <w:spacing w:line="360" w:lineRule="auto"/>
        <w:jc w:val="right"/>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 xml:space="preserve">                                      F</m:t>
            </m:r>
            <m:ctrlPr>
              <w:rPr>
                <w:rFonts w:ascii="Cambria Math" w:hAnsi="Cambria Math" w:cs="Times New Roman"/>
              </w:rPr>
            </m:ctrlPr>
          </m:e>
          <m:sub>
            <m:r>
              <m:rPr/>
              <w:rPr>
                <w:rFonts w:ascii="Cambria Math" w:hAnsi="Cambria Math" w:cs="Times New Roman"/>
              </w:rPr>
              <m:t>o</m:t>
            </m:r>
            <m:ctrlPr>
              <w:rPr>
                <w:rFonts w:ascii="Cambria Math" w:hAnsi="Cambria Math" w:cs="Times New Roman"/>
              </w:rPr>
            </m:ctrlPr>
          </m:sub>
        </m:sSub>
        <m:r>
          <m:rPr/>
          <w:rPr>
            <w:rFonts w:ascii="Cambria Math" w:hAnsi="Cambria Math" w:cs="Times New Roman"/>
          </w:rPr>
          <m:t>=0.505d</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oMath>
      <w:r>
        <w:rPr>
          <w:rFonts w:ascii="Times New Roman" w:hAnsi="Times New Roman" w:cs="Times New Roman"/>
        </w:rPr>
        <w:t xml:space="preserve">                           (8.3.3-1)</w:t>
      </w:r>
    </w:p>
    <w:p>
      <w:pPr>
        <w:widowControl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当2mm≤</w:t>
      </w: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oMath>
      <w:r>
        <w:rPr>
          <w:rFonts w:ascii="Times New Roman" w:hAnsi="Times New Roman" w:cs="Times New Roman"/>
          <w:kern w:val="2"/>
        </w:rPr>
        <w:t>＜2P</w:t>
      </w:r>
    </w:p>
    <w:p>
      <w:pPr>
        <w:widowControl w:val="0"/>
        <w:spacing w:line="360" w:lineRule="auto"/>
        <w:jc w:val="right"/>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 xml:space="preserve">                                       F</m:t>
            </m:r>
            <m:ctrlPr>
              <w:rPr>
                <w:rFonts w:ascii="Cambria Math" w:hAnsi="Cambria Math" w:cs="Times New Roman"/>
              </w:rPr>
            </m:ctrlPr>
          </m:e>
          <m:sub>
            <m:r>
              <m:rPr/>
              <w:rPr>
                <w:rFonts w:ascii="Cambria Math" w:hAnsi="Cambria Math" w:cs="Times New Roman"/>
              </w:rPr>
              <m:t>o</m:t>
            </m:r>
            <m:ctrlPr>
              <w:rPr>
                <w:rFonts w:ascii="Cambria Math" w:hAnsi="Cambria Math" w:cs="Times New Roman"/>
              </w:rPr>
            </m:ctrlPr>
          </m:sub>
        </m:sSub>
        <m:r>
          <m:rPr/>
          <w:rPr>
            <w:rFonts w:ascii="Cambria Math" w:hAnsi="Cambria Math" w:cs="Times New Roman"/>
          </w:rPr>
          <m:t>=0.6d</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oMath>
      <w:r>
        <w:rPr>
          <w:rFonts w:ascii="Times New Roman" w:hAnsi="Times New Roman" w:cs="Times New Roman"/>
        </w:rPr>
        <w:t xml:space="preserve">                           (8.3.3-2)</w:t>
      </w:r>
    </w:p>
    <w:p>
      <w:pPr>
        <w:widowControl w:val="0"/>
        <w:spacing w:line="360" w:lineRule="auto"/>
        <w:ind w:firstLine="480" w:firstLineChars="200"/>
        <w:jc w:val="both"/>
        <w:rPr>
          <w:rFonts w:ascii="Times New Roman" w:hAnsi="Times New Roman" w:cs="Times New Roman"/>
        </w:rPr>
      </w:pPr>
      <w:r>
        <w:rPr>
          <w:rFonts w:ascii="Times New Roman" w:hAnsi="Times New Roman" w:cs="Times New Roman"/>
        </w:rPr>
        <w:t>当2P＜</w:t>
      </w: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oMath>
      <w:r>
        <w:rPr>
          <w:rFonts w:ascii="Times New Roman" w:hAnsi="Times New Roman" w:cs="Times New Roman"/>
        </w:rPr>
        <w:t>＜4P</w:t>
      </w:r>
    </w:p>
    <w:p>
      <w:pPr>
        <w:widowControl w:val="0"/>
        <w:spacing w:line="360" w:lineRule="auto"/>
        <w:jc w:val="right"/>
        <w:rPr>
          <w:rFonts w:ascii="Times New Roman" w:hAnsi="Times New Roman" w:cs="Times New Roman"/>
        </w:rPr>
      </w:pPr>
      <w:r>
        <w:rPr>
          <w:rFonts w:ascii="Times New Roman" w:hAnsi="Times New Roman" w:cs="Times New Roman"/>
        </w:rPr>
        <w:t xml:space="preserve"> </w:t>
      </w:r>
      <m:oMath>
        <m:sSub>
          <m:sSubPr>
            <m:ctrlPr>
              <w:rPr>
                <w:rFonts w:ascii="Cambria Math" w:hAnsi="Cambria Math" w:cs="Times New Roman"/>
              </w:rPr>
            </m:ctrlPr>
          </m:sSubPr>
          <m:e>
            <m:r>
              <m:rPr/>
              <w:rPr>
                <w:rFonts w:ascii="Cambria Math" w:hAnsi="Cambria Math" w:cs="Times New Roman"/>
              </w:rPr>
              <m:t xml:space="preserve">                    F</m:t>
            </m:r>
            <m:ctrlPr>
              <w:rPr>
                <w:rFonts w:ascii="Cambria Math" w:hAnsi="Cambria Math" w:cs="Times New Roman"/>
              </w:rPr>
            </m:ctrlPr>
          </m:e>
          <m:sub>
            <m:r>
              <m:rPr/>
              <w:rPr>
                <w:rFonts w:ascii="Cambria Math" w:hAnsi="Cambria Math" w:cs="Times New Roman"/>
              </w:rPr>
              <m:t>o</m:t>
            </m:r>
            <m:ctrlPr>
              <w:rPr>
                <w:rFonts w:ascii="Cambria Math" w:hAnsi="Cambria Math" w:cs="Times New Roman"/>
              </w:rPr>
            </m:ctrlPr>
          </m:sub>
        </m:sSub>
        <m:r>
          <m:rPr/>
          <w:rPr>
            <w:rFonts w:ascii="Cambria Math" w:hAnsi="Cambria Math" w:cs="Times New Roman"/>
          </w:rPr>
          <m:t>=0.6d</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d>
          <m:dPr>
            <m:ctrlPr>
              <w:rPr>
                <w:rFonts w:ascii="Cambria Math" w:hAnsi="Cambria Math" w:cs="Times New Roman"/>
                <w:i/>
              </w:rPr>
            </m:ctrlPr>
          </m:dPr>
          <m:e>
            <m:r>
              <m:rPr/>
              <w:rPr>
                <w:rFonts w:ascii="Cambria Math" w:hAnsi="Cambria Math" w:cs="Times New Roman"/>
              </w:rPr>
              <m:t>4P−</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ctrlPr>
              <w:rPr>
                <w:rFonts w:ascii="Cambria Math" w:hAnsi="Cambria Math" w:cs="Times New Roman"/>
                <w:i/>
              </w:rPr>
            </m:ctrlPr>
          </m:e>
        </m:d>
        <m:r>
          <m:rPr/>
          <w:rPr>
            <w:rFonts w:ascii="Cambria Math" w:hAnsi="Cambria Math" w:cs="Times New Roman"/>
          </w:rPr>
          <m:t>+1.63d</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u</m:t>
            </m:r>
            <m:ctrlPr>
              <w:rPr>
                <w:rFonts w:ascii="Cambria Math" w:hAnsi="Cambria Math" w:cs="Times New Roman"/>
                <w:i/>
              </w:rPr>
            </m:ctrlPr>
          </m:sub>
        </m:sSub>
        <m:d>
          <m:dPr>
            <m:ctrlPr>
              <w:rPr>
                <w:rFonts w:ascii="Cambria Math" w:hAnsi="Cambria Math" w:cs="Times New Roman"/>
                <w:i/>
              </w:rPr>
            </m:ctrlPr>
          </m:dPr>
          <m:e>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r>
              <m:rPr/>
              <w:rPr>
                <w:rFonts w:ascii="Cambria Math" w:hAnsi="Cambria Math" w:cs="Times New Roman"/>
              </w:rPr>
              <m:t>−2P</m:t>
            </m:r>
            <m:ctrlPr>
              <w:rPr>
                <w:rFonts w:ascii="Cambria Math" w:hAnsi="Cambria Math" w:cs="Times New Roman"/>
                <w:i/>
              </w:rPr>
            </m:ctrlPr>
          </m:e>
        </m:d>
      </m:oMath>
      <w:r>
        <w:rPr>
          <w:rFonts w:ascii="Times New Roman" w:hAnsi="Times New Roman" w:cs="Times New Roman"/>
        </w:rPr>
        <w:t xml:space="preserve">            (8.3.3-3)</w:t>
      </w:r>
    </w:p>
    <w:p>
      <w:pPr>
        <w:widowControl w:val="0"/>
        <w:spacing w:line="360" w:lineRule="auto"/>
        <w:ind w:firstLine="480" w:firstLineChars="200"/>
        <w:jc w:val="both"/>
        <w:rPr>
          <w:rFonts w:ascii="Times New Roman" w:hAnsi="Times New Roman" w:cs="Times New Roman"/>
        </w:rPr>
      </w:pPr>
      <w:r>
        <w:rPr>
          <w:rFonts w:ascii="Times New Roman" w:hAnsi="Times New Roman" w:cs="Times New Roman"/>
        </w:rPr>
        <w:t>当4P≤</w:t>
      </w: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oMath>
      <w:r>
        <w:rPr>
          <w:rFonts w:ascii="Times New Roman" w:hAnsi="Times New Roman" w:cs="Times New Roman"/>
        </w:rPr>
        <w:t>≤8</w:t>
      </w:r>
    </w:p>
    <w:p>
      <w:pPr>
        <w:widowControl w:val="0"/>
        <w:spacing w:line="360" w:lineRule="auto"/>
        <w:jc w:val="right"/>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 xml:space="preserve">                                     F</m:t>
            </m:r>
            <m:ctrlPr>
              <w:rPr>
                <w:rFonts w:ascii="Cambria Math" w:hAnsi="Cambria Math" w:cs="Times New Roman"/>
              </w:rPr>
            </m:ctrlPr>
          </m:e>
          <m:sub>
            <m:r>
              <m:rPr/>
              <w:rPr>
                <w:rFonts w:ascii="Cambria Math" w:hAnsi="Cambria Math" w:cs="Times New Roman"/>
              </w:rPr>
              <m:t>o</m:t>
            </m:r>
            <m:ctrlPr>
              <w:rPr>
                <w:rFonts w:ascii="Cambria Math" w:hAnsi="Cambria Math" w:cs="Times New Roman"/>
              </w:rPr>
            </m:ctrlPr>
          </m:sub>
        </m:sSub>
        <m:r>
          <m:rPr/>
          <w:rPr>
            <w:rFonts w:ascii="Cambria Math" w:hAnsi="Cambria Math" w:cs="Times New Roman"/>
          </w:rPr>
          <m:t>=0.815d</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u</m:t>
            </m:r>
            <m:ctrlPr>
              <w:rPr>
                <w:rFonts w:ascii="Cambria Math" w:hAnsi="Cambria Math" w:cs="Times New Roman"/>
                <w:i/>
              </w:rPr>
            </m:ctrlPr>
          </m:sub>
        </m:sSub>
        <m:r>
          <m:rPr/>
          <w:rPr>
            <w:rFonts w:ascii="Cambria Math" w:hAnsi="Cambria Math" w:cs="Times New Roman"/>
          </w:rPr>
          <m:t xml:space="preserve">                                                            </m:t>
        </m:r>
      </m:oMath>
      <w:r>
        <w:rPr>
          <w:rFonts w:ascii="Times New Roman" w:hAnsi="Times New Roman" w:cs="Times New Roman"/>
        </w:rPr>
        <w:t>(8.3.3-4)</w:t>
      </w:r>
    </w:p>
    <w:p>
      <w:pPr>
        <w:widowControl w:val="0"/>
        <w:spacing w:line="360" w:lineRule="auto"/>
        <w:ind w:firstLine="480" w:firstLineChars="200"/>
        <w:jc w:val="both"/>
        <w:rPr>
          <w:rFonts w:ascii="Times New Roman" w:hAnsi="Times New Roman" w:cs="Times New Roman"/>
        </w:rPr>
      </w:pPr>
      <w:r>
        <w:rPr>
          <w:rFonts w:ascii="Times New Roman" w:hAnsi="Times New Roman" w:cs="Times New Roman"/>
        </w:rPr>
        <w:t>式中：</w:t>
      </w: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o</m:t>
            </m:r>
            <m:ctrlPr>
              <w:rPr>
                <w:rFonts w:ascii="Cambria Math" w:hAnsi="Cambria Math" w:cs="Times New Roman"/>
              </w:rPr>
            </m:ctrlPr>
          </m:sub>
        </m:sSub>
      </m:oMath>
      <w:r>
        <w:rPr>
          <w:rFonts w:ascii="Times New Roman" w:hAnsi="Times New Roman" w:eastAsia="黑体" w:cs="Times New Roman"/>
          <w:kern w:val="2"/>
        </w:rPr>
        <w:t>——</w:t>
      </w:r>
      <w:r>
        <w:rPr>
          <w:rFonts w:ascii="Times New Roman" w:hAnsi="Times New Roman" w:cs="Times New Roman"/>
          <w:kern w:val="2"/>
        </w:rPr>
        <w:t>螺钉与铝基材的抗拉承载力</w:t>
      </w:r>
      <w:r>
        <w:rPr>
          <w:rFonts w:ascii="Times New Roman" w:hAnsi="Times New Roman" w:cs="Times New Roman"/>
        </w:rPr>
        <w:t>设计值（N）；</w:t>
      </w:r>
    </w:p>
    <w:p>
      <w:pPr>
        <w:widowControl w:val="0"/>
        <w:spacing w:line="360" w:lineRule="auto"/>
        <w:ind w:left="420" w:firstLine="960" w:firstLineChars="400"/>
        <w:jc w:val="both"/>
        <w:rPr>
          <w:rFonts w:ascii="Times New Roman" w:hAnsi="Times New Roman" w:cs="Times New Roman"/>
        </w:rPr>
      </w:pPr>
      <w:r>
        <w:rPr>
          <w:rFonts w:ascii="Times New Roman" w:hAnsi="Times New Roman" w:eastAsia="黑体" w:cs="Times New Roman"/>
          <w:kern w:val="2"/>
        </w:rPr>
        <w:pict>
          <v:shape id="_x0000_s2248" o:spid="_x0000_s2248" o:spt="75" type="#_x0000_t75" style="position:absolute;left:0pt;margin-left:54.8pt;margin-top:0.95pt;height:17.95pt;width:13.75pt;z-index:251665408;mso-width-relative:page;mso-height-relative:page;" o:ole="t" filled="f" o:preferrelative="t" stroked="f" coordsize="21600,21600">
            <v:path/>
            <v:fill on="f" focussize="0,0"/>
            <v:stroke on="f" joinstyle="miter"/>
            <v:imagedata r:id="rId341" o:title=""/>
            <o:lock v:ext="edit" aspectratio="t"/>
          </v:shape>
          <o:OLEObject Type="Embed" ProgID="Equation.3" ShapeID="_x0000_s2248" DrawAspect="Content" ObjectID="_1468075898" r:id="rId340">
            <o:LockedField>false</o:LockedField>
          </o:OLEObject>
        </w:pict>
      </w:r>
      <w:r>
        <w:rPr>
          <w:rFonts w:ascii="Times New Roman" w:hAnsi="Times New Roman" w:eastAsia="黑体" w:cs="Times New Roman"/>
          <w:kern w:val="2"/>
        </w:rPr>
        <w:t>——</w:t>
      </w:r>
      <w:r>
        <w:rPr>
          <w:rFonts w:ascii="Times New Roman" w:hAnsi="Times New Roman" w:cs="Times New Roman"/>
        </w:rPr>
        <w:t>螺钉与铝材的完整螺纹咬合深度（mm）；</w:t>
      </w:r>
    </w:p>
    <w:p>
      <w:pPr>
        <w:widowControl w:val="0"/>
        <w:spacing w:line="360" w:lineRule="auto"/>
        <w:ind w:firstLine="1200" w:firstLineChars="500"/>
        <w:jc w:val="both"/>
        <w:rPr>
          <w:rFonts w:ascii="Times New Roman" w:hAnsi="Times New Roman" w:cs="Times New Roman"/>
        </w:rPr>
      </w:pPr>
      <m:oMath>
        <m:r>
          <m:rPr/>
          <w:rPr>
            <w:rFonts w:ascii="Cambria Math" w:hAnsi="Cambria Math" w:cs="Times New Roman"/>
          </w:rPr>
          <m:t>d</m:t>
        </m:r>
      </m:oMath>
      <w:r>
        <w:rPr>
          <w:rFonts w:ascii="Times New Roman" w:hAnsi="Times New Roman" w:eastAsia="黑体" w:cs="Times New Roman"/>
          <w:kern w:val="2"/>
        </w:rPr>
        <w:t>——</w:t>
      </w:r>
      <w:r>
        <w:rPr>
          <w:rFonts w:ascii="Times New Roman" w:hAnsi="Times New Roman" w:cs="Times New Roman"/>
        </w:rPr>
        <w:t>螺钉的公称直径（mm）；</w:t>
      </w:r>
    </w:p>
    <w:p>
      <w:pPr>
        <w:widowControl w:val="0"/>
        <w:spacing w:line="360" w:lineRule="auto"/>
        <w:ind w:firstLine="1132" w:firstLineChars="472"/>
        <w:jc w:val="both"/>
        <w:rPr>
          <w:rFonts w:ascii="Times New Roman" w:hAnsi="Times New Roman" w:cs="Times New Roman"/>
        </w:rPr>
      </w:pPr>
      <w:r>
        <w:rPr>
          <w:rFonts w:ascii="Times New Roman" w:hAnsi="Times New Roman" w:cs="Times New Roman"/>
        </w:rPr>
        <w:t>P</w:t>
      </w:r>
      <w:r>
        <w:rPr>
          <w:rFonts w:ascii="Times New Roman" w:hAnsi="Times New Roman" w:eastAsia="黑体" w:cs="Times New Roman"/>
          <w:kern w:val="2"/>
        </w:rPr>
        <w:t>——</w:t>
      </w:r>
      <w:r>
        <w:rPr>
          <w:rFonts w:ascii="Times New Roman" w:hAnsi="Times New Roman" w:cs="Times New Roman"/>
        </w:rPr>
        <w:t>螺钉的螺纹间距（mm）；</w:t>
      </w:r>
    </w:p>
    <w:p>
      <w:pPr>
        <w:widowControl w:val="0"/>
        <w:spacing w:line="360" w:lineRule="auto"/>
        <w:ind w:firstLine="1132" w:firstLineChars="472"/>
        <w:jc w:val="both"/>
        <w:rPr>
          <w:rFonts w:ascii="Times New Roman" w:hAnsi="Times New Roman" w:cs="Times New Roman"/>
        </w:rPr>
      </w:pPr>
      <w:r>
        <w:rPr>
          <w:rFonts w:ascii="Times New Roman" w:hAnsi="Times New Roman" w:cs="Times New Roman"/>
          <w:i/>
          <w:iCs/>
        </w:rPr>
        <w:t>f</w:t>
      </w:r>
      <w:r>
        <w:rPr>
          <w:rFonts w:ascii="Times New Roman" w:hAnsi="Times New Roman" w:cs="Times New Roman"/>
          <w:vertAlign w:val="subscript"/>
        </w:rPr>
        <w:t>y</w:t>
      </w:r>
      <w:r>
        <w:rPr>
          <w:rFonts w:ascii="Times New Roman" w:hAnsi="Times New Roman" w:cs="Times New Roman"/>
        </w:rPr>
        <w:t>——不与螺钉头接触的构件的抗拉强度（N/mm</w:t>
      </w:r>
      <w:r>
        <w:rPr>
          <w:rFonts w:ascii="Times New Roman" w:hAnsi="Times New Roman" w:cs="Times New Roman"/>
          <w:vertAlign w:val="superscript"/>
        </w:rPr>
        <w:t>2</w:t>
      </w:r>
      <w:r>
        <w:rPr>
          <w:rFonts w:ascii="Times New Roman" w:hAnsi="Times New Roman" w:cs="Times New Roman"/>
        </w:rPr>
        <w:t>）;</w:t>
      </w:r>
    </w:p>
    <w:p>
      <w:pPr>
        <w:widowControl w:val="0"/>
        <w:spacing w:line="360" w:lineRule="auto"/>
        <w:ind w:firstLine="1132" w:firstLineChars="472"/>
        <w:jc w:val="both"/>
        <w:rPr>
          <w:rFonts w:ascii="Times New Roman" w:hAnsi="Times New Roman" w:cs="Times New Roman"/>
        </w:rPr>
      </w:pPr>
      <w:r>
        <w:rPr>
          <w:rFonts w:ascii="Times New Roman" w:hAnsi="Times New Roman" w:cs="Times New Roman"/>
          <w:i/>
          <w:iCs/>
        </w:rPr>
        <w:t>f</w:t>
      </w:r>
      <w:r>
        <w:rPr>
          <w:rFonts w:ascii="Times New Roman" w:hAnsi="Times New Roman" w:cs="Times New Roman"/>
          <w:vertAlign w:val="subscript"/>
        </w:rPr>
        <w:t>u</w:t>
      </w:r>
      <w:r>
        <w:rPr>
          <w:rFonts w:ascii="Times New Roman" w:hAnsi="Times New Roman" w:cs="Times New Roman"/>
        </w:rPr>
        <w:t>——连接件的极限抗拉强度（N/mm</w:t>
      </w:r>
      <w:r>
        <w:rPr>
          <w:rFonts w:ascii="Times New Roman" w:hAnsi="Times New Roman" w:cs="Times New Roman"/>
          <w:vertAlign w:val="superscript"/>
        </w:rPr>
        <w:t>2</w:t>
      </w:r>
      <w:r>
        <w:rPr>
          <w:rFonts w:ascii="Times New Roman" w:hAnsi="Times New Roman" w:cs="Times New Roman"/>
        </w:rPr>
        <w:t>）。</w:t>
      </w:r>
    </w:p>
    <w:p>
      <w:pPr>
        <w:widowControl w:val="0"/>
        <w:spacing w:line="360" w:lineRule="auto"/>
        <w:ind w:firstLine="480" w:firstLineChars="200"/>
        <w:jc w:val="both"/>
        <w:rPr>
          <w:rFonts w:ascii="Times New Roman" w:hAnsi="Times New Roman" w:cs="Times New Roman"/>
          <w:bCs/>
          <w:kern w:val="2"/>
        </w:rPr>
      </w:pPr>
      <w:r>
        <w:rPr>
          <w:rFonts w:ascii="Times New Roman" w:hAnsi="Times New Roman" w:cs="Times New Roman"/>
          <w:kern w:val="2"/>
        </w:rPr>
        <w:drawing>
          <wp:anchor distT="0" distB="0" distL="114300" distR="114300" simplePos="0" relativeHeight="251660288" behindDoc="0" locked="0" layoutInCell="1" allowOverlap="1">
            <wp:simplePos x="0" y="0"/>
            <wp:positionH relativeFrom="column">
              <wp:posOffset>2078990</wp:posOffset>
            </wp:positionH>
            <wp:positionV relativeFrom="paragraph">
              <wp:posOffset>798195</wp:posOffset>
            </wp:positionV>
            <wp:extent cx="2056130" cy="1033780"/>
            <wp:effectExtent l="0" t="0" r="1270" b="0"/>
            <wp:wrapNone/>
            <wp:docPr id="13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图片 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a:xfrm>
                      <a:off x="0" y="0"/>
                      <a:ext cx="2056275" cy="1033975"/>
                    </a:xfrm>
                    <a:prstGeom prst="rect">
                      <a:avLst/>
                    </a:prstGeom>
                    <a:noFill/>
                    <a:ln>
                      <a:noFill/>
                    </a:ln>
                  </pic:spPr>
                </pic:pic>
              </a:graphicData>
            </a:graphic>
          </wp:anchor>
        </w:drawing>
      </w:r>
      <w:r>
        <w:rPr>
          <w:rFonts w:ascii="Times New Roman" w:hAnsi="Times New Roman" w:cs="Times New Roman"/>
          <w:b/>
          <w:bCs/>
          <w:kern w:val="2"/>
        </w:rPr>
        <w:t xml:space="preserve">2 </w:t>
      </w:r>
      <w:r>
        <w:rPr>
          <w:rFonts w:ascii="Times New Roman" w:hAnsi="Times New Roman" w:cs="Times New Roman"/>
          <w:bCs/>
          <w:kern w:val="2"/>
        </w:rPr>
        <w:t>自攻螺钉与型材的完整螺纹咬合深度等于自攻螺钉与型材的咬合深度减去自攻螺钉不完整螺纹的长度，见图8.3.3-1。自攻螺钉不完整螺纹的长度应满足现行国家标准《自攻螺钉用螺纹》GB/T 5280的有关规定。</w:t>
      </w:r>
    </w:p>
    <w:p>
      <w:pPr>
        <w:widowControl w:val="0"/>
        <w:autoSpaceDE w:val="0"/>
        <w:autoSpaceDN w:val="0"/>
        <w:adjustRightInd w:val="0"/>
        <w:spacing w:line="360" w:lineRule="auto"/>
        <w:rPr>
          <w:rFonts w:ascii="Times New Roman" w:hAnsi="Times New Roman" w:cs="Times New Roman"/>
          <w:kern w:val="2"/>
        </w:rPr>
      </w:pPr>
    </w:p>
    <w:p>
      <w:pPr>
        <w:widowControl w:val="0"/>
        <w:autoSpaceDE w:val="0"/>
        <w:autoSpaceDN w:val="0"/>
        <w:adjustRightInd w:val="0"/>
        <w:spacing w:line="360" w:lineRule="auto"/>
        <w:rPr>
          <w:rFonts w:ascii="Times New Roman" w:hAnsi="Times New Roman" w:cs="Times New Roman"/>
          <w:kern w:val="2"/>
        </w:rPr>
      </w:pPr>
    </w:p>
    <w:p>
      <w:pPr>
        <w:widowControl w:val="0"/>
        <w:autoSpaceDE w:val="0"/>
        <w:autoSpaceDN w:val="0"/>
        <w:adjustRightInd w:val="0"/>
        <w:spacing w:line="360" w:lineRule="auto"/>
        <w:rPr>
          <w:rFonts w:ascii="Times New Roman" w:hAnsi="Times New Roman" w:cs="Times New Roman"/>
          <w:kern w:val="2"/>
        </w:rPr>
      </w:pPr>
    </w:p>
    <w:p>
      <w:pPr>
        <w:widowControl w:val="0"/>
        <w:autoSpaceDE w:val="0"/>
        <w:autoSpaceDN w:val="0"/>
        <w:adjustRightInd w:val="0"/>
        <w:spacing w:line="360" w:lineRule="auto"/>
        <w:rPr>
          <w:rFonts w:ascii="Times New Roman" w:hAnsi="Times New Roman" w:cs="Times New Roman"/>
          <w:kern w:val="2"/>
        </w:rPr>
      </w:pPr>
    </w:p>
    <w:p>
      <w:pPr>
        <w:widowControl w:val="0"/>
        <w:spacing w:line="360" w:lineRule="auto"/>
        <w:jc w:val="center"/>
        <w:rPr>
          <w:rFonts w:ascii="Times New Roman" w:hAnsi="Times New Roman" w:cs="Times New Roman"/>
          <w:kern w:val="2"/>
          <w:sz w:val="21"/>
          <w:szCs w:val="21"/>
          <w:lang w:val="en-GB"/>
        </w:rPr>
      </w:pPr>
      <w:r>
        <w:rPr>
          <w:rFonts w:ascii="Times New Roman" w:hAnsi="Times New Roman" w:cs="Times New Roman"/>
          <w:kern w:val="2"/>
          <w:sz w:val="21"/>
          <w:szCs w:val="21"/>
          <w:lang w:val="en-GB"/>
        </w:rPr>
        <w:t>图8.3.3-1不完整螺纹长度</w:t>
      </w:r>
    </w:p>
    <w:p>
      <w:pPr>
        <w:widowControl w:val="0"/>
        <w:snapToGrid w:val="0"/>
        <w:spacing w:line="360" w:lineRule="auto"/>
        <w:ind w:firstLine="472" w:firstLineChars="196"/>
        <w:jc w:val="both"/>
        <w:rPr>
          <w:rFonts w:ascii="Times New Roman" w:hAnsi="Times New Roman" w:cs="Times New Roman"/>
          <w:kern w:val="2"/>
        </w:rPr>
      </w:pPr>
      <w:r>
        <w:rPr>
          <w:rFonts w:ascii="Times New Roman" w:hAnsi="Times New Roman" w:cs="Times New Roman"/>
          <w:b/>
          <w:bCs/>
          <w:kern w:val="2"/>
        </w:rPr>
        <w:t xml:space="preserve">3 </w:t>
      </w:r>
      <w:r>
        <w:rPr>
          <w:rFonts w:ascii="Times New Roman" w:hAnsi="Times New Roman" w:cs="Times New Roman"/>
          <w:kern w:val="2"/>
          <w:lang w:val="en-GB"/>
        </w:rPr>
        <w:t>自攻螺钉或自钻自攻螺钉攻入铝材的长圆孔或U型自攻螺钉槽（图8.3.3-2）时，抗拉承载力设计值应按下列公式计算</w:t>
      </w:r>
      <w:r>
        <w:rPr>
          <w:rFonts w:ascii="Times New Roman" w:hAnsi="Times New Roman" w:cs="Times New Roman"/>
          <w:kern w:val="2"/>
        </w:rPr>
        <w:t>：</w:t>
      </w:r>
    </w:p>
    <w:p>
      <w:pPr>
        <w:widowControl w:val="0"/>
        <w:snapToGrid w:val="0"/>
        <w:spacing w:line="360" w:lineRule="auto"/>
        <w:jc w:val="right"/>
        <w:rPr>
          <w:rFonts w:ascii="Times New Roman" w:hAnsi="Times New Roman" w:cs="Times New Roman"/>
          <w:kern w:val="2"/>
          <w:lang w:val="en-GB"/>
        </w:rPr>
      </w:pPr>
      <m:oMath>
        <m:sSub>
          <m:sSubPr>
            <m:ctrlPr>
              <w:rPr>
                <w:rFonts w:ascii="Cambria Math" w:hAnsi="Cambria Math" w:cs="Times New Roman"/>
              </w:rPr>
            </m:ctrlPr>
          </m:sSubPr>
          <m:e>
            <m:r>
              <m:rPr/>
              <w:rPr>
                <w:rFonts w:ascii="Cambria Math" w:hAnsi="Cambria Math" w:cs="Times New Roman"/>
              </w:rPr>
              <m:t xml:space="preserve">                                                         F</m:t>
            </m:r>
            <m:ctrlPr>
              <w:rPr>
                <w:rFonts w:ascii="Cambria Math" w:hAnsi="Cambria Math" w:cs="Times New Roman"/>
              </w:rPr>
            </m:ctrlPr>
          </m:e>
          <m:sub>
            <m:r>
              <m:rPr/>
              <w:rPr>
                <w:rFonts w:ascii="Cambria Math" w:hAnsi="Cambria Math" w:cs="Times New Roman"/>
              </w:rPr>
              <m:t>o1</m:t>
            </m:r>
            <m:ctrlPr>
              <w:rPr>
                <w:rFonts w:ascii="Cambria Math" w:hAnsi="Cambria Math" w:cs="Times New Roman"/>
              </w:rPr>
            </m:ctrlPr>
          </m:sub>
        </m:sSub>
        <m:r>
          <m:rPr/>
          <w:rPr>
            <w:rFonts w:ascii="Cambria Math" w:hAnsi="Cambria Math" w:cs="Times New Roman"/>
            <w:kern w:val="2"/>
          </w:rPr>
          <m:t>=</m:t>
        </m:r>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o</m:t>
            </m:r>
            <m:ctrlPr>
              <w:rPr>
                <w:rFonts w:ascii="Cambria Math" w:hAnsi="Cambria Math" w:cs="Times New Roman"/>
              </w:rPr>
            </m:ctrlPr>
          </m:sub>
        </m:sSub>
        <m:sSub>
          <m:sSubPr>
            <m:ctrlPr>
              <w:rPr>
                <w:rFonts w:ascii="Cambria Math" w:hAnsi="Cambria Math" w:cs="Times New Roman"/>
                <w:i/>
                <w:kern w:val="2"/>
              </w:rPr>
            </m:ctrlPr>
          </m:sSubPr>
          <m:e>
            <m:r>
              <m:rPr/>
              <w:rPr>
                <w:rFonts w:ascii="Cambria Math" w:hAnsi="Cambria Math" w:cs="Times New Roman"/>
                <w:kern w:val="2"/>
              </w:rPr>
              <m:t>R</m:t>
            </m:r>
            <m:ctrlPr>
              <w:rPr>
                <w:rFonts w:ascii="Cambria Math" w:hAnsi="Cambria Math" w:cs="Times New Roman"/>
                <w:i/>
                <w:kern w:val="2"/>
              </w:rPr>
            </m:ctrlPr>
          </m:e>
          <m:sub>
            <m:r>
              <m:rPr/>
              <w:rPr>
                <w:rFonts w:ascii="Cambria Math" w:hAnsi="Cambria Math" w:cs="Times New Roman"/>
                <w:kern w:val="2"/>
              </w:rPr>
              <m:t>e</m:t>
            </m:r>
            <m:ctrlPr>
              <w:rPr>
                <w:rFonts w:ascii="Cambria Math" w:hAnsi="Cambria Math" w:cs="Times New Roman"/>
                <w:i/>
                <w:kern w:val="2"/>
              </w:rPr>
            </m:ctrlPr>
          </m:sub>
        </m:sSub>
        <m:r>
          <m:rPr/>
          <w:rPr>
            <w:rFonts w:ascii="Cambria Math" w:hAnsi="Cambria Math" w:cs="Times New Roman"/>
            <w:kern w:val="2"/>
          </w:rPr>
          <m:t xml:space="preserve">                                                        </m:t>
        </m:r>
      </m:oMath>
      <w:r>
        <w:rPr>
          <w:rFonts w:ascii="Times New Roman" w:hAnsi="Times New Roman" w:cs="Times New Roman"/>
          <w:kern w:val="2"/>
          <w:lang w:val="en-GB"/>
        </w:rPr>
        <w:t>(8.3.3-5)</w:t>
      </w:r>
    </w:p>
    <w:p>
      <w:pPr>
        <w:widowControl w:val="0"/>
        <w:snapToGrid w:val="0"/>
        <w:spacing w:line="360" w:lineRule="auto"/>
        <w:jc w:val="right"/>
        <w:rPr>
          <w:rFonts w:ascii="Times New Roman" w:hAnsi="Times New Roman" w:cs="Times New Roman"/>
          <w:kern w:val="2"/>
          <w:lang w:val="en-GB"/>
        </w:rPr>
      </w:pPr>
      <w:r>
        <w:rPr>
          <w:rFonts w:ascii="Times New Roman" w:hAnsi="Times New Roman" w:cs="Times New Roman"/>
          <w:kern w:val="2"/>
          <w:lang w:val="en-GB"/>
        </w:rPr>
        <w:t xml:space="preserve">   </w:t>
      </w:r>
      <w:r>
        <w:rPr>
          <w:rFonts w:ascii="Times New Roman" w:hAnsi="Times New Roman" w:cs="Times New Roman"/>
          <w:kern w:val="2"/>
          <w:position w:val="-28"/>
          <w:lang w:val="en-GB"/>
        </w:rPr>
        <w:object>
          <v:shape id="_x0000_i1198" o:spt="75" type="#_x0000_t75" style="height:67.2pt;width:184.8pt;" o:ole="t" filled="f" o:preferrelative="t" stroked="f" coordsize="21600,21600">
            <v:path/>
            <v:fill on="f" focussize="0,0"/>
            <v:stroke on="f" joinstyle="miter"/>
            <v:imagedata r:id="rId344" o:title=""/>
            <o:lock v:ext="edit" aspectratio="t"/>
            <w10:wrap type="none"/>
            <w10:anchorlock/>
          </v:shape>
          <o:OLEObject Type="Embed" ProgID="Equation.DSMT4" ShapeID="_x0000_i1198" DrawAspect="Content" ObjectID="_1468075899" r:id="rId343">
            <o:LockedField>false</o:LockedField>
          </o:OLEObject>
        </w:object>
      </w:r>
      <w:r>
        <w:rPr>
          <w:rFonts w:ascii="Times New Roman" w:hAnsi="Times New Roman" w:cs="Times New Roman"/>
          <w:kern w:val="2"/>
          <w:lang w:val="en-GB"/>
        </w:rPr>
        <w:t xml:space="preserve">                     </w:t>
      </w:r>
      <w:r>
        <w:rPr>
          <w:rFonts w:hint="eastAsia" w:ascii="Times New Roman" w:hAnsi="Times New Roman" w:cs="Times New Roman"/>
          <w:kern w:val="2"/>
          <w:lang w:val="en-GB" w:eastAsia="zh-CN"/>
        </w:rPr>
        <w:t>(</w:t>
      </w:r>
      <w:r>
        <w:rPr>
          <w:rFonts w:ascii="Times New Roman" w:hAnsi="Times New Roman" w:cs="Times New Roman"/>
          <w:kern w:val="2"/>
          <w:lang w:val="en-GB"/>
        </w:rPr>
        <w:t>8.3.3-6)</w:t>
      </w:r>
    </w:p>
    <w:p>
      <w:pPr>
        <w:widowControl w:val="0"/>
        <w:spacing w:line="360" w:lineRule="auto"/>
        <w:jc w:val="both"/>
        <w:rPr>
          <w:rFonts w:ascii="Times New Roman" w:hAnsi="Times New Roman" w:cs="Times New Roman"/>
          <w:kern w:val="2"/>
        </w:rPr>
      </w:pPr>
      <w:r>
        <w:rPr>
          <w:rFonts w:ascii="Times New Roman" w:hAnsi="Times New Roman" w:cs="Times New Roman"/>
          <w:kern w:val="2"/>
        </w:rPr>
        <w:t>式中：</w:t>
      </w: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o1</m:t>
            </m:r>
            <m:ctrlPr>
              <w:rPr>
                <w:rFonts w:ascii="Cambria Math" w:hAnsi="Cambria Math" w:cs="Times New Roman"/>
              </w:rPr>
            </m:ctrlPr>
          </m:sub>
        </m:sSub>
      </m:oMath>
      <w:r>
        <w:rPr>
          <w:rFonts w:ascii="Times New Roman" w:hAnsi="Times New Roman" w:cs="Times New Roman"/>
          <w:kern w:val="2"/>
        </w:rPr>
        <w:t>——螺钉与长圆孔或U型自攻螺钉槽连接的抗拉承载力设计值（N）；</w:t>
      </w:r>
    </w:p>
    <w:p>
      <w:pPr>
        <w:widowControl w:val="0"/>
        <w:spacing w:line="360" w:lineRule="auto"/>
        <w:ind w:firstLine="1080" w:firstLineChars="450"/>
        <w:jc w:val="both"/>
        <w:rPr>
          <w:rFonts w:ascii="Times New Roman" w:hAnsi="Times New Roman" w:cs="Times New Roman"/>
          <w:kern w:val="2"/>
        </w:rPr>
      </w:pPr>
      <w:r>
        <w:rPr>
          <w:rFonts w:ascii="Times New Roman" w:hAnsi="Times New Roman" w:cs="Times New Roman"/>
          <w:kern w:val="2"/>
        </w:rPr>
        <w:pict>
          <v:shape id="_x0000_s2251" o:spid="_x0000_s2251" o:spt="75" type="#_x0000_t75" style="position:absolute;left:0pt;margin-left:37.5pt;margin-top:1.3pt;height:17.5pt;width:13.45pt;z-index:251670528;mso-width-relative:page;mso-height-relative:page;" o:ole="t" filled="f" o:preferrelative="t" stroked="f" coordsize="21600,21600">
            <v:path/>
            <v:fill on="f" focussize="0,0"/>
            <v:stroke on="f" joinstyle="miter"/>
            <v:imagedata r:id="rId346" o:title=""/>
            <o:lock v:ext="edit" aspectratio="t"/>
          </v:shape>
          <o:OLEObject Type="Embed" ProgID="Equation.DSMT4" ShapeID="_x0000_s2251" DrawAspect="Content" ObjectID="_1468075900" r:id="rId345">
            <o:LockedField>false</o:LockedField>
          </o:OLEObject>
        </w:pict>
      </w:r>
      <w:r>
        <w:rPr>
          <w:rFonts w:ascii="Times New Roman" w:hAnsi="Times New Roman" w:cs="Times New Roman"/>
          <w:kern w:val="2"/>
        </w:rPr>
        <w:t>——螺钉的螺纹有效参与面积比，计算结果大于0.35时取0.35；</w:t>
      </w:r>
    </w:p>
    <w:p>
      <w:pPr>
        <w:widowControl w:val="0"/>
        <w:spacing w:line="360" w:lineRule="auto"/>
        <w:ind w:firstLine="960" w:firstLineChars="400"/>
        <w:jc w:val="both"/>
        <w:rPr>
          <w:rFonts w:ascii="Times New Roman" w:hAnsi="Times New Roman" w:cs="Times New Roman"/>
          <w:kern w:val="2"/>
        </w:rPr>
      </w:pPr>
      <w:r>
        <w:rPr>
          <w:rFonts w:ascii="Times New Roman" w:hAnsi="Times New Roman" w:cs="Times New Roman"/>
          <w:kern w:val="2"/>
        </w:rPr>
        <w:pict>
          <v:shape id="_x0000_s2249" o:spid="_x0000_s2249" o:spt="75" type="#_x0000_t75" style="position:absolute;left:0pt;margin-left:36pt;margin-top:1.2pt;height:12.65pt;width:11.55pt;z-index:251667456;mso-width-relative:page;mso-height-relative:page;" o:ole="t" filled="f" o:preferrelative="t" stroked="f" coordsize="21600,21600">
            <v:path/>
            <v:fill on="f" focussize="0,0"/>
            <v:stroke on="f" joinstyle="miter"/>
            <v:imagedata r:id="rId348" o:title=""/>
            <o:lock v:ext="edit" aspectratio="t"/>
          </v:shape>
          <o:OLEObject Type="Embed" ProgID="Equation.3" ShapeID="_x0000_s2249" DrawAspect="Content" ObjectID="_1468075901" r:id="rId347">
            <o:LockedField>false</o:LockedField>
          </o:OLEObject>
        </w:pict>
      </w:r>
      <w:r>
        <w:rPr>
          <w:rFonts w:ascii="Times New Roman" w:hAnsi="Times New Roman" w:cs="Times New Roman"/>
          <w:kern w:val="2"/>
        </w:rPr>
        <w:t>——螺钉的螺纹大径的一半（mm）；</w:t>
      </w:r>
    </w:p>
    <w:p>
      <w:pPr>
        <w:widowControl w:val="0"/>
        <w:spacing w:line="360" w:lineRule="auto"/>
        <w:ind w:left="1200" w:leftChars="400" w:hanging="240" w:hangingChars="100"/>
        <w:jc w:val="both"/>
        <w:rPr>
          <w:rFonts w:ascii="Times New Roman" w:hAnsi="Times New Roman" w:cs="Times New Roman"/>
          <w:kern w:val="2"/>
        </w:rPr>
      </w:pPr>
      <w:r>
        <w:rPr>
          <w:rFonts w:ascii="Times New Roman" w:hAnsi="Times New Roman" w:cs="Times New Roman"/>
          <w:kern w:val="2"/>
        </w:rPr>
        <w:pict>
          <v:shape id="_x0000_s2250" o:spid="_x0000_s2250" o:spt="75" type="#_x0000_t75" style="position:absolute;left:0pt;margin-left:37.5pt;margin-top:3.65pt;height:11.65pt;width:10.35pt;z-index:251668480;mso-width-relative:page;mso-height-relative:page;" o:ole="t" filled="f" o:preferrelative="t" stroked="f" coordsize="21600,21600">
            <v:path/>
            <v:fill on="f" focussize="0,0"/>
            <v:stroke on="f" joinstyle="miter"/>
            <v:imagedata r:id="rId350" o:title=""/>
            <o:lock v:ext="edit" aspectratio="t"/>
          </v:shape>
          <o:OLEObject Type="Embed" ProgID="Equation.3" ShapeID="_x0000_s2250" DrawAspect="Content" ObjectID="_1468075902" r:id="rId349">
            <o:LockedField>false</o:LockedField>
          </o:OLEObject>
        </w:pict>
      </w:r>
      <w:r>
        <w:rPr>
          <w:rFonts w:ascii="Times New Roman" w:hAnsi="Times New Roman" w:cs="Times New Roman"/>
          <w:kern w:val="2"/>
        </w:rPr>
        <w:t>——螺钉的螺纹小径和U型自攻螺钉槽宽度（或长圆孔宽度）的较大值的一半（mm）；</w:t>
      </w:r>
    </w:p>
    <w:p>
      <w:pPr>
        <w:widowControl w:val="0"/>
        <w:spacing w:before="240" w:line="360" w:lineRule="auto"/>
        <w:jc w:val="center"/>
        <w:rPr>
          <w:rFonts w:ascii="Times New Roman" w:hAnsi="Times New Roman" w:cs="Times New Roman"/>
          <w:kern w:val="2"/>
          <w:lang w:val="en-GB"/>
        </w:rPr>
      </w:pPr>
      <w:r>
        <w:rPr>
          <w:rFonts w:ascii="Times New Roman" w:hAnsi="Times New Roman" w:cs="Times New Roman"/>
          <w:kern w:val="2"/>
        </w:rPr>
        <w:drawing>
          <wp:inline distT="0" distB="0" distL="0" distR="0">
            <wp:extent cx="1497965" cy="1732280"/>
            <wp:effectExtent l="0" t="0" r="6985" b="1270"/>
            <wp:docPr id="1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Picture 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a:xfrm>
                      <a:off x="0" y="0"/>
                      <a:ext cx="1536477" cy="1777130"/>
                    </a:xfrm>
                    <a:prstGeom prst="rect">
                      <a:avLst/>
                    </a:prstGeom>
                    <a:noFill/>
                    <a:ln>
                      <a:noFill/>
                    </a:ln>
                  </pic:spPr>
                </pic:pic>
              </a:graphicData>
            </a:graphic>
          </wp:inline>
        </w:drawing>
      </w:r>
    </w:p>
    <w:p>
      <w:pPr>
        <w:widowControl w:val="0"/>
        <w:spacing w:before="240" w:line="360" w:lineRule="auto"/>
        <w:jc w:val="center"/>
        <w:rPr>
          <w:rFonts w:ascii="Times New Roman" w:hAnsi="Times New Roman" w:cs="Times New Roman"/>
          <w:kern w:val="2"/>
          <w:sz w:val="21"/>
          <w:szCs w:val="21"/>
          <w:lang w:val="en-GB"/>
        </w:rPr>
      </w:pPr>
      <w:r>
        <w:rPr>
          <w:rFonts w:ascii="Times New Roman" w:hAnsi="Times New Roman" w:cs="Times New Roman"/>
          <w:kern w:val="2"/>
          <w:sz w:val="21"/>
          <w:szCs w:val="21"/>
          <w:lang w:val="en-GB"/>
        </w:rPr>
        <w:t>图8.3.3-2  U型自攻螺钉槽示意图</w:t>
      </w:r>
    </w:p>
    <w:p>
      <w:pPr>
        <w:widowControl w:val="0"/>
        <w:spacing w:line="360" w:lineRule="auto"/>
        <w:ind w:firstLine="472" w:firstLineChars="196"/>
        <w:jc w:val="both"/>
        <w:rPr>
          <w:rFonts w:ascii="Times New Roman" w:hAnsi="Times New Roman" w:cs="Times New Roman"/>
          <w:bCs/>
          <w:kern w:val="2"/>
        </w:rPr>
      </w:pPr>
      <w:r>
        <w:rPr>
          <w:rFonts w:ascii="Times New Roman" w:hAnsi="Times New Roman" w:cs="Times New Roman"/>
          <w:b/>
          <w:bCs/>
          <w:kern w:val="2"/>
        </w:rPr>
        <w:t>4</w:t>
      </w:r>
      <w:r>
        <w:rPr>
          <w:rFonts w:ascii="Times New Roman" w:hAnsi="Times New Roman" w:cs="Times New Roman"/>
          <w:bCs/>
          <w:kern w:val="2"/>
        </w:rPr>
        <w:t xml:space="preserve"> 自攻螺钉或自钻自攻螺钉攻入铝材的自攻螺钉槽（图8.3.3-2）且螺钉与铝材的完整螺纹咬合深度大于等于2倍螺钉的公称直径时，抗拉承载力设计值可按下式计算：</w:t>
      </w:r>
    </w:p>
    <w:p>
      <w:pPr>
        <w:widowControl w:val="0"/>
        <w:spacing w:line="360" w:lineRule="auto"/>
        <w:jc w:val="right"/>
        <w:rPr>
          <w:rFonts w:ascii="Times New Roman" w:hAnsi="Times New Roman" w:cs="Times New Roman"/>
          <w:kern w:val="2"/>
        </w:rPr>
      </w:pPr>
      <w:r>
        <w:rPr>
          <w:rFonts w:ascii="Times New Roman" w:hAnsi="Times New Roman" w:cs="Times New Roman"/>
        </w:rPr>
        <w:t xml:space="preserve">                      </w:t>
      </w:r>
      <w:r>
        <w:rPr>
          <w:rFonts w:ascii="Times New Roman" w:hAnsi="Times New Roman" w:cs="Times New Roman"/>
          <w:sz w:val="28"/>
          <w:szCs w:val="28"/>
        </w:rPr>
        <w:t xml:space="preserve"> </w:t>
      </w: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o</m:t>
            </m:r>
            <m:ctrlPr>
              <w:rPr>
                <w:rFonts w:ascii="Cambria Math" w:hAnsi="Cambria Math" w:cs="Times New Roman"/>
              </w:rPr>
            </m:ctrlPr>
          </m:sub>
        </m:sSub>
        <m:r>
          <m:rPr/>
          <w:rPr>
            <w:rFonts w:ascii="Cambria Math" w:hAnsi="Cambria Math" w:cs="Times New Roman"/>
            <w:kern w:val="2"/>
          </w:rPr>
          <m:t>=0.145d</m:t>
        </m:r>
        <m:sSub>
          <m:sSubPr>
            <m:ctrlPr>
              <w:rPr>
                <w:rFonts w:ascii="Cambria Math" w:hAnsi="Cambria Math" w:cs="Times New Roman"/>
                <w:i/>
                <w:kern w:val="2"/>
              </w:rPr>
            </m:ctrlPr>
          </m:sSubPr>
          <m:e>
            <m:r>
              <m:rPr/>
              <w:rPr>
                <w:rFonts w:ascii="Cambria Math" w:hAnsi="Cambria Math" w:cs="Times New Roman"/>
                <w:kern w:val="2"/>
              </w:rPr>
              <m:t>L</m:t>
            </m:r>
            <m:ctrlPr>
              <w:rPr>
                <w:rFonts w:ascii="Cambria Math" w:hAnsi="Cambria Math" w:cs="Times New Roman"/>
                <w:i/>
                <w:kern w:val="2"/>
              </w:rPr>
            </m:ctrlPr>
          </m:e>
          <m:sub>
            <m:r>
              <m:rPr/>
              <w:rPr>
                <w:rFonts w:ascii="Cambria Math" w:hAnsi="Cambria Math" w:cs="Times New Roman"/>
                <w:kern w:val="2"/>
              </w:rPr>
              <m:t>e</m:t>
            </m:r>
            <m:ctrlPr>
              <w:rPr>
                <w:rFonts w:ascii="Cambria Math" w:hAnsi="Cambria Math" w:cs="Times New Roman"/>
                <w:i/>
                <w:kern w:val="2"/>
              </w:rPr>
            </m:ctrlPr>
          </m:sub>
        </m:sSub>
        <m:sSub>
          <m:sSubPr>
            <m:ctrlPr>
              <w:rPr>
                <w:rFonts w:ascii="Cambria Math" w:hAnsi="Cambria Math" w:cs="Times New Roman"/>
                <w:i/>
                <w:kern w:val="2"/>
              </w:rPr>
            </m:ctrlPr>
          </m:sSubPr>
          <m:e>
            <m:r>
              <m:rPr/>
              <w:rPr>
                <w:rFonts w:ascii="Cambria Math" w:hAnsi="Cambria Math" w:cs="Times New Roman"/>
                <w:kern w:val="2"/>
              </w:rPr>
              <m:t>f</m:t>
            </m:r>
            <m:ctrlPr>
              <w:rPr>
                <w:rFonts w:ascii="Cambria Math" w:hAnsi="Cambria Math" w:cs="Times New Roman"/>
                <w:i/>
                <w:kern w:val="2"/>
              </w:rPr>
            </m:ctrlPr>
          </m:e>
          <m:sub>
            <m:r>
              <m:rPr/>
              <w:rPr>
                <w:rFonts w:ascii="Cambria Math" w:hAnsi="Cambria Math" w:cs="Times New Roman"/>
                <w:kern w:val="2"/>
              </w:rPr>
              <m:t xml:space="preserve">u                                                                   </m:t>
            </m:r>
            <m:ctrlPr>
              <w:rPr>
                <w:rFonts w:ascii="Cambria Math" w:hAnsi="Cambria Math" w:cs="Times New Roman"/>
                <w:i/>
                <w:kern w:val="2"/>
              </w:rPr>
            </m:ctrlPr>
          </m:sub>
        </m:sSub>
      </m:oMath>
      <w:r>
        <w:rPr>
          <w:rFonts w:ascii="Times New Roman" w:hAnsi="Times New Roman" w:cs="Times New Roman"/>
          <w:kern w:val="2"/>
        </w:rPr>
        <w:t>(8.3.3-7)</w:t>
      </w:r>
    </w:p>
    <w:p>
      <w:pPr>
        <w:widowControl w:val="0"/>
        <w:spacing w:line="360" w:lineRule="auto"/>
        <w:jc w:val="both"/>
        <w:rPr>
          <w:rFonts w:ascii="Times New Roman" w:hAnsi="Times New Roman" w:cs="Times New Roman"/>
          <w:bCs/>
          <w:kern w:val="2"/>
        </w:rPr>
      </w:pPr>
      <w:r>
        <w:rPr>
          <w:rFonts w:ascii="Times New Roman" w:hAnsi="Times New Roman" w:cs="Times New Roman"/>
          <w:b/>
          <w:bCs/>
          <w:kern w:val="2"/>
        </w:rPr>
        <w:t xml:space="preserve">8.3.4 </w:t>
      </w:r>
      <w:r>
        <w:rPr>
          <w:rFonts w:ascii="Times New Roman" w:hAnsi="Times New Roman" w:cs="Times New Roman"/>
          <w:kern w:val="2"/>
        </w:rPr>
        <w:t>自攻</w:t>
      </w:r>
      <w:r>
        <w:rPr>
          <w:rFonts w:ascii="Times New Roman" w:hAnsi="Times New Roman" w:cs="Times New Roman"/>
          <w:bCs/>
          <w:kern w:val="2"/>
        </w:rPr>
        <w:t>螺钉钉帽从钉孔中脱出破坏承载力设计值（仅包含圆孔）可按以下规定计算：</w:t>
      </w:r>
    </w:p>
    <w:p>
      <w:pPr>
        <w:widowControl w:val="0"/>
        <w:spacing w:line="360" w:lineRule="auto"/>
        <w:ind w:firstLine="482" w:firstLineChars="200"/>
        <w:jc w:val="both"/>
        <w:rPr>
          <w:rFonts w:ascii="Times New Roman" w:hAnsi="Times New Roman" w:cs="Times New Roman"/>
          <w:bCs/>
          <w:kern w:val="2"/>
        </w:rPr>
      </w:pPr>
      <w:r>
        <w:rPr>
          <w:rFonts w:ascii="Times New Roman" w:hAnsi="Times New Roman" w:cs="Times New Roman"/>
          <w:b/>
          <w:bCs/>
          <w:kern w:val="2"/>
        </w:rPr>
        <w:t>1</w:t>
      </w:r>
      <w:r>
        <w:rPr>
          <w:rFonts w:ascii="Times New Roman" w:hAnsi="Times New Roman" w:cs="Times New Roman"/>
          <w:bCs/>
          <w:kern w:val="2"/>
        </w:rPr>
        <w:t xml:space="preserve"> 非沉头螺钉可按下式计算：</w:t>
      </w:r>
    </w:p>
    <w:p>
      <w:pPr>
        <w:widowControl w:val="0"/>
        <w:spacing w:line="360" w:lineRule="auto"/>
        <w:jc w:val="right"/>
        <w:rPr>
          <w:rFonts w:ascii="Times New Roman" w:hAnsi="Times New Roman" w:cs="Times New Roman"/>
          <w:kern w:val="2"/>
        </w:rPr>
      </w:pPr>
      <m:oMath>
        <m:sSub>
          <m:sSubPr>
            <m:ctrlPr>
              <w:rPr>
                <w:rFonts w:ascii="Cambria Math" w:hAnsi="Cambria Math" w:cs="Times New Roman"/>
                <w:sz w:val="28"/>
                <w:szCs w:val="28"/>
              </w:rPr>
            </m:ctrlPr>
          </m:sSubPr>
          <m:e>
            <m:r>
              <m:rPr/>
              <w:rPr>
                <w:rFonts w:ascii="Cambria Math" w:hAnsi="Cambria Math" w:cs="Times New Roman"/>
                <w:sz w:val="28"/>
                <w:szCs w:val="28"/>
              </w:rPr>
              <m:t xml:space="preserve">                                                  F</m:t>
            </m:r>
            <m:ctrlPr>
              <w:rPr>
                <w:rFonts w:ascii="Cambria Math" w:hAnsi="Cambria Math" w:cs="Times New Roman"/>
                <w:sz w:val="28"/>
                <w:szCs w:val="28"/>
              </w:rPr>
            </m:ctrlPr>
          </m:e>
          <m:sub>
            <m:r>
              <m:rPr/>
              <w:rPr>
                <w:rFonts w:ascii="Cambria Math" w:hAnsi="Cambria Math" w:cs="Times New Roman"/>
                <w:sz w:val="28"/>
                <w:szCs w:val="28"/>
              </w:rPr>
              <m:t>p</m:t>
            </m:r>
            <m:ctrlPr>
              <w:rPr>
                <w:rFonts w:ascii="Cambria Math" w:hAnsi="Cambria Math" w:cs="Times New Roman"/>
                <w:sz w:val="28"/>
                <w:szCs w:val="28"/>
              </w:rPr>
            </m:ctrlPr>
          </m:sub>
        </m:sSub>
        <m:r>
          <m:rPr/>
          <w:rPr>
            <w:rFonts w:ascii="Cambria Math" w:hAnsi="Cambria Math" w:cs="Times New Roman"/>
            <w:kern w:val="2"/>
            <w:sz w:val="28"/>
            <w:szCs w:val="28"/>
          </w:rPr>
          <m:t>=</m:t>
        </m:r>
        <m:f>
          <m:fPr>
            <m:ctrlPr>
              <w:rPr>
                <w:rFonts w:ascii="Cambria Math" w:hAnsi="Cambria Math" w:eastAsia="等线" w:cs="Times New Roman"/>
                <w:sz w:val="28"/>
                <w:szCs w:val="28"/>
              </w:rPr>
            </m:ctrlPr>
          </m:fPr>
          <m:num>
            <m:sSub>
              <m:sSubPr>
                <m:ctrlPr>
                  <w:rPr>
                    <w:rFonts w:ascii="Cambria Math" w:hAnsi="Cambria Math" w:cs="Times New Roman"/>
                    <w:i/>
                    <w:kern w:val="2"/>
                    <w:sz w:val="28"/>
                    <w:szCs w:val="28"/>
                  </w:rPr>
                </m:ctrlPr>
              </m:sSubPr>
              <m:e>
                <m:r>
                  <m:rPr/>
                  <w:rPr>
                    <w:rFonts w:ascii="Cambria Math" w:hAnsi="Cambria Math" w:cs="Times New Roman"/>
                    <w:kern w:val="2"/>
                    <w:sz w:val="28"/>
                    <w:szCs w:val="28"/>
                  </w:rPr>
                  <m:t>α</m:t>
                </m:r>
                <m:ctrlPr>
                  <w:rPr>
                    <w:rFonts w:ascii="Cambria Math" w:hAnsi="Cambria Math" w:cs="Times New Roman"/>
                    <w:i/>
                    <w:kern w:val="2"/>
                    <w:sz w:val="28"/>
                    <w:szCs w:val="28"/>
                  </w:rPr>
                </m:ctrlPr>
              </m:e>
              <m:sub>
                <m:r>
                  <m:rPr/>
                  <w:rPr>
                    <w:rFonts w:ascii="Cambria Math" w:hAnsi="Cambria Math" w:cs="Times New Roman"/>
                    <w:kern w:val="2"/>
                    <w:sz w:val="28"/>
                    <w:szCs w:val="28"/>
                  </w:rPr>
                  <m:t>E</m:t>
                </m:r>
                <m:ctrlPr>
                  <w:rPr>
                    <w:rFonts w:ascii="Cambria Math" w:hAnsi="Cambria Math" w:cs="Times New Roman"/>
                    <w:i/>
                    <w:kern w:val="2"/>
                    <w:sz w:val="28"/>
                    <w:szCs w:val="28"/>
                  </w:rPr>
                </m:ctrlPr>
              </m:sub>
            </m:sSub>
            <m:sSub>
              <m:sSubPr>
                <m:ctrlPr>
                  <w:rPr>
                    <w:rFonts w:ascii="Cambria Math" w:hAnsi="Cambria Math" w:eastAsia="TimesLTStd-Italic" w:cs="Times New Roman"/>
                    <w:i/>
                    <w:sz w:val="28"/>
                    <w:szCs w:val="28"/>
                  </w:rPr>
                </m:ctrlPr>
              </m:sSubPr>
              <m:e>
                <m:r>
                  <m:rPr/>
                  <w:rPr>
                    <w:rFonts w:ascii="Cambria Math" w:hAnsi="Cambria Math" w:eastAsia="TimesLTStd-Italic" w:cs="Times New Roman"/>
                    <w:sz w:val="28"/>
                    <w:szCs w:val="28"/>
                  </w:rPr>
                  <m:t>t</m:t>
                </m:r>
                <m:ctrlPr>
                  <w:rPr>
                    <w:rFonts w:ascii="Cambria Math" w:hAnsi="Cambria Math" w:eastAsia="TimesLTStd-Italic" w:cs="Times New Roman"/>
                    <w:i/>
                    <w:sz w:val="28"/>
                    <w:szCs w:val="28"/>
                  </w:rPr>
                </m:ctrlPr>
              </m:e>
              <m:sub>
                <m:r>
                  <m:rPr/>
                  <w:rPr>
                    <w:rFonts w:ascii="Cambria Math" w:hAnsi="Cambria Math" w:eastAsia="TimesLTStd-Italic" w:cs="Times New Roman"/>
                    <w:sz w:val="28"/>
                    <w:szCs w:val="28"/>
                  </w:rPr>
                  <m:t>1</m:t>
                </m:r>
                <m:ctrlPr>
                  <w:rPr>
                    <w:rFonts w:ascii="Cambria Math" w:hAnsi="Cambria Math" w:eastAsia="TimesLTStd-Italic" w:cs="Times New Roman"/>
                    <w:i/>
                    <w:sz w:val="28"/>
                    <w:szCs w:val="28"/>
                  </w:rPr>
                </m:ctrlPr>
              </m:sub>
            </m:sSub>
            <m:sSub>
              <m:sSubPr>
                <m:ctrlPr>
                  <w:rPr>
                    <w:rFonts w:ascii="Cambria Math" w:hAnsi="Cambria Math" w:eastAsia="TimesLTStd-Italic" w:cs="Times New Roman"/>
                    <w:i/>
                    <w:sz w:val="28"/>
                    <w:szCs w:val="28"/>
                  </w:rPr>
                </m:ctrlPr>
              </m:sSubPr>
              <m:e>
                <m:r>
                  <m:rPr/>
                  <w:rPr>
                    <w:rFonts w:ascii="Cambria Math" w:hAnsi="Cambria Math" w:eastAsia="TimesLTStd-Italic" w:cs="Times New Roman"/>
                    <w:sz w:val="28"/>
                    <w:szCs w:val="28"/>
                  </w:rPr>
                  <m:t>f</m:t>
                </m:r>
                <m:ctrlPr>
                  <w:rPr>
                    <w:rFonts w:ascii="Cambria Math" w:hAnsi="Cambria Math" w:eastAsia="TimesLTStd-Italic" w:cs="Times New Roman"/>
                    <w:i/>
                    <w:sz w:val="28"/>
                    <w:szCs w:val="28"/>
                  </w:rPr>
                </m:ctrlPr>
              </m:e>
              <m:sub>
                <m:r>
                  <m:rPr/>
                  <w:rPr>
                    <w:rFonts w:ascii="Cambria Math" w:hAnsi="Cambria Math" w:eastAsia="TimesLTStd-Italic" w:cs="Times New Roman"/>
                    <w:sz w:val="28"/>
                    <w:szCs w:val="28"/>
                  </w:rPr>
                  <m:t>u</m:t>
                </m:r>
                <m:ctrlPr>
                  <w:rPr>
                    <w:rFonts w:ascii="Cambria Math" w:hAnsi="Cambria Math" w:eastAsia="TimesLTStd-Italic" w:cs="Times New Roman"/>
                    <w:i/>
                    <w:sz w:val="28"/>
                    <w:szCs w:val="28"/>
                  </w:rPr>
                </m:ctrlPr>
              </m:sub>
            </m:sSub>
            <m:d>
              <m:dPr>
                <m:ctrlPr>
                  <w:rPr>
                    <w:rFonts w:ascii="Cambria Math" w:hAnsi="Cambria Math" w:eastAsia="TimesLTStd-Roman" w:cs="Times New Roman"/>
                    <w:sz w:val="28"/>
                    <w:szCs w:val="28"/>
                  </w:rPr>
                </m:ctrlPr>
              </m:dPr>
              <m:e>
                <m:sSub>
                  <m:sSubPr>
                    <m:ctrlPr>
                      <w:rPr>
                        <w:rFonts w:ascii="Cambria Math" w:hAnsi="Cambria Math" w:eastAsia="TimesLTStd-Italic" w:cs="Times New Roman"/>
                        <w:i/>
                        <w:sz w:val="28"/>
                        <w:szCs w:val="28"/>
                      </w:rPr>
                    </m:ctrlPr>
                  </m:sSubPr>
                  <m:e>
                    <m:r>
                      <m:rPr/>
                      <w:rPr>
                        <w:rFonts w:ascii="Cambria Math" w:hAnsi="Cambria Math" w:eastAsia="TimesLTStd-Italic" w:cs="Times New Roman"/>
                        <w:sz w:val="28"/>
                        <w:szCs w:val="28"/>
                      </w:rPr>
                      <m:t>d</m:t>
                    </m:r>
                    <m:ctrlPr>
                      <w:rPr>
                        <w:rFonts w:ascii="Cambria Math" w:hAnsi="Cambria Math" w:eastAsia="TimesLTStd-Italic" w:cs="Times New Roman"/>
                        <w:i/>
                        <w:sz w:val="28"/>
                        <w:szCs w:val="28"/>
                      </w:rPr>
                    </m:ctrlPr>
                  </m:e>
                  <m:sub>
                    <m:r>
                      <m:rPr/>
                      <w:rPr>
                        <w:rFonts w:ascii="Cambria Math" w:hAnsi="Cambria Math" w:eastAsia="TimesLTStd-Italic" w:cs="Times New Roman"/>
                        <w:sz w:val="28"/>
                        <w:szCs w:val="28"/>
                      </w:rPr>
                      <m:t>w</m:t>
                    </m:r>
                    <m:ctrlPr>
                      <w:rPr>
                        <w:rFonts w:ascii="Cambria Math" w:hAnsi="Cambria Math" w:eastAsia="TimesLTStd-Italic" w:cs="Times New Roman"/>
                        <w:i/>
                        <w:sz w:val="28"/>
                        <w:szCs w:val="28"/>
                      </w:rPr>
                    </m:ctrlPr>
                  </m:sub>
                </m:sSub>
                <m:r>
                  <m:rPr>
                    <m:sty m:val="p"/>
                  </m:rPr>
                  <w:rPr>
                    <w:rFonts w:ascii="Cambria Math" w:hAnsi="Cambria Math" w:eastAsia="TimesLTStd-Bold" w:cs="Times New Roman"/>
                    <w:sz w:val="28"/>
                    <w:szCs w:val="28"/>
                  </w:rPr>
                  <m:t>−</m:t>
                </m:r>
                <m:sSub>
                  <m:sSubPr>
                    <m:ctrlPr>
                      <w:rPr>
                        <w:rFonts w:ascii="Cambria Math" w:hAnsi="Cambria Math" w:eastAsia="TimesLTStd-Italic" w:cs="Times New Roman"/>
                        <w:i/>
                        <w:sz w:val="28"/>
                        <w:szCs w:val="28"/>
                      </w:rPr>
                    </m:ctrlPr>
                  </m:sSubPr>
                  <m:e>
                    <m:r>
                      <m:rPr/>
                      <w:rPr>
                        <w:rFonts w:ascii="Cambria Math" w:hAnsi="Cambria Math" w:eastAsia="TimesLTStd-Italic" w:cs="Times New Roman"/>
                        <w:sz w:val="28"/>
                        <w:szCs w:val="28"/>
                      </w:rPr>
                      <m:t>d</m:t>
                    </m:r>
                    <m:ctrlPr>
                      <w:rPr>
                        <w:rFonts w:ascii="Cambria Math" w:hAnsi="Cambria Math" w:eastAsia="TimesLTStd-Italic" w:cs="Times New Roman"/>
                        <w:i/>
                        <w:sz w:val="28"/>
                        <w:szCs w:val="28"/>
                      </w:rPr>
                    </m:ctrlPr>
                  </m:e>
                  <m:sub>
                    <m:r>
                      <m:rPr/>
                      <w:rPr>
                        <w:rFonts w:ascii="Cambria Math" w:hAnsi="Cambria Math" w:eastAsia="TimesLTStd-Italic" w:cs="Times New Roman"/>
                        <w:sz w:val="28"/>
                        <w:szCs w:val="28"/>
                      </w:rPr>
                      <m:t>ℎ</m:t>
                    </m:r>
                    <m:ctrlPr>
                      <w:rPr>
                        <w:rFonts w:ascii="Cambria Math" w:hAnsi="Cambria Math" w:eastAsia="TimesLTStd-Italic" w:cs="Times New Roman"/>
                        <w:i/>
                        <w:sz w:val="28"/>
                        <w:szCs w:val="28"/>
                      </w:rPr>
                    </m:ctrlPr>
                  </m:sub>
                </m:sSub>
                <m:ctrlPr>
                  <w:rPr>
                    <w:rFonts w:ascii="Cambria Math" w:hAnsi="Cambria Math" w:eastAsia="TimesLTStd-Roman" w:cs="Times New Roman"/>
                    <w:sz w:val="28"/>
                    <w:szCs w:val="28"/>
                  </w:rPr>
                </m:ctrlPr>
              </m:e>
            </m:d>
            <m:ctrlPr>
              <w:rPr>
                <w:rFonts w:ascii="Cambria Math" w:hAnsi="Cambria Math" w:eastAsia="等线" w:cs="Times New Roman"/>
                <w:sz w:val="28"/>
                <w:szCs w:val="28"/>
              </w:rPr>
            </m:ctrlPr>
          </m:num>
          <m:den>
            <m:r>
              <m:rPr>
                <m:sty m:val="p"/>
              </m:rPr>
              <w:rPr>
                <w:rFonts w:ascii="Cambria Math" w:hAnsi="Cambria Math" w:eastAsia="等线" w:cs="Times New Roman"/>
                <w:sz w:val="28"/>
                <w:szCs w:val="28"/>
              </w:rPr>
              <m:t>2</m:t>
            </m:r>
            <m:ctrlPr>
              <w:rPr>
                <w:rFonts w:ascii="Cambria Math" w:hAnsi="Cambria Math" w:eastAsia="等线" w:cs="Times New Roman"/>
                <w:sz w:val="28"/>
                <w:szCs w:val="28"/>
              </w:rPr>
            </m:ctrlPr>
          </m:den>
        </m:f>
        <m:r>
          <m:rPr>
            <m:sty m:val="p"/>
          </m:rPr>
          <w:rPr>
            <w:rFonts w:ascii="Cambria Math" w:hAnsi="Cambria Math" w:eastAsia="等线" w:cs="Times New Roman"/>
            <w:sz w:val="28"/>
            <w:szCs w:val="28"/>
          </w:rPr>
          <m:t xml:space="preserve">                                                     </m:t>
        </m:r>
      </m:oMath>
      <w:r>
        <w:rPr>
          <w:rFonts w:ascii="Times New Roman" w:hAnsi="Times New Roman" w:cs="Times New Roman"/>
          <w:kern w:val="2"/>
        </w:rPr>
        <w:t>(8.3.4-1)</w:t>
      </w:r>
    </w:p>
    <w:p>
      <w:pPr>
        <w:widowControl w:val="0"/>
        <w:spacing w:line="360" w:lineRule="auto"/>
        <w:jc w:val="both"/>
        <w:rPr>
          <w:rFonts w:ascii="Times New Roman" w:hAnsi="Times New Roman" w:cs="Times New Roman"/>
        </w:rPr>
      </w:pPr>
      <w:r>
        <w:rPr>
          <w:rFonts w:ascii="Times New Roman" w:hAnsi="Times New Roman" w:cs="Times New Roman"/>
          <w:kern w:val="2"/>
        </w:rPr>
        <w:t>式中：</w:t>
      </w: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p</m:t>
            </m:r>
            <m:ctrlPr>
              <w:rPr>
                <w:rFonts w:ascii="Cambria Math" w:hAnsi="Cambria Math" w:cs="Times New Roman"/>
              </w:rPr>
            </m:ctrlPr>
          </m:sub>
        </m:sSub>
      </m:oMath>
      <w:r>
        <w:rPr>
          <w:rFonts w:ascii="Times New Roman" w:hAnsi="Times New Roman" w:cs="Times New Roman"/>
          <w:kern w:val="2"/>
        </w:rPr>
        <w:t>——</w:t>
      </w:r>
      <w:r>
        <w:rPr>
          <w:rFonts w:ascii="Times New Roman" w:hAnsi="Times New Roman" w:cs="Times New Roman"/>
          <w:bCs/>
          <w:kern w:val="2"/>
        </w:rPr>
        <w:t>钉帽从钉孔中脱出破坏承载力设计值（N）；</w:t>
      </w:r>
    </w:p>
    <w:p>
      <w:pPr>
        <w:widowControl w:val="0"/>
        <w:spacing w:line="360" w:lineRule="auto"/>
        <w:ind w:firstLine="840" w:firstLineChars="350"/>
        <w:jc w:val="both"/>
        <w:rPr>
          <w:rFonts w:ascii="Times New Roman" w:hAnsi="Times New Roman" w:cs="Times New Roman"/>
          <w:kern w:val="2"/>
        </w:rPr>
      </w:pPr>
      <m:oMath>
        <m:sSub>
          <m:sSubPr>
            <m:ctrlPr>
              <w:rPr>
                <w:rFonts w:ascii="Cambria Math" w:hAnsi="Cambria Math" w:cs="Times New Roman"/>
                <w:i/>
                <w:kern w:val="2"/>
              </w:rPr>
            </m:ctrlPr>
          </m:sSubPr>
          <m:e>
            <m:r>
              <m:rPr/>
              <w:rPr>
                <w:rFonts w:ascii="Cambria Math" w:hAnsi="Cambria Math" w:cs="Times New Roman"/>
                <w:kern w:val="2"/>
              </w:rPr>
              <m:t>α</m:t>
            </m:r>
            <m:ctrlPr>
              <w:rPr>
                <w:rFonts w:ascii="Cambria Math" w:hAnsi="Cambria Math" w:cs="Times New Roman"/>
                <w:i/>
                <w:kern w:val="2"/>
              </w:rPr>
            </m:ctrlPr>
          </m:e>
          <m:sub>
            <m:r>
              <m:rPr/>
              <w:rPr>
                <w:rFonts w:ascii="Cambria Math" w:hAnsi="Cambria Math" w:cs="Times New Roman"/>
                <w:kern w:val="2"/>
              </w:rPr>
              <m:t>E</m:t>
            </m:r>
            <m:ctrlPr>
              <w:rPr>
                <w:rFonts w:ascii="Cambria Math" w:hAnsi="Cambria Math" w:cs="Times New Roman"/>
                <w:i/>
                <w:kern w:val="2"/>
              </w:rPr>
            </m:ctrlPr>
          </m:sub>
        </m:sSub>
      </m:oMath>
      <w:r>
        <w:rPr>
          <w:rFonts w:ascii="Times New Roman" w:hAnsi="Times New Roman" w:cs="Times New Roman"/>
          <w:kern w:val="2"/>
        </w:rPr>
        <w:t>——调整系数，见表8.3.4；</w:t>
      </w:r>
    </w:p>
    <w:p>
      <w:pPr>
        <w:widowControl w:val="0"/>
        <w:spacing w:line="360" w:lineRule="auto"/>
        <w:jc w:val="both"/>
        <w:rPr>
          <w:rFonts w:ascii="Times New Roman" w:hAnsi="Times New Roman" w:cs="Times New Roman"/>
          <w:kern w:val="2"/>
        </w:rPr>
      </w:pPr>
      <m:oMath>
        <m:r>
          <m:rPr/>
          <w:rPr>
            <w:rFonts w:ascii="Cambria Math" w:hAnsi="Cambria Math" w:eastAsia="TimesLTStd-Italic" w:cs="Times New Roman"/>
          </w:rPr>
          <m:t xml:space="preserve"> </m:t>
        </m:r>
        <m:sSub>
          <m:sSubPr>
            <m:ctrlPr>
              <w:rPr>
                <w:rFonts w:ascii="Cambria Math" w:hAnsi="Cambria Math" w:eastAsia="TimesLTStd-Italic" w:cs="Times New Roman"/>
                <w:i/>
              </w:rPr>
            </m:ctrlPr>
          </m:sSubPr>
          <m:e>
            <m:r>
              <m:rPr/>
              <w:rPr>
                <w:rFonts w:ascii="Cambria Math" w:hAnsi="Cambria Math" w:eastAsia="TimesLTStd-Italic" w:cs="Times New Roman"/>
              </w:rPr>
              <m:t xml:space="preserve">             t</m:t>
            </m:r>
            <m:ctrlPr>
              <w:rPr>
                <w:rFonts w:ascii="Cambria Math" w:hAnsi="Cambria Math" w:eastAsia="TimesLTStd-Italic" w:cs="Times New Roman"/>
                <w:i/>
              </w:rPr>
            </m:ctrlPr>
          </m:e>
          <m:sub>
            <m:r>
              <m:rPr/>
              <w:rPr>
                <w:rFonts w:ascii="Cambria Math" w:hAnsi="Cambria Math" w:eastAsia="TimesLTStd-Italic" w:cs="Times New Roman"/>
              </w:rPr>
              <m:t>1</m:t>
            </m:r>
            <m:ctrlPr>
              <w:rPr>
                <w:rFonts w:ascii="Cambria Math" w:hAnsi="Cambria Math" w:eastAsia="TimesLTStd-Italic" w:cs="Times New Roman"/>
                <w:i/>
              </w:rPr>
            </m:ctrlPr>
          </m:sub>
        </m:sSub>
      </m:oMath>
      <w:r>
        <w:rPr>
          <w:rFonts w:ascii="Times New Roman" w:hAnsi="Times New Roman" w:cs="Times New Roman"/>
          <w:kern w:val="2"/>
        </w:rPr>
        <w:t>——与螺帽接触的铝材厚度</w:t>
      </w:r>
      <w:r>
        <w:rPr>
          <w:rFonts w:ascii="Times New Roman" w:hAnsi="Times New Roman" w:cs="Times New Roman"/>
          <w:bCs/>
          <w:kern w:val="2"/>
        </w:rPr>
        <w:t>（mm）</w:t>
      </w:r>
      <w:r>
        <w:rPr>
          <w:rFonts w:ascii="Times New Roman" w:hAnsi="Times New Roman" w:cs="Times New Roman"/>
          <w:kern w:val="2"/>
        </w:rPr>
        <w:t>；</w:t>
      </w:r>
    </w:p>
    <w:p>
      <w:pPr>
        <w:widowControl w:val="0"/>
        <w:spacing w:line="360" w:lineRule="auto"/>
        <w:ind w:left="1440" w:hanging="1440" w:hangingChars="600"/>
        <w:jc w:val="both"/>
        <w:rPr>
          <w:rFonts w:ascii="Times New Roman" w:hAnsi="Times New Roman" w:cs="Times New Roman"/>
          <w:kern w:val="2"/>
        </w:rPr>
      </w:pPr>
      <m:oMath>
        <m:sSub>
          <m:sSubPr>
            <m:ctrlPr>
              <w:rPr>
                <w:rFonts w:ascii="Cambria Math" w:hAnsi="Cambria Math" w:eastAsia="TimesLTStd-Italic" w:cs="Times New Roman"/>
                <w:i/>
              </w:rPr>
            </m:ctrlPr>
          </m:sSubPr>
          <m:e>
            <m:r>
              <m:rPr/>
              <w:rPr>
                <w:rFonts w:ascii="Cambria Math" w:hAnsi="Cambria Math" w:eastAsia="TimesLTStd-Italic" w:cs="Times New Roman"/>
              </w:rPr>
              <m:t xml:space="preserve">             d</m:t>
            </m:r>
            <m:ctrlPr>
              <w:rPr>
                <w:rFonts w:ascii="Cambria Math" w:hAnsi="Cambria Math" w:eastAsia="TimesLTStd-Italic" w:cs="Times New Roman"/>
                <w:i/>
              </w:rPr>
            </m:ctrlPr>
          </m:e>
          <m:sub>
            <m:r>
              <m:rPr/>
              <w:rPr>
                <w:rFonts w:ascii="Cambria Math" w:hAnsi="Cambria Math" w:eastAsia="TimesLTStd-Italic" w:cs="Times New Roman"/>
              </w:rPr>
              <m:t>w</m:t>
            </m:r>
            <m:ctrlPr>
              <w:rPr>
                <w:rFonts w:ascii="Cambria Math" w:hAnsi="Cambria Math" w:eastAsia="TimesLTStd-Italic" w:cs="Times New Roman"/>
                <w:i/>
              </w:rPr>
            </m:ctrlPr>
          </m:sub>
        </m:sSub>
      </m:oMath>
      <w:r>
        <w:rPr>
          <w:rFonts w:ascii="Times New Roman" w:hAnsi="Times New Roman" w:cs="Times New Roman"/>
          <w:kern w:val="2"/>
        </w:rPr>
        <w:t>——垫圈直径和螺帽直径的大值</w:t>
      </w:r>
      <w:r>
        <w:rPr>
          <w:rFonts w:ascii="Times New Roman" w:hAnsi="Times New Roman" w:cs="Times New Roman"/>
          <w:bCs/>
          <w:kern w:val="2"/>
        </w:rPr>
        <w:t>（mm）</w:t>
      </w:r>
      <w:r>
        <w:rPr>
          <w:rFonts w:ascii="Times New Roman" w:hAnsi="Times New Roman" w:cs="Times New Roman"/>
          <w:kern w:val="2"/>
        </w:rPr>
        <w:t>，且不大于16mm。这里垫圈直径不小于8mm，厚度不小于1.3mm；</w:t>
      </w:r>
    </w:p>
    <w:p>
      <w:pPr>
        <w:widowControl w:val="0"/>
        <w:spacing w:line="360" w:lineRule="auto"/>
        <w:ind w:firstLine="435"/>
        <w:jc w:val="both"/>
        <w:rPr>
          <w:rFonts w:ascii="Times New Roman" w:hAnsi="Times New Roman" w:cs="Times New Roman"/>
          <w:kern w:val="2"/>
        </w:rPr>
      </w:pPr>
      <w:r>
        <w:rPr>
          <w:rFonts w:ascii="Times New Roman" w:hAnsi="Times New Roman" w:cs="Times New Roman"/>
        </w:rPr>
        <w:t xml:space="preserve">   </w:t>
      </w:r>
      <m:oMath>
        <m:sSub>
          <m:sSubPr>
            <m:ctrlPr>
              <w:rPr>
                <w:rFonts w:ascii="Cambria Math" w:hAnsi="Cambria Math" w:eastAsia="TimesLTStd-Italic" w:cs="Times New Roman"/>
                <w:i/>
              </w:rPr>
            </m:ctrlPr>
          </m:sSubPr>
          <m:e>
            <m:r>
              <m:rPr/>
              <w:rPr>
                <w:rFonts w:ascii="Cambria Math" w:hAnsi="Cambria Math" w:eastAsia="TimesLTStd-Italic" w:cs="Times New Roman"/>
              </w:rPr>
              <m:t>d</m:t>
            </m:r>
            <m:ctrlPr>
              <w:rPr>
                <w:rFonts w:ascii="Cambria Math" w:hAnsi="Cambria Math" w:eastAsia="TimesLTStd-Italic" w:cs="Times New Roman"/>
                <w:i/>
              </w:rPr>
            </m:ctrlPr>
          </m:e>
          <m:sub>
            <m:r>
              <m:rPr/>
              <w:rPr>
                <w:rFonts w:ascii="Cambria Math" w:hAnsi="Cambria Math" w:eastAsia="MS Gothic" w:cs="Times New Roman"/>
              </w:rPr>
              <m:t>ℎ</m:t>
            </m:r>
            <m:ctrlPr>
              <w:rPr>
                <w:rFonts w:ascii="Cambria Math" w:hAnsi="Cambria Math" w:eastAsia="TimesLTStd-Italic" w:cs="Times New Roman"/>
                <w:i/>
              </w:rPr>
            </m:ctrlPr>
          </m:sub>
        </m:sSub>
      </m:oMath>
      <w:r>
        <w:rPr>
          <w:rFonts w:ascii="Times New Roman" w:hAnsi="Times New Roman" w:cs="Times New Roman"/>
          <w:kern w:val="2"/>
        </w:rPr>
        <w:t>——螺帽下的孔径</w:t>
      </w:r>
      <w:r>
        <w:rPr>
          <w:rFonts w:ascii="Times New Roman" w:hAnsi="Times New Roman" w:cs="Times New Roman"/>
          <w:bCs/>
          <w:kern w:val="2"/>
        </w:rPr>
        <w:t>（mm）</w:t>
      </w:r>
      <w:r>
        <w:rPr>
          <w:rFonts w:ascii="Times New Roman" w:hAnsi="Times New Roman" w:cs="Times New Roman"/>
          <w:kern w:val="2"/>
        </w:rPr>
        <w:t>。</w:t>
      </w:r>
    </w:p>
    <w:p>
      <w:pPr>
        <w:widowControl w:val="0"/>
        <w:spacing w:line="360" w:lineRule="auto"/>
        <w:ind w:firstLine="435"/>
        <w:jc w:val="center"/>
        <w:rPr>
          <w:rFonts w:ascii="Times New Roman" w:hAnsi="Times New Roman" w:cs="Times New Roman"/>
          <w:b/>
          <w:sz w:val="21"/>
          <w:szCs w:val="21"/>
        </w:rPr>
      </w:pPr>
      <w:r>
        <w:rPr>
          <w:rFonts w:ascii="Times New Roman" w:hAnsi="Times New Roman" w:cs="Times New Roman"/>
          <w:b/>
          <w:kern w:val="2"/>
          <w:sz w:val="21"/>
          <w:szCs w:val="21"/>
        </w:rPr>
        <w:t>表8.3.4 薄壁铝合金构件的紧固件位置调整系数</w:t>
      </w:r>
    </w:p>
    <w:tbl>
      <w:tblPr>
        <w:tblStyle w:val="37"/>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1048"/>
        <w:gridCol w:w="1910"/>
        <w:gridCol w:w="1275"/>
        <w:gridCol w:w="1131"/>
        <w:gridCol w:w="1159"/>
        <w:gridCol w:w="1395"/>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602" w:type="pct"/>
            <w:gridSpan w:val="6"/>
            <w:shd w:val="clear" w:color="auto" w:fill="auto"/>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翼缘接触支撑</w:t>
            </w:r>
          </w:p>
        </w:tc>
        <w:tc>
          <w:tcPr>
            <w:tcW w:w="1398" w:type="pct"/>
            <w:gridSpan w:val="2"/>
            <w:shd w:val="clear" w:color="auto" w:fill="auto"/>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无接触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292" w:type="pct"/>
            <w:shd w:val="clear" w:color="auto" w:fill="auto"/>
            <w:vAlign w:val="center"/>
          </w:tcPr>
          <w:p>
            <w:pPr>
              <w:widowControl w:val="0"/>
              <w:spacing w:line="360" w:lineRule="auto"/>
              <w:jc w:val="both"/>
              <w:rPr>
                <w:rFonts w:ascii="Times New Roman" w:hAnsi="Times New Roman" w:cs="Times New Roman"/>
                <w:kern w:val="2"/>
                <w:sz w:val="21"/>
                <w:szCs w:val="21"/>
              </w:rPr>
            </w:pPr>
            <w:r>
              <w:rPr>
                <w:rFonts w:ascii="Times New Roman" w:hAnsi="Times New Roman" w:cs="Times New Roman"/>
                <w:kern w:val="2"/>
                <w:sz w:val="21"/>
                <w:szCs w:val="21"/>
              </w:rPr>
              <w:t>节点</w:t>
            </w:r>
          </w:p>
        </w:tc>
        <w:tc>
          <w:tcPr>
            <w:tcW w:w="532" w:type="pct"/>
            <w:shd w:val="clear" w:color="auto" w:fill="auto"/>
            <w:vAlign w:val="center"/>
          </w:tcPr>
          <w:p>
            <w:pPr>
              <w:widowControl w:val="0"/>
              <w:spacing w:line="360" w:lineRule="auto"/>
              <w:jc w:val="both"/>
              <w:rPr>
                <w:rFonts w:ascii="Times New Roman" w:hAnsi="Times New Roman" w:cs="Times New Roman"/>
                <w:kern w:val="2"/>
                <w:sz w:val="21"/>
                <w:szCs w:val="21"/>
              </w:rPr>
            </w:pPr>
            <w:r>
              <w:rPr>
                <w:rFonts w:ascii="Times New Roman" w:hAnsi="Times New Roman" w:cs="Times New Roman"/>
                <w:kern w:val="2"/>
                <w:sz w:val="21"/>
                <w:szCs w:val="21"/>
              </w:rPr>
              <w:drawing>
                <wp:anchor distT="0" distB="0" distL="114300" distR="114300" simplePos="0" relativeHeight="251661312" behindDoc="0" locked="0" layoutInCell="1" allowOverlap="1">
                  <wp:simplePos x="0" y="0"/>
                  <wp:positionH relativeFrom="column">
                    <wp:posOffset>-635</wp:posOffset>
                  </wp:positionH>
                  <wp:positionV relativeFrom="paragraph">
                    <wp:posOffset>122555</wp:posOffset>
                  </wp:positionV>
                  <wp:extent cx="480695" cy="289560"/>
                  <wp:effectExtent l="0" t="0" r="0" b="0"/>
                  <wp:wrapTopAndBottom/>
                  <wp:docPr id="13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图片 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a:xfrm>
                            <a:off x="0" y="0"/>
                            <a:ext cx="480695" cy="289560"/>
                          </a:xfrm>
                          <a:prstGeom prst="rect">
                            <a:avLst/>
                          </a:prstGeom>
                          <a:noFill/>
                          <a:ln>
                            <a:noFill/>
                          </a:ln>
                        </pic:spPr>
                      </pic:pic>
                    </a:graphicData>
                  </a:graphic>
                </wp:anchor>
              </w:drawing>
            </w:r>
          </w:p>
        </w:tc>
        <w:tc>
          <w:tcPr>
            <w:tcW w:w="969" w:type="pct"/>
            <w:shd w:val="clear" w:color="auto" w:fill="auto"/>
            <w:vAlign w:val="center"/>
          </w:tcPr>
          <w:p>
            <w:pPr>
              <w:widowControl w:val="0"/>
              <w:spacing w:line="360" w:lineRule="auto"/>
              <w:jc w:val="both"/>
              <w:rPr>
                <w:rFonts w:ascii="Times New Roman" w:hAnsi="Times New Roman" w:cs="Times New Roman"/>
                <w:kern w:val="2"/>
                <w:sz w:val="21"/>
                <w:szCs w:val="21"/>
              </w:rPr>
            </w:pPr>
            <w:r>
              <w:rPr>
                <w:rFonts w:ascii="Times New Roman" w:hAnsi="Times New Roman" w:cs="Times New Roman"/>
                <w:kern w:val="2"/>
                <w:sz w:val="21"/>
                <w:szCs w:val="21"/>
              </w:rPr>
              <w:drawing>
                <wp:anchor distT="0" distB="0" distL="114300" distR="114300" simplePos="0" relativeHeight="251662336" behindDoc="0" locked="0" layoutInCell="1" allowOverlap="1">
                  <wp:simplePos x="0" y="0"/>
                  <wp:positionH relativeFrom="column">
                    <wp:posOffset>4445</wp:posOffset>
                  </wp:positionH>
                  <wp:positionV relativeFrom="paragraph">
                    <wp:posOffset>0</wp:posOffset>
                  </wp:positionV>
                  <wp:extent cx="777240" cy="530225"/>
                  <wp:effectExtent l="0" t="0" r="0" b="0"/>
                  <wp:wrapTopAndBottom/>
                  <wp:docPr id="13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图片 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a:xfrm>
                            <a:off x="0" y="0"/>
                            <a:ext cx="777240" cy="530225"/>
                          </a:xfrm>
                          <a:prstGeom prst="rect">
                            <a:avLst/>
                          </a:prstGeom>
                          <a:noFill/>
                          <a:ln>
                            <a:noFill/>
                          </a:ln>
                        </pic:spPr>
                      </pic:pic>
                    </a:graphicData>
                  </a:graphic>
                </wp:anchor>
              </w:drawing>
            </w:r>
          </w:p>
        </w:tc>
        <w:tc>
          <w:tcPr>
            <w:tcW w:w="647" w:type="pct"/>
            <w:shd w:val="clear" w:color="auto" w:fill="auto"/>
            <w:vAlign w:val="center"/>
          </w:tcPr>
          <w:p>
            <w:pPr>
              <w:widowControl w:val="0"/>
              <w:spacing w:line="360" w:lineRule="auto"/>
              <w:jc w:val="both"/>
              <w:rPr>
                <w:rFonts w:ascii="Times New Roman" w:hAnsi="Times New Roman" w:cs="Times New Roman"/>
                <w:kern w:val="2"/>
                <w:sz w:val="21"/>
                <w:szCs w:val="21"/>
              </w:rPr>
            </w:pPr>
            <w:r>
              <w:rPr>
                <w:rFonts w:ascii="Times New Roman" w:hAnsi="Times New Roman" w:cs="Times New Roman"/>
                <w:kern w:val="2"/>
                <w:sz w:val="21"/>
                <w:szCs w:val="21"/>
              </w:rPr>
              <w:drawing>
                <wp:anchor distT="0" distB="0" distL="114300" distR="114300" simplePos="0" relativeHeight="251663360" behindDoc="0" locked="0" layoutInCell="1" allowOverlap="1">
                  <wp:simplePos x="0" y="0"/>
                  <wp:positionH relativeFrom="column">
                    <wp:posOffset>-27940</wp:posOffset>
                  </wp:positionH>
                  <wp:positionV relativeFrom="paragraph">
                    <wp:posOffset>163195</wp:posOffset>
                  </wp:positionV>
                  <wp:extent cx="593725" cy="320675"/>
                  <wp:effectExtent l="0" t="0" r="0" b="0"/>
                  <wp:wrapTopAndBottom/>
                  <wp:docPr id="13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图片 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a:xfrm>
                            <a:off x="0" y="0"/>
                            <a:ext cx="593725" cy="320675"/>
                          </a:xfrm>
                          <a:prstGeom prst="rect">
                            <a:avLst/>
                          </a:prstGeom>
                          <a:noFill/>
                          <a:ln>
                            <a:noFill/>
                          </a:ln>
                        </pic:spPr>
                      </pic:pic>
                    </a:graphicData>
                  </a:graphic>
                </wp:anchor>
              </w:drawing>
            </w:r>
          </w:p>
        </w:tc>
        <w:tc>
          <w:tcPr>
            <w:tcW w:w="574" w:type="pct"/>
            <w:shd w:val="clear" w:color="auto" w:fill="auto"/>
            <w:vAlign w:val="center"/>
          </w:tcPr>
          <w:p>
            <w:pPr>
              <w:widowControl w:val="0"/>
              <w:spacing w:line="360" w:lineRule="auto"/>
              <w:jc w:val="both"/>
              <w:rPr>
                <w:rFonts w:ascii="Times New Roman" w:hAnsi="Times New Roman" w:cs="Times New Roman"/>
                <w:kern w:val="2"/>
                <w:sz w:val="21"/>
                <w:szCs w:val="21"/>
              </w:rPr>
            </w:pPr>
            <w:r>
              <w:rPr>
                <w:rFonts w:ascii="Times New Roman" w:hAnsi="Times New Roman" w:cs="Times New Roman"/>
                <w:kern w:val="2"/>
                <w:sz w:val="21"/>
                <w:szCs w:val="21"/>
              </w:rPr>
              <w:drawing>
                <wp:anchor distT="0" distB="0" distL="114300" distR="114300" simplePos="0" relativeHeight="251664384" behindDoc="0" locked="0" layoutInCell="1" allowOverlap="1">
                  <wp:simplePos x="0" y="0"/>
                  <wp:positionH relativeFrom="column">
                    <wp:posOffset>-65405</wp:posOffset>
                  </wp:positionH>
                  <wp:positionV relativeFrom="paragraph">
                    <wp:posOffset>209550</wp:posOffset>
                  </wp:positionV>
                  <wp:extent cx="575945" cy="316230"/>
                  <wp:effectExtent l="0" t="0" r="0" b="0"/>
                  <wp:wrapTopAndBottom/>
                  <wp:docPr id="13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5"/>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a:xfrm>
                            <a:off x="0" y="0"/>
                            <a:ext cx="575945" cy="316230"/>
                          </a:xfrm>
                          <a:prstGeom prst="rect">
                            <a:avLst/>
                          </a:prstGeom>
                          <a:noFill/>
                          <a:ln>
                            <a:noFill/>
                          </a:ln>
                        </pic:spPr>
                      </pic:pic>
                    </a:graphicData>
                  </a:graphic>
                </wp:anchor>
              </w:drawing>
            </w:r>
          </w:p>
        </w:tc>
        <w:tc>
          <w:tcPr>
            <w:tcW w:w="588" w:type="pct"/>
            <w:shd w:val="clear" w:color="auto" w:fill="auto"/>
            <w:vAlign w:val="center"/>
          </w:tcPr>
          <w:p>
            <w:pPr>
              <w:widowControl w:val="0"/>
              <w:spacing w:line="360" w:lineRule="auto"/>
              <w:jc w:val="both"/>
              <w:rPr>
                <w:rFonts w:ascii="Times New Roman" w:hAnsi="Times New Roman" w:cs="Times New Roman"/>
                <w:kern w:val="2"/>
                <w:sz w:val="21"/>
                <w:szCs w:val="21"/>
              </w:rPr>
            </w:pPr>
            <w:r>
              <w:rPr>
                <w:rFonts w:ascii="Times New Roman" w:hAnsi="Times New Roman" w:cs="Times New Roman"/>
                <w:kern w:val="2"/>
                <w:sz w:val="21"/>
                <w:szCs w:val="21"/>
              </w:rPr>
              <w:drawing>
                <wp:anchor distT="0" distB="0" distL="114300" distR="114300" simplePos="0" relativeHeight="251666432" behindDoc="0" locked="0" layoutInCell="1" allowOverlap="1">
                  <wp:simplePos x="0" y="0"/>
                  <wp:positionH relativeFrom="column">
                    <wp:posOffset>0</wp:posOffset>
                  </wp:positionH>
                  <wp:positionV relativeFrom="paragraph">
                    <wp:posOffset>92710</wp:posOffset>
                  </wp:positionV>
                  <wp:extent cx="593725" cy="367665"/>
                  <wp:effectExtent l="0" t="0" r="0" b="0"/>
                  <wp:wrapTopAndBottom/>
                  <wp:docPr id="13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图片 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a:xfrm>
                            <a:off x="0" y="0"/>
                            <a:ext cx="593725" cy="367665"/>
                          </a:xfrm>
                          <a:prstGeom prst="rect">
                            <a:avLst/>
                          </a:prstGeom>
                          <a:noFill/>
                          <a:ln>
                            <a:noFill/>
                          </a:ln>
                        </pic:spPr>
                      </pic:pic>
                    </a:graphicData>
                  </a:graphic>
                </wp:anchor>
              </w:drawing>
            </w:r>
          </w:p>
        </w:tc>
        <w:tc>
          <w:tcPr>
            <w:tcW w:w="708" w:type="pct"/>
            <w:shd w:val="clear" w:color="auto" w:fill="auto"/>
            <w:vAlign w:val="center"/>
          </w:tcPr>
          <w:p>
            <w:pPr>
              <w:widowControl w:val="0"/>
              <w:spacing w:line="360" w:lineRule="auto"/>
              <w:jc w:val="both"/>
              <w:rPr>
                <w:rFonts w:ascii="Times New Roman" w:hAnsi="Times New Roman" w:cs="Times New Roman"/>
                <w:kern w:val="2"/>
                <w:sz w:val="21"/>
                <w:szCs w:val="21"/>
              </w:rPr>
            </w:pPr>
            <w:r>
              <w:rPr>
                <w:rFonts w:ascii="Times New Roman" w:hAnsi="Times New Roman" w:cs="Times New Roman"/>
                <w:kern w:val="2"/>
                <w:sz w:val="21"/>
                <w:szCs w:val="21"/>
              </w:rPr>
              <w:drawing>
                <wp:anchor distT="0" distB="0" distL="114300" distR="114300" simplePos="0" relativeHeight="251669504" behindDoc="0" locked="0" layoutInCell="1" allowOverlap="1">
                  <wp:simplePos x="0" y="0"/>
                  <wp:positionH relativeFrom="column">
                    <wp:posOffset>0</wp:posOffset>
                  </wp:positionH>
                  <wp:positionV relativeFrom="paragraph">
                    <wp:posOffset>635</wp:posOffset>
                  </wp:positionV>
                  <wp:extent cx="730250" cy="438785"/>
                  <wp:effectExtent l="0" t="0" r="0" b="0"/>
                  <wp:wrapTopAndBottom/>
                  <wp:docPr id="13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7"/>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a:xfrm>
                            <a:off x="0" y="0"/>
                            <a:ext cx="730250" cy="438785"/>
                          </a:xfrm>
                          <a:prstGeom prst="rect">
                            <a:avLst/>
                          </a:prstGeom>
                          <a:noFill/>
                          <a:ln>
                            <a:noFill/>
                          </a:ln>
                        </pic:spPr>
                      </pic:pic>
                    </a:graphicData>
                  </a:graphic>
                </wp:anchor>
              </w:drawing>
            </w:r>
          </w:p>
        </w:tc>
        <w:tc>
          <w:tcPr>
            <w:tcW w:w="690" w:type="pct"/>
            <w:shd w:val="clear" w:color="auto" w:fill="auto"/>
            <w:vAlign w:val="center"/>
          </w:tcPr>
          <w:p>
            <w:pPr>
              <w:widowControl w:val="0"/>
              <w:spacing w:line="360" w:lineRule="auto"/>
              <w:jc w:val="both"/>
              <w:rPr>
                <w:rFonts w:ascii="Times New Roman" w:hAnsi="Times New Roman" w:cs="Times New Roman"/>
                <w:kern w:val="2"/>
                <w:sz w:val="21"/>
                <w:szCs w:val="21"/>
              </w:rPr>
            </w:pPr>
            <w:r>
              <w:rPr>
                <w:rFonts w:ascii="Times New Roman" w:hAnsi="Times New Roman" w:cs="Times New Roman"/>
                <w:kern w:val="2"/>
                <w:sz w:val="21"/>
                <w:szCs w:val="21"/>
              </w:rPr>
              <w:drawing>
                <wp:anchor distT="0" distB="0" distL="114300" distR="114300" simplePos="0" relativeHeight="251671552" behindDoc="0" locked="0" layoutInCell="1" allowOverlap="1">
                  <wp:simplePos x="0" y="0"/>
                  <wp:positionH relativeFrom="column">
                    <wp:posOffset>-65405</wp:posOffset>
                  </wp:positionH>
                  <wp:positionV relativeFrom="paragraph">
                    <wp:posOffset>635</wp:posOffset>
                  </wp:positionV>
                  <wp:extent cx="718185" cy="462915"/>
                  <wp:effectExtent l="0" t="0" r="0" b="0"/>
                  <wp:wrapTopAndBottom/>
                  <wp:docPr id="13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图片 8"/>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a:xfrm>
                            <a:off x="0" y="0"/>
                            <a:ext cx="718185" cy="4629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92" w:type="pct"/>
            <w:shd w:val="clear" w:color="auto" w:fill="auto"/>
            <w:vAlign w:val="center"/>
          </w:tcPr>
          <w:p>
            <w:pPr>
              <w:widowControl w:val="0"/>
              <w:spacing w:line="360" w:lineRule="auto"/>
              <w:jc w:val="center"/>
              <w:rPr>
                <w:rFonts w:ascii="Times New Roman" w:hAnsi="Times New Roman" w:cs="Times New Roman"/>
                <w:kern w:val="2"/>
                <w:sz w:val="21"/>
                <w:szCs w:val="21"/>
              </w:rPr>
            </w:pPr>
            <m:oMathPara>
              <m:oMath>
                <m:sSub>
                  <m:sSubPr>
                    <m:ctrlPr>
                      <w:rPr>
                        <w:rFonts w:ascii="Cambria Math" w:hAnsi="Cambria Math" w:cs="Times New Roman"/>
                        <w:i/>
                        <w:kern w:val="2"/>
                        <w:sz w:val="21"/>
                        <w:szCs w:val="21"/>
                      </w:rPr>
                    </m:ctrlPr>
                  </m:sSubPr>
                  <m:e>
                    <m:r>
                      <m:rPr/>
                      <w:rPr>
                        <w:rFonts w:ascii="Cambria Math" w:hAnsi="Cambria Math" w:cs="Times New Roman"/>
                        <w:kern w:val="2"/>
                        <w:sz w:val="21"/>
                        <w:szCs w:val="21"/>
                      </w:rPr>
                      <m:t>α</m:t>
                    </m:r>
                    <m:ctrlPr>
                      <w:rPr>
                        <w:rFonts w:ascii="Cambria Math" w:hAnsi="Cambria Math" w:cs="Times New Roman"/>
                        <w:i/>
                        <w:kern w:val="2"/>
                        <w:sz w:val="21"/>
                        <w:szCs w:val="21"/>
                      </w:rPr>
                    </m:ctrlPr>
                  </m:e>
                  <m:sub>
                    <m:r>
                      <m:rPr/>
                      <w:rPr>
                        <w:rFonts w:ascii="Cambria Math" w:hAnsi="Cambria Math" w:cs="Times New Roman"/>
                        <w:kern w:val="2"/>
                        <w:sz w:val="21"/>
                        <w:szCs w:val="21"/>
                      </w:rPr>
                      <m:t>E</m:t>
                    </m:r>
                    <m:ctrlPr>
                      <w:rPr>
                        <w:rFonts w:ascii="Cambria Math" w:hAnsi="Cambria Math" w:cs="Times New Roman"/>
                        <w:i/>
                        <w:kern w:val="2"/>
                        <w:sz w:val="21"/>
                        <w:szCs w:val="21"/>
                      </w:rPr>
                    </m:ctrlPr>
                  </m:sub>
                </m:sSub>
              </m:oMath>
            </m:oMathPara>
          </w:p>
        </w:tc>
        <w:tc>
          <w:tcPr>
            <w:tcW w:w="532" w:type="pct"/>
            <w:shd w:val="clear" w:color="auto" w:fill="auto"/>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1.0</w:t>
            </w:r>
          </w:p>
        </w:tc>
        <w:tc>
          <w:tcPr>
            <w:tcW w:w="969" w:type="pct"/>
            <w:shd w:val="clear" w:color="auto" w:fill="auto"/>
            <w:vAlign w:val="center"/>
          </w:tcPr>
          <w:p>
            <w:pPr>
              <w:widowControl w:val="0"/>
              <w:spacing w:line="360" w:lineRule="auto"/>
              <w:jc w:val="center"/>
              <w:rPr>
                <w:rFonts w:ascii="Times New Roman" w:hAnsi="Times New Roman" w:cs="Times New Roman"/>
                <w:kern w:val="2"/>
                <w:sz w:val="21"/>
                <w:szCs w:val="21"/>
              </w:rPr>
            </w:pPr>
            <m:oMathPara>
              <m:oMath>
                <m:sSub>
                  <m:sSubPr>
                    <m:ctrlPr>
                      <w:rPr>
                        <w:rFonts w:ascii="Cambria Math" w:hAnsi="Cambria Math" w:cs="Times New Roman"/>
                        <w:kern w:val="2"/>
                        <w:sz w:val="21"/>
                        <w:szCs w:val="21"/>
                      </w:rPr>
                    </m:ctrlPr>
                  </m:sSubPr>
                  <m:e>
                    <m:r>
                      <m:rPr/>
                      <w:rPr>
                        <w:rFonts w:ascii="Cambria Math" w:hAnsi="Cambria Math" w:cs="Times New Roman"/>
                        <w:kern w:val="2"/>
                        <w:sz w:val="21"/>
                        <w:szCs w:val="21"/>
                      </w:rPr>
                      <m:t>b</m:t>
                    </m:r>
                    <m:ctrlPr>
                      <w:rPr>
                        <w:rFonts w:ascii="Cambria Math" w:hAnsi="Cambria Math" w:cs="Times New Roman"/>
                        <w:kern w:val="2"/>
                        <w:sz w:val="21"/>
                        <w:szCs w:val="21"/>
                      </w:rPr>
                    </m:ctrlPr>
                  </m:e>
                  <m:sub>
                    <m:r>
                      <m:rPr/>
                      <w:rPr>
                        <w:rFonts w:ascii="Cambria Math" w:hAnsi="Cambria Math" w:cs="Times New Roman"/>
                        <w:kern w:val="2"/>
                        <w:sz w:val="21"/>
                        <w:szCs w:val="21"/>
                      </w:rPr>
                      <m:t>u</m:t>
                    </m:r>
                    <m:ctrlPr>
                      <w:rPr>
                        <w:rFonts w:ascii="Cambria Math" w:hAnsi="Cambria Math" w:cs="Times New Roman"/>
                        <w:kern w:val="2"/>
                        <w:sz w:val="21"/>
                        <w:szCs w:val="21"/>
                      </w:rPr>
                    </m:ctrlPr>
                  </m:sub>
                </m:sSub>
                <m:r>
                  <m:rPr/>
                  <w:rPr>
                    <w:rFonts w:ascii="Cambria Math" w:hAnsi="Cambria Math" w:cs="Times New Roman"/>
                    <w:kern w:val="2"/>
                    <w:sz w:val="21"/>
                    <w:szCs w:val="21"/>
                  </w:rPr>
                  <m:t>≤150:0.9</m:t>
                </m:r>
              </m:oMath>
            </m:oMathPara>
          </w:p>
          <w:p>
            <w:pPr>
              <w:widowControl w:val="0"/>
              <w:spacing w:line="360" w:lineRule="auto"/>
              <w:jc w:val="center"/>
              <w:rPr>
                <w:rFonts w:ascii="Times New Roman" w:hAnsi="Times New Roman" w:cs="Times New Roman"/>
                <w:kern w:val="2"/>
                <w:sz w:val="21"/>
                <w:szCs w:val="21"/>
              </w:rPr>
            </w:pPr>
            <m:oMathPara>
              <m:oMath>
                <m:sSub>
                  <m:sSubPr>
                    <m:ctrlPr>
                      <w:rPr>
                        <w:rFonts w:ascii="Cambria Math" w:hAnsi="Cambria Math" w:cs="Times New Roman"/>
                        <w:kern w:val="2"/>
                        <w:sz w:val="21"/>
                        <w:szCs w:val="21"/>
                      </w:rPr>
                    </m:ctrlPr>
                  </m:sSubPr>
                  <m:e>
                    <m:r>
                      <m:rPr/>
                      <w:rPr>
                        <w:rFonts w:ascii="Cambria Math" w:hAnsi="Cambria Math" w:cs="Times New Roman"/>
                        <w:kern w:val="2"/>
                        <w:sz w:val="21"/>
                        <w:szCs w:val="21"/>
                      </w:rPr>
                      <m:t>b</m:t>
                    </m:r>
                    <m:ctrlPr>
                      <w:rPr>
                        <w:rFonts w:ascii="Cambria Math" w:hAnsi="Cambria Math" w:cs="Times New Roman"/>
                        <w:kern w:val="2"/>
                        <w:sz w:val="21"/>
                        <w:szCs w:val="21"/>
                      </w:rPr>
                    </m:ctrlPr>
                  </m:e>
                  <m:sub>
                    <m:r>
                      <m:rPr/>
                      <w:rPr>
                        <w:rFonts w:ascii="Cambria Math" w:hAnsi="Cambria Math" w:cs="Times New Roman"/>
                        <w:kern w:val="2"/>
                        <w:sz w:val="21"/>
                        <w:szCs w:val="21"/>
                      </w:rPr>
                      <m:t>u</m:t>
                    </m:r>
                    <m:ctrlPr>
                      <w:rPr>
                        <w:rFonts w:ascii="Cambria Math" w:hAnsi="Cambria Math" w:cs="Times New Roman"/>
                        <w:kern w:val="2"/>
                        <w:sz w:val="21"/>
                        <w:szCs w:val="21"/>
                      </w:rPr>
                    </m:ctrlPr>
                  </m:sub>
                </m:sSub>
                <m:r>
                  <m:rPr/>
                  <w:rPr>
                    <w:rFonts w:ascii="Cambria Math" w:hAnsi="Cambria Math" w:cs="Times New Roman"/>
                    <w:kern w:val="2"/>
                    <w:sz w:val="21"/>
                    <w:szCs w:val="21"/>
                  </w:rPr>
                  <m:t>&gt;150:0.7</m:t>
                </m:r>
              </m:oMath>
            </m:oMathPara>
          </w:p>
        </w:tc>
        <w:tc>
          <w:tcPr>
            <w:tcW w:w="647" w:type="pct"/>
            <w:shd w:val="clear" w:color="auto" w:fill="auto"/>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0.7</w:t>
            </w:r>
          </w:p>
        </w:tc>
        <w:tc>
          <w:tcPr>
            <w:tcW w:w="574" w:type="pct"/>
            <w:shd w:val="clear" w:color="auto" w:fill="auto"/>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0.9</w:t>
            </w:r>
          </w:p>
        </w:tc>
        <w:tc>
          <w:tcPr>
            <w:tcW w:w="588" w:type="pct"/>
            <w:shd w:val="clear" w:color="auto" w:fill="auto"/>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 xml:space="preserve">0.7 </w:t>
            </w:r>
          </w:p>
        </w:tc>
        <w:tc>
          <w:tcPr>
            <w:tcW w:w="708" w:type="pct"/>
            <w:shd w:val="clear" w:color="auto" w:fill="auto"/>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1.0</w:t>
            </w:r>
          </w:p>
        </w:tc>
        <w:tc>
          <w:tcPr>
            <w:tcW w:w="690" w:type="pct"/>
            <w:shd w:val="clear" w:color="auto" w:fill="auto"/>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0.9</w:t>
            </w:r>
          </w:p>
        </w:tc>
      </w:tr>
    </w:tbl>
    <w:p>
      <w:pPr>
        <w:widowControl w:val="0"/>
        <w:spacing w:line="360" w:lineRule="auto"/>
        <w:ind w:firstLine="482" w:firstLineChars="200"/>
        <w:jc w:val="both"/>
        <w:rPr>
          <w:rFonts w:ascii="Times New Roman" w:hAnsi="Times New Roman" w:cs="Times New Roman"/>
          <w:bCs/>
          <w:kern w:val="2"/>
        </w:rPr>
      </w:pPr>
      <w:r>
        <w:rPr>
          <w:rFonts w:ascii="Times New Roman" w:hAnsi="Times New Roman" w:cs="Times New Roman"/>
          <w:b/>
          <w:kern w:val="2"/>
        </w:rPr>
        <w:t xml:space="preserve">2 </w:t>
      </w:r>
      <w:r>
        <w:rPr>
          <w:rFonts w:ascii="Times New Roman" w:hAnsi="Times New Roman" w:cs="Times New Roman"/>
          <w:bCs/>
          <w:kern w:val="2"/>
        </w:rPr>
        <w:t>其中82°～90°沉头螺钉可按下式计算：</w:t>
      </w:r>
    </w:p>
    <w:p>
      <w:pPr>
        <w:widowControl w:val="0"/>
        <w:spacing w:line="360" w:lineRule="auto"/>
        <w:jc w:val="right"/>
        <w:rPr>
          <w:rFonts w:ascii="Times New Roman" w:hAnsi="Times New Roman" w:cs="Times New Roman"/>
          <w:kern w:val="2"/>
        </w:rPr>
      </w:pPr>
      <m:oMath>
        <m:sSub>
          <m:sSubPr>
            <m:ctrlPr>
              <w:rPr>
                <w:rFonts w:ascii="Cambria Math" w:hAnsi="Cambria Math" w:cs="Times New Roman"/>
              </w:rPr>
            </m:ctrlPr>
          </m:sSubPr>
          <m:e>
            <m:r>
              <m:rPr/>
              <w:rPr>
                <w:rFonts w:ascii="Cambria Math" w:hAnsi="Cambria Math" w:cs="Times New Roman"/>
              </w:rPr>
              <m:t xml:space="preserve">                                          F</m:t>
            </m:r>
            <m:ctrlPr>
              <w:rPr>
                <w:rFonts w:ascii="Cambria Math" w:hAnsi="Cambria Math" w:cs="Times New Roman"/>
              </w:rPr>
            </m:ctrlPr>
          </m:e>
          <m:sub>
            <m:r>
              <m:rPr/>
              <w:rPr>
                <w:rFonts w:ascii="Cambria Math" w:hAnsi="Cambria Math" w:cs="Times New Roman"/>
              </w:rPr>
              <m:t>p</m:t>
            </m:r>
            <m:ctrlPr>
              <w:rPr>
                <w:rFonts w:ascii="Cambria Math" w:hAnsi="Cambria Math" w:cs="Times New Roman"/>
              </w:rPr>
            </m:ctrlPr>
          </m:sub>
        </m:sSub>
        <m:r>
          <m:rPr/>
          <w:rPr>
            <w:rFonts w:ascii="Cambria Math" w:hAnsi="Cambria Math" w:cs="Times New Roman"/>
            <w:kern w:val="2"/>
          </w:rPr>
          <m:t>=</m:t>
        </m:r>
        <m:d>
          <m:dPr>
            <m:ctrlPr>
              <w:rPr>
                <w:rFonts w:ascii="Cambria Math" w:hAnsi="Cambria Math" w:cs="Times New Roman"/>
                <w:i/>
                <w:kern w:val="2"/>
              </w:rPr>
            </m:ctrlPr>
          </m:dPr>
          <m:e>
            <m:r>
              <m:rPr/>
              <w:rPr>
                <w:rFonts w:ascii="Cambria Math" w:hAnsi="Cambria Math" w:cs="Times New Roman"/>
                <w:kern w:val="2"/>
              </w:rPr>
              <m:t>0.135+</m:t>
            </m:r>
            <m:f>
              <m:fPr>
                <m:ctrlPr>
                  <w:rPr>
                    <w:rFonts w:ascii="Cambria Math" w:hAnsi="Cambria Math" w:cs="Times New Roman"/>
                    <w:i/>
                    <w:kern w:val="2"/>
                  </w:rPr>
                </m:ctrlPr>
              </m:fPr>
              <m:num>
                <m:r>
                  <m:rPr/>
                  <w:rPr>
                    <w:rFonts w:ascii="Cambria Math" w:hAnsi="Cambria Math" w:cs="Times New Roman"/>
                    <w:kern w:val="2"/>
                  </w:rPr>
                  <m:t>0.725</m:t>
                </m:r>
                <m:sSub>
                  <m:sSubPr>
                    <m:ctrlPr>
                      <w:rPr>
                        <w:rFonts w:ascii="Cambria Math" w:hAnsi="Cambria Math" w:cs="Times New Roman"/>
                        <w:i/>
                        <w:kern w:val="2"/>
                      </w:rPr>
                    </m:ctrlPr>
                  </m:sSubPr>
                  <m:e>
                    <m:r>
                      <m:rPr/>
                      <w:rPr>
                        <w:rFonts w:ascii="Cambria Math" w:hAnsi="Cambria Math" w:cs="Times New Roman"/>
                        <w:kern w:val="2"/>
                      </w:rPr>
                      <m:t>t</m:t>
                    </m:r>
                    <m:ctrlPr>
                      <w:rPr>
                        <w:rFonts w:ascii="Cambria Math" w:hAnsi="Cambria Math" w:cs="Times New Roman"/>
                        <w:i/>
                        <w:kern w:val="2"/>
                      </w:rPr>
                    </m:ctrlPr>
                  </m:e>
                  <m:sub>
                    <m:r>
                      <m:rPr/>
                      <w:rPr>
                        <w:rFonts w:ascii="Cambria Math" w:hAnsi="Cambria Math" w:cs="Times New Roman"/>
                        <w:kern w:val="2"/>
                      </w:rPr>
                      <m:t>1</m:t>
                    </m:r>
                    <m:ctrlPr>
                      <w:rPr>
                        <w:rFonts w:ascii="Cambria Math" w:hAnsi="Cambria Math" w:cs="Times New Roman"/>
                        <w:i/>
                        <w:kern w:val="2"/>
                      </w:rPr>
                    </m:ctrlPr>
                  </m:sub>
                </m:sSub>
                <m:ctrlPr>
                  <w:rPr>
                    <w:rFonts w:ascii="Cambria Math" w:hAnsi="Cambria Math" w:cs="Times New Roman"/>
                    <w:i/>
                    <w:kern w:val="2"/>
                  </w:rPr>
                </m:ctrlPr>
              </m:num>
              <m:den>
                <m:r>
                  <m:rPr/>
                  <w:rPr>
                    <w:rFonts w:ascii="Cambria Math" w:hAnsi="Cambria Math" w:cs="Times New Roman"/>
                    <w:kern w:val="2"/>
                  </w:rPr>
                  <m:t>d</m:t>
                </m:r>
                <m:ctrlPr>
                  <w:rPr>
                    <w:rFonts w:ascii="Cambria Math" w:hAnsi="Cambria Math" w:cs="Times New Roman"/>
                    <w:i/>
                    <w:kern w:val="2"/>
                  </w:rPr>
                </m:ctrlPr>
              </m:den>
            </m:f>
            <m:ctrlPr>
              <w:rPr>
                <w:rFonts w:ascii="Cambria Math" w:hAnsi="Cambria Math" w:cs="Times New Roman"/>
                <w:i/>
                <w:kern w:val="2"/>
              </w:rPr>
            </m:ctrlPr>
          </m:e>
        </m:d>
        <m:r>
          <m:rPr/>
          <w:rPr>
            <w:rFonts w:ascii="Cambria Math" w:hAnsi="Cambria Math" w:cs="Times New Roman"/>
            <w:kern w:val="2"/>
          </w:rPr>
          <m:t>d</m:t>
        </m:r>
        <m:sSub>
          <m:sSubPr>
            <m:ctrlPr>
              <w:rPr>
                <w:rFonts w:ascii="Cambria Math" w:hAnsi="Cambria Math" w:cs="Times New Roman"/>
                <w:i/>
                <w:kern w:val="2"/>
              </w:rPr>
            </m:ctrlPr>
          </m:sSubPr>
          <m:e>
            <m:r>
              <m:rPr/>
              <w:rPr>
                <w:rFonts w:ascii="Cambria Math" w:hAnsi="Cambria Math" w:cs="Times New Roman"/>
                <w:kern w:val="2"/>
              </w:rPr>
              <m:t>t</m:t>
            </m:r>
            <m:ctrlPr>
              <w:rPr>
                <w:rFonts w:ascii="Cambria Math" w:hAnsi="Cambria Math" w:cs="Times New Roman"/>
                <w:i/>
                <w:kern w:val="2"/>
              </w:rPr>
            </m:ctrlPr>
          </m:e>
          <m:sub>
            <m:r>
              <m:rPr/>
              <w:rPr>
                <w:rFonts w:ascii="Cambria Math" w:hAnsi="Cambria Math" w:cs="Times New Roman"/>
                <w:kern w:val="2"/>
              </w:rPr>
              <m:t>1</m:t>
            </m:r>
            <m:ctrlPr>
              <w:rPr>
                <w:rFonts w:ascii="Cambria Math" w:hAnsi="Cambria Math" w:cs="Times New Roman"/>
                <w:i/>
                <w:kern w:val="2"/>
              </w:rPr>
            </m:ctrlPr>
          </m:sub>
        </m:sSub>
        <m:r>
          <m:rPr/>
          <w:rPr>
            <w:rFonts w:ascii="Cambria Math" w:hAnsi="Cambria Math" w:cs="Times New Roman"/>
            <w:kern w:val="2"/>
          </w:rPr>
          <m:t xml:space="preserve">f                                         </m:t>
        </m:r>
      </m:oMath>
      <w:r>
        <w:rPr>
          <w:rFonts w:ascii="Times New Roman" w:hAnsi="Times New Roman" w:cs="Times New Roman"/>
          <w:kern w:val="2"/>
        </w:rPr>
        <w:t>(8.3.4-2)</w:t>
      </w:r>
    </w:p>
    <w:p>
      <w:pPr>
        <w:widowControl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式中：</w:t>
      </w:r>
      <w:r>
        <w:rPr>
          <w:rFonts w:ascii="Times New Roman" w:hAnsi="Times New Roman" w:cs="Times New Roman"/>
          <w:bCs/>
          <w:kern w:val="2"/>
        </w:rPr>
        <w:t>适用于1.5mm≤</w:t>
      </w:r>
      <m:oMath>
        <m:sSub>
          <m:sSubPr>
            <m:ctrlPr>
              <w:rPr>
                <w:rFonts w:ascii="Cambria Math" w:hAnsi="Cambria Math" w:cs="Times New Roman"/>
                <w:i/>
                <w:kern w:val="2"/>
              </w:rPr>
            </m:ctrlPr>
          </m:sSubPr>
          <m:e>
            <m:r>
              <m:rPr/>
              <w:rPr>
                <w:rFonts w:ascii="Cambria Math" w:hAnsi="Cambria Math" w:cs="Times New Roman"/>
                <w:kern w:val="2"/>
              </w:rPr>
              <m:t>t</m:t>
            </m:r>
            <m:ctrlPr>
              <w:rPr>
                <w:rFonts w:ascii="Cambria Math" w:hAnsi="Cambria Math" w:cs="Times New Roman"/>
                <w:i/>
                <w:kern w:val="2"/>
              </w:rPr>
            </m:ctrlPr>
          </m:e>
          <m:sub>
            <m:r>
              <m:rPr/>
              <w:rPr>
                <w:rFonts w:ascii="Cambria Math" w:hAnsi="Cambria Math" w:cs="Times New Roman"/>
                <w:kern w:val="2"/>
              </w:rPr>
              <m:t>1</m:t>
            </m:r>
            <m:ctrlPr>
              <w:rPr>
                <w:rFonts w:ascii="Cambria Math" w:hAnsi="Cambria Math" w:cs="Times New Roman"/>
                <w:i/>
                <w:kern w:val="2"/>
              </w:rPr>
            </m:ctrlPr>
          </m:sub>
        </m:sSub>
      </m:oMath>
      <w:r>
        <w:rPr>
          <w:rFonts w:ascii="Times New Roman" w:hAnsi="Times New Roman" w:cs="Times New Roman"/>
          <w:kern w:val="2"/>
        </w:rPr>
        <w:t>&lt;5mm和</w:t>
      </w:r>
      <m:oMath>
        <m:sSub>
          <m:sSubPr>
            <m:ctrlPr>
              <w:rPr>
                <w:rFonts w:ascii="Cambria Math" w:hAnsi="Cambria Math" w:cs="Times New Roman"/>
                <w:i/>
                <w:kern w:val="2"/>
              </w:rPr>
            </m:ctrlPr>
          </m:sSubPr>
          <m:e>
            <m:r>
              <m:rPr/>
              <w:rPr>
                <w:rFonts w:ascii="Cambria Math" w:hAnsi="Cambria Math" w:cs="Times New Roman"/>
                <w:kern w:val="2"/>
              </w:rPr>
              <m:t>t</m:t>
            </m:r>
            <m:ctrlPr>
              <w:rPr>
                <w:rFonts w:ascii="Cambria Math" w:hAnsi="Cambria Math" w:cs="Times New Roman"/>
                <w:i/>
                <w:kern w:val="2"/>
              </w:rPr>
            </m:ctrlPr>
          </m:e>
          <m:sub>
            <m:r>
              <m:rPr/>
              <w:rPr>
                <w:rFonts w:ascii="Cambria Math" w:hAnsi="Cambria Math" w:cs="Times New Roman"/>
                <w:kern w:val="2"/>
              </w:rPr>
              <m:t>1</m:t>
            </m:r>
            <m:ctrlPr>
              <w:rPr>
                <w:rFonts w:ascii="Cambria Math" w:hAnsi="Cambria Math" w:cs="Times New Roman"/>
                <w:i/>
                <w:kern w:val="2"/>
              </w:rPr>
            </m:ctrlPr>
          </m:sub>
        </m:sSub>
        <m:r>
          <m:rPr/>
          <w:rPr>
            <w:rFonts w:ascii="Cambria Math" w:hAnsi="Cambria Math" w:cs="Times New Roman"/>
            <w:kern w:val="2"/>
          </w:rPr>
          <m:t>/d</m:t>
        </m:r>
      </m:oMath>
      <w:r>
        <w:rPr>
          <w:rFonts w:ascii="Times New Roman" w:hAnsi="Times New Roman" w:cs="Times New Roman"/>
          <w:bCs/>
          <w:kern w:val="2"/>
        </w:rPr>
        <w:t>≤1.1。如果</w:t>
      </w:r>
      <m:oMath>
        <m:sSub>
          <m:sSubPr>
            <m:ctrlPr>
              <w:rPr>
                <w:rFonts w:ascii="Cambria Math" w:hAnsi="Cambria Math" w:cs="Times New Roman"/>
                <w:i/>
                <w:kern w:val="2"/>
              </w:rPr>
            </m:ctrlPr>
          </m:sSubPr>
          <m:e>
            <m:r>
              <m:rPr/>
              <w:rPr>
                <w:rFonts w:ascii="Cambria Math" w:hAnsi="Cambria Math" w:cs="Times New Roman"/>
                <w:kern w:val="2"/>
              </w:rPr>
              <m:t>t</m:t>
            </m:r>
            <m:ctrlPr>
              <w:rPr>
                <w:rFonts w:ascii="Cambria Math" w:hAnsi="Cambria Math" w:cs="Times New Roman"/>
                <w:i/>
                <w:kern w:val="2"/>
              </w:rPr>
            </m:ctrlPr>
          </m:e>
          <m:sub>
            <m:r>
              <m:rPr/>
              <w:rPr>
                <w:rFonts w:ascii="Cambria Math" w:hAnsi="Cambria Math" w:cs="Times New Roman"/>
                <w:kern w:val="2"/>
              </w:rPr>
              <m:t>1</m:t>
            </m:r>
            <m:ctrlPr>
              <w:rPr>
                <w:rFonts w:ascii="Cambria Math" w:hAnsi="Cambria Math" w:cs="Times New Roman"/>
                <w:i/>
                <w:kern w:val="2"/>
              </w:rPr>
            </m:ctrlPr>
          </m:sub>
        </m:sSub>
        <m:r>
          <m:rPr/>
          <w:rPr>
            <w:rFonts w:ascii="Cambria Math" w:hAnsi="Cambria Math" w:cs="Times New Roman"/>
            <w:kern w:val="2"/>
          </w:rPr>
          <m:t>/d</m:t>
        </m:r>
      </m:oMath>
      <w:r>
        <w:rPr>
          <w:rFonts w:ascii="Times New Roman" w:hAnsi="Times New Roman" w:cs="Times New Roman"/>
          <w:bCs/>
          <w:kern w:val="2"/>
        </w:rPr>
        <w:t>＞1.1，取</w:t>
      </w:r>
      <m:oMath>
        <m:sSub>
          <m:sSubPr>
            <m:ctrlPr>
              <w:rPr>
                <w:rFonts w:ascii="Cambria Math" w:hAnsi="Cambria Math" w:cs="Times New Roman"/>
                <w:i/>
                <w:kern w:val="2"/>
              </w:rPr>
            </m:ctrlPr>
          </m:sSubPr>
          <m:e>
            <m:r>
              <m:rPr/>
              <w:rPr>
                <w:rFonts w:ascii="Cambria Math" w:hAnsi="Cambria Math" w:cs="Times New Roman"/>
                <w:kern w:val="2"/>
              </w:rPr>
              <m:t>t</m:t>
            </m:r>
            <m:ctrlPr>
              <w:rPr>
                <w:rFonts w:ascii="Cambria Math" w:hAnsi="Cambria Math" w:cs="Times New Roman"/>
                <w:i/>
                <w:kern w:val="2"/>
              </w:rPr>
            </m:ctrlPr>
          </m:e>
          <m:sub>
            <m:r>
              <m:rPr/>
              <w:rPr>
                <w:rFonts w:ascii="Cambria Math" w:hAnsi="Cambria Math" w:cs="Times New Roman"/>
                <w:kern w:val="2"/>
              </w:rPr>
              <m:t>1</m:t>
            </m:r>
            <m:ctrlPr>
              <w:rPr>
                <w:rFonts w:ascii="Cambria Math" w:hAnsi="Cambria Math" w:cs="Times New Roman"/>
                <w:i/>
                <w:kern w:val="2"/>
              </w:rPr>
            </m:ctrlPr>
          </m:sub>
        </m:sSub>
        <m:r>
          <m:rPr/>
          <w:rPr>
            <w:rFonts w:ascii="Cambria Math" w:hAnsi="Cambria Math" w:cs="Times New Roman"/>
            <w:kern w:val="2"/>
          </w:rPr>
          <m:t>/d</m:t>
        </m:r>
      </m:oMath>
      <w:r>
        <w:rPr>
          <w:rFonts w:ascii="Times New Roman" w:hAnsi="Times New Roman" w:cs="Times New Roman"/>
          <w:kern w:val="2"/>
        </w:rPr>
        <w:t>=1.1。</w:t>
      </w:r>
    </w:p>
    <w:p>
      <w:pPr>
        <w:widowControl w:val="0"/>
        <w:spacing w:line="360" w:lineRule="auto"/>
        <w:ind w:firstLine="472" w:firstLineChars="196"/>
        <w:jc w:val="both"/>
        <w:rPr>
          <w:rFonts w:ascii="Times New Roman" w:hAnsi="Times New Roman" w:cs="Times New Roman"/>
          <w:bCs/>
          <w:kern w:val="2"/>
        </w:rPr>
      </w:pPr>
      <w:r>
        <w:rPr>
          <w:rFonts w:ascii="Times New Roman" w:hAnsi="Times New Roman" w:cs="Times New Roman"/>
          <w:b/>
          <w:bCs/>
          <w:kern w:val="2"/>
        </w:rPr>
        <w:t xml:space="preserve">3 </w:t>
      </w:r>
      <w:r>
        <w:rPr>
          <w:rFonts w:ascii="Times New Roman" w:hAnsi="Times New Roman" w:cs="Times New Roman"/>
          <w:bCs/>
          <w:kern w:val="2"/>
        </w:rPr>
        <w:t>非沉头螺钉的钉帽从钉孔中脱出破坏承载力不应低于沉头螺钉的承载力。</w:t>
      </w:r>
    </w:p>
    <w:p>
      <w:pPr>
        <w:widowControl w:val="0"/>
        <w:spacing w:line="360" w:lineRule="auto"/>
        <w:jc w:val="both"/>
        <w:rPr>
          <w:rFonts w:ascii="Times New Roman" w:hAnsi="Times New Roman" w:cs="Times New Roman"/>
          <w:bCs/>
          <w:kern w:val="2"/>
        </w:rPr>
      </w:pPr>
      <w:r>
        <w:rPr>
          <w:rFonts w:ascii="Times New Roman" w:hAnsi="Times New Roman" w:cs="Times New Roman"/>
          <w:b/>
          <w:bCs/>
          <w:kern w:val="2"/>
        </w:rPr>
        <w:t xml:space="preserve">8.3.5 </w:t>
      </w:r>
      <w:r>
        <w:rPr>
          <w:rFonts w:ascii="Times New Roman" w:hAnsi="Times New Roman" w:cs="Times New Roman"/>
          <w:kern w:val="2"/>
        </w:rPr>
        <w:t>机制</w:t>
      </w:r>
      <w:r>
        <w:rPr>
          <w:rFonts w:ascii="Times New Roman" w:hAnsi="Times New Roman" w:cs="Times New Roman"/>
          <w:bCs/>
          <w:kern w:val="2"/>
        </w:rPr>
        <w:t>螺钉从钉孔（仅限完整的圆孔）中拔出，破坏承载力设计值可按以下规定计算：</w:t>
      </w:r>
    </w:p>
    <w:p>
      <w:pPr>
        <w:widowControl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当1.5mm≤</w:t>
      </w: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oMath>
      <w:r>
        <w:rPr>
          <w:rFonts w:ascii="Times New Roman" w:hAnsi="Times New Roman" w:cs="Times New Roman"/>
          <w:kern w:val="2"/>
        </w:rPr>
        <w:t>＜2mm</w:t>
      </w:r>
    </w:p>
    <w:p>
      <w:pPr>
        <w:widowControl w:val="0"/>
        <w:spacing w:line="360" w:lineRule="auto"/>
        <w:jc w:val="right"/>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 xml:space="preserve">                                         F</m:t>
            </m:r>
            <m:ctrlPr>
              <w:rPr>
                <w:rFonts w:ascii="Cambria Math" w:hAnsi="Cambria Math" w:cs="Times New Roman"/>
              </w:rPr>
            </m:ctrlPr>
          </m:e>
          <m:sub>
            <m:r>
              <m:rPr/>
              <w:rPr>
                <w:rFonts w:ascii="Cambria Math" w:hAnsi="Cambria Math" w:cs="Times New Roman"/>
              </w:rPr>
              <m:t>o</m:t>
            </m:r>
            <m:ctrlPr>
              <w:rPr>
                <w:rFonts w:ascii="Cambria Math" w:hAnsi="Cambria Math" w:cs="Times New Roman"/>
              </w:rPr>
            </m:ctrlPr>
          </m:sub>
        </m:sSub>
        <m:r>
          <m:rPr/>
          <w:rPr>
            <w:rFonts w:ascii="Cambria Math" w:hAnsi="Cambria Math" w:cs="Times New Roman"/>
          </w:rPr>
          <m:t>=0.505d</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oMath>
      <w:r>
        <w:rPr>
          <w:rFonts w:ascii="Times New Roman" w:hAnsi="Times New Roman" w:cs="Times New Roman"/>
        </w:rPr>
        <w:t xml:space="preserve">                           (8.3.5-1)</w:t>
      </w:r>
    </w:p>
    <w:p>
      <w:pPr>
        <w:widowControl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当2mm≤</w:t>
      </w: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oMath>
      <w:r>
        <w:rPr>
          <w:rFonts w:ascii="Times New Roman" w:hAnsi="Times New Roman" w:cs="Times New Roman"/>
          <w:kern w:val="2"/>
        </w:rPr>
        <w:t>≤3</w:t>
      </w:r>
    </w:p>
    <w:p>
      <w:pPr>
        <w:widowControl w:val="0"/>
        <w:spacing w:line="360" w:lineRule="auto"/>
        <w:jc w:val="right"/>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 xml:space="preserve">                                           F</m:t>
            </m:r>
            <m:ctrlPr>
              <w:rPr>
                <w:rFonts w:ascii="Cambria Math" w:hAnsi="Cambria Math" w:cs="Times New Roman"/>
              </w:rPr>
            </m:ctrlPr>
          </m:e>
          <m:sub>
            <m:r>
              <m:rPr/>
              <w:rPr>
                <w:rFonts w:ascii="Cambria Math" w:hAnsi="Cambria Math" w:cs="Times New Roman"/>
              </w:rPr>
              <m:t>o</m:t>
            </m:r>
            <m:ctrlPr>
              <w:rPr>
                <w:rFonts w:ascii="Cambria Math" w:hAnsi="Cambria Math" w:cs="Times New Roman"/>
              </w:rPr>
            </m:ctrlPr>
          </m:sub>
        </m:sSub>
        <m:r>
          <m:rPr/>
          <w:rPr>
            <w:rFonts w:ascii="Cambria Math" w:hAnsi="Cambria Math" w:cs="Times New Roman"/>
          </w:rPr>
          <m:t>=0.6d</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oMath>
      <w:r>
        <w:rPr>
          <w:rFonts w:ascii="Times New Roman" w:hAnsi="Times New Roman" w:cs="Times New Roman"/>
        </w:rPr>
        <w:t xml:space="preserve">                           (8.3.5-2)</w:t>
      </w:r>
    </w:p>
    <w:p>
      <w:pPr>
        <w:widowControl w:val="0"/>
        <w:spacing w:line="360" w:lineRule="auto"/>
        <w:ind w:firstLine="480" w:firstLineChars="200"/>
        <w:jc w:val="both"/>
        <w:rPr>
          <w:rFonts w:ascii="Times New Roman" w:hAnsi="Times New Roman" w:cs="Times New Roman"/>
        </w:rPr>
      </w:pPr>
      <w:r>
        <w:rPr>
          <w:rFonts w:ascii="Times New Roman" w:hAnsi="Times New Roman" w:cs="Times New Roman"/>
        </w:rPr>
        <w:t>当3mm＜</w:t>
      </w: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oMath>
      <w:r>
        <w:rPr>
          <w:rFonts w:ascii="Times New Roman" w:hAnsi="Times New Roman" w:cs="Times New Roman"/>
        </w:rPr>
        <w:t>＜6.3mm</w:t>
      </w:r>
    </w:p>
    <w:p>
      <w:pPr>
        <w:widowControl w:val="0"/>
        <w:spacing w:line="360" w:lineRule="auto"/>
        <w:jc w:val="right"/>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 xml:space="preserve">              F</m:t>
            </m:r>
            <m:ctrlPr>
              <w:rPr>
                <w:rFonts w:ascii="Cambria Math" w:hAnsi="Cambria Math" w:cs="Times New Roman"/>
              </w:rPr>
            </m:ctrlPr>
          </m:e>
          <m:sub>
            <m:r>
              <m:rPr/>
              <w:rPr>
                <w:rFonts w:ascii="Cambria Math" w:hAnsi="Cambria Math" w:cs="Times New Roman"/>
              </w:rPr>
              <m:t>o</m:t>
            </m:r>
            <m:ctrlPr>
              <w:rPr>
                <w:rFonts w:ascii="Cambria Math" w:hAnsi="Cambria Math" w:cs="Times New Roman"/>
              </w:rPr>
            </m:ctrlPr>
          </m:sub>
        </m:sSub>
        <m:r>
          <m:rPr/>
          <w:rPr>
            <w:rFonts w:ascii="Cambria Math" w:hAnsi="Cambria Math" w:cs="Times New Roman"/>
          </w:rPr>
          <m:t>=0.6d</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d>
          <m:dPr>
            <m:ctrlPr>
              <w:rPr>
                <w:rFonts w:ascii="Cambria Math" w:hAnsi="Cambria Math" w:cs="Times New Roman"/>
                <w:i/>
              </w:rPr>
            </m:ctrlPr>
          </m:dPr>
          <m:e>
            <m:r>
              <m:rPr/>
              <w:rPr>
                <w:rFonts w:ascii="Cambria Math" w:hAnsi="Cambria Math" w:cs="Times New Roman"/>
              </w:rPr>
              <m:t>0.25−</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ctrlPr>
              <w:rPr>
                <w:rFonts w:ascii="Cambria Math" w:hAnsi="Cambria Math" w:cs="Times New Roman"/>
                <w:i/>
              </w:rPr>
            </m:ctrlPr>
          </m:e>
        </m:d>
        <m:r>
          <m:rPr/>
          <w:rPr>
            <w:rFonts w:ascii="Cambria Math" w:hAnsi="Cambria Math" w:cs="Times New Roman"/>
          </w:rPr>
          <m:t>+0.508</m:t>
        </m:r>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sn</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u</m:t>
            </m:r>
            <m:ctrlPr>
              <w:rPr>
                <w:rFonts w:ascii="Cambria Math" w:hAnsi="Cambria Math" w:cs="Times New Roman"/>
                <w:i/>
              </w:rPr>
            </m:ctrlPr>
          </m:sub>
        </m:sSub>
        <m:d>
          <m:dPr>
            <m:ctrlPr>
              <w:rPr>
                <w:rFonts w:ascii="Cambria Math" w:hAnsi="Cambria Math" w:cs="Times New Roman"/>
                <w:i/>
              </w:rPr>
            </m:ctrlPr>
          </m:dPr>
          <m:e>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r>
              <m:rPr/>
              <w:rPr>
                <w:rFonts w:ascii="Cambria Math" w:hAnsi="Cambria Math" w:cs="Times New Roman"/>
              </w:rPr>
              <m:t>−0.125</m:t>
            </m:r>
            <m:ctrlPr>
              <w:rPr>
                <w:rFonts w:ascii="Cambria Math" w:hAnsi="Cambria Math" w:cs="Times New Roman"/>
                <w:i/>
              </w:rPr>
            </m:ctrlPr>
          </m:e>
        </m:d>
      </m:oMath>
      <w:r>
        <w:rPr>
          <w:rFonts w:ascii="Times New Roman" w:hAnsi="Times New Roman" w:cs="Times New Roman"/>
        </w:rPr>
        <w:t xml:space="preserve">          (8.3.5-3)</w:t>
      </w:r>
    </w:p>
    <w:p>
      <w:pPr>
        <w:widowControl w:val="0"/>
        <w:spacing w:line="360" w:lineRule="auto"/>
        <w:ind w:firstLine="480" w:firstLineChars="200"/>
        <w:jc w:val="both"/>
        <w:rPr>
          <w:rFonts w:ascii="Times New Roman" w:hAnsi="Times New Roman" w:cs="Times New Roman"/>
        </w:rPr>
      </w:pPr>
      <w:r>
        <w:rPr>
          <w:rFonts w:ascii="Times New Roman" w:hAnsi="Times New Roman" w:cs="Times New Roman"/>
        </w:rPr>
        <w:t>当6.3mm≤</w:t>
      </w:r>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oMath>
      <w:r>
        <w:rPr>
          <w:rFonts w:ascii="Times New Roman" w:hAnsi="Times New Roman" w:cs="Times New Roman"/>
        </w:rPr>
        <w:t>≤10mm</w:t>
      </w:r>
    </w:p>
    <w:p>
      <w:pPr>
        <w:widowControl w:val="0"/>
        <w:spacing w:line="360" w:lineRule="auto"/>
        <w:jc w:val="right"/>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 xml:space="preserve">                                              F</m:t>
            </m:r>
            <m:ctrlPr>
              <w:rPr>
                <w:rFonts w:ascii="Cambria Math" w:hAnsi="Cambria Math" w:cs="Times New Roman"/>
              </w:rPr>
            </m:ctrlPr>
          </m:e>
          <m:sub>
            <m:r>
              <m:rPr/>
              <w:rPr>
                <w:rFonts w:ascii="Cambria Math" w:hAnsi="Cambria Math" w:cs="Times New Roman"/>
              </w:rPr>
              <m:t>o</m:t>
            </m:r>
            <m:ctrlPr>
              <w:rPr>
                <w:rFonts w:ascii="Cambria Math" w:hAnsi="Cambria Math" w:cs="Times New Roman"/>
              </w:rPr>
            </m:ctrlPr>
          </m:sub>
        </m:sSub>
        <m:r>
          <m:rPr/>
          <w:rPr>
            <w:rFonts w:ascii="Cambria Math" w:hAnsi="Cambria Math" w:cs="Times New Roman"/>
          </w:rPr>
          <m:t>=0.29</m:t>
        </m:r>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sn</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e</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u</m:t>
            </m:r>
            <m:ctrlPr>
              <w:rPr>
                <w:rFonts w:ascii="Cambria Math" w:hAnsi="Cambria Math" w:cs="Times New Roman"/>
                <w:i/>
              </w:rPr>
            </m:ctrlPr>
          </m:sub>
        </m:sSub>
        <m:r>
          <m:rPr/>
          <w:rPr>
            <w:rFonts w:ascii="Cambria Math" w:hAnsi="Cambria Math" w:cs="Times New Roman"/>
          </w:rPr>
          <m:t xml:space="preserve">                                                      </m:t>
        </m:r>
      </m:oMath>
      <w:r>
        <w:rPr>
          <w:rFonts w:ascii="Times New Roman" w:hAnsi="Times New Roman" w:cs="Times New Roman"/>
        </w:rPr>
        <w:t>(8.3.5-4)</w:t>
      </w:r>
    </w:p>
    <w:p>
      <w:pPr>
        <w:widowControl w:val="0"/>
        <w:spacing w:line="360" w:lineRule="auto"/>
        <w:ind w:left="1440" w:leftChars="200" w:right="504" w:hanging="960" w:hangingChars="400"/>
        <w:jc w:val="both"/>
        <w:rPr>
          <w:rFonts w:ascii="Times New Roman" w:hAnsi="Times New Roman" w:cs="Times New Roman"/>
        </w:rPr>
      </w:pPr>
      <w:r>
        <w:rPr>
          <w:rFonts w:ascii="Times New Roman" w:hAnsi="Times New Roman" w:cs="Times New Roman"/>
        </w:rPr>
        <w:t>式中：</w:t>
      </w: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sn</m:t>
            </m:r>
            <m:ctrlPr>
              <w:rPr>
                <w:rFonts w:ascii="Cambria Math" w:hAnsi="Cambria Math" w:cs="Times New Roman"/>
                <w:i/>
              </w:rPr>
            </m:ctrlPr>
          </m:sub>
        </m:sSub>
      </m:oMath>
      <w:r>
        <w:rPr>
          <w:rFonts w:ascii="Times New Roman" w:hAnsi="Times New Roman" w:eastAsia="黑体" w:cs="Times New Roman"/>
          <w:kern w:val="2"/>
        </w:rPr>
        <w:t>——</w:t>
      </w:r>
      <w:r>
        <w:rPr>
          <w:rFonts w:ascii="Times New Roman" w:hAnsi="Times New Roman" w:cs="Times New Roman"/>
        </w:rPr>
        <w:t>每个内螺纹的螺纹剥落面积</w:t>
      </w:r>
      <w:r>
        <w:rPr>
          <w:rFonts w:ascii="Times New Roman" w:hAnsi="Times New Roman" w:cs="Times New Roman"/>
          <w:bCs/>
          <w:kern w:val="2"/>
        </w:rPr>
        <w:t>（mm</w:t>
      </w:r>
      <w:r>
        <w:rPr>
          <w:rFonts w:ascii="Times New Roman" w:hAnsi="Times New Roman" w:cs="Times New Roman"/>
          <w:bCs/>
          <w:kern w:val="2"/>
          <w:vertAlign w:val="superscript"/>
        </w:rPr>
        <w:t>2</w:t>
      </w:r>
      <w:r>
        <w:rPr>
          <w:rFonts w:ascii="Times New Roman" w:hAnsi="Times New Roman" w:cs="Times New Roman"/>
          <w:bCs/>
          <w:kern w:val="2"/>
        </w:rPr>
        <w:t>）</w:t>
      </w:r>
      <w:r>
        <w:rPr>
          <w:rFonts w:ascii="Times New Roman" w:hAnsi="Times New Roman" w:cs="Times New Roman"/>
        </w:rPr>
        <w:t>，对符合《六角头螺栓》GB/T 5782和《普通螺纹公差》GBT 197规定的公差带为外螺纹6g，内螺纹6H螺钉，其数值如表8.3.5。</w:t>
      </w:r>
    </w:p>
    <w:p>
      <w:pPr>
        <w:widowControl w:val="0"/>
        <w:spacing w:line="360" w:lineRule="auto"/>
        <w:ind w:right="504"/>
        <w:jc w:val="center"/>
        <w:rPr>
          <w:rFonts w:ascii="Times New Roman" w:hAnsi="Times New Roman" w:cs="Times New Roman"/>
          <w:b/>
          <w:sz w:val="21"/>
          <w:szCs w:val="21"/>
          <w:vertAlign w:val="superscript"/>
        </w:rPr>
      </w:pPr>
      <w:r>
        <w:rPr>
          <w:rFonts w:ascii="Times New Roman" w:hAnsi="Times New Roman" w:cs="Times New Roman"/>
          <w:b/>
          <w:sz w:val="21"/>
          <w:szCs w:val="21"/>
        </w:rPr>
        <w:t xml:space="preserve">表8.3.5 每个内螺纹的螺纹剥落面积 </w:t>
      </w:r>
    </w:p>
    <w:tbl>
      <w:tblPr>
        <w:tblStyle w:val="37"/>
        <w:tblpPr w:leftFromText="180" w:rightFromText="180" w:vertAnchor="text"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21"/>
        <w:gridCol w:w="1033"/>
        <w:gridCol w:w="1202"/>
        <w:gridCol w:w="1202"/>
        <w:gridCol w:w="1202"/>
        <w:gridCol w:w="1202"/>
        <w:gridCol w:w="1205"/>
        <w:gridCol w:w="13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21" w:type="pct"/>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螺栓规格</w:t>
            </w:r>
          </w:p>
        </w:tc>
        <w:tc>
          <w:tcPr>
            <w:tcW w:w="524"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M5</w:t>
            </w:r>
          </w:p>
        </w:tc>
        <w:tc>
          <w:tcPr>
            <w:tcW w:w="610"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M6</w:t>
            </w:r>
          </w:p>
        </w:tc>
        <w:tc>
          <w:tcPr>
            <w:tcW w:w="610"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M8</w:t>
            </w:r>
          </w:p>
        </w:tc>
        <w:tc>
          <w:tcPr>
            <w:tcW w:w="610"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M10</w:t>
            </w:r>
          </w:p>
        </w:tc>
        <w:tc>
          <w:tcPr>
            <w:tcW w:w="610"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M12</w:t>
            </w:r>
          </w:p>
        </w:tc>
        <w:tc>
          <w:tcPr>
            <w:tcW w:w="611"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M16</w:t>
            </w:r>
          </w:p>
        </w:tc>
        <w:tc>
          <w:tcPr>
            <w:tcW w:w="703"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M20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21" w:type="pct"/>
            <w:vAlign w:val="center"/>
          </w:tcPr>
          <w:p>
            <w:pPr>
              <w:jc w:val="center"/>
              <w:rPr>
                <w:rFonts w:ascii="Times New Roman" w:hAnsi="Times New Roman" w:cs="Times New Roman"/>
                <w:sz w:val="21"/>
                <w:szCs w:val="21"/>
                <w:vertAlign w:val="superscript"/>
              </w:rPr>
            </w:pPr>
            <w:r>
              <w:rPr>
                <w:rFonts w:ascii="Times New Roman" w:hAnsi="Times New Roman" w:cs="Times New Roman"/>
                <w:sz w:val="21"/>
                <w:szCs w:val="21"/>
              </w:rPr>
              <w:t>内螺纹剥落面积/mm</w:t>
            </w:r>
            <w:r>
              <w:rPr>
                <w:rFonts w:ascii="Times New Roman" w:hAnsi="Times New Roman" w:cs="Times New Roman"/>
                <w:sz w:val="21"/>
                <w:szCs w:val="21"/>
                <w:vertAlign w:val="superscript"/>
              </w:rPr>
              <w:t>2</w:t>
            </w:r>
          </w:p>
        </w:tc>
        <w:tc>
          <w:tcPr>
            <w:tcW w:w="524"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8.00</w:t>
            </w:r>
          </w:p>
        </w:tc>
        <w:tc>
          <w:tcPr>
            <w:tcW w:w="610"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12.19</w:t>
            </w:r>
          </w:p>
        </w:tc>
        <w:tc>
          <w:tcPr>
            <w:tcW w:w="610"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21.03</w:t>
            </w:r>
          </w:p>
        </w:tc>
        <w:tc>
          <w:tcPr>
            <w:tcW w:w="610"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32.22</w:t>
            </w:r>
          </w:p>
        </w:tc>
        <w:tc>
          <w:tcPr>
            <w:tcW w:w="610"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45.70</w:t>
            </w:r>
          </w:p>
        </w:tc>
        <w:tc>
          <w:tcPr>
            <w:tcW w:w="611"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71.14</w:t>
            </w:r>
          </w:p>
        </w:tc>
        <w:tc>
          <w:tcPr>
            <w:tcW w:w="703" w:type="pct"/>
            <w:shd w:val="clear" w:color="auto" w:fill="auto"/>
            <w:noWrap/>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113.46</w:t>
            </w:r>
          </w:p>
        </w:tc>
      </w:tr>
    </w:tbl>
    <w:p>
      <w:pPr>
        <w:widowControl w:val="0"/>
        <w:spacing w:before="120" w:beforeLines="50" w:line="360" w:lineRule="auto"/>
        <w:jc w:val="both"/>
        <w:rPr>
          <w:rFonts w:ascii="Times New Roman" w:hAnsi="Times New Roman" w:cs="Times New Roman"/>
          <w:kern w:val="2"/>
        </w:rPr>
      </w:pPr>
      <w:r>
        <w:rPr>
          <w:rFonts w:ascii="Times New Roman" w:hAnsi="Times New Roman" w:cs="Times New Roman"/>
          <w:b/>
          <w:kern w:val="2"/>
        </w:rPr>
        <w:t>8.3.6</w:t>
      </w:r>
      <w:r>
        <w:rPr>
          <w:rFonts w:ascii="Times New Roman" w:hAnsi="Times New Roman" w:cs="Times New Roman"/>
          <w:kern w:val="2"/>
        </w:rPr>
        <w:t xml:space="preserve"> 本标准的抽芯铆钉计算方法适用于直径在2.6mm~6.4mm、孔径不大于抽芯铆钉直径0.1mm、冷成型薄板连接的抽芯铆钉。抽芯铆钉应进行抗剪承载力和抗拉承载力验算。</w:t>
      </w:r>
    </w:p>
    <w:p>
      <w:pPr>
        <w:widowControl w:val="0"/>
        <w:spacing w:line="360" w:lineRule="auto"/>
        <w:jc w:val="both"/>
        <w:rPr>
          <w:rFonts w:ascii="Times New Roman" w:hAnsi="Times New Roman" w:cs="Times New Roman"/>
          <w:kern w:val="2"/>
          <w:shd w:val="clear" w:color="auto" w:fill="FFFFFF"/>
        </w:rPr>
      </w:pPr>
      <w:r>
        <w:rPr>
          <w:rFonts w:ascii="Times New Roman" w:hAnsi="Times New Roman" w:cs="Times New Roman"/>
          <w:b/>
          <w:kern w:val="2"/>
        </w:rPr>
        <w:t>8.3.7</w:t>
      </w:r>
      <w:r>
        <w:rPr>
          <w:rFonts w:ascii="Times New Roman" w:hAnsi="Times New Roman" w:cs="Times New Roman"/>
          <w:kern w:val="2"/>
        </w:rPr>
        <w:t xml:space="preserve"> 抽芯铆钉抗剪承载力计算应符合下列要求：</w:t>
      </w:r>
    </w:p>
    <w:p>
      <w:pPr>
        <w:widowControl w:val="0"/>
        <w:spacing w:line="360" w:lineRule="auto"/>
        <w:ind w:firstLine="361" w:firstLineChars="150"/>
        <w:jc w:val="both"/>
        <w:rPr>
          <w:rFonts w:ascii="Times New Roman" w:hAnsi="Times New Roman" w:cs="Times New Roman"/>
          <w:kern w:val="2"/>
          <w:shd w:val="clear" w:color="auto" w:fill="FFFFFF"/>
        </w:rPr>
      </w:pPr>
      <w:r>
        <w:rPr>
          <w:rFonts w:ascii="Times New Roman" w:hAnsi="Times New Roman" w:cs="Times New Roman"/>
          <w:b/>
          <w:bCs/>
          <w:kern w:val="2"/>
          <w:shd w:val="clear" w:color="auto" w:fill="FFFFFF"/>
        </w:rPr>
        <w:t>1</w:t>
      </w:r>
      <w:r>
        <w:rPr>
          <w:rFonts w:ascii="Times New Roman" w:hAnsi="Times New Roman" w:cs="Times New Roman"/>
          <w:kern w:val="2"/>
          <w:shd w:val="clear" w:color="auto" w:fill="FFFFFF"/>
        </w:rPr>
        <w:t xml:space="preserve"> 抽芯铆钉抗剪承载力为钉体抗剪承载力、板件孔壁承压和板件净截面抗剪承载力的较小值。</w:t>
      </w:r>
    </w:p>
    <w:p>
      <w:pPr>
        <w:widowControl w:val="0"/>
        <w:spacing w:line="360" w:lineRule="auto"/>
        <w:ind w:firstLine="361" w:firstLineChars="150"/>
        <w:jc w:val="both"/>
        <w:rPr>
          <w:rFonts w:ascii="Times New Roman" w:hAnsi="Times New Roman" w:cs="Times New Roman"/>
          <w:kern w:val="2"/>
          <w:shd w:val="clear" w:color="auto" w:fill="FFFFFF"/>
        </w:rPr>
      </w:pPr>
      <w:r>
        <w:rPr>
          <w:rFonts w:ascii="Times New Roman" w:hAnsi="Times New Roman" w:cs="Times New Roman"/>
          <w:b/>
          <w:bCs/>
          <w:kern w:val="2"/>
          <w:shd w:val="clear" w:color="auto" w:fill="FFFFFF"/>
        </w:rPr>
        <w:t>2</w:t>
      </w:r>
      <w:r>
        <w:rPr>
          <w:rFonts w:ascii="Times New Roman" w:hAnsi="Times New Roman" w:cs="Times New Roman"/>
          <w:kern w:val="2"/>
          <w:shd w:val="clear" w:color="auto" w:fill="FFFFFF"/>
        </w:rPr>
        <w:t xml:space="preserve"> 孔壁承压承载力</w:t>
      </w:r>
    </w:p>
    <w:p>
      <w:pPr>
        <w:widowControl w:val="0"/>
        <w:spacing w:line="360" w:lineRule="auto"/>
        <w:ind w:firstLine="480" w:firstLineChars="200"/>
        <w:jc w:val="both"/>
        <w:rPr>
          <w:rFonts w:ascii="Times New Roman" w:hAnsi="Times New Roman" w:cs="Times New Roman"/>
          <w:kern w:val="2"/>
          <w:shd w:val="clear" w:color="auto" w:fill="FFFFFF"/>
        </w:rPr>
      </w:pPr>
      <w:r>
        <w:rPr>
          <w:rFonts w:ascii="Times New Roman" w:hAnsi="Times New Roman" w:cs="Times New Roman"/>
          <w:kern w:val="2"/>
          <w:shd w:val="clear" w:color="auto" w:fill="FFFFFF"/>
        </w:rPr>
        <w:t>当</w:t>
      </w:r>
      <m:oMath>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w:rPr>
                    <w:rFonts w:ascii="Cambria Math" w:hAnsi="Cambria Math" w:cs="Times New Roman"/>
                  </w:rPr>
                  <m:t>sup</m:t>
                </m:r>
                <m:ctrlPr>
                  <w:rPr>
                    <w:rFonts w:ascii="Cambria Math" w:hAnsi="Cambria Math" w:cs="Times New Roman"/>
                    <w:i/>
                  </w:rPr>
                </m:ctrlPr>
              </m:sub>
            </m:sSub>
            <m:ctrlPr>
              <w:rPr>
                <w:rFonts w:ascii="Cambria Math" w:hAnsi="Cambria Math" w:cs="Times New Roman"/>
                <w:i/>
              </w:rPr>
            </m:ctrlPr>
          </m:num>
          <m:den>
            <m:r>
              <m:rPr/>
              <w:rPr>
                <w:rFonts w:ascii="Cambria Math" w:hAnsi="Cambria Math" w:cs="Times New Roman"/>
              </w:rPr>
              <m:t>t</m:t>
            </m:r>
            <m:ctrlPr>
              <w:rPr>
                <w:rFonts w:ascii="Cambria Math" w:hAnsi="Cambria Math" w:cs="Times New Roman"/>
                <w:i/>
              </w:rPr>
            </m:ctrlPr>
          </m:den>
        </m:f>
        <m:r>
          <m:rPr/>
          <w:rPr>
            <w:rFonts w:ascii="Cambria Math" w:hAnsi="Cambria Math" w:cs="Times New Roman"/>
          </w:rPr>
          <m:t>=1.0</m:t>
        </m:r>
      </m:oMath>
      <w:r>
        <w:rPr>
          <w:rFonts w:ascii="Times New Roman" w:hAnsi="Times New Roman" w:cs="Times New Roman"/>
        </w:rPr>
        <w:t>：</w:t>
      </w:r>
    </w:p>
    <w:p>
      <w:pPr>
        <w:widowControl w:val="0"/>
        <w:spacing w:line="360" w:lineRule="auto"/>
        <w:ind w:right="84"/>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 xml:space="preserve">                                                             F</m:t>
            </m:r>
            <m:ctrlPr>
              <w:rPr>
                <w:rFonts w:ascii="Cambria Math" w:hAnsi="Cambria Math" w:cs="Times New Roman"/>
              </w:rPr>
            </m:ctrlPr>
          </m:e>
          <m:sub>
            <m:r>
              <m:rPr/>
              <w:rPr>
                <w:rFonts w:ascii="Cambria Math" w:hAnsi="Cambria Math" w:cs="Times New Roman"/>
              </w:rPr>
              <m:t>b</m:t>
            </m:r>
            <m:ctrlPr>
              <w:rPr>
                <w:rFonts w:ascii="Cambria Math" w:hAnsi="Cambria Math" w:cs="Times New Roman"/>
              </w:rPr>
            </m:ctrlPr>
          </m:sub>
        </m:sSub>
        <m:r>
          <m:rPr/>
          <w:rPr>
            <w:rFonts w:ascii="Cambria Math" w:hAnsi="Cambria Math" w:cs="Times New Roman"/>
          </w:rPr>
          <m:t>=2</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u</m:t>
            </m:r>
            <m:ctrlPr>
              <w:rPr>
                <w:rFonts w:ascii="Cambria Math" w:hAnsi="Cambria Math" w:cs="Times New Roman"/>
                <w:i/>
              </w:rPr>
            </m:ctrlPr>
          </m:sub>
        </m:sSub>
        <m:rad>
          <m:radPr>
            <m:degHide m:val="1"/>
            <m:ctrlPr>
              <w:rPr>
                <w:rFonts w:ascii="Cambria Math" w:hAnsi="Cambria Math" w:cs="Times New Roman"/>
                <w:i/>
              </w:rPr>
            </m:ctrlPr>
          </m:radPr>
          <m:deg>
            <m:ctrlPr>
              <w:rPr>
                <w:rFonts w:ascii="Cambria Math" w:hAnsi="Cambria Math" w:cs="Times New Roman"/>
                <w:i/>
              </w:rPr>
            </m:ctrlPr>
          </m:deg>
          <m:e>
            <m:sSup>
              <m:sSupPr>
                <m:ctrlPr>
                  <w:rPr>
                    <w:rFonts w:ascii="Cambria Math" w:hAnsi="Cambria Math" w:cs="Times New Roman"/>
                    <w:i/>
                  </w:rPr>
                </m:ctrlPr>
              </m:sSupPr>
              <m:e>
                <m:r>
                  <m:rPr/>
                  <w:rPr>
                    <w:rFonts w:ascii="Cambria Math" w:hAnsi="Cambria Math" w:cs="Times New Roman"/>
                  </w:rPr>
                  <m:t>t</m:t>
                </m:r>
                <m:ctrlPr>
                  <w:rPr>
                    <w:rFonts w:ascii="Cambria Math" w:hAnsi="Cambria Math" w:cs="Times New Roman"/>
                    <w:i/>
                  </w:rPr>
                </m:ctrlPr>
              </m:e>
              <m:sup>
                <m:r>
                  <m:rPr/>
                  <w:rPr>
                    <w:rFonts w:ascii="Cambria Math" w:hAnsi="Cambria Math" w:cs="Times New Roman"/>
                  </w:rPr>
                  <m:t>3</m:t>
                </m:r>
                <m:ctrlPr>
                  <w:rPr>
                    <w:rFonts w:ascii="Cambria Math" w:hAnsi="Cambria Math" w:cs="Times New Roman"/>
                    <w:i/>
                  </w:rPr>
                </m:ctrlPr>
              </m:sup>
            </m:sSup>
            <m:r>
              <m:rPr/>
              <w:rPr>
                <w:rFonts w:ascii="Cambria Math" w:hAnsi="Cambria Math" w:cs="Times New Roman"/>
              </w:rPr>
              <m:t xml:space="preserve">d   </m:t>
            </m:r>
            <m:ctrlPr>
              <w:rPr>
                <w:rFonts w:ascii="Cambria Math" w:hAnsi="Cambria Math" w:cs="Times New Roman"/>
                <w:i/>
              </w:rPr>
            </m:ctrlPr>
          </m:e>
        </m:rad>
      </m:oMath>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   (8.3.7-1)</w:t>
      </w:r>
    </w:p>
    <w:p>
      <w:pPr>
        <w:widowControl w:val="0"/>
        <w:spacing w:line="360" w:lineRule="auto"/>
        <w:ind w:right="84" w:firstLine="3000" w:firstLineChars="1250"/>
        <w:rPr>
          <w:rFonts w:ascii="Times New Roman" w:hAnsi="Times New Roman" w:cs="Times New Roman"/>
        </w:rPr>
      </w:pPr>
      <w:r>
        <w:rPr>
          <w:rFonts w:ascii="Times New Roman" w:hAnsi="Times New Roman" w:cs="Times New Roman"/>
        </w:rPr>
        <w:t>且</w:t>
      </w: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b</m:t>
            </m:r>
            <m:ctrlPr>
              <w:rPr>
                <w:rFonts w:ascii="Cambria Math" w:hAnsi="Cambria Math" w:cs="Times New Roman"/>
              </w:rPr>
            </m:ctrlPr>
          </m:sub>
        </m:sSub>
        <m:r>
          <m:rPr/>
          <w:rPr>
            <w:rFonts w:ascii="Cambria Math" w:hAnsi="Cambria Math" w:cs="Times New Roman"/>
          </w:rPr>
          <m:t>≤1.2</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u</m:t>
            </m:r>
            <m:ctrlPr>
              <w:rPr>
                <w:rFonts w:ascii="Cambria Math" w:hAnsi="Cambria Math" w:cs="Times New Roman"/>
                <w:i/>
              </w:rPr>
            </m:ctrlPr>
          </m:sub>
        </m:sSub>
        <m:r>
          <m:rPr/>
          <w:rPr>
            <w:rFonts w:ascii="Cambria Math" w:hAnsi="Cambria Math" w:cs="Times New Roman"/>
          </w:rPr>
          <m:t xml:space="preserve">td                                          </m:t>
        </m:r>
      </m:oMath>
      <w:r>
        <w:rPr>
          <w:rFonts w:ascii="Times New Roman" w:hAnsi="Times New Roman" w:cs="Times New Roman"/>
        </w:rPr>
        <w:tab/>
      </w:r>
      <w:r>
        <w:rPr>
          <w:rFonts w:ascii="Times New Roman" w:hAnsi="Times New Roman" w:cs="Times New Roman"/>
        </w:rPr>
        <w:t xml:space="preserve">   (8.3.7-2)</w:t>
      </w:r>
    </w:p>
    <w:p>
      <w:pPr>
        <w:widowControl w:val="0"/>
        <w:spacing w:line="360" w:lineRule="auto"/>
        <w:ind w:right="504" w:firstLine="480" w:firstLineChars="200"/>
        <w:jc w:val="both"/>
        <w:rPr>
          <w:rFonts w:ascii="Times New Roman" w:hAnsi="Times New Roman" w:cs="Times New Roman"/>
        </w:rPr>
      </w:pPr>
      <w:r>
        <w:rPr>
          <w:rFonts w:ascii="Times New Roman" w:hAnsi="Times New Roman" w:cs="Times New Roman"/>
        </w:rPr>
        <w:t>式中：</w:t>
      </w: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b</m:t>
            </m:r>
            <m:ctrlPr>
              <w:rPr>
                <w:rFonts w:ascii="Cambria Math" w:hAnsi="Cambria Math" w:cs="Times New Roman"/>
                <w:i/>
              </w:rPr>
            </m:ctrlPr>
          </m:sub>
        </m:sSub>
      </m:oMath>
      <w:r>
        <w:rPr>
          <w:rFonts w:ascii="Times New Roman" w:hAnsi="Times New Roman" w:eastAsia="黑体" w:cs="Times New Roman"/>
          <w:kern w:val="2"/>
        </w:rPr>
        <w:t>——</w:t>
      </w:r>
      <w:r>
        <w:rPr>
          <w:rFonts w:ascii="Times New Roman" w:hAnsi="Times New Roman" w:cs="Times New Roman"/>
        </w:rPr>
        <w:t>抽芯铆钉孔壁承压抗剪承载力设计值</w:t>
      </w:r>
      <w:r>
        <w:rPr>
          <w:rFonts w:ascii="Times New Roman" w:hAnsi="Times New Roman" w:cs="Times New Roman"/>
          <w:bCs/>
          <w:kern w:val="2"/>
        </w:rPr>
        <w:t>（N）</w:t>
      </w:r>
      <w:r>
        <w:rPr>
          <w:rFonts w:ascii="Times New Roman" w:hAnsi="Times New Roman" w:cs="Times New Roman"/>
        </w:rPr>
        <w:t>；</w:t>
      </w:r>
    </w:p>
    <w:p>
      <w:pPr>
        <w:widowControl w:val="0"/>
        <w:spacing w:line="360" w:lineRule="auto"/>
        <w:ind w:left="420" w:right="504" w:firstLine="720" w:firstLineChars="300"/>
        <w:jc w:val="both"/>
        <w:rPr>
          <w:rFonts w:ascii="Times New Roman" w:hAnsi="Times New Roman" w:cs="Times New Roman"/>
        </w:rPr>
      </w:pPr>
      <m:oMath>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w:rPr>
                <w:rFonts w:ascii="Cambria Math" w:hAnsi="Cambria Math" w:cs="Times New Roman"/>
              </w:rPr>
              <m:t>sup</m:t>
            </m:r>
            <m:ctrlPr>
              <w:rPr>
                <w:rFonts w:ascii="Cambria Math" w:hAnsi="Cambria Math" w:cs="Times New Roman"/>
                <w:i/>
              </w:rPr>
            </m:ctrlPr>
          </m:sub>
        </m:sSub>
      </m:oMath>
      <w:r>
        <w:rPr>
          <w:rFonts w:ascii="Times New Roman" w:hAnsi="Times New Roman" w:eastAsia="黑体" w:cs="Times New Roman"/>
          <w:kern w:val="2"/>
        </w:rPr>
        <w:t>——</w:t>
      </w:r>
      <w:r>
        <w:rPr>
          <w:rFonts w:ascii="Times New Roman" w:hAnsi="Times New Roman" w:cs="Times New Roman"/>
        </w:rPr>
        <w:t>支撑抽芯铆钉的构件的厚度</w:t>
      </w:r>
      <w:r>
        <w:rPr>
          <w:rFonts w:ascii="Times New Roman" w:hAnsi="Times New Roman" w:cs="Times New Roman"/>
          <w:bCs/>
          <w:kern w:val="2"/>
        </w:rPr>
        <w:t>（mm）</w:t>
      </w:r>
      <w:r>
        <w:rPr>
          <w:rFonts w:ascii="Times New Roman" w:hAnsi="Times New Roman" w:cs="Times New Roman"/>
        </w:rPr>
        <w:t>；</w:t>
      </w:r>
    </w:p>
    <w:p>
      <w:pPr>
        <w:widowControl w:val="0"/>
        <w:spacing w:line="360" w:lineRule="auto"/>
        <w:ind w:left="360" w:leftChars="150" w:right="504" w:firstLine="840" w:firstLineChars="350"/>
        <w:jc w:val="both"/>
        <w:rPr>
          <w:rFonts w:ascii="Times New Roman" w:hAnsi="Times New Roman" w:cs="Times New Roman"/>
        </w:rPr>
      </w:pPr>
      <w:r>
        <w:rPr>
          <w:rFonts w:ascii="Times New Roman" w:hAnsi="Times New Roman" w:eastAsia="黑体" w:cs="Times New Roman"/>
          <w:i/>
          <w:iCs/>
          <w:kern w:val="2"/>
        </w:rPr>
        <w:t>d</w:t>
      </w:r>
      <w:r>
        <w:rPr>
          <w:rFonts w:ascii="Times New Roman" w:hAnsi="Times New Roman" w:eastAsia="黑体" w:cs="Times New Roman"/>
          <w:kern w:val="2"/>
        </w:rPr>
        <w:t>——</w:t>
      </w:r>
      <w:r>
        <w:rPr>
          <w:rFonts w:ascii="Times New Roman" w:hAnsi="Times New Roman" w:cs="Times New Roman"/>
        </w:rPr>
        <w:t>抽芯铆钉直径</w:t>
      </w:r>
      <w:r>
        <w:rPr>
          <w:rFonts w:ascii="Times New Roman" w:hAnsi="Times New Roman" w:cs="Times New Roman"/>
          <w:bCs/>
          <w:kern w:val="2"/>
        </w:rPr>
        <w:t>（mm）</w:t>
      </w:r>
      <w:r>
        <w:rPr>
          <w:rFonts w:ascii="Times New Roman" w:hAnsi="Times New Roman" w:cs="Times New Roman"/>
        </w:rPr>
        <w:t>。</w:t>
      </w:r>
    </w:p>
    <w:p>
      <w:pPr>
        <w:widowControl w:val="0"/>
        <w:spacing w:line="360" w:lineRule="auto"/>
        <w:ind w:firstLine="480" w:firstLineChars="200"/>
        <w:jc w:val="both"/>
        <w:rPr>
          <w:rFonts w:ascii="Times New Roman" w:hAnsi="Times New Roman" w:cs="Times New Roman"/>
          <w:kern w:val="2"/>
          <w:shd w:val="clear" w:color="auto" w:fill="FFFFFF"/>
        </w:rPr>
      </w:pPr>
      <w:r>
        <w:rPr>
          <w:rFonts w:ascii="Times New Roman" w:hAnsi="Times New Roman" w:cs="Times New Roman"/>
          <w:kern w:val="2"/>
          <w:shd w:val="clear" w:color="auto" w:fill="FFFFFF"/>
        </w:rPr>
        <w:t>当</w:t>
      </w:r>
      <m:oMath>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w:rPr>
                    <w:rFonts w:ascii="Cambria Math" w:hAnsi="Cambria Math" w:cs="Times New Roman"/>
                  </w:rPr>
                  <m:t>sup</m:t>
                </m:r>
                <m:ctrlPr>
                  <w:rPr>
                    <w:rFonts w:ascii="Cambria Math" w:hAnsi="Cambria Math" w:cs="Times New Roman"/>
                    <w:i/>
                  </w:rPr>
                </m:ctrlPr>
              </m:sub>
            </m:sSub>
            <m:ctrlPr>
              <w:rPr>
                <w:rFonts w:ascii="Cambria Math" w:hAnsi="Cambria Math" w:cs="Times New Roman"/>
                <w:i/>
              </w:rPr>
            </m:ctrlPr>
          </m:num>
          <m:den>
            <m:r>
              <m:rPr/>
              <w:rPr>
                <w:rFonts w:ascii="Cambria Math" w:hAnsi="Cambria Math" w:cs="Times New Roman"/>
              </w:rPr>
              <m:t>t</m:t>
            </m:r>
            <m:ctrlPr>
              <w:rPr>
                <w:rFonts w:ascii="Cambria Math" w:hAnsi="Cambria Math" w:cs="Times New Roman"/>
                <w:i/>
              </w:rPr>
            </m:ctrlPr>
          </m:den>
        </m:f>
        <m:r>
          <m:rPr/>
          <w:rPr>
            <w:rFonts w:ascii="Cambria Math" w:hAnsi="Cambria Math" w:cs="Times New Roman"/>
          </w:rPr>
          <m:t>≥2.5</m:t>
        </m:r>
      </m:oMath>
      <w:r>
        <w:rPr>
          <w:rFonts w:ascii="Times New Roman" w:hAnsi="Times New Roman" w:cs="Times New Roman"/>
        </w:rPr>
        <w:t>：</w:t>
      </w:r>
    </w:p>
    <w:p>
      <w:pPr>
        <w:widowControl w:val="0"/>
        <w:spacing w:line="360" w:lineRule="auto"/>
        <w:ind w:right="84"/>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 xml:space="preserve">                                                            F</m:t>
            </m:r>
            <m:ctrlPr>
              <w:rPr>
                <w:rFonts w:ascii="Cambria Math" w:hAnsi="Cambria Math" w:cs="Times New Roman"/>
              </w:rPr>
            </m:ctrlPr>
          </m:e>
          <m:sub>
            <m:r>
              <m:rPr/>
              <w:rPr>
                <w:rFonts w:ascii="Cambria Math" w:hAnsi="Cambria Math" w:cs="Times New Roman"/>
              </w:rPr>
              <m:t>b</m:t>
            </m:r>
            <m:ctrlPr>
              <w:rPr>
                <w:rFonts w:ascii="Cambria Math" w:hAnsi="Cambria Math" w:cs="Times New Roman"/>
              </w:rPr>
            </m:ctrlPr>
          </m:sub>
        </m:sSub>
        <m:r>
          <m:rPr/>
          <w:rPr>
            <w:rFonts w:ascii="Cambria Math" w:hAnsi="Cambria Math" w:cs="Times New Roman"/>
          </w:rPr>
          <m:t>=1.2</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u</m:t>
            </m:r>
            <m:ctrlPr>
              <w:rPr>
                <w:rFonts w:ascii="Cambria Math" w:hAnsi="Cambria Math" w:cs="Times New Roman"/>
                <w:i/>
              </w:rPr>
            </m:ctrlPr>
          </m:sub>
        </m:sSub>
        <m:r>
          <m:rPr/>
          <w:rPr>
            <w:rFonts w:ascii="Cambria Math" w:hAnsi="Cambria Math" w:cs="Times New Roman"/>
          </w:rPr>
          <m:t>td</m:t>
        </m:r>
      </m:oMath>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   (8.3.7-3)</w:t>
      </w:r>
    </w:p>
    <w:p>
      <w:pPr>
        <w:widowControl w:val="0"/>
        <w:spacing w:line="360" w:lineRule="auto"/>
        <w:ind w:right="504" w:firstLine="480" w:firstLineChars="200"/>
        <w:jc w:val="both"/>
        <w:rPr>
          <w:rFonts w:ascii="Times New Roman" w:hAnsi="Times New Roman" w:cs="Times New Roman"/>
        </w:rPr>
      </w:pPr>
      <w:r>
        <w:rPr>
          <w:rFonts w:ascii="Times New Roman" w:hAnsi="Times New Roman" w:cs="Times New Roman"/>
        </w:rPr>
        <w:t>式中：</w:t>
      </w: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u</m:t>
            </m:r>
            <m:ctrlPr>
              <w:rPr>
                <w:rFonts w:ascii="Cambria Math" w:hAnsi="Cambria Math" w:cs="Times New Roman"/>
              </w:rPr>
            </m:ctrlPr>
          </m:sub>
        </m:sSub>
        <m:r>
          <m:rPr>
            <m:sty m:val="p"/>
          </m:rPr>
          <w:rPr>
            <w:rFonts w:ascii="Cambria Math" w:hAnsi="Cambria Math" w:cs="Times New Roman"/>
          </w:rPr>
          <m:t>&gt;</m:t>
        </m:r>
        <m:r>
          <m:rPr/>
          <w:rPr>
            <w:rFonts w:ascii="Cambria Math" w:hAnsi="Cambria Math" w:cs="Times New Roman"/>
          </w:rPr>
          <m:t>260N/</m:t>
        </m:r>
        <m:sSup>
          <m:sSupPr>
            <m:ctrlPr>
              <w:rPr>
                <w:rFonts w:ascii="Cambria Math" w:hAnsi="Cambria Math" w:cs="Times New Roman"/>
              </w:rPr>
            </m:ctrlPr>
          </m:sSupPr>
          <m:e>
            <m:r>
              <m:rPr>
                <m:sty m:val="p"/>
              </m:rPr>
              <w:rPr>
                <w:rFonts w:ascii="Cambria Math" w:hAnsi="Cambria Math" w:cs="Times New Roman"/>
              </w:rPr>
              <m:t>mm</m:t>
            </m:r>
            <m:ctrlPr>
              <w:rPr>
                <w:rFonts w:ascii="Cambria Math" w:hAnsi="Cambria Math" w:cs="Times New Roman"/>
              </w:rPr>
            </m:ctrlPr>
          </m:e>
          <m:sup>
            <m:r>
              <m:rPr>
                <m:sty m:val="p"/>
              </m:rPr>
              <w:rPr>
                <w:rFonts w:ascii="Cambria Math" w:hAnsi="Cambria Math" w:cs="Times New Roman"/>
              </w:rPr>
              <m:t>2</m:t>
            </m:r>
            <m:ctrlPr>
              <w:rPr>
                <w:rFonts w:ascii="Cambria Math" w:hAnsi="Cambria Math" w:cs="Times New Roman"/>
              </w:rPr>
            </m:ctrlPr>
          </m:sup>
        </m:sSup>
      </m:oMath>
      <w:r>
        <w:rPr>
          <w:rFonts w:ascii="Times New Roman" w:hAnsi="Times New Roman" w:cs="Times New Roman"/>
        </w:rPr>
        <w:t>时，取</w:t>
      </w: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u</m:t>
            </m:r>
            <m:ctrlPr>
              <w:rPr>
                <w:rFonts w:ascii="Cambria Math" w:hAnsi="Cambria Math" w:cs="Times New Roman"/>
              </w:rPr>
            </m:ctrlPr>
          </m:sub>
        </m:sSub>
        <m:r>
          <m:rPr>
            <m:sty m:val="p"/>
          </m:rPr>
          <w:rPr>
            <w:rFonts w:ascii="Cambria Math" w:hAnsi="Cambria Math" w:cs="Times New Roman"/>
          </w:rPr>
          <m:t>=260N/</m:t>
        </m:r>
        <m:sSup>
          <m:sSupPr>
            <m:ctrlPr>
              <w:rPr>
                <w:rFonts w:ascii="Cambria Math" w:hAnsi="Cambria Math" w:cs="Times New Roman"/>
              </w:rPr>
            </m:ctrlPr>
          </m:sSupPr>
          <m:e>
            <m:r>
              <m:rPr>
                <m:sty m:val="p"/>
              </m:rPr>
              <w:rPr>
                <w:rFonts w:ascii="Cambria Math" w:hAnsi="Cambria Math" w:cs="Times New Roman"/>
              </w:rPr>
              <m:t>mm</m:t>
            </m:r>
            <m:ctrlPr>
              <w:rPr>
                <w:rFonts w:ascii="Cambria Math" w:hAnsi="Cambria Math" w:cs="Times New Roman"/>
              </w:rPr>
            </m:ctrlPr>
          </m:e>
          <m:sup>
            <m:r>
              <m:rPr>
                <m:sty m:val="p"/>
              </m:rPr>
              <w:rPr>
                <w:rFonts w:ascii="Cambria Math" w:hAnsi="Cambria Math" w:cs="Times New Roman"/>
              </w:rPr>
              <m:t>2</m:t>
            </m:r>
            <m:ctrlPr>
              <w:rPr>
                <w:rFonts w:ascii="Cambria Math" w:hAnsi="Cambria Math" w:cs="Times New Roman"/>
              </w:rPr>
            </m:ctrlPr>
          </m:sup>
        </m:sSup>
      </m:oMath>
      <w:r>
        <w:rPr>
          <w:rFonts w:ascii="Times New Roman" w:hAnsi="Times New Roman" w:cs="Times New Roman"/>
        </w:rPr>
        <w:t>。</w:t>
      </w:r>
    </w:p>
    <w:p>
      <w:pPr>
        <w:widowControl w:val="0"/>
        <w:spacing w:line="360" w:lineRule="auto"/>
        <w:jc w:val="both"/>
        <w:rPr>
          <w:rFonts w:ascii="Times New Roman" w:hAnsi="Times New Roman" w:cs="Times New Roman"/>
          <w:kern w:val="2"/>
        </w:rPr>
      </w:pPr>
      <w:r>
        <w:rPr>
          <w:rFonts w:ascii="Times New Roman" w:hAnsi="Times New Roman" w:cs="Times New Roman"/>
          <w:b/>
          <w:kern w:val="2"/>
        </w:rPr>
        <w:t>8.3.8</w:t>
      </w:r>
      <w:r>
        <w:rPr>
          <w:rFonts w:ascii="Times New Roman" w:hAnsi="Times New Roman" w:cs="Times New Roman"/>
          <w:kern w:val="2"/>
        </w:rPr>
        <w:t xml:space="preserve"> 抽芯铆钉抗拉承载力计算应符合下列要求：</w:t>
      </w:r>
    </w:p>
    <w:p>
      <w:pPr>
        <w:widowControl w:val="0"/>
        <w:spacing w:line="360" w:lineRule="auto"/>
        <w:ind w:right="84" w:firstLine="361" w:firstLineChars="150"/>
        <w:rPr>
          <w:rFonts w:ascii="Times New Roman" w:hAnsi="Times New Roman" w:cs="Times New Roman"/>
          <w:bCs/>
          <w:kern w:val="2"/>
        </w:rPr>
      </w:pPr>
      <w:r>
        <w:rPr>
          <w:rFonts w:ascii="Times New Roman" w:hAnsi="Times New Roman" w:cs="Times New Roman"/>
          <w:b/>
        </w:rPr>
        <w:t>1</w:t>
      </w:r>
      <w:r>
        <w:rPr>
          <w:rFonts w:ascii="Times New Roman" w:hAnsi="Times New Roman" w:cs="Times New Roman"/>
        </w:rPr>
        <w:t xml:space="preserve"> 抽芯铆钉</w:t>
      </w:r>
      <w:r>
        <w:rPr>
          <w:rFonts w:ascii="Times New Roman" w:hAnsi="Times New Roman" w:cs="Times New Roman"/>
          <w:bCs/>
          <w:kern w:val="2"/>
        </w:rPr>
        <w:t>钉帽从钉孔中脱出破坏承载力设计值.</w:t>
      </w:r>
    </w:p>
    <w:p>
      <w:pPr>
        <w:widowControl w:val="0"/>
        <w:spacing w:line="360" w:lineRule="auto"/>
        <w:ind w:firstLine="480" w:firstLineChars="200"/>
        <w:jc w:val="both"/>
        <w:rPr>
          <w:rFonts w:ascii="Times New Roman" w:hAnsi="Times New Roman" w:cs="Times New Roman"/>
          <w:bCs/>
          <w:kern w:val="2"/>
        </w:rPr>
      </w:pPr>
      <w:r>
        <w:rPr>
          <w:rFonts w:ascii="Times New Roman" w:hAnsi="Times New Roman" w:cs="Times New Roman"/>
          <w:bCs/>
          <w:kern w:val="2"/>
        </w:rPr>
        <w:t>当</w:t>
      </w:r>
      <m:oMath>
        <m:r>
          <m:rPr/>
          <w:rPr>
            <w:rFonts w:ascii="Cambria Math" w:hAnsi="Cambria Math" w:cs="Times New Roman"/>
            <w:kern w:val="2"/>
          </w:rPr>
          <m:t>t</m:t>
        </m:r>
        <m:r>
          <m:rPr>
            <m:sty m:val="p"/>
          </m:rPr>
          <w:rPr>
            <w:rFonts w:ascii="Cambria Math" w:hAnsi="Cambria Math" w:cs="Times New Roman"/>
            <w:kern w:val="2"/>
          </w:rPr>
          <m:t>≤1.5</m:t>
        </m:r>
        <m:r>
          <m:rPr/>
          <w:rPr>
            <w:rFonts w:ascii="Cambria Math" w:hAnsi="Cambria Math" w:cs="Times New Roman"/>
            <w:kern w:val="2"/>
          </w:rPr>
          <m:t>mm</m:t>
        </m:r>
        <m:r>
          <m:rPr>
            <m:sty m:val="p"/>
          </m:rPr>
          <w:rPr>
            <w:rFonts w:ascii="Cambria Math" w:hAnsi="Cambria Math" w:cs="Times New Roman"/>
            <w:kern w:val="2"/>
          </w:rPr>
          <m:t>;</m:t>
        </m:r>
        <m:sSub>
          <m:sSubPr>
            <m:ctrlPr>
              <w:rPr>
                <w:rFonts w:ascii="Cambria Math" w:hAnsi="Cambria Math" w:cs="Times New Roman"/>
                <w:kern w:val="2"/>
              </w:rPr>
            </m:ctrlPr>
          </m:sSubPr>
          <m:e>
            <m:r>
              <m:rPr/>
              <w:rPr>
                <w:rFonts w:ascii="Cambria Math" w:hAnsi="Cambria Math" w:cs="Times New Roman"/>
                <w:kern w:val="2"/>
              </w:rPr>
              <m:t>d</m:t>
            </m:r>
            <m:ctrlPr>
              <w:rPr>
                <w:rFonts w:ascii="Cambria Math" w:hAnsi="Cambria Math" w:cs="Times New Roman"/>
                <w:kern w:val="2"/>
              </w:rPr>
            </m:ctrlPr>
          </m:e>
          <m:sub>
            <m:r>
              <m:rPr/>
              <w:rPr>
                <w:rFonts w:ascii="Cambria Math" w:hAnsi="Cambria Math" w:cs="Times New Roman"/>
                <w:kern w:val="2"/>
              </w:rPr>
              <m:t>w</m:t>
            </m:r>
            <m:ctrlPr>
              <w:rPr>
                <w:rFonts w:ascii="Cambria Math" w:hAnsi="Cambria Math" w:cs="Times New Roman"/>
                <w:kern w:val="2"/>
              </w:rPr>
            </m:ctrlPr>
          </m:sub>
        </m:sSub>
        <m:r>
          <m:rPr>
            <m:sty m:val="p"/>
          </m:rPr>
          <w:rPr>
            <w:rFonts w:ascii="Cambria Math" w:hAnsi="Cambria Math" w:cs="Times New Roman"/>
            <w:kern w:val="2"/>
          </w:rPr>
          <m:t>≥9.5</m:t>
        </m:r>
        <m:r>
          <m:rPr/>
          <w:rPr>
            <w:rFonts w:ascii="Cambria Math" w:hAnsi="Cambria Math" w:cs="Times New Roman"/>
            <w:kern w:val="2"/>
          </w:rPr>
          <m:t>mm</m:t>
        </m:r>
      </m:oMath>
    </w:p>
    <w:p>
      <w:pPr>
        <w:widowControl w:val="0"/>
        <w:spacing w:line="360" w:lineRule="auto"/>
        <w:jc w:val="right"/>
        <w:rPr>
          <w:rFonts w:ascii="Times New Roman" w:hAnsi="Times New Roman" w:cs="Times New Roman"/>
          <w:kern w:val="2"/>
        </w:rPr>
      </w:pPr>
      <m:oMath>
        <m:sSub>
          <m:sSubPr>
            <m:ctrlPr>
              <w:rPr>
                <w:rFonts w:ascii="Cambria Math" w:hAnsi="Cambria Math" w:cs="Times New Roman"/>
                <w:bCs/>
                <w:kern w:val="2"/>
              </w:rPr>
            </m:ctrlPr>
          </m:sSubPr>
          <m:e>
            <m:r>
              <m:rPr/>
              <w:rPr>
                <w:rFonts w:ascii="Cambria Math" w:hAnsi="Cambria Math" w:cs="Times New Roman"/>
                <w:kern w:val="2"/>
              </w:rPr>
              <m:t xml:space="preserve">                                        F</m:t>
            </m:r>
            <m:ctrlPr>
              <w:rPr>
                <w:rFonts w:ascii="Cambria Math" w:hAnsi="Cambria Math" w:cs="Times New Roman"/>
                <w:bCs/>
                <w:kern w:val="2"/>
              </w:rPr>
            </m:ctrlPr>
          </m:e>
          <m:sub>
            <m:r>
              <m:rPr/>
              <w:rPr>
                <w:rFonts w:ascii="Cambria Math" w:hAnsi="Cambria Math" w:cs="Times New Roman"/>
                <w:kern w:val="2"/>
              </w:rPr>
              <m:t>p</m:t>
            </m:r>
            <m:ctrlPr>
              <w:rPr>
                <w:rFonts w:ascii="Cambria Math" w:hAnsi="Cambria Math" w:cs="Times New Roman"/>
                <w:bCs/>
                <w:kern w:val="2"/>
              </w:rPr>
            </m:ctrlPr>
          </m:sub>
        </m:sSub>
        <m:r>
          <m:rPr>
            <m:sty m:val="p"/>
          </m:rPr>
          <w:rPr>
            <w:rFonts w:ascii="Cambria Math" w:hAnsi="Cambria Math" w:cs="Times New Roman"/>
            <w:kern w:val="2"/>
          </w:rPr>
          <m:t>=1.88</m:t>
        </m:r>
        <m:sSub>
          <m:sSubPr>
            <m:ctrlPr>
              <w:rPr>
                <w:rFonts w:ascii="Cambria Math" w:hAnsi="Cambria Math" w:cs="Times New Roman"/>
                <w:bCs/>
                <w:kern w:val="2"/>
              </w:rPr>
            </m:ctrlPr>
          </m:sSubPr>
          <m:e>
            <m:r>
              <m:rPr/>
              <w:rPr>
                <w:rFonts w:ascii="Cambria Math" w:hAnsi="Cambria Math" w:cs="Times New Roman"/>
                <w:kern w:val="2"/>
              </w:rPr>
              <m:t>α</m:t>
            </m:r>
            <m:ctrlPr>
              <w:rPr>
                <w:rFonts w:ascii="Cambria Math" w:hAnsi="Cambria Math" w:cs="Times New Roman"/>
                <w:bCs/>
                <w:kern w:val="2"/>
              </w:rPr>
            </m:ctrlPr>
          </m:e>
          <m:sub>
            <m:r>
              <m:rPr/>
              <w:rPr>
                <w:rFonts w:ascii="Cambria Math" w:hAnsi="Cambria Math" w:cs="Times New Roman"/>
                <w:kern w:val="2"/>
              </w:rPr>
              <m:t>E</m:t>
            </m:r>
            <m:ctrlPr>
              <w:rPr>
                <w:rFonts w:ascii="Cambria Math" w:hAnsi="Cambria Math" w:cs="Times New Roman"/>
                <w:bCs/>
                <w:kern w:val="2"/>
              </w:rPr>
            </m:ctrlPr>
          </m:sub>
        </m:sSub>
        <m:r>
          <m:rPr/>
          <w:rPr>
            <w:rFonts w:ascii="Cambria Math" w:hAnsi="Cambria Math" w:cs="Times New Roman"/>
            <w:kern w:val="2"/>
          </w:rPr>
          <m:t>t</m:t>
        </m:r>
        <m:sSub>
          <m:sSubPr>
            <m:ctrlPr>
              <w:rPr>
                <w:rFonts w:ascii="Cambria Math" w:hAnsi="Cambria Math" w:cs="Times New Roman"/>
                <w:i/>
                <w:kern w:val="2"/>
              </w:rPr>
            </m:ctrlPr>
          </m:sSubPr>
          <m:e>
            <m:r>
              <m:rPr/>
              <w:rPr>
                <w:rFonts w:ascii="Cambria Math" w:hAnsi="Cambria Math" w:cs="Times New Roman"/>
                <w:kern w:val="2"/>
              </w:rPr>
              <m:t>f</m:t>
            </m:r>
            <m:ctrlPr>
              <w:rPr>
                <w:rFonts w:ascii="Cambria Math" w:hAnsi="Cambria Math" w:cs="Times New Roman"/>
                <w:i/>
                <w:kern w:val="2"/>
              </w:rPr>
            </m:ctrlPr>
          </m:e>
          <m:sub>
            <m:r>
              <m:rPr/>
              <w:rPr>
                <w:rFonts w:ascii="Cambria Math" w:hAnsi="Cambria Math" w:cs="Times New Roman"/>
                <w:kern w:val="2"/>
              </w:rPr>
              <m:t>y</m:t>
            </m:r>
            <m:ctrlPr>
              <w:rPr>
                <w:rFonts w:ascii="Cambria Math" w:hAnsi="Cambria Math" w:cs="Times New Roman"/>
                <w:i/>
                <w:kern w:val="2"/>
              </w:rPr>
            </m:ctrlPr>
          </m:sub>
        </m:sSub>
      </m:oMath>
      <w:r>
        <w:rPr>
          <w:rFonts w:ascii="Times New Roman" w:hAnsi="Times New Roman" w:cs="Times New Roman"/>
          <w:kern w:val="2"/>
        </w:rPr>
        <w:t xml:space="preserve">                             (8.3.8-1)</w:t>
      </w:r>
    </w:p>
    <w:p>
      <w:pPr>
        <w:widowControl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式中：</w:t>
      </w:r>
      <m:oMath>
        <m:r>
          <m:rPr/>
          <w:rPr>
            <w:rFonts w:ascii="Cambria Math" w:hAnsi="Cambria Math" w:cs="Times New Roman"/>
            <w:kern w:val="2"/>
          </w:rPr>
          <m:t>f</m:t>
        </m:r>
        <m:r>
          <m:rPr>
            <m:sty m:val="p"/>
          </m:rPr>
          <w:rPr>
            <w:rFonts w:ascii="Cambria Math" w:hAnsi="Cambria Math" w:cs="Times New Roman"/>
            <w:kern w:val="2"/>
          </w:rPr>
          <m:t>&gt;</m:t>
        </m:r>
        <m:r>
          <m:rPr/>
          <w:rPr>
            <w:rFonts w:ascii="Cambria Math" w:hAnsi="Cambria Math" w:cs="Times New Roman"/>
            <w:kern w:val="2"/>
          </w:rPr>
          <m:t>180N/</m:t>
        </m:r>
        <m:sSup>
          <m:sSupPr>
            <m:ctrlPr>
              <w:rPr>
                <w:rFonts w:ascii="Cambria Math" w:hAnsi="Cambria Math" w:cs="Times New Roman"/>
                <w:kern w:val="2"/>
              </w:rPr>
            </m:ctrlPr>
          </m:sSupPr>
          <m:e>
            <m:r>
              <m:rPr/>
              <w:rPr>
                <w:rFonts w:ascii="Cambria Math" w:hAnsi="Cambria Math" w:cs="Times New Roman"/>
                <w:kern w:val="2"/>
              </w:rPr>
              <m:t>mm</m:t>
            </m:r>
            <m:ctrlPr>
              <w:rPr>
                <w:rFonts w:ascii="Cambria Math" w:hAnsi="Cambria Math" w:cs="Times New Roman"/>
                <w:kern w:val="2"/>
              </w:rPr>
            </m:ctrlPr>
          </m:e>
          <m:sup>
            <m:r>
              <m:rPr>
                <m:sty m:val="p"/>
              </m:rPr>
              <w:rPr>
                <w:rFonts w:ascii="Cambria Math" w:hAnsi="Cambria Math" w:cs="Times New Roman"/>
                <w:kern w:val="2"/>
              </w:rPr>
              <m:t>2</m:t>
            </m:r>
            <m:ctrlPr>
              <w:rPr>
                <w:rFonts w:ascii="Cambria Math" w:hAnsi="Cambria Math" w:cs="Times New Roman"/>
                <w:kern w:val="2"/>
              </w:rPr>
            </m:ctrlPr>
          </m:sup>
        </m:sSup>
      </m:oMath>
      <w:r>
        <w:rPr>
          <w:rFonts w:ascii="Times New Roman" w:hAnsi="Times New Roman" w:cs="Times New Roman"/>
          <w:kern w:val="2"/>
        </w:rPr>
        <w:t>时，取</w:t>
      </w:r>
      <m:oMath>
        <m:r>
          <m:rPr/>
          <w:rPr>
            <w:rFonts w:ascii="Cambria Math" w:hAnsi="Cambria Math" w:cs="Times New Roman"/>
            <w:kern w:val="2"/>
          </w:rPr>
          <m:t>f</m:t>
        </m:r>
        <m:r>
          <m:rPr>
            <m:sty m:val="p"/>
          </m:rPr>
          <w:rPr>
            <w:rFonts w:ascii="Cambria Math" w:hAnsi="Cambria Math" w:cs="Times New Roman"/>
            <w:kern w:val="2"/>
          </w:rPr>
          <m:t>=180N/</m:t>
        </m:r>
        <m:sSup>
          <m:sSupPr>
            <m:ctrlPr>
              <w:rPr>
                <w:rFonts w:ascii="Cambria Math" w:hAnsi="Cambria Math" w:cs="Times New Roman"/>
                <w:kern w:val="2"/>
              </w:rPr>
            </m:ctrlPr>
          </m:sSupPr>
          <m:e>
            <m:r>
              <m:rPr>
                <m:sty m:val="p"/>
              </m:rPr>
              <w:rPr>
                <w:rFonts w:ascii="Cambria Math" w:hAnsi="Cambria Math" w:cs="Times New Roman"/>
                <w:kern w:val="2"/>
              </w:rPr>
              <m:t>mm</m:t>
            </m:r>
            <m:ctrlPr>
              <w:rPr>
                <w:rFonts w:ascii="Cambria Math" w:hAnsi="Cambria Math" w:cs="Times New Roman"/>
                <w:kern w:val="2"/>
              </w:rPr>
            </m:ctrlPr>
          </m:e>
          <m:sup>
            <m:r>
              <m:rPr>
                <m:sty m:val="p"/>
              </m:rPr>
              <w:rPr>
                <w:rFonts w:ascii="Cambria Math" w:hAnsi="Cambria Math" w:cs="Times New Roman"/>
                <w:kern w:val="2"/>
              </w:rPr>
              <m:t>2</m:t>
            </m:r>
            <m:ctrlPr>
              <w:rPr>
                <w:rFonts w:ascii="Cambria Math" w:hAnsi="Cambria Math" w:cs="Times New Roman"/>
                <w:kern w:val="2"/>
              </w:rPr>
            </m:ctrlPr>
          </m:sup>
        </m:sSup>
      </m:oMath>
      <w:r>
        <w:rPr>
          <w:rFonts w:ascii="Times New Roman" w:hAnsi="Times New Roman" w:cs="Times New Roman"/>
          <w:kern w:val="2"/>
        </w:rPr>
        <w:t>。</w:t>
      </w:r>
    </w:p>
    <w:p>
      <w:pPr>
        <w:widowControl w:val="0"/>
        <w:spacing w:line="360" w:lineRule="auto"/>
        <w:ind w:right="84" w:firstLine="361" w:firstLineChars="150"/>
        <w:rPr>
          <w:rFonts w:ascii="Times New Roman" w:hAnsi="Times New Roman" w:cs="Times New Roman"/>
          <w:bCs/>
          <w:kern w:val="2"/>
        </w:rPr>
      </w:pPr>
      <w:r>
        <w:rPr>
          <w:rFonts w:ascii="Times New Roman" w:hAnsi="Times New Roman" w:cs="Times New Roman"/>
          <w:b/>
        </w:rPr>
        <w:t xml:space="preserve">2 </w:t>
      </w:r>
      <w:r>
        <w:rPr>
          <w:rFonts w:ascii="Times New Roman" w:hAnsi="Times New Roman" w:cs="Times New Roman"/>
        </w:rPr>
        <w:t>抽芯铆钉</w:t>
      </w:r>
      <w:r>
        <w:rPr>
          <w:rFonts w:ascii="Times New Roman" w:hAnsi="Times New Roman" w:cs="Times New Roman"/>
          <w:bCs/>
          <w:kern w:val="2"/>
        </w:rPr>
        <w:t>从钉孔中拔出破坏的承载力设计值</w:t>
      </w:r>
    </w:p>
    <w:p>
      <w:pPr>
        <w:widowControl w:val="0"/>
        <w:spacing w:line="360" w:lineRule="auto"/>
        <w:ind w:right="84" w:firstLine="420"/>
        <w:rPr>
          <w:rFonts w:ascii="Times New Roman" w:hAnsi="Times New Roman" w:cs="Times New Roman"/>
          <w:bCs/>
          <w:kern w:val="2"/>
        </w:rPr>
      </w:pPr>
      <w:r>
        <w:rPr>
          <w:rFonts w:ascii="Times New Roman" w:hAnsi="Times New Roman" w:cs="Times New Roman"/>
          <w:bCs/>
          <w:kern w:val="2"/>
        </w:rPr>
        <w:t>当支撑材料为钢时：</w:t>
      </w:r>
    </w:p>
    <w:p>
      <w:pPr>
        <w:widowControl w:val="0"/>
        <w:spacing w:line="360" w:lineRule="auto"/>
        <w:ind w:right="84"/>
        <w:jc w:val="right"/>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o</m:t>
            </m:r>
            <m:ctrlPr>
              <w:rPr>
                <w:rFonts w:ascii="Cambria Math" w:hAnsi="Cambria Math" w:cs="Times New Roman"/>
              </w:rPr>
            </m:ctrlPr>
          </m:sub>
        </m:sSub>
        <m:r>
          <m:rPr/>
          <w:rPr>
            <w:rFonts w:ascii="Cambria Math" w:hAnsi="Cambria Math" w:cs="Times New Roman"/>
          </w:rPr>
          <m:t>=0.376</m:t>
        </m:r>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w:rPr>
                <w:rFonts w:ascii="Cambria Math" w:hAnsi="Cambria Math" w:cs="Times New Roman"/>
              </w:rPr>
              <m:t>sup</m:t>
            </m:r>
            <m:ctrlPr>
              <w:rPr>
                <w:rFonts w:ascii="Cambria Math" w:hAnsi="Cambria Math" w:cs="Times New Roman"/>
                <w:i/>
              </w:rPr>
            </m:ctrlPr>
          </m:sub>
        </m:sSub>
        <m:r>
          <m:rPr/>
          <w:rPr>
            <w:rFonts w:ascii="Cambria Math" w:hAnsi="Cambria Math" w:cs="Times New Roman"/>
          </w:rPr>
          <m:t>d</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oMath>
      <w:r>
        <w:rPr>
          <w:rFonts w:ascii="Times New Roman" w:hAnsi="Times New Roman" w:cs="Times New Roman"/>
        </w:rPr>
        <w:t xml:space="preserve">                           (8.3.8-2)</w:t>
      </w:r>
    </w:p>
    <w:p>
      <w:pPr>
        <w:widowControl w:val="0"/>
        <w:spacing w:line="360" w:lineRule="auto"/>
        <w:ind w:right="84" w:firstLine="420"/>
        <w:rPr>
          <w:rFonts w:ascii="Times New Roman" w:hAnsi="Times New Roman" w:cs="Times New Roman"/>
          <w:bCs/>
          <w:kern w:val="2"/>
        </w:rPr>
      </w:pPr>
      <w:r>
        <w:rPr>
          <w:rFonts w:ascii="Times New Roman" w:hAnsi="Times New Roman" w:cs="Times New Roman"/>
          <w:bCs/>
          <w:kern w:val="2"/>
        </w:rPr>
        <w:t>当支撑材料为铝时：</w:t>
      </w:r>
    </w:p>
    <w:p>
      <w:pPr>
        <w:widowControl w:val="0"/>
        <w:spacing w:line="360" w:lineRule="auto"/>
        <w:ind w:right="84"/>
        <w:jc w:val="right"/>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o</m:t>
            </m:r>
            <m:ctrlPr>
              <w:rPr>
                <w:rFonts w:ascii="Cambria Math" w:hAnsi="Cambria Math" w:cs="Times New Roman"/>
              </w:rPr>
            </m:ctrlPr>
          </m:sub>
        </m:sSub>
        <m:r>
          <m:rPr>
            <m:sty m:val="p"/>
          </m:rPr>
          <w:rPr>
            <w:rFonts w:ascii="Cambria Math" w:hAnsi="Cambria Math" w:cs="Times New Roman"/>
          </w:rPr>
          <m:t>=0.16</m:t>
        </m:r>
        <m:sSub>
          <m:sSubPr>
            <m:ctrlPr>
              <w:rPr>
                <w:rFonts w:ascii="Cambria Math" w:hAnsi="Cambria Math" w:cs="Times New Roman"/>
              </w:rPr>
            </m:ctrlPr>
          </m:sSubPr>
          <m:e>
            <m:r>
              <m:rPr/>
              <w:rPr>
                <w:rFonts w:ascii="Cambria Math" w:hAnsi="Cambria Math" w:cs="Times New Roman"/>
              </w:rPr>
              <m:t>t</m:t>
            </m:r>
            <m:ctrlPr>
              <w:rPr>
                <w:rFonts w:ascii="Cambria Math" w:hAnsi="Cambria Math" w:cs="Times New Roman"/>
              </w:rPr>
            </m:ctrlPr>
          </m:e>
          <m:sub>
            <m:r>
              <m:rPr/>
              <w:rPr>
                <w:rFonts w:ascii="Cambria Math" w:hAnsi="Cambria Math" w:cs="Times New Roman"/>
              </w:rPr>
              <m:t>sup</m:t>
            </m:r>
            <m:ctrlPr>
              <w:rPr>
                <w:rFonts w:ascii="Cambria Math" w:hAnsi="Cambria Math" w:cs="Times New Roman"/>
              </w:rPr>
            </m:ctrlPr>
          </m:sub>
        </m:sSub>
        <m:r>
          <m:rPr/>
          <w:rPr>
            <w:rFonts w:ascii="Cambria Math" w:hAnsi="Cambria Math" w:cs="Times New Roman"/>
          </w:rPr>
          <m:t>d</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Sub>
      </m:oMath>
      <w:r>
        <w:rPr>
          <w:rFonts w:ascii="Times New Roman" w:hAnsi="Times New Roman" w:cs="Times New Roman"/>
        </w:rPr>
        <w:t xml:space="preserve">                           (8.3.8-3)</w:t>
      </w:r>
    </w:p>
    <w:p>
      <w:pPr>
        <w:widowControl w:val="0"/>
        <w:spacing w:line="360" w:lineRule="auto"/>
        <w:ind w:right="84" w:firstLine="361" w:firstLineChars="150"/>
        <w:rPr>
          <w:rFonts w:ascii="Times New Roman" w:hAnsi="Times New Roman" w:cs="Times New Roman"/>
          <w:bCs/>
          <w:kern w:val="2"/>
        </w:rPr>
      </w:pPr>
      <w:r>
        <w:rPr>
          <w:rFonts w:ascii="Times New Roman" w:hAnsi="Times New Roman" w:cs="Times New Roman"/>
          <w:b/>
        </w:rPr>
        <w:t xml:space="preserve">3 </w:t>
      </w:r>
      <w:r>
        <w:rPr>
          <w:rFonts w:ascii="Times New Roman" w:hAnsi="Times New Roman" w:cs="Times New Roman"/>
        </w:rPr>
        <w:t>钉体</w:t>
      </w:r>
      <w:r>
        <w:rPr>
          <w:rFonts w:ascii="Times New Roman" w:hAnsi="Times New Roman" w:cs="Times New Roman"/>
          <w:bCs/>
          <w:kern w:val="2"/>
        </w:rPr>
        <w:t>拉断破坏承载力</w:t>
      </w:r>
    </w:p>
    <w:p>
      <w:pPr>
        <w:widowControl w:val="0"/>
        <w:spacing w:line="360" w:lineRule="auto"/>
        <w:ind w:right="84"/>
        <w:jc w:val="right"/>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t</m:t>
            </m:r>
            <m:ctrlPr>
              <w:rPr>
                <w:rFonts w:ascii="Cambria Math" w:hAnsi="Cambria Math" w:cs="Times New Roman"/>
              </w:rPr>
            </m:ctrlPr>
          </m:sub>
        </m:sSub>
        <m:r>
          <m:rPr/>
          <w:rPr>
            <w:rFonts w:ascii="Cambria Math" w:hAnsi="Cambria Math" w:cs="Times New Roman"/>
          </w:rPr>
          <m:t>=37.6</m:t>
        </m:r>
        <m:sSup>
          <m:sSupPr>
            <m:ctrlPr>
              <w:rPr>
                <w:rFonts w:ascii="Cambria Math" w:hAnsi="Cambria Math" w:cs="Times New Roman"/>
                <w:i/>
              </w:rPr>
            </m:ctrlPr>
          </m:sSupPr>
          <m:e>
            <m:r>
              <m:rPr/>
              <w:rPr>
                <w:rFonts w:ascii="Cambria Math" w:hAnsi="Cambria Math" w:cs="Times New Roman"/>
              </w:rPr>
              <m:t>d</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oMath>
      <w:r>
        <w:rPr>
          <w:rFonts w:ascii="Times New Roman" w:hAnsi="Times New Roman" w:cs="Times New Roman"/>
        </w:rPr>
        <w:t xml:space="preserve">                             (8.3.8-4)</w:t>
      </w:r>
    </w:p>
    <w:p>
      <w:pPr>
        <w:widowControl w:val="0"/>
        <w:spacing w:before="120" w:beforeLines="50" w:line="360" w:lineRule="auto"/>
        <w:jc w:val="both"/>
        <w:rPr>
          <w:rFonts w:ascii="Times New Roman" w:hAnsi="Times New Roman" w:cs="Times New Roman"/>
          <w:kern w:val="2"/>
        </w:rPr>
      </w:pPr>
      <w:r>
        <w:rPr>
          <w:rFonts w:ascii="Times New Roman" w:hAnsi="Times New Roman" w:cs="Times New Roman"/>
          <w:b/>
          <w:bCs/>
          <w:kern w:val="2"/>
        </w:rPr>
        <w:t>8.3.</w:t>
      </w:r>
      <w:r>
        <w:rPr>
          <w:rFonts w:ascii="Times New Roman" w:hAnsi="Times New Roman" w:cs="Times New Roman"/>
          <w:b/>
          <w:kern w:val="2"/>
        </w:rPr>
        <w:t xml:space="preserve">9 </w:t>
      </w:r>
      <w:r>
        <w:rPr>
          <w:rFonts w:ascii="Times New Roman" w:hAnsi="Times New Roman" w:cs="Times New Roman"/>
          <w:kern w:val="2"/>
        </w:rPr>
        <w:t>机制螺钉钉孔的制备及精度应符合现行国家标准《普通螺纹公差》GB/T 197和《普通螺纹中等精度、优选系列的极限尺寸》GB/T 9145的要求。机制螺钉受拉连接时应严格按照国标控制螺钉及螺纹的质量。</w:t>
      </w:r>
    </w:p>
    <w:p>
      <w:pPr>
        <w:widowControl w:val="0"/>
        <w:spacing w:line="360" w:lineRule="auto"/>
        <w:jc w:val="both"/>
        <w:rPr>
          <w:rFonts w:ascii="Times New Roman" w:hAnsi="Times New Roman" w:cs="Times New Roman"/>
          <w:kern w:val="2"/>
        </w:rPr>
      </w:pPr>
      <w:r>
        <w:rPr>
          <w:rFonts w:ascii="Times New Roman" w:hAnsi="Times New Roman" w:cs="Times New Roman"/>
          <w:b/>
          <w:bCs/>
          <w:kern w:val="2"/>
        </w:rPr>
        <w:t>8.3.</w:t>
      </w:r>
      <w:r>
        <w:rPr>
          <w:rFonts w:ascii="Times New Roman" w:hAnsi="Times New Roman" w:cs="Times New Roman"/>
          <w:b/>
          <w:kern w:val="2"/>
        </w:rPr>
        <w:t xml:space="preserve">10 </w:t>
      </w:r>
      <w:r>
        <w:rPr>
          <w:rFonts w:ascii="Times New Roman" w:hAnsi="Times New Roman" w:cs="Times New Roman"/>
          <w:kern w:val="2"/>
        </w:rPr>
        <w:t>承受较大拉力的连接节点、承受较大风荷载的悬挑构件、端部连接处存在较大撬力等受力状态复杂的构件或节点，应采用螺栓连接。</w:t>
      </w:r>
    </w:p>
    <w:p>
      <w:pPr>
        <w:widowControl w:val="0"/>
        <w:spacing w:line="360" w:lineRule="auto"/>
        <w:jc w:val="both"/>
        <w:rPr>
          <w:rFonts w:ascii="Times New Roman" w:hAnsi="Times New Roman" w:cs="Times New Roman"/>
          <w:kern w:val="2"/>
          <w:lang w:val="en-GB"/>
        </w:rPr>
      </w:pPr>
      <w:r>
        <w:rPr>
          <w:rFonts w:ascii="Times New Roman" w:hAnsi="Times New Roman" w:cs="Times New Roman"/>
          <w:b/>
          <w:bCs/>
          <w:kern w:val="2"/>
        </w:rPr>
        <w:t>8.3.</w:t>
      </w:r>
      <w:r>
        <w:rPr>
          <w:rFonts w:ascii="Times New Roman" w:hAnsi="Times New Roman" w:cs="Times New Roman"/>
          <w:b/>
          <w:kern w:val="2"/>
          <w:lang w:val="en-GB"/>
        </w:rPr>
        <w:t xml:space="preserve">11 </w:t>
      </w:r>
      <w:r>
        <w:rPr>
          <w:rFonts w:ascii="Times New Roman" w:hAnsi="Times New Roman" w:cs="Times New Roman"/>
          <w:kern w:val="2"/>
          <w:lang w:val="en-GB"/>
        </w:rPr>
        <w:t>用于压型钢板连接或压型钢板与冷弯型钢构件连接的自攻螺钉，其承载力可按</w:t>
      </w:r>
      <w:r>
        <w:rPr>
          <w:rFonts w:ascii="Times New Roman" w:hAnsi="Times New Roman" w:cs="Times New Roman"/>
          <w:kern w:val="2"/>
        </w:rPr>
        <w:t>现行国家标准</w:t>
      </w:r>
      <w:r>
        <w:rPr>
          <w:rFonts w:ascii="Times New Roman" w:hAnsi="Times New Roman" w:cs="Times New Roman"/>
          <w:bCs/>
          <w:kern w:val="2"/>
        </w:rPr>
        <w:t>《冷弯薄壁型钢结构技术规范》GB50018</w:t>
      </w:r>
      <w:r>
        <w:rPr>
          <w:rFonts w:ascii="Times New Roman" w:hAnsi="Times New Roman" w:cs="Times New Roman"/>
          <w:kern w:val="2"/>
          <w:lang w:val="en-GB"/>
        </w:rPr>
        <w:t>规定计算。</w:t>
      </w:r>
    </w:p>
    <w:p>
      <w:pPr>
        <w:pStyle w:val="200"/>
      </w:pPr>
      <w:r>
        <w:rPr>
          <w:b/>
        </w:rPr>
        <w:t xml:space="preserve">8.3.12 </w:t>
      </w:r>
      <w:r>
        <w:t>普通螺栓的连接承载力，应按下列规定计算：</w:t>
      </w:r>
    </w:p>
    <w:p>
      <w:pPr>
        <w:pStyle w:val="188"/>
        <w:ind w:firstLine="482"/>
        <w:rPr>
          <w:rFonts w:cs="Times New Roman"/>
        </w:rPr>
      </w:pPr>
      <w:r>
        <w:rPr>
          <w:rFonts w:cs="Times New Roman"/>
          <w:b/>
        </w:rPr>
        <w:t xml:space="preserve">1 </w:t>
      </w:r>
      <w:r>
        <w:rPr>
          <w:rFonts w:cs="Times New Roman"/>
        </w:rPr>
        <w:t>在普通螺栓抗剪连接中，每个螺栓的承载力设计值应取受剪和承压承载力设计值中的较小值。受剪和承压承载力设计值应分别按下列公式计算。</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Cambria Math" w:hAnsi="Cambria Math" w:cs="Times New Roman"/>
                <w:oMath/>
              </w:rPr>
            </w:pPr>
            <m:oMathPara>
              <m:oMath>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v</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e</m:t>
                    </m:r>
                    <m:ctrlPr>
                      <w:rPr>
                        <w:rFonts w:ascii="Cambria Math" w:hAnsi="Cambria Math" w:cs="Times New Roman"/>
                        <w:i/>
                      </w:rPr>
                    </m:ctrlPr>
                  </m:sub>
                </m:sSub>
                <m:sSubSup>
                  <m:sSubSupPr>
                    <m:ctrlPr>
                      <w:rPr>
                        <w:rFonts w:ascii="Cambria Math" w:hAnsi="Cambria Math" w:cs="Times New Roman"/>
                      </w:rPr>
                    </m:ctrlPr>
                  </m:sSubSupPr>
                  <m:e>
                    <m:r>
                      <m:rPr/>
                      <w:rPr>
                        <w:rFonts w:ascii="Cambria Math" w:hAnsi="Cambria Math" w:cs="Times New Roman"/>
                      </w:rPr>
                      <m:t>f</m:t>
                    </m:r>
                    <m:ctrlPr>
                      <w:rPr>
                        <w:rFonts w:ascii="Cambria Math" w:hAnsi="Cambria Math" w:cs="Times New Roman"/>
                      </w:rPr>
                    </m:ctrlPr>
                  </m:e>
                  <m:sub>
                    <m:r>
                      <m:rPr>
                        <m:sty m:val="p"/>
                      </m:rPr>
                      <w:rPr>
                        <w:rFonts w:ascii="Cambria Math" w:hAnsi="Cambria Math" w:cs="Times New Roman"/>
                      </w:rPr>
                      <m:t>v</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（8.3.12-1）</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c</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r>
                  <m:rPr/>
                  <w:rPr>
                    <w:rFonts w:ascii="Cambria Math" w:hAnsi="Cambria Math" w:cs="Times New Roman"/>
                  </w:rPr>
                  <m:t>=d</m:t>
                </m:r>
                <m:nary>
                  <m:naryPr>
                    <m:chr m:val="∑"/>
                    <m:limLoc m:val="undOvr"/>
                    <m:subHide m:val="1"/>
                    <m:supHide m:val="1"/>
                    <m:ctrlPr>
                      <w:rPr>
                        <w:rFonts w:ascii="Cambria Math" w:hAnsi="Cambria Math" w:cs="Times New Roman"/>
                        <w:i/>
                      </w:rPr>
                    </m:ctrlPr>
                  </m:naryPr>
                  <m:sub>
                    <m:ctrlPr>
                      <w:rPr>
                        <w:rFonts w:ascii="Cambria Math" w:hAnsi="Cambria Math" w:cs="Times New Roman"/>
                        <w:i/>
                      </w:rPr>
                    </m:ctrlPr>
                  </m:sub>
                  <m:sup>
                    <m:ctrlPr>
                      <w:rPr>
                        <w:rFonts w:ascii="Cambria Math" w:hAnsi="Cambria Math" w:cs="Times New Roman"/>
                        <w:i/>
                      </w:rPr>
                    </m:ctrlPr>
                  </m:sup>
                  <m:e>
                    <m:r>
                      <m:rPr/>
                      <w:rPr>
                        <w:rFonts w:ascii="Cambria Math" w:hAnsi="Cambria Math" w:cs="Times New Roman"/>
                      </w:rPr>
                      <m:t>t</m:t>
                    </m:r>
                    <m:ctrlPr>
                      <w:rPr>
                        <w:rFonts w:ascii="Cambria Math" w:hAnsi="Cambria Math" w:cs="Times New Roman"/>
                        <w:i/>
                      </w:rPr>
                    </m:ctrlPr>
                  </m:e>
                </m:nary>
                <m:sSubSup>
                  <m:sSubSupPr>
                    <m:ctrlPr>
                      <w:rPr>
                        <w:rFonts w:ascii="Cambria Math" w:hAnsi="Cambria Math" w:cs="Times New Roman"/>
                      </w:rPr>
                    </m:ctrlPr>
                  </m:sSubSupPr>
                  <m:e>
                    <m:r>
                      <m:rPr/>
                      <w:rPr>
                        <w:rFonts w:ascii="Cambria Math" w:hAnsi="Cambria Math" w:cs="Times New Roman"/>
                      </w:rPr>
                      <m:t>f</m:t>
                    </m:r>
                    <m:ctrlPr>
                      <w:rPr>
                        <w:rFonts w:ascii="Cambria Math" w:hAnsi="Cambria Math" w:cs="Times New Roman"/>
                      </w:rPr>
                    </m:ctrlPr>
                  </m:e>
                  <m:sub>
                    <m:r>
                      <m:rPr>
                        <m:sty m:val="p"/>
                      </m:rPr>
                      <w:rPr>
                        <w:rFonts w:ascii="Cambria Math" w:hAnsi="Cambria Math" w:cs="Times New Roman"/>
                      </w:rPr>
                      <m:t>c</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（8.3.12-2）</w:t>
            </w:r>
          </w:p>
        </w:tc>
      </w:tr>
    </w:tbl>
    <w:p>
      <w:pPr>
        <w:pStyle w:val="189"/>
      </w:pPr>
      <w:r>
        <w:t>式中：</w:t>
      </w:r>
    </w:p>
    <w:tbl>
      <w:tblPr>
        <w:tblStyle w:val="37"/>
        <w:tblW w:w="10314" w:type="dxa"/>
        <w:tblInd w:w="0" w:type="dxa"/>
        <w:tblLayout w:type="fixed"/>
        <w:tblCellMar>
          <w:top w:w="0" w:type="dxa"/>
          <w:left w:w="108" w:type="dxa"/>
          <w:bottom w:w="0" w:type="dxa"/>
          <w:right w:w="108" w:type="dxa"/>
        </w:tblCellMar>
      </w:tblPr>
      <w:tblGrid>
        <w:gridCol w:w="534"/>
        <w:gridCol w:w="1134"/>
        <w:gridCol w:w="708"/>
        <w:gridCol w:w="7938"/>
      </w:tblGrid>
      <w:tr>
        <w:tblPrEx>
          <w:tblCellMar>
            <w:top w:w="0" w:type="dxa"/>
            <w:left w:w="108" w:type="dxa"/>
            <w:bottom w:w="0" w:type="dxa"/>
            <w:right w:w="108" w:type="dxa"/>
          </w:tblCellMar>
        </w:tblPrEx>
        <w:tc>
          <w:tcPr>
            <w:tcW w:w="534" w:type="dxa"/>
          </w:tcPr>
          <w:p>
            <w:pPr>
              <w:jc w:val="right"/>
              <w:rPr>
                <w:rFonts w:ascii="Times New Roman" w:hAnsi="Times New Roman" w:cs="Times New Roman"/>
              </w:rPr>
            </w:pPr>
          </w:p>
        </w:tc>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v</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r>
                  <m:rPr/>
                  <w:rPr>
                    <w:rFonts w:ascii="Cambria Math" w:hAnsi="Cambria Math" w:cs="Times New Roman"/>
                  </w:rPr>
                  <m:t>、</m:t>
                </m:r>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c</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oMath>
            </m:oMathPara>
          </w:p>
        </w:tc>
        <w:tc>
          <w:tcPr>
            <w:tcW w:w="708" w:type="dxa"/>
            <w:shd w:val="clear" w:color="auto" w:fill="auto"/>
          </w:tcPr>
          <w:p>
            <w:pPr>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一个螺栓的抗剪、承压承载力设计值</w:t>
            </w:r>
            <w:r>
              <w:rPr>
                <w:rFonts w:hint="eastAsia"/>
                <w:lang w:eastAsia="zh-CN"/>
              </w:rPr>
              <w:t>（</w:t>
            </w:r>
            <w:r>
              <w:t>N)；</w:t>
            </w:r>
          </w:p>
        </w:tc>
      </w:tr>
      <w:tr>
        <w:tblPrEx>
          <w:tblCellMar>
            <w:top w:w="0" w:type="dxa"/>
            <w:left w:w="108" w:type="dxa"/>
            <w:bottom w:w="0" w:type="dxa"/>
            <w:right w:w="108" w:type="dxa"/>
          </w:tblCellMar>
        </w:tblPrEx>
        <w:tc>
          <w:tcPr>
            <w:tcW w:w="534" w:type="dxa"/>
          </w:tcPr>
          <w:p>
            <w:pPr>
              <w:jc w:val="right"/>
              <w:rPr>
                <w:rFonts w:ascii="Times New Roman" w:hAnsi="Times New Roman" w:cs="Times New Roman"/>
              </w:rPr>
            </w:pPr>
          </w:p>
        </w:tc>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Sub>
              </m:oMath>
            </m:oMathPara>
          </w:p>
        </w:tc>
        <w:tc>
          <w:tcPr>
            <w:tcW w:w="708" w:type="dxa"/>
            <w:shd w:val="clear" w:color="auto" w:fill="auto"/>
          </w:tcPr>
          <w:p>
            <w:pPr>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螺栓连接的剪切面数；</w:t>
            </w:r>
          </w:p>
        </w:tc>
      </w:tr>
      <w:tr>
        <w:tblPrEx>
          <w:tblCellMar>
            <w:top w:w="0" w:type="dxa"/>
            <w:left w:w="108" w:type="dxa"/>
            <w:bottom w:w="0" w:type="dxa"/>
            <w:right w:w="108" w:type="dxa"/>
          </w:tblCellMar>
        </w:tblPrEx>
        <w:tc>
          <w:tcPr>
            <w:tcW w:w="534" w:type="dxa"/>
          </w:tcPr>
          <w:p>
            <w:pPr>
              <w:jc w:val="right"/>
              <w:rPr>
                <w:rFonts w:ascii="Times New Roman" w:hAnsi="Times New Roman" w:cs="Times New Roman"/>
              </w:rPr>
            </w:pPr>
          </w:p>
        </w:tc>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e</m:t>
                    </m:r>
                    <m:ctrlPr>
                      <w:rPr>
                        <w:rFonts w:ascii="Cambria Math" w:hAnsi="Cambria Math" w:cs="Times New Roman"/>
                        <w:i/>
                      </w:rPr>
                    </m:ctrlPr>
                  </m:sub>
                </m:sSub>
              </m:oMath>
            </m:oMathPara>
          </w:p>
        </w:tc>
        <w:tc>
          <w:tcPr>
            <w:tcW w:w="708" w:type="dxa"/>
            <w:shd w:val="clear" w:color="auto" w:fill="auto"/>
          </w:tcPr>
          <w:p>
            <w:pPr>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rPr>
                <w:szCs w:val="24"/>
              </w:rPr>
              <w:t>螺栓有效截面面积</w:t>
            </w:r>
            <w:r>
              <w:t>(</w:t>
            </w:r>
            <w:r>
              <w:rPr>
                <w:szCs w:val="24"/>
              </w:rPr>
              <w:t>mm</w:t>
            </w:r>
            <w:r>
              <w:rPr>
                <w:szCs w:val="24"/>
                <w:vertAlign w:val="superscript"/>
              </w:rPr>
              <w:t>2</w:t>
            </w:r>
            <w:r>
              <w:t>)</w:t>
            </w:r>
            <w:r>
              <w:rPr>
                <w:szCs w:val="24"/>
              </w:rPr>
              <w:t>，</w:t>
            </w:r>
            <m:oMath>
              <m:sSub>
                <m:sSubPr>
                  <m:ctrlPr>
                    <w:rPr>
                      <w:rFonts w:ascii="Cambria Math" w:hAnsi="Cambria Math"/>
                      <w:bCs w:val="0"/>
                      <w:i/>
                      <w:szCs w:val="24"/>
                    </w:rPr>
                  </m:ctrlPr>
                </m:sSubPr>
                <m:e>
                  <m:r>
                    <m:rPr/>
                    <w:rPr>
                      <w:rFonts w:ascii="Cambria Math" w:hAnsi="Cambria Math"/>
                    </w:rPr>
                    <m:t>A</m:t>
                  </m:r>
                  <m:ctrlPr>
                    <w:rPr>
                      <w:rFonts w:ascii="Cambria Math" w:hAnsi="Cambria Math"/>
                      <w:bCs w:val="0"/>
                      <w:i/>
                      <w:szCs w:val="24"/>
                    </w:rPr>
                  </m:ctrlPr>
                </m:e>
                <m:sub>
                  <m:r>
                    <m:rPr>
                      <m:sty m:val="p"/>
                    </m:rPr>
                    <w:rPr>
                      <w:rFonts w:ascii="Cambria Math" w:hAnsi="Cambria Math"/>
                    </w:rPr>
                    <m:t>e</m:t>
                  </m:r>
                  <m:ctrlPr>
                    <w:rPr>
                      <w:rFonts w:ascii="Cambria Math" w:hAnsi="Cambria Math"/>
                      <w:bCs w:val="0"/>
                      <w:i/>
                      <w:szCs w:val="24"/>
                    </w:rPr>
                  </m:ctrlPr>
                </m:sub>
              </m:sSub>
              <m:r>
                <m:rPr/>
                <w:rPr>
                  <w:rFonts w:ascii="Cambria Math" w:hAnsi="Cambria Math"/>
                  <w:szCs w:val="24"/>
                </w:rPr>
                <m:t>=0.7854</m:t>
              </m:r>
              <m:sSup>
                <m:sSupPr>
                  <m:ctrlPr>
                    <w:rPr>
                      <w:rFonts w:ascii="Cambria Math" w:hAnsi="Cambria Math"/>
                      <w:i/>
                      <w:szCs w:val="24"/>
                    </w:rPr>
                  </m:ctrlPr>
                </m:sSupPr>
                <m:e>
                  <m:r>
                    <m:rPr/>
                    <w:rPr>
                      <w:rFonts w:ascii="Cambria Math" w:hAnsi="Cambria Math"/>
                      <w:szCs w:val="24"/>
                    </w:rPr>
                    <m:t>(d−0.9382P)</m:t>
                  </m:r>
                  <m:ctrlPr>
                    <w:rPr>
                      <w:rFonts w:ascii="Cambria Math" w:hAnsi="Cambria Math"/>
                      <w:i/>
                      <w:szCs w:val="24"/>
                    </w:rPr>
                  </m:ctrlPr>
                </m:e>
                <m:sup>
                  <m:r>
                    <m:rPr/>
                    <w:rPr>
                      <w:rFonts w:ascii="Cambria Math" w:hAnsi="Cambria Math"/>
                      <w:szCs w:val="24"/>
                    </w:rPr>
                    <m:t>2</m:t>
                  </m:r>
                  <m:ctrlPr>
                    <w:rPr>
                      <w:rFonts w:ascii="Cambria Math" w:hAnsi="Cambria Math"/>
                      <w:i/>
                      <w:szCs w:val="24"/>
                    </w:rPr>
                  </m:ctrlPr>
                </m:sup>
              </m:sSup>
            </m:oMath>
            <w:r>
              <w:rPr>
                <w:szCs w:val="24"/>
              </w:rPr>
              <w:t>；</w:t>
            </w:r>
          </w:p>
        </w:tc>
      </w:tr>
      <w:tr>
        <w:tblPrEx>
          <w:tblCellMar>
            <w:top w:w="0" w:type="dxa"/>
            <w:left w:w="108" w:type="dxa"/>
            <w:bottom w:w="0" w:type="dxa"/>
            <w:right w:w="108" w:type="dxa"/>
          </w:tblCellMar>
        </w:tblPrEx>
        <w:tc>
          <w:tcPr>
            <w:tcW w:w="534" w:type="dxa"/>
          </w:tcPr>
          <w:p>
            <w:pPr>
              <w:jc w:val="right"/>
              <w:rPr>
                <w:rFonts w:ascii="Times New Roman" w:hAnsi="Times New Roman" w:cs="Times New Roman"/>
              </w:rPr>
            </w:pPr>
          </w:p>
        </w:tc>
        <w:tc>
          <w:tcPr>
            <w:tcW w:w="1134" w:type="dxa"/>
            <w:shd w:val="clear" w:color="auto" w:fill="auto"/>
          </w:tcPr>
          <w:p>
            <w:pPr>
              <w:jc w:val="right"/>
              <w:rPr>
                <w:rFonts w:ascii="Times New Roman" w:hAnsi="Times New Roman" w:cs="Times New Roman"/>
                <w:i/>
              </w:rPr>
            </w:pPr>
            <m:oMathPara>
              <m:oMathParaPr>
                <m:jc m:val="right"/>
              </m:oMathParaPr>
              <m:oMath>
                <m:r>
                  <m:rPr/>
                  <w:rPr>
                    <w:rFonts w:ascii="Cambria Math" w:hAnsi="Cambria Math" w:cs="Times New Roman"/>
                  </w:rPr>
                  <m:t>d</m:t>
                </m:r>
              </m:oMath>
            </m:oMathPara>
          </w:p>
        </w:tc>
        <w:tc>
          <w:tcPr>
            <w:tcW w:w="708" w:type="dxa"/>
            <w:shd w:val="clear" w:color="auto" w:fill="auto"/>
          </w:tcPr>
          <w:p>
            <w:pPr>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螺杆公称直径</w:t>
            </w:r>
            <w:r>
              <w:rPr>
                <w:rFonts w:hint="eastAsia"/>
                <w:lang w:eastAsia="zh-CN"/>
              </w:rPr>
              <w:t>（</w:t>
            </w:r>
            <w:r>
              <w:t>mm)；</w:t>
            </w:r>
          </w:p>
        </w:tc>
      </w:tr>
      <w:tr>
        <w:tblPrEx>
          <w:tblCellMar>
            <w:top w:w="0" w:type="dxa"/>
            <w:left w:w="108" w:type="dxa"/>
            <w:bottom w:w="0" w:type="dxa"/>
            <w:right w:w="108" w:type="dxa"/>
          </w:tblCellMar>
        </w:tblPrEx>
        <w:tc>
          <w:tcPr>
            <w:tcW w:w="534" w:type="dxa"/>
          </w:tcPr>
          <w:p>
            <w:pPr>
              <w:jc w:val="right"/>
              <w:rPr>
                <w:rFonts w:ascii="Times New Roman" w:hAnsi="Times New Roman" w:cs="Times New Roman"/>
              </w:rPr>
            </w:pPr>
          </w:p>
        </w:tc>
        <w:tc>
          <w:tcPr>
            <w:tcW w:w="1134" w:type="dxa"/>
            <w:shd w:val="clear" w:color="auto" w:fill="auto"/>
          </w:tcPr>
          <w:p>
            <w:pPr>
              <w:jc w:val="right"/>
              <w:rPr>
                <w:rFonts w:ascii="Times New Roman" w:hAnsi="Times New Roman" w:cs="Times New Roman"/>
                <w:i/>
              </w:rPr>
            </w:pPr>
            <m:oMathPara>
              <m:oMathParaPr>
                <m:jc m:val="right"/>
              </m:oMathParaPr>
              <m:oMath>
                <m:r>
                  <m:rPr/>
                  <w:rPr>
                    <w:rFonts w:ascii="Cambria Math" w:hAnsi="Cambria Math" w:cs="Times New Roman"/>
                  </w:rPr>
                  <m:t>P</m:t>
                </m:r>
              </m:oMath>
            </m:oMathPara>
          </w:p>
        </w:tc>
        <w:tc>
          <w:tcPr>
            <w:tcW w:w="708" w:type="dxa"/>
            <w:shd w:val="clear" w:color="auto" w:fill="auto"/>
          </w:tcPr>
          <w:p>
            <w:pPr>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螺距</w:t>
            </w:r>
            <w:r>
              <w:rPr>
                <w:rFonts w:hint="eastAsia"/>
                <w:lang w:eastAsia="zh-CN"/>
              </w:rPr>
              <w:t>（</w:t>
            </w:r>
            <w:r>
              <w:t>mm)；</w:t>
            </w:r>
          </w:p>
        </w:tc>
      </w:tr>
      <w:tr>
        <w:tblPrEx>
          <w:tblCellMar>
            <w:top w:w="0" w:type="dxa"/>
            <w:left w:w="108" w:type="dxa"/>
            <w:bottom w:w="0" w:type="dxa"/>
            <w:right w:w="108" w:type="dxa"/>
          </w:tblCellMar>
        </w:tblPrEx>
        <w:tc>
          <w:tcPr>
            <w:tcW w:w="534" w:type="dxa"/>
          </w:tcPr>
          <w:p>
            <w:pPr>
              <w:jc w:val="right"/>
              <w:rPr>
                <w:rFonts w:ascii="Times New Roman" w:hAnsi="Times New Roman" w:cs="Times New Roman"/>
              </w:rPr>
            </w:pPr>
          </w:p>
        </w:tc>
        <w:tc>
          <w:tcPr>
            <w:tcW w:w="1134" w:type="dxa"/>
            <w:shd w:val="clear" w:color="auto" w:fill="auto"/>
          </w:tcPr>
          <w:p>
            <w:pPr>
              <w:jc w:val="right"/>
              <w:rPr>
                <w:rFonts w:ascii="Times New Roman" w:hAnsi="Times New Roman" w:cs="Times New Roman"/>
              </w:rPr>
            </w:pPr>
            <m:oMathPara>
              <m:oMathParaPr>
                <m:jc m:val="right"/>
              </m:oMathParaPr>
              <m:oMath>
                <m:nary>
                  <m:naryPr>
                    <m:chr m:val="∑"/>
                    <m:limLoc m:val="undOvr"/>
                    <m:subHide m:val="1"/>
                    <m:supHide m:val="1"/>
                    <m:ctrlPr>
                      <w:rPr>
                        <w:rFonts w:ascii="Cambria Math" w:hAnsi="Cambria Math" w:cs="Times New Roman"/>
                        <w:i/>
                      </w:rPr>
                    </m:ctrlPr>
                  </m:naryPr>
                  <m:sub>
                    <m:ctrlPr>
                      <w:rPr>
                        <w:rFonts w:ascii="Cambria Math" w:hAnsi="Cambria Math" w:cs="Times New Roman"/>
                        <w:i/>
                      </w:rPr>
                    </m:ctrlPr>
                  </m:sub>
                  <m:sup>
                    <m:ctrlPr>
                      <w:rPr>
                        <w:rFonts w:ascii="Cambria Math" w:hAnsi="Cambria Math" w:cs="Times New Roman"/>
                        <w:i/>
                      </w:rPr>
                    </m:ctrlPr>
                  </m:sup>
                  <m:e>
                    <m:r>
                      <m:rPr/>
                      <w:rPr>
                        <w:rFonts w:ascii="Cambria Math" w:hAnsi="Cambria Math" w:cs="Times New Roman"/>
                      </w:rPr>
                      <m:t>t</m:t>
                    </m:r>
                    <m:ctrlPr>
                      <w:rPr>
                        <w:rFonts w:ascii="Cambria Math" w:hAnsi="Cambria Math" w:cs="Times New Roman"/>
                        <w:i/>
                      </w:rPr>
                    </m:ctrlPr>
                  </m:e>
                </m:nary>
              </m:oMath>
            </m:oMathPara>
          </w:p>
        </w:tc>
        <w:tc>
          <w:tcPr>
            <w:tcW w:w="708" w:type="dxa"/>
            <w:shd w:val="clear" w:color="auto" w:fill="auto"/>
          </w:tcPr>
          <w:p>
            <w:pPr>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rPr>
                <w:szCs w:val="24"/>
              </w:rPr>
              <w:t>同一受力方向承压构件的较小总厚度（mm）；</w:t>
            </w:r>
          </w:p>
        </w:tc>
      </w:tr>
      <w:tr>
        <w:tblPrEx>
          <w:tblCellMar>
            <w:top w:w="0" w:type="dxa"/>
            <w:left w:w="108" w:type="dxa"/>
            <w:bottom w:w="0" w:type="dxa"/>
            <w:right w:w="108" w:type="dxa"/>
          </w:tblCellMar>
        </w:tblPrEx>
        <w:tc>
          <w:tcPr>
            <w:tcW w:w="534" w:type="dxa"/>
          </w:tcPr>
          <w:p>
            <w:pPr>
              <w:jc w:val="right"/>
              <w:rPr>
                <w:rFonts w:ascii="Times New Roman" w:hAnsi="Times New Roman" w:cs="Times New Roman"/>
              </w:rPr>
            </w:pPr>
          </w:p>
        </w:tc>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f</m:t>
                    </m:r>
                    <m:ctrlPr>
                      <w:rPr>
                        <w:rFonts w:ascii="Cambria Math" w:hAnsi="Cambria Math" w:cs="Times New Roman"/>
                      </w:rPr>
                    </m:ctrlPr>
                  </m:e>
                  <m:sub>
                    <m:r>
                      <m:rPr>
                        <m:sty m:val="p"/>
                      </m:rPr>
                      <w:rPr>
                        <w:rFonts w:ascii="Cambria Math" w:hAnsi="Cambria Math" w:cs="Times New Roman"/>
                      </w:rPr>
                      <m:t>v</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r>
                  <m:rPr/>
                  <w:rPr>
                    <w:rFonts w:ascii="Cambria Math" w:hAnsi="Cambria Math" w:cs="Times New Roman"/>
                  </w:rPr>
                  <m:t>、</m:t>
                </m:r>
                <m:sSubSup>
                  <m:sSubSupPr>
                    <m:ctrlPr>
                      <w:rPr>
                        <w:rFonts w:ascii="Cambria Math" w:hAnsi="Cambria Math" w:cs="Times New Roman"/>
                      </w:rPr>
                    </m:ctrlPr>
                  </m:sSubSupPr>
                  <m:e>
                    <m:r>
                      <m:rPr/>
                      <w:rPr>
                        <w:rFonts w:ascii="Cambria Math" w:hAnsi="Cambria Math" w:cs="Times New Roman"/>
                      </w:rPr>
                      <m:t>f</m:t>
                    </m:r>
                    <m:ctrlPr>
                      <w:rPr>
                        <w:rFonts w:ascii="Cambria Math" w:hAnsi="Cambria Math" w:cs="Times New Roman"/>
                      </w:rPr>
                    </m:ctrlPr>
                  </m:e>
                  <m:sub>
                    <m:r>
                      <m:rPr>
                        <m:sty m:val="p"/>
                      </m:rPr>
                      <w:rPr>
                        <w:rFonts w:ascii="Cambria Math" w:hAnsi="Cambria Math" w:cs="Times New Roman"/>
                      </w:rPr>
                      <m:t>c</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oMath>
            </m:oMathPara>
          </w:p>
        </w:tc>
        <w:tc>
          <w:tcPr>
            <w:tcW w:w="708" w:type="dxa"/>
            <w:shd w:val="clear" w:color="auto" w:fill="auto"/>
          </w:tcPr>
          <w:p>
            <w:pPr>
              <w:jc w:val="center"/>
              <w:rPr>
                <w:rFonts w:ascii="Times New Roman" w:hAnsi="Times New Roman" w:cs="Times New Roman"/>
              </w:rPr>
            </w:pPr>
            <w:r>
              <w:rPr>
                <w:rFonts w:ascii="Times New Roman" w:hAnsi="Times New Roman" w:cs="Times New Roman"/>
              </w:rPr>
              <w:t>——</w:t>
            </w:r>
          </w:p>
        </w:tc>
        <w:tc>
          <w:tcPr>
            <w:tcW w:w="7938" w:type="dxa"/>
            <w:shd w:val="clear" w:color="auto" w:fill="auto"/>
          </w:tcPr>
          <w:p>
            <w:pPr>
              <w:pStyle w:val="189"/>
            </w:pPr>
            <w:r>
              <w:t>螺栓的抗剪、承压强度设计值</w:t>
            </w:r>
            <w:r>
              <w:rPr>
                <w:rFonts w:hint="eastAsia"/>
                <w:lang w:eastAsia="zh-CN"/>
              </w:rPr>
              <w:t>（</w:t>
            </w:r>
            <w:r>
              <w:t>MPa)。</w:t>
            </w:r>
          </w:p>
        </w:tc>
      </w:tr>
    </w:tbl>
    <w:p>
      <w:pPr>
        <w:pStyle w:val="188"/>
        <w:ind w:firstLine="482"/>
        <w:rPr>
          <w:rFonts w:cs="Times New Roman"/>
        </w:rPr>
      </w:pPr>
      <w:r>
        <w:rPr>
          <w:rFonts w:cs="Times New Roman"/>
          <w:b/>
        </w:rPr>
        <w:t xml:space="preserve">2 </w:t>
      </w:r>
      <w:r>
        <w:rPr>
          <w:rFonts w:cs="Times New Roman"/>
        </w:rPr>
        <w:t>在普通螺栓杆轴方向受拉的连接中，每个螺栓的受拉承载力设计值应按下式计算：</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t</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e</m:t>
                    </m:r>
                    <m:ctrlPr>
                      <w:rPr>
                        <w:rFonts w:ascii="Cambria Math" w:hAnsi="Cambria Math" w:cs="Times New Roman"/>
                        <w:i/>
                      </w:rPr>
                    </m:ctrlPr>
                  </m:sub>
                </m:sSub>
                <m:sSubSup>
                  <m:sSubSupPr>
                    <m:ctrlPr>
                      <w:rPr>
                        <w:rFonts w:ascii="Cambria Math" w:hAnsi="Cambria Math" w:cs="Times New Roman"/>
                      </w:rPr>
                    </m:ctrlPr>
                  </m:sSubSupPr>
                  <m:e>
                    <m:r>
                      <m:rPr/>
                      <w:rPr>
                        <w:rFonts w:ascii="Cambria Math" w:hAnsi="Cambria Math" w:cs="Times New Roman"/>
                      </w:rPr>
                      <m:t>f</m:t>
                    </m:r>
                    <m:ctrlPr>
                      <w:rPr>
                        <w:rFonts w:ascii="Cambria Math" w:hAnsi="Cambria Math" w:cs="Times New Roman"/>
                      </w:rPr>
                    </m:ctrlPr>
                  </m:e>
                  <m:sub>
                    <m:r>
                      <m:rPr>
                        <m:sty m:val="p"/>
                      </m:rPr>
                      <w:rPr>
                        <w:rFonts w:ascii="Cambria Math" w:hAnsi="Cambria Math" w:cs="Times New Roman"/>
                      </w:rPr>
                      <m:t>t</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（8.3.12-3）</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t</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一个螺栓的抗拉承载力设计值</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f</m:t>
                    </m:r>
                    <m:ctrlPr>
                      <w:rPr>
                        <w:rFonts w:ascii="Cambria Math" w:hAnsi="Cambria Math" w:cs="Times New Roman"/>
                      </w:rPr>
                    </m:ctrlPr>
                  </m:e>
                  <m:sub>
                    <m:r>
                      <m:rPr>
                        <m:sty m:val="p"/>
                      </m:rPr>
                      <w:rPr>
                        <w:rFonts w:ascii="Cambria Math" w:hAnsi="Cambria Math" w:cs="Times New Roman"/>
                      </w:rPr>
                      <m:t>t</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螺栓的抗拉强度设计值</w:t>
            </w:r>
            <w:r>
              <w:rPr>
                <w:rFonts w:hint="eastAsia"/>
                <w:lang w:eastAsia="zh-CN"/>
              </w:rPr>
              <w:t>（</w:t>
            </w:r>
            <w:r>
              <w:t>MPa)。</w:t>
            </w:r>
          </w:p>
        </w:tc>
      </w:tr>
    </w:tbl>
    <w:p>
      <w:pPr>
        <w:pStyle w:val="188"/>
        <w:ind w:firstLine="482"/>
        <w:rPr>
          <w:rFonts w:cs="Times New Roman"/>
        </w:rPr>
      </w:pPr>
      <w:r>
        <w:rPr>
          <w:rFonts w:cs="Times New Roman"/>
          <w:b/>
        </w:rPr>
        <w:t>3</w:t>
      </w:r>
      <w:r>
        <w:rPr>
          <w:rFonts w:cs="Times New Roman"/>
        </w:rPr>
        <w:t>同时承受剪力和杆轴方向拉力的普通螺栓，其承载力应分别符合下列公式的要求：</w:t>
      </w:r>
    </w:p>
    <w:tbl>
      <w:tblPr>
        <w:tblStyle w:val="37"/>
        <w:tblW w:w="4750" w:type="pct"/>
        <w:jc w:val="right"/>
        <w:tblLayout w:type="fixed"/>
        <w:tblCellMar>
          <w:top w:w="0" w:type="dxa"/>
          <w:left w:w="108" w:type="dxa"/>
          <w:bottom w:w="0" w:type="dxa"/>
          <w:right w:w="108" w:type="dxa"/>
        </w:tblCellMar>
      </w:tblPr>
      <w:tblGrid>
        <w:gridCol w:w="6686"/>
        <w:gridCol w:w="2675"/>
      </w:tblGrid>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rad>
                  <m:radPr>
                    <m:degHide m:val="1"/>
                    <m:ctrlPr>
                      <w:rPr>
                        <w:rFonts w:ascii="Cambria Math" w:hAnsi="Cambria Math" w:cs="Times New Roman"/>
                        <w:i/>
                      </w:rPr>
                    </m:ctrlPr>
                  </m:radPr>
                  <m:deg>
                    <m:ctrlPr>
                      <w:rPr>
                        <w:rFonts w:ascii="Cambria Math" w:hAnsi="Cambria Math" w:cs="Times New Roman"/>
                        <w:i/>
                      </w:rPr>
                    </m:ctrlPr>
                  </m:deg>
                  <m:e>
                    <m:sSup>
                      <m:sSupPr>
                        <m:ctrlPr>
                          <w:rPr>
                            <w:rFonts w:ascii="Cambria Math" w:hAnsi="Cambria Math" w:cs="Times New Roman"/>
                            <w:i/>
                          </w:rPr>
                        </m:ctrlPr>
                      </m:sSupPr>
                      <m:e>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Sub>
                            <m:ctrlPr>
                              <w:rPr>
                                <w:rFonts w:ascii="Cambria Math" w:hAnsi="Cambria Math" w:cs="Times New Roman"/>
                                <w:i/>
                              </w:rPr>
                            </m:ctrlPr>
                          </m:num>
                          <m:den>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v</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ctrlPr>
                              <w:rPr>
                                <w:rFonts w:ascii="Cambria Math" w:hAnsi="Cambria Math" w:cs="Times New Roman"/>
                                <w:i/>
                              </w:rPr>
                            </m:ctrlPr>
                          </m:den>
                        </m:f>
                        <m:r>
                          <m:rPr/>
                          <w:rPr>
                            <w:rFonts w:ascii="Cambria Math" w:hAnsi="Cambria Math" w:cs="Times New Roman"/>
                          </w:rPr>
                          <m:t>)</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Sub>
                            <m:ctrlPr>
                              <w:rPr>
                                <w:rFonts w:ascii="Cambria Math" w:hAnsi="Cambria Math" w:cs="Times New Roman"/>
                                <w:i/>
                              </w:rPr>
                            </m:ctrlPr>
                          </m:num>
                          <m:den>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t</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ctrlPr>
                              <w:rPr>
                                <w:rFonts w:ascii="Cambria Math" w:hAnsi="Cambria Math" w:cs="Times New Roman"/>
                                <w:i/>
                              </w:rPr>
                            </m:ctrlPr>
                          </m:den>
                        </m:f>
                        <m:r>
                          <m:rPr/>
                          <w:rPr>
                            <w:rFonts w:ascii="Cambria Math" w:hAnsi="Cambria Math" w:cs="Times New Roman"/>
                          </w:rPr>
                          <m:t>)</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e>
                </m:rad>
                <m:r>
                  <m:rPr/>
                  <w:rPr>
                    <w:rFonts w:ascii="Cambria Math" w:hAnsi="Cambria Math" w:cs="Times New Roman"/>
                  </w:rPr>
                  <m:t>≤1.0</m:t>
                </m:r>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（8.3.12-4）</w:t>
            </w:r>
          </w:p>
        </w:tc>
      </w:tr>
      <w:tr>
        <w:tblPrEx>
          <w:tblCellMar>
            <w:top w:w="0" w:type="dxa"/>
            <w:left w:w="108" w:type="dxa"/>
            <w:bottom w:w="0" w:type="dxa"/>
            <w:right w:w="108" w:type="dxa"/>
          </w:tblCellMar>
        </w:tblPrEx>
        <w:trPr>
          <w:jc w:val="right"/>
        </w:trPr>
        <w:tc>
          <w:tcPr>
            <w:tcW w:w="6301"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Sub>
                <m:r>
                  <m:rPr/>
                  <w:rPr>
                    <w:rFonts w:ascii="Cambria Math" w:hAnsi="Cambria Math" w:cs="Times New Roman"/>
                  </w:rPr>
                  <m:t>≤</m:t>
                </m:r>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c</m:t>
                    </m:r>
                    <m:ctrlPr>
                      <w:rPr>
                        <w:rFonts w:ascii="Cambria Math" w:hAnsi="Cambria Math" w:cs="Times New Roman"/>
                      </w:rPr>
                    </m:ctrlPr>
                  </m:sub>
                  <m:sup>
                    <m:r>
                      <m:rPr>
                        <m:sty m:val="p"/>
                      </m:rPr>
                      <w:rPr>
                        <w:rFonts w:ascii="Cambria Math" w:hAnsi="Cambria Math" w:cs="Times New Roman"/>
                      </w:rPr>
                      <m:t>b</m:t>
                    </m:r>
                    <m:ctrlPr>
                      <w:rPr>
                        <w:rFonts w:ascii="Cambria Math" w:hAnsi="Cambria Math" w:cs="Times New Roman"/>
                      </w:rPr>
                    </m:ctrlPr>
                  </m:sup>
                </m:sSubSup>
              </m:oMath>
            </m:oMathPara>
          </w:p>
        </w:tc>
        <w:tc>
          <w:tcPr>
            <w:tcW w:w="2521"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（8.3.12-5）</w:t>
            </w:r>
          </w:p>
        </w:tc>
      </w:tr>
    </w:tbl>
    <w:p>
      <w:pPr>
        <w:pStyle w:val="189"/>
      </w:pPr>
      <w:r>
        <w:t>式中：</w:t>
      </w:r>
    </w:p>
    <w:tbl>
      <w:tblPr>
        <w:tblStyle w:val="37"/>
        <w:tblW w:w="0" w:type="auto"/>
        <w:tblInd w:w="0" w:type="dxa"/>
        <w:tblLayout w:type="fixed"/>
        <w:tblCellMar>
          <w:top w:w="0" w:type="dxa"/>
          <w:left w:w="108" w:type="dxa"/>
          <w:bottom w:w="0" w:type="dxa"/>
          <w:right w:w="108" w:type="dxa"/>
        </w:tblCellMar>
      </w:tblPr>
      <w:tblGrid>
        <w:gridCol w:w="1668"/>
        <w:gridCol w:w="850"/>
        <w:gridCol w:w="4961"/>
      </w:tblGrid>
      <w:tr>
        <w:tblPrEx>
          <w:tblCellMar>
            <w:top w:w="0" w:type="dxa"/>
            <w:left w:w="108" w:type="dxa"/>
            <w:bottom w:w="0" w:type="dxa"/>
            <w:right w:w="108" w:type="dxa"/>
          </w:tblCellMar>
        </w:tblPrEx>
        <w:tc>
          <w:tcPr>
            <w:tcW w:w="1668"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Sub>
              </m:oMath>
            </m:oMathPara>
          </w:p>
        </w:tc>
        <w:tc>
          <w:tcPr>
            <w:tcW w:w="850" w:type="dxa"/>
            <w:shd w:val="clear" w:color="auto" w:fill="auto"/>
          </w:tcPr>
          <w:p>
            <w:pPr>
              <w:jc w:val="center"/>
              <w:rPr>
                <w:rFonts w:ascii="Times New Roman" w:hAnsi="Times New Roman" w:cs="Times New Roman"/>
              </w:rPr>
            </w:pPr>
            <w:r>
              <w:rPr>
                <w:rFonts w:ascii="Times New Roman" w:hAnsi="Times New Roman" w:cs="Times New Roman"/>
              </w:rPr>
              <w:t>——</w:t>
            </w:r>
          </w:p>
        </w:tc>
        <w:tc>
          <w:tcPr>
            <w:tcW w:w="4961" w:type="dxa"/>
            <w:shd w:val="clear" w:color="auto" w:fill="auto"/>
          </w:tcPr>
          <w:p>
            <w:pPr>
              <w:pStyle w:val="189"/>
            </w:pPr>
            <w:r>
              <w:rPr>
                <w:szCs w:val="24"/>
              </w:rPr>
              <w:t>一个螺栓所承受的剪力、拉力</w:t>
            </w:r>
            <w:r>
              <w:t>设计值</w:t>
            </w:r>
            <w:r>
              <w:rPr>
                <w:rFonts w:hint="eastAsia"/>
                <w:lang w:eastAsia="zh-CN"/>
              </w:rPr>
              <w:t>（</w:t>
            </w:r>
            <w:r>
              <w:t>N)。</w:t>
            </w:r>
          </w:p>
        </w:tc>
      </w:tr>
    </w:tbl>
    <w:p>
      <w:pPr>
        <w:keepLines/>
        <w:widowControl w:val="0"/>
        <w:tabs>
          <w:tab w:val="left" w:pos="432"/>
        </w:tabs>
        <w:adjustRightInd w:val="0"/>
        <w:spacing w:before="120" w:after="120" w:line="360" w:lineRule="auto"/>
        <w:ind w:left="602"/>
        <w:jc w:val="center"/>
        <w:textAlignment w:val="baseline"/>
        <w:outlineLvl w:val="1"/>
        <w:rPr>
          <w:rFonts w:ascii="Times New Roman" w:hAnsi="Times New Roman" w:eastAsia="黑体" w:cs="Times New Roman"/>
        </w:rPr>
      </w:pPr>
      <w:bookmarkStart w:id="76" w:name="_Toc162996238"/>
      <w:r>
        <w:rPr>
          <w:rFonts w:ascii="Times New Roman" w:hAnsi="Times New Roman" w:eastAsia="黑体" w:cs="Times New Roman"/>
        </w:rPr>
        <w:t>8.4 焊缝连接</w:t>
      </w:r>
      <w:bookmarkEnd w:id="76"/>
    </w:p>
    <w:p>
      <w:pPr>
        <w:widowControl w:val="0"/>
        <w:spacing w:line="360" w:lineRule="auto"/>
        <w:jc w:val="both"/>
        <w:rPr>
          <w:rFonts w:ascii="Times New Roman" w:hAnsi="Times New Roman" w:cs="Times New Roman"/>
          <w:kern w:val="2"/>
        </w:rPr>
      </w:pPr>
      <w:r>
        <w:rPr>
          <w:rFonts w:ascii="Times New Roman" w:hAnsi="Times New Roman" w:cs="Times New Roman"/>
          <w:b/>
          <w:bCs/>
          <w:kern w:val="2"/>
        </w:rPr>
        <w:t>8.4.1</w:t>
      </w:r>
      <w:r>
        <w:rPr>
          <w:rFonts w:ascii="Times New Roman" w:hAnsi="Times New Roman" w:cs="Times New Roman"/>
          <w:kern w:val="2"/>
        </w:rPr>
        <w:t xml:space="preserve"> 采用焊缝连接时，当被连接板间的最小厚度大于4mm时，其对接焊缝、角焊缝和部分熔透对接焊缝的强度，应分别按现行国家标准《钢结构设计标准》GB50017的规定计算。当其最小不大于4mm时，正面角焊缝的强度增大系数B</w:t>
      </w:r>
      <w:r>
        <w:rPr>
          <w:rFonts w:ascii="Times New Roman" w:hAnsi="Times New Roman" w:cs="Times New Roman"/>
          <w:kern w:val="2"/>
          <w:vertAlign w:val="subscript"/>
        </w:rPr>
        <w:t>f</w:t>
      </w:r>
      <w:r>
        <w:rPr>
          <w:rFonts w:ascii="Times New Roman" w:hAnsi="Times New Roman" w:cs="Times New Roman"/>
          <w:kern w:val="2"/>
        </w:rPr>
        <w:t>取1.0，焊缝质量等级的要求应按现行国家标准《钢结构工程施工质量验收规范》GB50205的规定执行。</w:t>
      </w:r>
    </w:p>
    <w:p>
      <w:pPr>
        <w:widowControl w:val="0"/>
        <w:spacing w:line="360" w:lineRule="auto"/>
        <w:jc w:val="both"/>
        <w:rPr>
          <w:rFonts w:ascii="Times New Roman" w:hAnsi="Times New Roman" w:cs="Times New Roman"/>
          <w:kern w:val="2"/>
        </w:rPr>
      </w:pPr>
      <w:r>
        <w:rPr>
          <w:rFonts w:ascii="Times New Roman" w:hAnsi="Times New Roman" w:cs="Times New Roman"/>
          <w:b/>
          <w:bCs/>
          <w:kern w:val="2"/>
        </w:rPr>
        <w:t>8.4.2</w:t>
      </w:r>
      <w:r>
        <w:rPr>
          <w:rFonts w:ascii="Times New Roman" w:hAnsi="Times New Roman" w:cs="Times New Roman"/>
          <w:kern w:val="2"/>
        </w:rPr>
        <w:t xml:space="preserve"> 对接焊缝和角焊缝的强度应按下列公式计算：</w:t>
      </w:r>
    </w:p>
    <w:p>
      <w:pPr>
        <w:widowControl w:val="0"/>
        <w:spacing w:line="360" w:lineRule="auto"/>
        <w:jc w:val="both"/>
        <w:rPr>
          <w:rFonts w:ascii="Times New Roman" w:hAnsi="Times New Roman" w:cs="Times New Roman"/>
          <w:kern w:val="2"/>
        </w:rPr>
      </w:pPr>
      <w:r>
        <w:rPr>
          <w:rFonts w:ascii="Times New Roman" w:hAnsi="Times New Roman" w:cs="Times New Roman"/>
          <w:kern w:val="2"/>
        </w:rPr>
        <w:t xml:space="preserve">  </w:t>
      </w:r>
      <w:r>
        <w:rPr>
          <w:rFonts w:ascii="Times New Roman" w:hAnsi="Times New Roman" w:cs="Times New Roman"/>
          <w:b/>
          <w:bCs/>
          <w:kern w:val="2"/>
        </w:rPr>
        <w:t>1</w:t>
      </w:r>
      <w:r>
        <w:rPr>
          <w:rFonts w:ascii="Times New Roman" w:hAnsi="Times New Roman" w:cs="Times New Roman"/>
          <w:kern w:val="2"/>
        </w:rPr>
        <w:t xml:space="preserve"> 对接焊缝轴心受拉。</w:t>
      </w:r>
    </w:p>
    <w:p>
      <w:pPr>
        <w:widowControl w:val="0"/>
        <w:spacing w:line="360" w:lineRule="auto"/>
        <w:ind w:firstLine="4080" w:firstLineChars="1700"/>
        <w:jc w:val="both"/>
        <w:rPr>
          <w:rFonts w:ascii="Times New Roman" w:hAnsi="Times New Roman" w:cs="Times New Roman"/>
          <w:kern w:val="2"/>
        </w:rPr>
      </w:pPr>
      <w:r>
        <w:rPr>
          <w:rFonts w:ascii="Times New Roman" w:hAnsi="Times New Roman" w:cs="Times New Roman"/>
          <w:kern w:val="2"/>
          <w:position w:val="-30"/>
        </w:rPr>
        <w:object>
          <v:shape id="_x0000_i1199" o:spt="75" type="#_x0000_t75" style="height:33.6pt;width:63pt;" o:ole="t" filled="f" o:preferrelative="t" stroked="f" coordsize="21600,21600">
            <v:path/>
            <v:fill on="f" focussize="0,0"/>
            <v:stroke on="f" joinstyle="miter"/>
            <v:imagedata r:id="rId360" o:title=""/>
            <o:lock v:ext="edit" aspectratio="t"/>
            <w10:wrap type="none"/>
            <w10:anchorlock/>
          </v:shape>
          <o:OLEObject Type="Embed" ProgID="Equation.DSMT4" ShapeID="_x0000_i1199" DrawAspect="Content" ObjectID="_1468075903" r:id="rId359">
            <o:LockedField>false</o:LockedField>
          </o:OLEObject>
        </w:object>
      </w:r>
      <w:r>
        <w:rPr>
          <w:rFonts w:ascii="Times New Roman" w:hAnsi="Times New Roman" w:cs="Times New Roman"/>
          <w:kern w:val="2"/>
        </w:rPr>
        <w:t xml:space="preserve"> </w:t>
      </w:r>
      <w:r>
        <w:rPr>
          <w:rFonts w:ascii="Times New Roman" w:hAnsi="Times New Roman" w:cs="Times New Roman"/>
          <w:kern w:val="2"/>
        </w:rPr>
        <w:tab/>
      </w:r>
      <w:r>
        <w:rPr>
          <w:rFonts w:ascii="Times New Roman" w:hAnsi="Times New Roman" w:cs="Times New Roman"/>
          <w:kern w:val="2"/>
        </w:rPr>
        <w:t>（8.4.2-1）</w:t>
      </w:r>
    </w:p>
    <w:p>
      <w:pPr>
        <w:widowControl w:val="0"/>
        <w:spacing w:line="360" w:lineRule="auto"/>
        <w:ind w:firstLine="241" w:firstLineChars="100"/>
        <w:jc w:val="both"/>
        <w:rPr>
          <w:rFonts w:ascii="Times New Roman" w:hAnsi="Times New Roman" w:cs="Times New Roman"/>
          <w:kern w:val="2"/>
        </w:rPr>
      </w:pPr>
      <w:r>
        <w:rPr>
          <w:rFonts w:ascii="Times New Roman" w:hAnsi="Times New Roman" w:cs="Times New Roman"/>
          <w:b/>
          <w:bCs/>
          <w:kern w:val="2"/>
        </w:rPr>
        <w:t>2</w:t>
      </w:r>
      <w:r>
        <w:rPr>
          <w:rFonts w:ascii="Times New Roman" w:hAnsi="Times New Roman" w:cs="Times New Roman"/>
          <w:kern w:val="2"/>
        </w:rPr>
        <w:t xml:space="preserve"> 对接焊缝轴心受压。</w:t>
      </w:r>
    </w:p>
    <w:p>
      <w:pPr>
        <w:widowControl w:val="0"/>
        <w:spacing w:line="360" w:lineRule="auto"/>
        <w:ind w:firstLine="4080" w:firstLineChars="1700"/>
        <w:jc w:val="both"/>
        <w:rPr>
          <w:rFonts w:ascii="Times New Roman" w:hAnsi="Times New Roman" w:cs="Times New Roman"/>
          <w:kern w:val="2"/>
        </w:rPr>
      </w:pPr>
      <w:r>
        <w:rPr>
          <w:rFonts w:ascii="Times New Roman" w:hAnsi="Times New Roman" w:cs="Times New Roman"/>
          <w:kern w:val="2"/>
          <w:position w:val="-30"/>
        </w:rPr>
        <w:object>
          <v:shape id="_x0000_i1200" o:spt="75" type="#_x0000_t75" style="height:33.6pt;width:63pt;" o:ole="t" filled="f" o:preferrelative="t" stroked="f" coordsize="21600,21600">
            <v:path/>
            <v:fill on="f" focussize="0,0"/>
            <v:stroke on="f" joinstyle="miter"/>
            <v:imagedata r:id="rId362" o:title=""/>
            <o:lock v:ext="edit" aspectratio="t"/>
            <w10:wrap type="none"/>
            <w10:anchorlock/>
          </v:shape>
          <o:OLEObject Type="Embed" ProgID="Equation.DSMT4" ShapeID="_x0000_i1200" DrawAspect="Content" ObjectID="_1468075904" r:id="rId361">
            <o:LockedField>false</o:LockedField>
          </o:OLEObject>
        </w:object>
      </w:r>
      <w:r>
        <w:rPr>
          <w:rFonts w:ascii="Times New Roman" w:hAnsi="Times New Roman" w:cs="Times New Roman"/>
          <w:kern w:val="2"/>
        </w:rPr>
        <w:t xml:space="preserve"> </w:t>
      </w:r>
      <w:r>
        <w:rPr>
          <w:rFonts w:ascii="Times New Roman" w:hAnsi="Times New Roman" w:cs="Times New Roman"/>
          <w:kern w:val="2"/>
        </w:rPr>
        <w:tab/>
      </w:r>
      <w:r>
        <w:rPr>
          <w:rFonts w:ascii="Times New Roman" w:hAnsi="Times New Roman" w:cs="Times New Roman"/>
          <w:kern w:val="2"/>
        </w:rPr>
        <w:t>（8.4.2-2）</w:t>
      </w:r>
    </w:p>
    <w:p>
      <w:pPr>
        <w:widowControl w:val="0"/>
        <w:spacing w:line="360" w:lineRule="auto"/>
        <w:ind w:firstLine="241" w:firstLineChars="100"/>
        <w:jc w:val="both"/>
        <w:rPr>
          <w:rFonts w:ascii="Times New Roman" w:hAnsi="Times New Roman" w:cs="Times New Roman"/>
          <w:kern w:val="2"/>
        </w:rPr>
      </w:pPr>
      <w:r>
        <w:rPr>
          <w:rFonts w:ascii="Times New Roman" w:hAnsi="Times New Roman" w:cs="Times New Roman"/>
          <w:b/>
          <w:bCs/>
          <w:kern w:val="2"/>
        </w:rPr>
        <w:t>3</w:t>
      </w:r>
      <w:r>
        <w:rPr>
          <w:rFonts w:ascii="Times New Roman" w:hAnsi="Times New Roman" w:cs="Times New Roman"/>
          <w:kern w:val="2"/>
        </w:rPr>
        <w:t xml:space="preserve"> 对接焊缝受弯同时受剪。</w:t>
      </w:r>
    </w:p>
    <w:p>
      <w:pPr>
        <w:widowControl w:val="0"/>
        <w:spacing w:line="360" w:lineRule="auto"/>
        <w:ind w:firstLine="240" w:firstLineChars="100"/>
        <w:jc w:val="both"/>
        <w:rPr>
          <w:rFonts w:ascii="Times New Roman" w:hAnsi="Times New Roman" w:cs="Times New Roman"/>
          <w:kern w:val="2"/>
        </w:rPr>
      </w:pPr>
      <w:r>
        <w:rPr>
          <w:rFonts w:ascii="Times New Roman" w:hAnsi="Times New Roman" w:cs="Times New Roman"/>
          <w:kern w:val="2"/>
        </w:rPr>
        <w:t>拉应力：</w:t>
      </w:r>
    </w:p>
    <w:p>
      <w:pPr>
        <w:widowControl w:val="0"/>
        <w:spacing w:line="360" w:lineRule="auto"/>
        <w:ind w:firstLine="4080" w:firstLineChars="1700"/>
        <w:jc w:val="both"/>
        <w:rPr>
          <w:rFonts w:ascii="Times New Roman" w:hAnsi="Times New Roman" w:cs="Times New Roman"/>
          <w:kern w:val="2"/>
        </w:rPr>
      </w:pPr>
      <w:r>
        <w:rPr>
          <w:rFonts w:ascii="Times New Roman" w:hAnsi="Times New Roman" w:cs="Times New Roman"/>
          <w:kern w:val="2"/>
          <w:position w:val="-32"/>
        </w:rPr>
        <w:object>
          <v:shape id="_x0000_i1201" o:spt="75" type="#_x0000_t75" style="height:34.8pt;width:66pt;" o:ole="t" filled="f" o:preferrelative="t" stroked="f" coordsize="21600,21600">
            <v:path/>
            <v:fill on="f" focussize="0,0"/>
            <v:stroke on="f" joinstyle="miter"/>
            <v:imagedata r:id="rId364" o:title=""/>
            <o:lock v:ext="edit" aspectratio="t"/>
            <w10:wrap type="none"/>
            <w10:anchorlock/>
          </v:shape>
          <o:OLEObject Type="Embed" ProgID="Equation.DSMT4" ShapeID="_x0000_i1201" DrawAspect="Content" ObjectID="_1468075905" r:id="rId363">
            <o:LockedField>false</o:LockedField>
          </o:OLEObject>
        </w:object>
      </w:r>
      <w:r>
        <w:rPr>
          <w:rFonts w:ascii="Times New Roman" w:hAnsi="Times New Roman" w:cs="Times New Roman"/>
          <w:kern w:val="2"/>
        </w:rPr>
        <w:t xml:space="preserve"> </w:t>
      </w:r>
      <w:r>
        <w:rPr>
          <w:rFonts w:ascii="Times New Roman" w:hAnsi="Times New Roman" w:cs="Times New Roman"/>
          <w:kern w:val="2"/>
        </w:rPr>
        <w:tab/>
      </w:r>
      <w:r>
        <w:rPr>
          <w:rFonts w:ascii="Times New Roman" w:hAnsi="Times New Roman" w:cs="Times New Roman"/>
          <w:kern w:val="2"/>
        </w:rPr>
        <w:t>（8.4.2-3）</w:t>
      </w:r>
    </w:p>
    <w:p>
      <w:pPr>
        <w:widowControl w:val="0"/>
        <w:spacing w:line="360" w:lineRule="auto"/>
        <w:ind w:firstLine="240" w:firstLineChars="100"/>
        <w:jc w:val="both"/>
        <w:rPr>
          <w:rFonts w:ascii="Times New Roman" w:hAnsi="Times New Roman" w:cs="Times New Roman"/>
          <w:kern w:val="2"/>
        </w:rPr>
      </w:pPr>
      <w:r>
        <w:rPr>
          <w:rFonts w:ascii="Times New Roman" w:hAnsi="Times New Roman" w:cs="Times New Roman"/>
          <w:kern w:val="2"/>
        </w:rPr>
        <w:t>剪应力：</w:t>
      </w:r>
    </w:p>
    <w:p>
      <w:pPr>
        <w:widowControl w:val="0"/>
        <w:spacing w:line="360" w:lineRule="auto"/>
        <w:ind w:firstLine="4080" w:firstLineChars="1700"/>
        <w:jc w:val="both"/>
        <w:rPr>
          <w:rFonts w:ascii="Times New Roman" w:hAnsi="Times New Roman" w:cs="Times New Roman"/>
          <w:kern w:val="2"/>
        </w:rPr>
      </w:pPr>
      <w:r>
        <w:rPr>
          <w:rFonts w:ascii="Times New Roman" w:hAnsi="Times New Roman" w:cs="Times New Roman"/>
          <w:kern w:val="2"/>
          <w:position w:val="-32"/>
        </w:rPr>
        <w:object>
          <v:shape id="_x0000_i1202" o:spt="75" type="#_x0000_t75" style="height:37.2pt;width:67.8pt;" o:ole="t" filled="f" o:preferrelative="t" stroked="f" coordsize="21600,21600">
            <v:path/>
            <v:fill on="f" focussize="0,0"/>
            <v:stroke on="f" joinstyle="miter"/>
            <v:imagedata r:id="rId366" o:title=""/>
            <o:lock v:ext="edit" aspectratio="t"/>
            <w10:wrap type="none"/>
            <w10:anchorlock/>
          </v:shape>
          <o:OLEObject Type="Embed" ProgID="Equation.DSMT4" ShapeID="_x0000_i1202" DrawAspect="Content" ObjectID="_1468075906" r:id="rId365">
            <o:LockedField>false</o:LockedField>
          </o:OLEObject>
        </w:object>
      </w:r>
      <w:r>
        <w:rPr>
          <w:rFonts w:ascii="Times New Roman" w:hAnsi="Times New Roman" w:cs="Times New Roman"/>
          <w:kern w:val="2"/>
        </w:rPr>
        <w:t xml:space="preserve"> </w:t>
      </w:r>
      <w:r>
        <w:rPr>
          <w:rFonts w:ascii="Times New Roman" w:hAnsi="Times New Roman" w:cs="Times New Roman"/>
          <w:kern w:val="2"/>
        </w:rPr>
        <w:tab/>
      </w:r>
      <w:r>
        <w:rPr>
          <w:rFonts w:ascii="Times New Roman" w:hAnsi="Times New Roman" w:cs="Times New Roman"/>
          <w:kern w:val="2"/>
        </w:rPr>
        <w:t>（8.4.2-4）</w:t>
      </w:r>
    </w:p>
    <w:p>
      <w:pPr>
        <w:widowControl w:val="0"/>
        <w:spacing w:line="360" w:lineRule="auto"/>
        <w:ind w:firstLine="240" w:firstLineChars="100"/>
        <w:jc w:val="both"/>
        <w:rPr>
          <w:rFonts w:ascii="Times New Roman" w:hAnsi="Times New Roman" w:cs="Times New Roman"/>
          <w:kern w:val="2"/>
        </w:rPr>
      </w:pPr>
      <w:r>
        <w:rPr>
          <w:rFonts w:ascii="Times New Roman" w:hAnsi="Times New Roman" w:cs="Times New Roman"/>
          <w:kern w:val="2"/>
        </w:rPr>
        <w:t>对接焊缝中剪应力和正应力均较大处：</w:t>
      </w:r>
    </w:p>
    <w:p>
      <w:pPr>
        <w:widowControl w:val="0"/>
        <w:spacing w:line="360" w:lineRule="auto"/>
        <w:ind w:firstLine="4080" w:firstLineChars="1700"/>
        <w:jc w:val="both"/>
        <w:rPr>
          <w:rFonts w:ascii="Times New Roman" w:hAnsi="Times New Roman" w:cs="Times New Roman"/>
          <w:kern w:val="2"/>
        </w:rPr>
      </w:pPr>
      <w:r>
        <w:rPr>
          <w:rFonts w:ascii="Times New Roman" w:hAnsi="Times New Roman" w:cs="Times New Roman"/>
          <w:kern w:val="2"/>
          <w:position w:val="-32"/>
        </w:rPr>
        <w:object>
          <v:shape id="_x0000_i1203" o:spt="75" type="#_x0000_t75" style="height:37.2pt;width:67.8pt;" o:ole="t" filled="f" o:preferrelative="t" stroked="f" coordsize="21600,21600">
            <v:path/>
            <v:fill on="f" focussize="0,0"/>
            <v:stroke on="f" joinstyle="miter"/>
            <v:imagedata r:id="rId366" o:title=""/>
            <o:lock v:ext="edit" aspectratio="t"/>
            <w10:wrap type="none"/>
            <w10:anchorlock/>
          </v:shape>
          <o:OLEObject Type="Embed" ProgID="Equation.DSMT4" ShapeID="_x0000_i1203" DrawAspect="Content" ObjectID="_1468075907" r:id="rId367">
            <o:LockedField>false</o:LockedField>
          </o:OLEObject>
        </w:object>
      </w:r>
      <w:r>
        <w:rPr>
          <w:rFonts w:ascii="Times New Roman" w:hAnsi="Times New Roman" w:cs="Times New Roman"/>
          <w:kern w:val="2"/>
        </w:rPr>
        <w:t xml:space="preserve"> </w:t>
      </w:r>
      <w:r>
        <w:rPr>
          <w:rFonts w:ascii="Times New Roman" w:hAnsi="Times New Roman" w:cs="Times New Roman"/>
          <w:kern w:val="2"/>
        </w:rPr>
        <w:tab/>
      </w:r>
      <w:r>
        <w:rPr>
          <w:rFonts w:ascii="Times New Roman" w:hAnsi="Times New Roman" w:cs="Times New Roman"/>
          <w:kern w:val="2"/>
        </w:rPr>
        <w:t>（8.4.2-5）</w:t>
      </w:r>
    </w:p>
    <w:p>
      <w:pPr>
        <w:widowControl w:val="0"/>
        <w:spacing w:line="360" w:lineRule="auto"/>
        <w:ind w:firstLine="241" w:firstLineChars="100"/>
        <w:jc w:val="both"/>
        <w:rPr>
          <w:rFonts w:ascii="Times New Roman" w:hAnsi="Times New Roman" w:cs="Times New Roman"/>
          <w:kern w:val="2"/>
        </w:rPr>
      </w:pPr>
      <w:r>
        <w:rPr>
          <w:rFonts w:ascii="Times New Roman" w:hAnsi="Times New Roman" w:cs="Times New Roman"/>
          <w:b/>
          <w:bCs/>
          <w:kern w:val="2"/>
        </w:rPr>
        <w:t>4</w:t>
      </w:r>
      <w:r>
        <w:rPr>
          <w:rFonts w:ascii="Times New Roman" w:hAnsi="Times New Roman" w:cs="Times New Roman"/>
          <w:kern w:val="2"/>
        </w:rPr>
        <w:t xml:space="preserve"> 正面直角角焊缝受剪（作用力垂直于焊缝长度方向）。</w:t>
      </w:r>
    </w:p>
    <w:p>
      <w:pPr>
        <w:widowControl w:val="0"/>
        <w:spacing w:line="360" w:lineRule="auto"/>
        <w:ind w:firstLine="4080" w:firstLineChars="1700"/>
        <w:jc w:val="both"/>
        <w:rPr>
          <w:rFonts w:ascii="Times New Roman" w:hAnsi="Times New Roman" w:cs="Times New Roman"/>
          <w:kern w:val="2"/>
        </w:rPr>
      </w:pPr>
      <w:r>
        <w:rPr>
          <w:rFonts w:ascii="Times New Roman" w:hAnsi="Times New Roman" w:cs="Times New Roman"/>
          <w:kern w:val="2"/>
          <w:position w:val="-32"/>
        </w:rPr>
        <w:object>
          <v:shape id="_x0000_i1204" o:spt="75" type="#_x0000_t75" style="height:37.2pt;width:67.8pt;" o:ole="t" filled="f" o:preferrelative="t" stroked="f" coordsize="21600,21600">
            <v:path/>
            <v:fill on="f" focussize="0,0"/>
            <v:stroke on="f" joinstyle="miter"/>
            <v:imagedata r:id="rId366" o:title=""/>
            <o:lock v:ext="edit" aspectratio="t"/>
            <w10:wrap type="none"/>
            <w10:anchorlock/>
          </v:shape>
          <o:OLEObject Type="Embed" ProgID="Equation.DSMT4" ShapeID="_x0000_i1204" DrawAspect="Content" ObjectID="_1468075908" r:id="rId368">
            <o:LockedField>false</o:LockedField>
          </o:OLEObject>
        </w:object>
      </w:r>
      <w:r>
        <w:rPr>
          <w:rFonts w:ascii="Times New Roman" w:hAnsi="Times New Roman" w:cs="Times New Roman"/>
          <w:kern w:val="2"/>
        </w:rPr>
        <w:t xml:space="preserve"> </w:t>
      </w:r>
      <w:r>
        <w:rPr>
          <w:rFonts w:ascii="Times New Roman" w:hAnsi="Times New Roman" w:cs="Times New Roman"/>
          <w:kern w:val="2"/>
        </w:rPr>
        <w:tab/>
      </w:r>
      <w:r>
        <w:rPr>
          <w:rFonts w:ascii="Times New Roman" w:hAnsi="Times New Roman" w:cs="Times New Roman"/>
          <w:kern w:val="2"/>
        </w:rPr>
        <w:t>（8.4.2-6）</w:t>
      </w:r>
    </w:p>
    <w:p>
      <w:pPr>
        <w:widowControl w:val="0"/>
        <w:spacing w:line="360" w:lineRule="auto"/>
        <w:ind w:firstLine="241" w:firstLineChars="100"/>
        <w:jc w:val="both"/>
        <w:rPr>
          <w:rFonts w:ascii="Times New Roman" w:hAnsi="Times New Roman" w:cs="Times New Roman"/>
          <w:kern w:val="2"/>
        </w:rPr>
      </w:pPr>
      <w:r>
        <w:rPr>
          <w:rFonts w:ascii="Times New Roman" w:hAnsi="Times New Roman" w:cs="Times New Roman"/>
          <w:b/>
          <w:bCs/>
          <w:kern w:val="2"/>
        </w:rPr>
        <w:t>5</w:t>
      </w:r>
      <w:r>
        <w:rPr>
          <w:rFonts w:ascii="Times New Roman" w:hAnsi="Times New Roman" w:cs="Times New Roman"/>
          <w:kern w:val="2"/>
        </w:rPr>
        <w:t xml:space="preserve"> 侧面直角角焊缝受剪（作用力平行于焊缝长度方向）。</w:t>
      </w:r>
    </w:p>
    <w:p>
      <w:pPr>
        <w:widowControl w:val="0"/>
        <w:spacing w:line="360" w:lineRule="auto"/>
        <w:ind w:firstLine="4080" w:firstLineChars="1700"/>
        <w:jc w:val="both"/>
        <w:rPr>
          <w:rFonts w:ascii="Times New Roman" w:hAnsi="Times New Roman" w:cs="Times New Roman"/>
          <w:kern w:val="2"/>
        </w:rPr>
      </w:pPr>
      <w:r>
        <w:rPr>
          <w:rFonts w:ascii="Times New Roman" w:hAnsi="Times New Roman" w:cs="Times New Roman"/>
          <w:kern w:val="2"/>
          <w:position w:val="-32"/>
        </w:rPr>
        <w:object>
          <v:shape id="_x0000_i1205" o:spt="75" type="#_x0000_t75" style="height:37.2pt;width:67.8pt;" o:ole="t" filled="f" o:preferrelative="t" stroked="f" coordsize="21600,21600">
            <v:path/>
            <v:fill on="f" focussize="0,0"/>
            <v:stroke on="f" joinstyle="miter"/>
            <v:imagedata r:id="rId366" o:title=""/>
            <o:lock v:ext="edit" aspectratio="t"/>
            <w10:wrap type="none"/>
            <w10:anchorlock/>
          </v:shape>
          <o:OLEObject Type="Embed" ProgID="Equation.DSMT4" ShapeID="_x0000_i1205" DrawAspect="Content" ObjectID="_1468075909" r:id="rId369">
            <o:LockedField>false</o:LockedField>
          </o:OLEObject>
        </w:object>
      </w:r>
      <w:r>
        <w:rPr>
          <w:rFonts w:ascii="Times New Roman" w:hAnsi="Times New Roman" w:cs="Times New Roman"/>
          <w:kern w:val="2"/>
        </w:rPr>
        <w:t xml:space="preserve"> </w:t>
      </w:r>
      <w:r>
        <w:rPr>
          <w:rFonts w:ascii="Times New Roman" w:hAnsi="Times New Roman" w:cs="Times New Roman"/>
          <w:kern w:val="2"/>
        </w:rPr>
        <w:tab/>
      </w:r>
      <w:r>
        <w:rPr>
          <w:rFonts w:ascii="Times New Roman" w:hAnsi="Times New Roman" w:cs="Times New Roman"/>
          <w:kern w:val="2"/>
        </w:rPr>
        <w:t>（8.4.2-7）</w:t>
      </w:r>
    </w:p>
    <w:p>
      <w:pPr>
        <w:widowControl w:val="0"/>
        <w:spacing w:line="360" w:lineRule="auto"/>
        <w:ind w:firstLine="241" w:firstLineChars="100"/>
        <w:jc w:val="both"/>
        <w:rPr>
          <w:rFonts w:ascii="Times New Roman" w:hAnsi="Times New Roman" w:cs="Times New Roman"/>
          <w:kern w:val="2"/>
        </w:rPr>
      </w:pPr>
      <w:r>
        <w:rPr>
          <w:rFonts w:ascii="Times New Roman" w:hAnsi="Times New Roman" w:cs="Times New Roman"/>
          <w:b/>
          <w:bCs/>
          <w:kern w:val="2"/>
        </w:rPr>
        <w:t>6</w:t>
      </w:r>
      <w:r>
        <w:rPr>
          <w:rFonts w:ascii="Times New Roman" w:hAnsi="Times New Roman" w:cs="Times New Roman"/>
          <w:kern w:val="2"/>
        </w:rPr>
        <w:t xml:space="preserve"> 在垂直于角焊缝长度方向的应力和沿角焊缝长度方向的剪应力共同作用处。</w:t>
      </w:r>
    </w:p>
    <w:p>
      <w:pPr>
        <w:widowControl w:val="0"/>
        <w:spacing w:line="360" w:lineRule="auto"/>
        <w:ind w:firstLine="4080" w:firstLineChars="1700"/>
        <w:jc w:val="both"/>
        <w:rPr>
          <w:rFonts w:ascii="Times New Roman" w:hAnsi="Times New Roman" w:cs="Times New Roman"/>
          <w:kern w:val="2"/>
        </w:rPr>
      </w:pPr>
      <w:r>
        <w:rPr>
          <w:rFonts w:ascii="Times New Roman" w:hAnsi="Times New Roman" w:cs="Times New Roman"/>
          <w:kern w:val="2"/>
          <w:position w:val="-34"/>
        </w:rPr>
        <w:object>
          <v:shape id="_x0000_i1206" o:spt="75" type="#_x0000_t75" style="height:43.8pt;width:99pt;" o:ole="t" filled="f" o:preferrelative="t" stroked="f" coordsize="21600,21600">
            <v:path/>
            <v:fill on="f" focussize="0,0"/>
            <v:stroke on="f" joinstyle="miter"/>
            <v:imagedata r:id="rId371" o:title=""/>
            <o:lock v:ext="edit" aspectratio="t"/>
            <w10:wrap type="none"/>
            <w10:anchorlock/>
          </v:shape>
          <o:OLEObject Type="Embed" ProgID="Equation.DSMT4" ShapeID="_x0000_i1206" DrawAspect="Content" ObjectID="_1468075910" r:id="rId370">
            <o:LockedField>false</o:LockedField>
          </o:OLEObject>
        </w:object>
      </w:r>
      <w:r>
        <w:rPr>
          <w:rFonts w:ascii="Times New Roman" w:hAnsi="Times New Roman" w:cs="Times New Roman"/>
          <w:kern w:val="2"/>
        </w:rPr>
        <w:tab/>
      </w:r>
      <w:r>
        <w:rPr>
          <w:rFonts w:ascii="Times New Roman" w:hAnsi="Times New Roman" w:cs="Times New Roman"/>
          <w:kern w:val="2"/>
        </w:rPr>
        <w:t>（8.4.2-8）</w:t>
      </w:r>
    </w:p>
    <w:p>
      <w:pPr>
        <w:widowControl w:val="0"/>
        <w:spacing w:line="360" w:lineRule="auto"/>
        <w:ind w:firstLine="240" w:firstLineChars="100"/>
        <w:jc w:val="both"/>
        <w:rPr>
          <w:rFonts w:ascii="Times New Roman" w:hAnsi="Times New Roman" w:cs="Times New Roman"/>
          <w:kern w:val="2"/>
        </w:rPr>
      </w:pPr>
      <w:r>
        <w:rPr>
          <w:rFonts w:ascii="Times New Roman" w:hAnsi="Times New Roman" w:cs="Times New Roman"/>
          <w:kern w:val="2"/>
        </w:rPr>
        <w:t>式中：</w:t>
      </w:r>
      <w:r>
        <w:rPr>
          <w:rFonts w:ascii="Times New Roman" w:hAnsi="Times New Roman" w:cs="Times New Roman"/>
          <w:i/>
          <w:iCs/>
          <w:kern w:val="2"/>
        </w:rPr>
        <w:t>l</w:t>
      </w:r>
      <w:r>
        <w:rPr>
          <w:rFonts w:ascii="Times New Roman" w:hAnsi="Times New Roman" w:cs="Times New Roman"/>
          <w:i/>
          <w:iCs/>
          <w:kern w:val="2"/>
          <w:vertAlign w:val="subscript"/>
        </w:rPr>
        <w:t>w</w:t>
      </w:r>
      <w:r>
        <w:rPr>
          <w:rFonts w:ascii="Times New Roman" w:hAnsi="Times New Roman" w:cs="Times New Roman"/>
          <w:kern w:val="2"/>
        </w:rPr>
        <w:t>——焊缝计算长度之和</w:t>
      </w:r>
      <w:r>
        <w:rPr>
          <w:rFonts w:ascii="Times New Roman" w:hAnsi="Times New Roman" w:cs="Times New Roman"/>
          <w:bCs/>
          <w:kern w:val="2"/>
        </w:rPr>
        <w:t>（mm）</w:t>
      </w:r>
      <w:r>
        <w:rPr>
          <w:rFonts w:ascii="Times New Roman" w:hAnsi="Times New Roman" w:cs="Times New Roman"/>
          <w:kern w:val="2"/>
        </w:rPr>
        <w:t>；</w:t>
      </w:r>
    </w:p>
    <w:p>
      <w:pPr>
        <w:widowControl w:val="0"/>
        <w:spacing w:line="360" w:lineRule="auto"/>
        <w:ind w:firstLine="849" w:firstLineChars="354"/>
        <w:jc w:val="both"/>
        <w:rPr>
          <w:rFonts w:ascii="Times New Roman" w:hAnsi="Times New Roman" w:cs="Times New Roman"/>
          <w:kern w:val="2"/>
        </w:rPr>
      </w:pPr>
      <w:r>
        <w:rPr>
          <w:rFonts w:ascii="Times New Roman" w:hAnsi="Times New Roman" w:cs="Times New Roman"/>
          <w:i/>
          <w:iCs/>
          <w:kern w:val="2"/>
        </w:rPr>
        <w:t>h</w:t>
      </w:r>
      <w:r>
        <w:rPr>
          <w:rFonts w:ascii="Times New Roman" w:hAnsi="Times New Roman" w:cs="Times New Roman"/>
          <w:i/>
          <w:iCs/>
          <w:kern w:val="2"/>
          <w:vertAlign w:val="subscript"/>
        </w:rPr>
        <w:t>f</w:t>
      </w:r>
      <w:r>
        <w:rPr>
          <w:rFonts w:ascii="Times New Roman" w:hAnsi="Times New Roman" w:cs="Times New Roman"/>
          <w:kern w:val="2"/>
        </w:rPr>
        <w:t>——角焊缝的焊脚尺寸</w:t>
      </w:r>
      <w:r>
        <w:rPr>
          <w:rFonts w:ascii="Times New Roman" w:hAnsi="Times New Roman" w:cs="Times New Roman"/>
          <w:bCs/>
          <w:kern w:val="2"/>
        </w:rPr>
        <w:t>（mm）</w:t>
      </w:r>
      <w:r>
        <w:rPr>
          <w:rFonts w:ascii="Times New Roman" w:hAnsi="Times New Roman" w:cs="Times New Roman"/>
          <w:kern w:val="2"/>
        </w:rPr>
        <w:t>；</w:t>
      </w:r>
    </w:p>
    <w:p>
      <w:pPr>
        <w:widowControl w:val="0"/>
        <w:spacing w:line="360" w:lineRule="auto"/>
        <w:ind w:firstLine="849" w:firstLineChars="354"/>
        <w:jc w:val="both"/>
        <w:rPr>
          <w:rFonts w:ascii="Times New Roman" w:hAnsi="Times New Roman" w:cs="Times New Roman"/>
          <w:kern w:val="2"/>
        </w:rPr>
      </w:pPr>
      <w:r>
        <w:rPr>
          <w:rFonts w:ascii="Times New Roman" w:hAnsi="Times New Roman" w:cs="Times New Roman"/>
          <w:i/>
          <w:iCs/>
          <w:kern w:val="2"/>
        </w:rPr>
        <w:t>t</w:t>
      </w:r>
      <w:r>
        <w:rPr>
          <w:rFonts w:ascii="Times New Roman" w:hAnsi="Times New Roman" w:cs="Times New Roman"/>
          <w:kern w:val="2"/>
        </w:rPr>
        <w:t>——连接构件中较薄板件的厚度</w:t>
      </w:r>
      <w:r>
        <w:rPr>
          <w:rFonts w:ascii="Times New Roman" w:hAnsi="Times New Roman" w:cs="Times New Roman"/>
          <w:bCs/>
          <w:kern w:val="2"/>
        </w:rPr>
        <w:t>（mm）</w:t>
      </w:r>
      <w:r>
        <w:rPr>
          <w:rFonts w:ascii="Times New Roman" w:hAnsi="Times New Roman" w:cs="Times New Roman"/>
          <w:kern w:val="2"/>
        </w:rPr>
        <w:t>；</w:t>
      </w:r>
    </w:p>
    <w:p>
      <w:pPr>
        <w:widowControl w:val="0"/>
        <w:spacing w:line="360" w:lineRule="auto"/>
        <w:ind w:firstLine="849" w:firstLineChars="354"/>
        <w:jc w:val="both"/>
        <w:rPr>
          <w:rFonts w:ascii="Times New Roman" w:hAnsi="Times New Roman" w:cs="Times New Roman"/>
          <w:kern w:val="2"/>
        </w:rPr>
      </w:pPr>
      <w:r>
        <w:rPr>
          <w:rFonts w:ascii="Times New Roman" w:hAnsi="Times New Roman" w:cs="Times New Roman"/>
          <w:i/>
          <w:iCs/>
          <w:kern w:val="2"/>
        </w:rPr>
        <w:t>W</w:t>
      </w:r>
      <w:r>
        <w:rPr>
          <w:rFonts w:ascii="Times New Roman" w:hAnsi="Times New Roman" w:cs="Times New Roman"/>
          <w:i/>
          <w:iCs/>
          <w:kern w:val="2"/>
          <w:vertAlign w:val="subscript"/>
        </w:rPr>
        <w:t>f</w:t>
      </w:r>
      <w:r>
        <w:rPr>
          <w:rFonts w:ascii="Times New Roman" w:hAnsi="Times New Roman" w:cs="Times New Roman"/>
          <w:kern w:val="2"/>
        </w:rPr>
        <w:t>——焊缝截面模量</w:t>
      </w:r>
      <w:r>
        <w:rPr>
          <w:rFonts w:ascii="Times New Roman" w:hAnsi="Times New Roman" w:cs="Times New Roman"/>
          <w:bCs/>
          <w:kern w:val="2"/>
        </w:rPr>
        <w:t>（mm</w:t>
      </w:r>
      <w:r>
        <w:rPr>
          <w:rFonts w:ascii="Times New Roman" w:hAnsi="Times New Roman" w:cs="Times New Roman"/>
          <w:bCs/>
          <w:kern w:val="2"/>
          <w:vertAlign w:val="superscript"/>
        </w:rPr>
        <w:t>3</w:t>
      </w:r>
      <w:r>
        <w:rPr>
          <w:rFonts w:ascii="Times New Roman" w:hAnsi="Times New Roman" w:cs="Times New Roman"/>
          <w:bCs/>
          <w:kern w:val="2"/>
        </w:rPr>
        <w:t>）</w:t>
      </w:r>
      <w:r>
        <w:rPr>
          <w:rFonts w:ascii="Times New Roman" w:hAnsi="Times New Roman" w:cs="Times New Roman"/>
          <w:kern w:val="2"/>
        </w:rPr>
        <w:t>；</w:t>
      </w:r>
    </w:p>
    <w:p>
      <w:pPr>
        <w:widowControl w:val="0"/>
        <w:spacing w:line="360" w:lineRule="auto"/>
        <w:ind w:firstLine="849" w:firstLineChars="354"/>
        <w:jc w:val="both"/>
        <w:rPr>
          <w:rFonts w:ascii="Times New Roman" w:hAnsi="Times New Roman" w:cs="Times New Roman"/>
          <w:kern w:val="2"/>
        </w:rPr>
      </w:pPr>
      <w:r>
        <w:rPr>
          <w:rFonts w:ascii="Times New Roman" w:hAnsi="Times New Roman" w:cs="Times New Roman"/>
          <w:i/>
          <w:iCs/>
          <w:kern w:val="2"/>
        </w:rPr>
        <w:t>S</w:t>
      </w:r>
      <w:r>
        <w:rPr>
          <w:rFonts w:ascii="Times New Roman" w:hAnsi="Times New Roman" w:cs="Times New Roman"/>
          <w:i/>
          <w:iCs/>
          <w:kern w:val="2"/>
          <w:vertAlign w:val="subscript"/>
        </w:rPr>
        <w:t>f</w:t>
      </w:r>
      <w:r>
        <w:rPr>
          <w:rFonts w:ascii="Times New Roman" w:hAnsi="Times New Roman" w:cs="Times New Roman"/>
          <w:kern w:val="2"/>
        </w:rPr>
        <w:t>——焊缝截面的最大面积矩</w:t>
      </w:r>
      <w:r>
        <w:rPr>
          <w:rFonts w:ascii="Times New Roman" w:hAnsi="Times New Roman" w:cs="Times New Roman"/>
          <w:bCs/>
          <w:kern w:val="2"/>
        </w:rPr>
        <w:t>（mm</w:t>
      </w:r>
      <w:r>
        <w:rPr>
          <w:rFonts w:ascii="Times New Roman" w:hAnsi="Times New Roman" w:cs="Times New Roman"/>
          <w:bCs/>
          <w:kern w:val="2"/>
          <w:vertAlign w:val="superscript"/>
        </w:rPr>
        <w:t>3</w:t>
      </w:r>
      <w:r>
        <w:rPr>
          <w:rFonts w:ascii="Times New Roman" w:hAnsi="Times New Roman" w:cs="Times New Roman"/>
          <w:bCs/>
          <w:kern w:val="2"/>
        </w:rPr>
        <w:t>）</w:t>
      </w:r>
      <w:r>
        <w:rPr>
          <w:rFonts w:ascii="Times New Roman" w:hAnsi="Times New Roman" w:cs="Times New Roman"/>
          <w:kern w:val="2"/>
        </w:rPr>
        <w:t>；</w:t>
      </w:r>
    </w:p>
    <w:p>
      <w:pPr>
        <w:widowControl w:val="0"/>
        <w:spacing w:line="360" w:lineRule="auto"/>
        <w:ind w:firstLine="849" w:firstLineChars="354"/>
        <w:jc w:val="both"/>
        <w:rPr>
          <w:rFonts w:ascii="Times New Roman" w:hAnsi="Times New Roman" w:cs="Times New Roman"/>
          <w:kern w:val="2"/>
        </w:rPr>
      </w:pPr>
      <w:r>
        <w:rPr>
          <w:rFonts w:ascii="Times New Roman" w:hAnsi="Times New Roman" w:cs="Times New Roman"/>
          <w:i/>
          <w:iCs/>
          <w:kern w:val="2"/>
        </w:rPr>
        <w:t>I</w:t>
      </w:r>
      <w:r>
        <w:rPr>
          <w:rFonts w:ascii="Times New Roman" w:hAnsi="Times New Roman" w:cs="Times New Roman"/>
          <w:kern w:val="2"/>
          <w:vertAlign w:val="subscript"/>
        </w:rPr>
        <w:t>f</w:t>
      </w:r>
      <w:r>
        <w:rPr>
          <w:rFonts w:ascii="Times New Roman" w:hAnsi="Times New Roman" w:cs="Times New Roman"/>
          <w:kern w:val="2"/>
        </w:rPr>
        <w:t>——焊缝截面惯性矩</w:t>
      </w:r>
      <w:r>
        <w:rPr>
          <w:rFonts w:ascii="Times New Roman" w:hAnsi="Times New Roman" w:cs="Times New Roman"/>
          <w:bCs/>
          <w:kern w:val="2"/>
        </w:rPr>
        <w:t>（mm</w:t>
      </w:r>
      <w:r>
        <w:rPr>
          <w:rFonts w:ascii="Times New Roman" w:hAnsi="Times New Roman" w:cs="Times New Roman"/>
          <w:bCs/>
          <w:kern w:val="2"/>
          <w:vertAlign w:val="superscript"/>
        </w:rPr>
        <w:t>4</w:t>
      </w:r>
      <w:r>
        <w:rPr>
          <w:rFonts w:ascii="Times New Roman" w:hAnsi="Times New Roman" w:cs="Times New Roman"/>
          <w:bCs/>
          <w:kern w:val="2"/>
        </w:rPr>
        <w:t>）</w:t>
      </w:r>
      <w:r>
        <w:rPr>
          <w:rFonts w:ascii="Times New Roman" w:hAnsi="Times New Roman" w:cs="Times New Roman"/>
          <w:kern w:val="2"/>
        </w:rPr>
        <w:t>；</w:t>
      </w:r>
    </w:p>
    <w:p>
      <w:pPr>
        <w:widowControl w:val="0"/>
        <w:spacing w:line="360" w:lineRule="auto"/>
        <w:ind w:firstLine="708" w:firstLineChars="295"/>
        <w:jc w:val="both"/>
        <w:rPr>
          <w:rFonts w:ascii="Times New Roman" w:hAnsi="Times New Roman" w:cs="Times New Roman"/>
          <w:kern w:val="2"/>
        </w:rPr>
      </w:pPr>
      <w:r>
        <w:rPr>
          <w:rFonts w:ascii="Times New Roman" w:hAnsi="Times New Roman" w:cs="Times New Roman"/>
          <w:i/>
          <w:iCs/>
          <w:kern w:val="2"/>
        </w:rPr>
        <w:t>σ</w:t>
      </w:r>
      <w:r>
        <w:rPr>
          <w:rFonts w:ascii="Times New Roman" w:hAnsi="Times New Roman" w:cs="Times New Roman"/>
          <w:i/>
          <w:iCs/>
          <w:kern w:val="2"/>
          <w:vertAlign w:val="subscript"/>
        </w:rPr>
        <w:t>f</w:t>
      </w:r>
      <w:r>
        <w:rPr>
          <w:rFonts w:ascii="Times New Roman" w:hAnsi="Times New Roman" w:cs="Times New Roman"/>
          <w:kern w:val="2"/>
        </w:rPr>
        <w:t>——垂直于焊缝长度方向的应力</w:t>
      </w:r>
      <w:r>
        <w:rPr>
          <w:rFonts w:ascii="Times New Roman" w:hAnsi="Times New Roman" w:cs="Times New Roman"/>
          <w:bCs/>
          <w:kern w:val="2"/>
        </w:rPr>
        <w:t>（N/mm</w:t>
      </w:r>
      <w:r>
        <w:rPr>
          <w:rFonts w:ascii="Times New Roman" w:hAnsi="Times New Roman" w:cs="Times New Roman"/>
          <w:bCs/>
          <w:kern w:val="2"/>
          <w:vertAlign w:val="superscript"/>
        </w:rPr>
        <w:t>2</w:t>
      </w:r>
      <w:r>
        <w:rPr>
          <w:rFonts w:ascii="Times New Roman" w:hAnsi="Times New Roman" w:cs="Times New Roman"/>
          <w:bCs/>
          <w:kern w:val="2"/>
        </w:rPr>
        <w:t>）</w:t>
      </w:r>
      <w:r>
        <w:rPr>
          <w:rFonts w:ascii="Times New Roman" w:hAnsi="Times New Roman" w:cs="Times New Roman"/>
          <w:kern w:val="2"/>
        </w:rPr>
        <w:t>，按焊缝有效截面（0.7</w:t>
      </w:r>
      <w:r>
        <w:rPr>
          <w:rFonts w:ascii="Times New Roman" w:hAnsi="Times New Roman" w:cs="Times New Roman"/>
          <w:i/>
          <w:iCs/>
          <w:kern w:val="2"/>
        </w:rPr>
        <w:t>h</w:t>
      </w:r>
      <w:r>
        <w:rPr>
          <w:rFonts w:ascii="Times New Roman" w:hAnsi="Times New Roman" w:cs="Times New Roman"/>
          <w:i/>
          <w:iCs/>
          <w:kern w:val="2"/>
          <w:vertAlign w:val="subscript"/>
        </w:rPr>
        <w:t>f</w:t>
      </w:r>
      <w:r>
        <w:rPr>
          <w:rFonts w:ascii="Times New Roman" w:hAnsi="Times New Roman" w:cs="Times New Roman"/>
          <w:i/>
          <w:iCs/>
          <w:kern w:val="2"/>
        </w:rPr>
        <w:t>l</w:t>
      </w:r>
      <w:r>
        <w:rPr>
          <w:rFonts w:ascii="Times New Roman" w:hAnsi="Times New Roman" w:cs="Times New Roman"/>
          <w:i/>
          <w:iCs/>
          <w:kern w:val="2"/>
          <w:vertAlign w:val="subscript"/>
        </w:rPr>
        <w:t>w</w:t>
      </w:r>
      <w:r>
        <w:rPr>
          <w:rFonts w:ascii="Times New Roman" w:hAnsi="Times New Roman" w:cs="Times New Roman"/>
          <w:kern w:val="2"/>
        </w:rPr>
        <w:t>）计算；</w:t>
      </w:r>
    </w:p>
    <w:p>
      <w:pPr>
        <w:widowControl w:val="0"/>
        <w:spacing w:line="360" w:lineRule="auto"/>
        <w:ind w:firstLine="849" w:firstLineChars="354"/>
        <w:jc w:val="both"/>
        <w:rPr>
          <w:rFonts w:ascii="Times New Roman" w:hAnsi="Times New Roman" w:cs="Times New Roman"/>
          <w:kern w:val="2"/>
        </w:rPr>
      </w:pPr>
      <w:r>
        <w:rPr>
          <w:rFonts w:ascii="Times New Roman" w:hAnsi="Times New Roman" w:cs="Times New Roman"/>
          <w:i/>
          <w:iCs/>
          <w:kern w:val="2"/>
        </w:rPr>
        <w:t>τ</w:t>
      </w:r>
      <w:r>
        <w:rPr>
          <w:rFonts w:ascii="Times New Roman" w:hAnsi="Times New Roman" w:cs="Times New Roman"/>
          <w:i/>
          <w:iCs/>
          <w:kern w:val="2"/>
          <w:vertAlign w:val="subscript"/>
        </w:rPr>
        <w:t>f</w:t>
      </w:r>
      <w:r>
        <w:rPr>
          <w:rFonts w:ascii="Times New Roman" w:hAnsi="Times New Roman" w:cs="Times New Roman"/>
          <w:kern w:val="2"/>
        </w:rPr>
        <w:t>——沿焊缝长度方向的剪应力</w:t>
      </w:r>
      <w:r>
        <w:rPr>
          <w:rFonts w:ascii="Times New Roman" w:hAnsi="Times New Roman" w:cs="Times New Roman"/>
          <w:bCs/>
          <w:kern w:val="2"/>
        </w:rPr>
        <w:t>（N/mm</w:t>
      </w:r>
      <w:r>
        <w:rPr>
          <w:rFonts w:ascii="Times New Roman" w:hAnsi="Times New Roman" w:cs="Times New Roman"/>
          <w:bCs/>
          <w:kern w:val="2"/>
          <w:vertAlign w:val="superscript"/>
        </w:rPr>
        <w:t>2</w:t>
      </w:r>
      <w:r>
        <w:rPr>
          <w:rFonts w:ascii="Times New Roman" w:hAnsi="Times New Roman" w:cs="Times New Roman"/>
          <w:bCs/>
          <w:kern w:val="2"/>
        </w:rPr>
        <w:t>）</w:t>
      </w:r>
      <w:r>
        <w:rPr>
          <w:rFonts w:ascii="Times New Roman" w:hAnsi="Times New Roman" w:cs="Times New Roman"/>
          <w:kern w:val="2"/>
        </w:rPr>
        <w:t>，按焊缝有效截面（0.7</w:t>
      </w:r>
      <w:r>
        <w:rPr>
          <w:rFonts w:ascii="Times New Roman" w:hAnsi="Times New Roman" w:cs="Times New Roman"/>
          <w:i/>
          <w:iCs/>
          <w:kern w:val="2"/>
        </w:rPr>
        <w:t>h</w:t>
      </w:r>
      <w:r>
        <w:rPr>
          <w:rFonts w:ascii="Times New Roman" w:hAnsi="Times New Roman" w:cs="Times New Roman"/>
          <w:i/>
          <w:iCs/>
          <w:kern w:val="2"/>
          <w:vertAlign w:val="subscript"/>
        </w:rPr>
        <w:t>f</w:t>
      </w:r>
      <w:r>
        <w:rPr>
          <w:rFonts w:ascii="Times New Roman" w:hAnsi="Times New Roman" w:cs="Times New Roman"/>
          <w:i/>
          <w:iCs/>
          <w:kern w:val="2"/>
        </w:rPr>
        <w:t>l</w:t>
      </w:r>
      <w:r>
        <w:rPr>
          <w:rFonts w:ascii="Times New Roman" w:hAnsi="Times New Roman" w:cs="Times New Roman"/>
          <w:i/>
          <w:iCs/>
          <w:kern w:val="2"/>
          <w:vertAlign w:val="subscript"/>
        </w:rPr>
        <w:t>w</w:t>
      </w:r>
      <w:r>
        <w:rPr>
          <w:rFonts w:ascii="Times New Roman" w:hAnsi="Times New Roman" w:cs="Times New Roman"/>
          <w:kern w:val="2"/>
        </w:rPr>
        <w:t>）计算；</w:t>
      </w:r>
    </w:p>
    <w:p>
      <w:pPr>
        <w:widowControl w:val="0"/>
        <w:spacing w:line="360" w:lineRule="auto"/>
        <w:ind w:firstLine="240" w:firstLineChars="100"/>
        <w:jc w:val="both"/>
        <w:rPr>
          <w:rFonts w:ascii="Times New Roman" w:hAnsi="Times New Roman" w:cs="Times New Roman"/>
          <w:kern w:val="2"/>
        </w:rPr>
      </w:pPr>
      <w:r>
        <w:rPr>
          <w:rFonts w:ascii="Times New Roman" w:hAnsi="Times New Roman" w:cs="Times New Roman"/>
          <w:i/>
          <w:iCs/>
          <w:kern w:val="2"/>
        </w:rPr>
        <w:t>f</w:t>
      </w:r>
      <w:r>
        <w:rPr>
          <w:rFonts w:ascii="Times New Roman" w:hAnsi="Times New Roman" w:cs="Times New Roman"/>
          <w:i/>
          <w:iCs/>
          <w:kern w:val="2"/>
          <w:vertAlign w:val="subscript"/>
        </w:rPr>
        <w:t>c</w:t>
      </w:r>
      <w:r>
        <w:rPr>
          <w:rFonts w:ascii="Times New Roman" w:hAnsi="Times New Roman" w:cs="Times New Roman"/>
          <w:i/>
          <w:iCs/>
          <w:kern w:val="2"/>
          <w:vertAlign w:val="superscript"/>
        </w:rPr>
        <w:t>w</w:t>
      </w:r>
      <w:r>
        <w:rPr>
          <w:rFonts w:ascii="Times New Roman" w:hAnsi="Times New Roman" w:cs="Times New Roman"/>
          <w:i/>
          <w:iCs/>
          <w:kern w:val="2"/>
        </w:rPr>
        <w:t>、f</w:t>
      </w:r>
      <w:r>
        <w:rPr>
          <w:rFonts w:ascii="Times New Roman" w:hAnsi="Times New Roman" w:cs="Times New Roman"/>
          <w:i/>
          <w:iCs/>
          <w:kern w:val="2"/>
          <w:vertAlign w:val="subscript"/>
        </w:rPr>
        <w:t>t</w:t>
      </w:r>
      <w:r>
        <w:rPr>
          <w:rFonts w:ascii="Times New Roman" w:hAnsi="Times New Roman" w:cs="Times New Roman"/>
          <w:i/>
          <w:iCs/>
          <w:kern w:val="2"/>
          <w:vertAlign w:val="superscript"/>
        </w:rPr>
        <w:t>w</w:t>
      </w:r>
      <w:r>
        <w:rPr>
          <w:rFonts w:ascii="Times New Roman" w:hAnsi="Times New Roman" w:cs="Times New Roman"/>
          <w:kern w:val="2"/>
        </w:rPr>
        <w:t>——对接焊缝的抗压、抗拉强度设计值</w:t>
      </w:r>
      <w:r>
        <w:rPr>
          <w:rFonts w:ascii="Times New Roman" w:hAnsi="Times New Roman" w:cs="Times New Roman"/>
          <w:bCs/>
          <w:kern w:val="2"/>
        </w:rPr>
        <w:t>（N/mm</w:t>
      </w:r>
      <w:r>
        <w:rPr>
          <w:rFonts w:ascii="Times New Roman" w:hAnsi="Times New Roman" w:cs="Times New Roman"/>
          <w:bCs/>
          <w:kern w:val="2"/>
          <w:vertAlign w:val="superscript"/>
        </w:rPr>
        <w:t>2</w:t>
      </w:r>
      <w:r>
        <w:rPr>
          <w:rFonts w:ascii="Times New Roman" w:hAnsi="Times New Roman" w:cs="Times New Roman"/>
          <w:bCs/>
          <w:kern w:val="2"/>
        </w:rPr>
        <w:t>）</w:t>
      </w:r>
      <w:r>
        <w:rPr>
          <w:rFonts w:ascii="Times New Roman" w:hAnsi="Times New Roman" w:cs="Times New Roman"/>
          <w:kern w:val="2"/>
        </w:rPr>
        <w:t>；</w:t>
      </w:r>
    </w:p>
    <w:p>
      <w:pPr>
        <w:widowControl w:val="0"/>
        <w:spacing w:line="360" w:lineRule="auto"/>
        <w:ind w:firstLine="849" w:firstLineChars="354"/>
        <w:jc w:val="both"/>
        <w:rPr>
          <w:rFonts w:ascii="Times New Roman" w:hAnsi="Times New Roman" w:cs="Times New Roman"/>
          <w:kern w:val="2"/>
        </w:rPr>
      </w:pPr>
      <w:r>
        <w:rPr>
          <w:rFonts w:ascii="Times New Roman" w:hAnsi="Times New Roman" w:cs="Times New Roman"/>
          <w:i/>
          <w:iCs/>
          <w:kern w:val="2"/>
        </w:rPr>
        <w:t>f</w:t>
      </w:r>
      <w:r>
        <w:rPr>
          <w:rFonts w:ascii="Times New Roman" w:hAnsi="Times New Roman" w:cs="Times New Roman"/>
          <w:i/>
          <w:iCs/>
          <w:kern w:val="2"/>
          <w:vertAlign w:val="subscript"/>
        </w:rPr>
        <w:t>v</w:t>
      </w:r>
      <w:r>
        <w:rPr>
          <w:rFonts w:ascii="Times New Roman" w:hAnsi="Times New Roman" w:cs="Times New Roman"/>
          <w:i/>
          <w:iCs/>
          <w:kern w:val="2"/>
          <w:vertAlign w:val="superscript"/>
        </w:rPr>
        <w:t>w</w:t>
      </w:r>
      <w:r>
        <w:rPr>
          <w:rFonts w:ascii="Times New Roman" w:hAnsi="Times New Roman" w:cs="Times New Roman"/>
          <w:kern w:val="2"/>
        </w:rPr>
        <w:t>——对接焊缝的抗剪强度设计值</w:t>
      </w:r>
      <w:r>
        <w:rPr>
          <w:rFonts w:ascii="Times New Roman" w:hAnsi="Times New Roman" w:cs="Times New Roman"/>
          <w:bCs/>
          <w:kern w:val="2"/>
        </w:rPr>
        <w:t>（N/mm</w:t>
      </w:r>
      <w:r>
        <w:rPr>
          <w:rFonts w:ascii="Times New Roman" w:hAnsi="Times New Roman" w:cs="Times New Roman"/>
          <w:bCs/>
          <w:kern w:val="2"/>
          <w:vertAlign w:val="superscript"/>
        </w:rPr>
        <w:t>2</w:t>
      </w:r>
      <w:r>
        <w:rPr>
          <w:rFonts w:ascii="Times New Roman" w:hAnsi="Times New Roman" w:cs="Times New Roman"/>
          <w:bCs/>
          <w:kern w:val="2"/>
        </w:rPr>
        <w:t>）</w:t>
      </w:r>
      <w:r>
        <w:rPr>
          <w:rFonts w:ascii="Times New Roman" w:hAnsi="Times New Roman" w:cs="Times New Roman"/>
          <w:kern w:val="2"/>
        </w:rPr>
        <w:t>；</w:t>
      </w:r>
    </w:p>
    <w:p>
      <w:pPr>
        <w:widowControl w:val="0"/>
        <w:spacing w:line="360" w:lineRule="auto"/>
        <w:ind w:firstLine="849" w:firstLineChars="354"/>
        <w:jc w:val="both"/>
        <w:rPr>
          <w:rFonts w:ascii="Times New Roman" w:hAnsi="Times New Roman" w:cs="Times New Roman"/>
          <w:kern w:val="2"/>
        </w:rPr>
      </w:pPr>
      <w:r>
        <w:rPr>
          <w:rFonts w:ascii="Times New Roman" w:hAnsi="Times New Roman" w:cs="Times New Roman"/>
          <w:i/>
          <w:iCs/>
          <w:kern w:val="2"/>
        </w:rPr>
        <w:t>f</w:t>
      </w:r>
      <w:r>
        <w:rPr>
          <w:rFonts w:ascii="Times New Roman" w:hAnsi="Times New Roman" w:cs="Times New Roman"/>
          <w:i/>
          <w:iCs/>
          <w:kern w:val="2"/>
          <w:vertAlign w:val="subscript"/>
        </w:rPr>
        <w:t>f</w:t>
      </w:r>
      <w:r>
        <w:rPr>
          <w:rFonts w:ascii="Times New Roman" w:hAnsi="Times New Roman" w:cs="Times New Roman"/>
          <w:i/>
          <w:iCs/>
          <w:kern w:val="2"/>
          <w:vertAlign w:val="superscript"/>
        </w:rPr>
        <w:t>w</w:t>
      </w:r>
      <w:r>
        <w:rPr>
          <w:rFonts w:ascii="Times New Roman" w:hAnsi="Times New Roman" w:cs="Times New Roman"/>
          <w:kern w:val="2"/>
        </w:rPr>
        <w:t>——角焊缝的抗拉、抗压和抗剪强度设计值</w:t>
      </w:r>
      <w:r>
        <w:rPr>
          <w:rFonts w:ascii="Times New Roman" w:hAnsi="Times New Roman" w:cs="Times New Roman"/>
          <w:bCs/>
          <w:kern w:val="2"/>
        </w:rPr>
        <w:t>（N/mm</w:t>
      </w:r>
      <w:r>
        <w:rPr>
          <w:rFonts w:ascii="Times New Roman" w:hAnsi="Times New Roman" w:cs="Times New Roman"/>
          <w:bCs/>
          <w:kern w:val="2"/>
          <w:vertAlign w:val="superscript"/>
        </w:rPr>
        <w:t>2</w:t>
      </w:r>
      <w:r>
        <w:rPr>
          <w:rFonts w:ascii="Times New Roman" w:hAnsi="Times New Roman" w:cs="Times New Roman"/>
          <w:bCs/>
          <w:kern w:val="2"/>
        </w:rPr>
        <w:t>）</w:t>
      </w:r>
      <w:r>
        <w:rPr>
          <w:rFonts w:ascii="Times New Roman" w:hAnsi="Times New Roman" w:cs="Times New Roman"/>
          <w:kern w:val="2"/>
        </w:rPr>
        <w:t>。</w:t>
      </w:r>
    </w:p>
    <w:p>
      <w:pPr>
        <w:widowControl w:val="0"/>
        <w:spacing w:line="360" w:lineRule="auto"/>
        <w:jc w:val="both"/>
        <w:rPr>
          <w:rFonts w:ascii="Times New Roman" w:hAnsi="Times New Roman" w:cs="Times New Roman"/>
          <w:kern w:val="2"/>
        </w:rPr>
      </w:pPr>
      <w:r>
        <w:rPr>
          <w:rFonts w:ascii="Times New Roman" w:hAnsi="Times New Roman" w:cs="Times New Roman"/>
          <w:b/>
          <w:bCs/>
          <w:kern w:val="2"/>
        </w:rPr>
        <w:t>8.4.3</w:t>
      </w:r>
      <w:r>
        <w:rPr>
          <w:rFonts w:ascii="Times New Roman" w:hAnsi="Times New Roman" w:cs="Times New Roman"/>
          <w:kern w:val="2"/>
        </w:rPr>
        <w:t xml:space="preserve"> 喇叭形焊缝的强度应按下列公式计算：</w:t>
      </w:r>
    </w:p>
    <w:p>
      <w:pPr>
        <w:widowControl w:val="0"/>
        <w:spacing w:line="360" w:lineRule="auto"/>
        <w:ind w:firstLine="482" w:firstLineChars="200"/>
        <w:jc w:val="both"/>
        <w:rPr>
          <w:rFonts w:ascii="Times New Roman" w:hAnsi="Times New Roman" w:cs="Times New Roman"/>
          <w:kern w:val="2"/>
        </w:rPr>
      </w:pPr>
      <w:r>
        <w:rPr>
          <w:rFonts w:ascii="Times New Roman" w:hAnsi="Times New Roman" w:cs="Times New Roman"/>
          <w:b/>
          <w:bCs/>
          <w:kern w:val="2"/>
        </w:rPr>
        <w:t>1</w:t>
      </w:r>
      <w:r>
        <w:rPr>
          <w:rFonts w:ascii="Times New Roman" w:hAnsi="Times New Roman" w:cs="Times New Roman"/>
          <w:kern w:val="2"/>
        </w:rPr>
        <w:t xml:space="preserve"> 当连接板件的最小厚度小于或等于4mm时，轴力N垂直与焊缝轴线方向作用的焊缝的抗剪强度应按下式计算：</w:t>
      </w:r>
    </w:p>
    <w:p>
      <w:pPr>
        <w:widowControl w:val="0"/>
        <w:spacing w:line="360" w:lineRule="auto"/>
        <w:ind w:firstLine="4080" w:firstLineChars="1700"/>
        <w:jc w:val="both"/>
        <w:rPr>
          <w:rFonts w:ascii="Times New Roman" w:hAnsi="Times New Roman" w:cs="Times New Roman"/>
          <w:kern w:val="2"/>
        </w:rPr>
      </w:pPr>
      <w:r>
        <w:rPr>
          <w:rFonts w:ascii="Times New Roman" w:hAnsi="Times New Roman" w:cs="Times New Roman"/>
          <w:kern w:val="2"/>
          <w:position w:val="-30"/>
        </w:rPr>
        <w:object>
          <v:shape id="_x0000_i1207" o:spt="75" type="#_x0000_t75" style="height:33.6pt;width:69.6pt;" o:ole="t" filled="f" o:preferrelative="t" stroked="f" coordsize="21600,21600">
            <v:path/>
            <v:fill on="f" focussize="0,0"/>
            <v:stroke on="f" joinstyle="miter"/>
            <v:imagedata r:id="rId373" o:title=""/>
            <o:lock v:ext="edit" aspectratio="t"/>
            <w10:wrap type="none"/>
            <w10:anchorlock/>
          </v:shape>
          <o:OLEObject Type="Embed" ProgID="Equation.DSMT4" ShapeID="_x0000_i1207" DrawAspect="Content" ObjectID="_1468075911" r:id="rId372">
            <o:LockedField>false</o:LockedField>
          </o:OLEObject>
        </w:object>
      </w:r>
      <w:r>
        <w:rPr>
          <w:rFonts w:ascii="Times New Roman" w:hAnsi="Times New Roman" w:cs="Times New Roman"/>
          <w:kern w:val="2"/>
        </w:rPr>
        <w:tab/>
      </w:r>
      <w:r>
        <w:rPr>
          <w:rFonts w:ascii="Times New Roman" w:hAnsi="Times New Roman" w:cs="Times New Roman"/>
          <w:kern w:val="2"/>
        </w:rPr>
        <w:t>（8.4.3-1）</w:t>
      </w:r>
    </w:p>
    <w:p>
      <w:pPr>
        <w:widowControl w:val="0"/>
        <w:spacing w:line="360" w:lineRule="auto"/>
        <w:ind w:firstLine="482" w:firstLineChars="200"/>
        <w:jc w:val="both"/>
        <w:rPr>
          <w:rFonts w:ascii="Times New Roman" w:hAnsi="Times New Roman" w:cs="Times New Roman"/>
          <w:kern w:val="2"/>
        </w:rPr>
      </w:pPr>
      <w:r>
        <w:rPr>
          <w:rFonts w:ascii="Times New Roman" w:hAnsi="Times New Roman" w:cs="Times New Roman"/>
          <w:b/>
          <w:bCs/>
          <w:kern w:val="2"/>
        </w:rPr>
        <w:t xml:space="preserve">2 </w:t>
      </w:r>
      <w:r>
        <w:rPr>
          <w:rFonts w:ascii="Times New Roman" w:hAnsi="Times New Roman" w:cs="Times New Roman"/>
          <w:kern w:val="2"/>
        </w:rPr>
        <w:t>当连接板件的最小厚度小于或等于4mm时，轴力N平行与焊缝轴线方向作用的焊缝的抗剪强度应按下式计算：</w:t>
      </w:r>
    </w:p>
    <w:p>
      <w:pPr>
        <w:widowControl w:val="0"/>
        <w:spacing w:line="360" w:lineRule="auto"/>
        <w:ind w:firstLine="4080" w:firstLineChars="1700"/>
        <w:jc w:val="both"/>
        <w:rPr>
          <w:rFonts w:ascii="Times New Roman" w:hAnsi="Times New Roman" w:cs="Times New Roman"/>
          <w:kern w:val="2"/>
        </w:rPr>
      </w:pPr>
      <w:r>
        <w:rPr>
          <w:rFonts w:ascii="Times New Roman" w:hAnsi="Times New Roman" w:cs="Times New Roman"/>
          <w:kern w:val="2"/>
          <w:position w:val="-30"/>
        </w:rPr>
        <w:object>
          <v:shape id="_x0000_i1208" o:spt="75" type="#_x0000_t75" style="height:33.6pt;width:70.8pt;" o:ole="t" filled="f" o:preferrelative="t" stroked="f" coordsize="21600,21600">
            <v:path/>
            <v:fill on="f" focussize="0,0"/>
            <v:stroke on="f" joinstyle="miter"/>
            <v:imagedata r:id="rId375" o:title=""/>
            <o:lock v:ext="edit" aspectratio="t"/>
            <w10:wrap type="none"/>
            <w10:anchorlock/>
          </v:shape>
          <o:OLEObject Type="Embed" ProgID="Equation.DSMT4" ShapeID="_x0000_i1208" DrawAspect="Content" ObjectID="_1468075912" r:id="rId374">
            <o:LockedField>false</o:LockedField>
          </o:OLEObject>
        </w:object>
      </w:r>
      <w:r>
        <w:rPr>
          <w:rFonts w:ascii="Times New Roman" w:hAnsi="Times New Roman" w:cs="Times New Roman"/>
          <w:kern w:val="2"/>
        </w:rPr>
        <w:tab/>
      </w:r>
      <w:r>
        <w:rPr>
          <w:rFonts w:ascii="Times New Roman" w:hAnsi="Times New Roman" w:cs="Times New Roman"/>
          <w:kern w:val="2"/>
        </w:rPr>
        <w:t>（8.4.3-2）</w:t>
      </w:r>
    </w:p>
    <w:p>
      <w:pPr>
        <w:widowControl w:val="0"/>
        <w:spacing w:line="360" w:lineRule="auto"/>
        <w:ind w:firstLine="240" w:firstLineChars="100"/>
        <w:jc w:val="both"/>
        <w:rPr>
          <w:rFonts w:ascii="Times New Roman" w:hAnsi="Times New Roman" w:cs="Times New Roman"/>
          <w:kern w:val="2"/>
        </w:rPr>
      </w:pPr>
      <w:r>
        <w:rPr>
          <w:rFonts w:ascii="Times New Roman" w:hAnsi="Times New Roman" w:cs="Times New Roman"/>
          <w:kern w:val="2"/>
        </w:rPr>
        <w:t>式中：</w:t>
      </w:r>
      <w:r>
        <w:rPr>
          <w:rFonts w:ascii="Times New Roman" w:hAnsi="Times New Roman" w:cs="Times New Roman"/>
          <w:i/>
          <w:iCs/>
          <w:kern w:val="2"/>
        </w:rPr>
        <w:t>t</w:t>
      </w:r>
      <w:r>
        <w:rPr>
          <w:rFonts w:ascii="Times New Roman" w:hAnsi="Times New Roman" w:cs="Times New Roman"/>
          <w:kern w:val="2"/>
        </w:rPr>
        <w:t>——连接钢板的最小厚度</w:t>
      </w:r>
      <w:r>
        <w:rPr>
          <w:rFonts w:ascii="Times New Roman" w:hAnsi="Times New Roman" w:cs="Times New Roman"/>
          <w:bCs/>
          <w:kern w:val="2"/>
        </w:rPr>
        <w:t>（mm）</w:t>
      </w:r>
      <w:r>
        <w:rPr>
          <w:rFonts w:ascii="Times New Roman" w:hAnsi="Times New Roman" w:cs="Times New Roman"/>
          <w:kern w:val="2"/>
        </w:rPr>
        <w:t>；</w:t>
      </w:r>
    </w:p>
    <w:p>
      <w:pPr>
        <w:widowControl w:val="0"/>
        <w:spacing w:line="360" w:lineRule="auto"/>
        <w:ind w:firstLine="849" w:firstLineChars="354"/>
        <w:jc w:val="both"/>
        <w:rPr>
          <w:rFonts w:ascii="Times New Roman" w:hAnsi="Times New Roman" w:cs="Times New Roman"/>
          <w:kern w:val="2"/>
        </w:rPr>
      </w:pPr>
      <w:r>
        <w:rPr>
          <w:rFonts w:ascii="Times New Roman" w:hAnsi="Times New Roman" w:cs="Times New Roman"/>
          <w:i/>
          <w:iCs/>
          <w:kern w:val="2"/>
        </w:rPr>
        <w:t>l</w:t>
      </w:r>
      <w:r>
        <w:rPr>
          <w:rFonts w:ascii="Times New Roman" w:hAnsi="Times New Roman" w:cs="Times New Roman"/>
          <w:i/>
          <w:iCs/>
          <w:kern w:val="2"/>
          <w:vertAlign w:val="subscript"/>
        </w:rPr>
        <w:t>w</w:t>
      </w:r>
      <w:r>
        <w:rPr>
          <w:rFonts w:ascii="Times New Roman" w:hAnsi="Times New Roman" w:cs="Times New Roman"/>
          <w:kern w:val="2"/>
        </w:rPr>
        <w:t>——焊缝计算长度之和</w:t>
      </w:r>
      <w:r>
        <w:rPr>
          <w:rFonts w:ascii="Times New Roman" w:hAnsi="Times New Roman" w:cs="Times New Roman"/>
          <w:bCs/>
          <w:kern w:val="2"/>
        </w:rPr>
        <w:t>（mm）</w:t>
      </w:r>
      <w:r>
        <w:rPr>
          <w:rFonts w:ascii="Times New Roman" w:hAnsi="Times New Roman" w:cs="Times New Roman"/>
          <w:kern w:val="2"/>
        </w:rPr>
        <w:t>；</w:t>
      </w:r>
    </w:p>
    <w:p>
      <w:pPr>
        <w:widowControl w:val="0"/>
        <w:spacing w:line="360" w:lineRule="auto"/>
        <w:ind w:firstLine="849" w:firstLineChars="354"/>
        <w:jc w:val="both"/>
        <w:rPr>
          <w:rFonts w:ascii="Times New Roman" w:hAnsi="Times New Roman" w:cs="Times New Roman"/>
          <w:kern w:val="2"/>
        </w:rPr>
      </w:pPr>
      <w:r>
        <w:rPr>
          <w:rFonts w:ascii="Times New Roman" w:hAnsi="Times New Roman" w:cs="Times New Roman"/>
          <w:i/>
          <w:iCs/>
          <w:kern w:val="2"/>
        </w:rPr>
        <w:t>f</w:t>
      </w:r>
      <w:r>
        <w:rPr>
          <w:rFonts w:ascii="Times New Roman" w:hAnsi="Times New Roman" w:cs="Times New Roman"/>
          <w:kern w:val="2"/>
        </w:rPr>
        <w:t>——连接钢板的抗拉强度设计值</w:t>
      </w:r>
      <w:r>
        <w:rPr>
          <w:rFonts w:ascii="Times New Roman" w:hAnsi="Times New Roman" w:cs="Times New Roman"/>
          <w:bCs/>
          <w:kern w:val="2"/>
        </w:rPr>
        <w:t>（N/mm</w:t>
      </w:r>
      <w:r>
        <w:rPr>
          <w:rFonts w:ascii="Times New Roman" w:hAnsi="Times New Roman" w:cs="Times New Roman"/>
          <w:bCs/>
          <w:kern w:val="2"/>
          <w:vertAlign w:val="superscript"/>
        </w:rPr>
        <w:t>2</w:t>
      </w:r>
      <w:r>
        <w:rPr>
          <w:rFonts w:ascii="Times New Roman" w:hAnsi="Times New Roman" w:cs="Times New Roman"/>
          <w:bCs/>
          <w:kern w:val="2"/>
        </w:rPr>
        <w:t>）</w:t>
      </w:r>
      <w:r>
        <w:rPr>
          <w:rFonts w:ascii="Times New Roman" w:hAnsi="Times New Roman" w:cs="Times New Roman"/>
          <w:kern w:val="2"/>
        </w:rPr>
        <w:t>。</w:t>
      </w:r>
    </w:p>
    <w:p>
      <w:pPr>
        <w:widowControl w:val="0"/>
        <w:spacing w:line="360" w:lineRule="auto"/>
        <w:ind w:firstLine="482" w:firstLineChars="200"/>
        <w:jc w:val="both"/>
        <w:rPr>
          <w:rFonts w:ascii="Times New Roman" w:hAnsi="Times New Roman" w:cs="Times New Roman"/>
          <w:kern w:val="2"/>
        </w:rPr>
      </w:pPr>
      <w:r>
        <w:rPr>
          <w:rFonts w:ascii="Times New Roman" w:hAnsi="Times New Roman" w:cs="Times New Roman"/>
          <w:b/>
          <w:bCs/>
          <w:kern w:val="2"/>
        </w:rPr>
        <w:t>3</w:t>
      </w:r>
      <w:r>
        <w:rPr>
          <w:rFonts w:ascii="Times New Roman" w:hAnsi="Times New Roman" w:cs="Times New Roman"/>
          <w:kern w:val="2"/>
        </w:rPr>
        <w:t xml:space="preserve"> 当连接板件的最小厚度大于4mm时，纵向受剪的喇叭形焊缝的强度除按公式8.4.3-2计算外，尚应按公式8.4.2-7做补充验算。</w:t>
      </w:r>
    </w:p>
    <w:p>
      <w:pPr>
        <w:widowControl w:val="0"/>
        <w:spacing w:line="360" w:lineRule="auto"/>
        <w:jc w:val="both"/>
        <w:rPr>
          <w:rFonts w:ascii="Times New Roman" w:hAnsi="Times New Roman" w:cs="Times New Roman"/>
          <w:kern w:val="2"/>
        </w:rPr>
      </w:pPr>
      <w:r>
        <w:rPr>
          <w:rFonts w:ascii="Times New Roman" w:hAnsi="Times New Roman" w:cs="Times New Roman"/>
          <w:b/>
          <w:bCs/>
          <w:kern w:val="2"/>
        </w:rPr>
        <w:t>8.4.4</w:t>
      </w:r>
      <w:r>
        <w:rPr>
          <w:rFonts w:ascii="Times New Roman" w:hAnsi="Times New Roman" w:cs="Times New Roman"/>
          <w:kern w:val="2"/>
        </w:rPr>
        <w:t xml:space="preserve"> 电阻点焊可用于构件的缀合和组合连接，每个焊点所承受的最大剪力不得大于表8.4.4中焊点的抗剪承载力设计值。</w:t>
      </w:r>
    </w:p>
    <w:p>
      <w:pPr>
        <w:widowControl w:val="0"/>
        <w:spacing w:line="360" w:lineRule="auto"/>
        <w:jc w:val="center"/>
        <w:rPr>
          <w:rFonts w:ascii="Times New Roman" w:hAnsi="Times New Roman" w:cs="Times New Roman"/>
          <w:b/>
          <w:bCs/>
          <w:kern w:val="2"/>
          <w:sz w:val="21"/>
          <w:szCs w:val="21"/>
        </w:rPr>
      </w:pPr>
      <w:r>
        <w:rPr>
          <w:rFonts w:ascii="Times New Roman" w:hAnsi="Times New Roman" w:cs="Times New Roman"/>
          <w:b/>
          <w:bCs/>
          <w:kern w:val="2"/>
          <w:sz w:val="21"/>
          <w:szCs w:val="21"/>
        </w:rPr>
        <w:t>表8.4.4 电阻点焊的抗剪承载力设计值</w:t>
      </w:r>
    </w:p>
    <w:tbl>
      <w:tblPr>
        <w:tblStyle w:val="38"/>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463"/>
        <w:gridCol w:w="2463"/>
        <w:gridCol w:w="2464"/>
        <w:gridCol w:w="246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463" w:type="dxa"/>
            <w:vAlign w:val="center"/>
          </w:tcPr>
          <w:p>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相焊板件中外层较薄板间的厚度t（mm）</w:t>
            </w:r>
          </w:p>
        </w:tc>
        <w:tc>
          <w:tcPr>
            <w:tcW w:w="2463" w:type="dxa"/>
            <w:vAlign w:val="center"/>
          </w:tcPr>
          <w:p>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每个焊点的抗剪承载力设计值</w:t>
            </w:r>
            <w:r>
              <w:rPr>
                <w:rFonts w:ascii="Times New Roman" w:hAnsi="Times New Roman" w:cs="Times New Roman"/>
                <w:kern w:val="2"/>
                <w:position w:val="-12"/>
                <w:sz w:val="21"/>
                <w:szCs w:val="21"/>
              </w:rPr>
              <w:object>
                <v:shape id="_x0000_i1209" o:spt="75" type="#_x0000_t75" style="height:18.6pt;width:17.4pt;" o:ole="t" filled="f" o:preferrelative="t" stroked="f" coordsize="21600,21600">
                  <v:path/>
                  <v:fill on="f" focussize="0,0"/>
                  <v:stroke on="f" joinstyle="miter"/>
                  <v:imagedata r:id="rId377" o:title=""/>
                  <o:lock v:ext="edit" aspectratio="t"/>
                  <w10:wrap type="none"/>
                  <w10:anchorlock/>
                </v:shape>
                <o:OLEObject Type="Embed" ProgID="Equation.DSMT4" ShapeID="_x0000_i1209" DrawAspect="Content" ObjectID="_1468075913" r:id="rId376">
                  <o:LockedField>false</o:LockedField>
                </o:OLEObject>
              </w:object>
            </w:r>
            <w:r>
              <w:rPr>
                <w:rFonts w:ascii="Times New Roman" w:hAnsi="Times New Roman" w:cs="Times New Roman"/>
                <w:kern w:val="2"/>
                <w:sz w:val="21"/>
                <w:szCs w:val="21"/>
              </w:rPr>
              <w:t xml:space="preserve"> （kN）</w:t>
            </w:r>
          </w:p>
        </w:tc>
        <w:tc>
          <w:tcPr>
            <w:tcW w:w="2464" w:type="dxa"/>
            <w:vAlign w:val="center"/>
          </w:tcPr>
          <w:p>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相焊板件中外层较薄板间的厚度t（mm）</w:t>
            </w:r>
          </w:p>
        </w:tc>
        <w:tc>
          <w:tcPr>
            <w:tcW w:w="2464" w:type="dxa"/>
            <w:vAlign w:val="center"/>
          </w:tcPr>
          <w:p>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每个焊点的抗剪承载力设计值</w:t>
            </w:r>
            <w:r>
              <w:rPr>
                <w:rFonts w:ascii="Times New Roman" w:hAnsi="Times New Roman" w:cs="Times New Roman"/>
                <w:kern w:val="2"/>
                <w:position w:val="-12"/>
                <w:sz w:val="21"/>
                <w:szCs w:val="21"/>
              </w:rPr>
              <w:object>
                <v:shape id="_x0000_i1210" o:spt="75" type="#_x0000_t75" style="height:18.6pt;width:17.4pt;" o:ole="t" filled="f" o:preferrelative="t" stroked="f" coordsize="21600,21600">
                  <v:path/>
                  <v:fill on="f" focussize="0,0"/>
                  <v:stroke on="f" joinstyle="miter"/>
                  <v:imagedata r:id="rId377" o:title=""/>
                  <o:lock v:ext="edit" aspectratio="t"/>
                  <w10:wrap type="none"/>
                  <w10:anchorlock/>
                </v:shape>
                <o:OLEObject Type="Embed" ProgID="Equation.DSMT4" ShapeID="_x0000_i1210" DrawAspect="Content" ObjectID="_1468075914" r:id="rId378">
                  <o:LockedField>false</o:LockedField>
                </o:OLEObject>
              </w:object>
            </w:r>
            <w:r>
              <w:rPr>
                <w:rFonts w:ascii="Times New Roman" w:hAnsi="Times New Roman" w:cs="Times New Roman"/>
                <w:kern w:val="2"/>
                <w:sz w:val="21"/>
                <w:szCs w:val="21"/>
              </w:rPr>
              <w:t xml:space="preserve"> （kN）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463"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0.4</w:t>
            </w:r>
          </w:p>
        </w:tc>
        <w:tc>
          <w:tcPr>
            <w:tcW w:w="2463"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0.6</w:t>
            </w:r>
          </w:p>
        </w:tc>
        <w:tc>
          <w:tcPr>
            <w:tcW w:w="2464"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2.0</w:t>
            </w:r>
          </w:p>
        </w:tc>
        <w:tc>
          <w:tcPr>
            <w:tcW w:w="2464"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5.9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463"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0.6</w:t>
            </w:r>
          </w:p>
        </w:tc>
        <w:tc>
          <w:tcPr>
            <w:tcW w:w="2463"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1.1</w:t>
            </w:r>
          </w:p>
        </w:tc>
        <w:tc>
          <w:tcPr>
            <w:tcW w:w="2464"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2.5</w:t>
            </w:r>
          </w:p>
        </w:tc>
        <w:tc>
          <w:tcPr>
            <w:tcW w:w="2464"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463"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0.8</w:t>
            </w:r>
          </w:p>
        </w:tc>
        <w:tc>
          <w:tcPr>
            <w:tcW w:w="2463"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1.7</w:t>
            </w:r>
          </w:p>
        </w:tc>
        <w:tc>
          <w:tcPr>
            <w:tcW w:w="2464"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3.0</w:t>
            </w:r>
          </w:p>
        </w:tc>
        <w:tc>
          <w:tcPr>
            <w:tcW w:w="2464"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10.2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463"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1.0</w:t>
            </w:r>
          </w:p>
        </w:tc>
        <w:tc>
          <w:tcPr>
            <w:tcW w:w="2463"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2.3</w:t>
            </w:r>
          </w:p>
        </w:tc>
        <w:tc>
          <w:tcPr>
            <w:tcW w:w="2464"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3.5</w:t>
            </w:r>
          </w:p>
        </w:tc>
        <w:tc>
          <w:tcPr>
            <w:tcW w:w="2464"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12.6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4" w:hRule="atLeast"/>
        </w:trPr>
        <w:tc>
          <w:tcPr>
            <w:tcW w:w="2463"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1.5</w:t>
            </w:r>
          </w:p>
        </w:tc>
        <w:tc>
          <w:tcPr>
            <w:tcW w:w="2463"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4.0</w:t>
            </w:r>
          </w:p>
        </w:tc>
        <w:tc>
          <w:tcPr>
            <w:tcW w:w="2464"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2464" w:type="dxa"/>
            <w:vAlign w:val="center"/>
          </w:tcPr>
          <w:p>
            <w:pPr>
              <w:widowControl w:val="0"/>
              <w:spacing w:line="360" w:lineRule="auto"/>
              <w:jc w:val="center"/>
              <w:rPr>
                <w:rFonts w:ascii="Times New Roman" w:hAnsi="Times New Roman" w:cs="Times New Roman"/>
                <w:kern w:val="2"/>
                <w:sz w:val="21"/>
                <w:szCs w:val="21"/>
              </w:rPr>
            </w:pPr>
            <w:r>
              <w:rPr>
                <w:rFonts w:ascii="Times New Roman" w:hAnsi="Times New Roman" w:cs="Times New Roman"/>
                <w:kern w:val="2"/>
                <w:sz w:val="21"/>
                <w:szCs w:val="21"/>
              </w:rPr>
              <w:t>—</w:t>
            </w:r>
          </w:p>
        </w:tc>
      </w:tr>
    </w:tbl>
    <w:p>
      <w:pPr>
        <w:widowControl w:val="0"/>
        <w:spacing w:before="120" w:beforeLines="50" w:line="360" w:lineRule="auto"/>
        <w:rPr>
          <w:rFonts w:ascii="Times New Roman" w:hAnsi="Times New Roman" w:cs="Times New Roman"/>
          <w:kern w:val="2"/>
        </w:rPr>
        <w:sectPr>
          <w:pgSz w:w="11906" w:h="16838"/>
          <w:pgMar w:top="1134" w:right="1134" w:bottom="1134" w:left="1134" w:header="851" w:footer="992" w:gutter="0"/>
          <w:cols w:space="720" w:num="1"/>
          <w:docGrid w:linePitch="312" w:charSpace="0"/>
        </w:sectPr>
      </w:pPr>
      <w:r>
        <w:rPr>
          <w:rFonts w:ascii="Times New Roman" w:hAnsi="Times New Roman" w:cs="Times New Roman"/>
          <w:b/>
          <w:bCs/>
          <w:kern w:val="2"/>
        </w:rPr>
        <w:t>8.4.5</w:t>
      </w:r>
      <w:r>
        <w:rPr>
          <w:rFonts w:ascii="Times New Roman" w:hAnsi="Times New Roman" w:cs="Times New Roman"/>
          <w:kern w:val="2"/>
        </w:rPr>
        <w:t xml:space="preserve"> 电阻点焊的焊点中距不宜小于15</w:t>
      </w:r>
      <w:r>
        <w:rPr>
          <w:rFonts w:ascii="Times New Roman" w:hAnsi="Times New Roman" w:cs="Times New Roman"/>
          <w:kern w:val="2"/>
          <w:position w:val="-8"/>
        </w:rPr>
        <w:object>
          <v:shape id="_x0000_i1211" o:spt="75" type="#_x0000_t75" style="height:18.6pt;width:17.4pt;" o:ole="t" filled="f" o:preferrelative="t" stroked="f" coordsize="21600,21600">
            <v:path/>
            <v:fill on="f" focussize="0,0"/>
            <v:stroke on="f" joinstyle="miter"/>
            <v:imagedata r:id="rId380" o:title=""/>
            <o:lock v:ext="edit" aspectratio="t"/>
            <w10:wrap type="none"/>
            <w10:anchorlock/>
          </v:shape>
          <o:OLEObject Type="Embed" ProgID="Equation.DSMT4" ShapeID="_x0000_i1211" DrawAspect="Content" ObjectID="_1468075915" r:id="rId379">
            <o:LockedField>false</o:LockedField>
          </o:OLEObject>
        </w:object>
      </w:r>
      <w:r>
        <w:rPr>
          <w:rFonts w:ascii="Times New Roman" w:hAnsi="Times New Roman" w:cs="Times New Roman"/>
          <w:kern w:val="2"/>
        </w:rPr>
        <w:t>（mm），焊点边距不宜小于10</w:t>
      </w:r>
      <w:r>
        <w:rPr>
          <w:rFonts w:ascii="Times New Roman" w:hAnsi="Times New Roman" w:cs="Times New Roman"/>
          <w:kern w:val="2"/>
          <w:position w:val="-8"/>
        </w:rPr>
        <w:object>
          <v:shape id="_x0000_i1212" o:spt="75" type="#_x0000_t75" style="height:18.6pt;width:17.4pt;" o:ole="t" filled="f" o:preferrelative="t" stroked="f" coordsize="21600,21600">
            <v:path/>
            <v:fill on="f" focussize="0,0"/>
            <v:stroke on="f" joinstyle="miter"/>
            <v:imagedata r:id="rId380" o:title=""/>
            <o:lock v:ext="edit" aspectratio="t"/>
            <w10:wrap type="none"/>
            <w10:anchorlock/>
          </v:shape>
          <o:OLEObject Type="Embed" ProgID="Equation.DSMT4" ShapeID="_x0000_i1212" DrawAspect="Content" ObjectID="_1468075916" r:id="rId381">
            <o:LockedField>false</o:LockedField>
          </o:OLEObject>
        </w:object>
      </w:r>
      <w:r>
        <w:rPr>
          <w:rFonts w:ascii="Times New Roman" w:hAnsi="Times New Roman" w:cs="Times New Roman"/>
          <w:kern w:val="2"/>
        </w:rPr>
        <w:t>（mm）（</w:t>
      </w:r>
      <w:r>
        <w:rPr>
          <w:rFonts w:ascii="Times New Roman" w:hAnsi="Times New Roman" w:cs="Times New Roman"/>
          <w:i/>
          <w:iCs/>
          <w:kern w:val="2"/>
        </w:rPr>
        <w:t>t</w:t>
      </w:r>
      <w:r>
        <w:rPr>
          <w:rFonts w:ascii="Times New Roman" w:hAnsi="Times New Roman" w:cs="Times New Roman"/>
          <w:kern w:val="2"/>
        </w:rPr>
        <w:t>系被连接板件中较薄板件的厚度）。</w:t>
      </w:r>
    </w:p>
    <w:p>
      <w:pPr>
        <w:pStyle w:val="196"/>
        <w:spacing w:before="163"/>
      </w:pPr>
      <w:bookmarkStart w:id="77" w:name="_Toc162996239"/>
      <w:r>
        <w:t>9 结构计算表达</w:t>
      </w:r>
      <w:bookmarkEnd w:id="77"/>
    </w:p>
    <w:p>
      <w:pPr>
        <w:pStyle w:val="200"/>
      </w:pPr>
      <w:r>
        <w:rPr>
          <w:b/>
        </w:rPr>
        <w:t>9.1.1</w:t>
      </w:r>
      <w:r>
        <w:t>结构计算书内容应全面、清晰。</w:t>
      </w:r>
    </w:p>
    <w:p>
      <w:pPr>
        <w:pStyle w:val="200"/>
      </w:pPr>
      <w:r>
        <w:rPr>
          <w:b/>
        </w:rPr>
        <w:t>9.1.2</w:t>
      </w:r>
      <w:r>
        <w:t>结构计算内容除应符合本标准的规定外，尚应符合国家现行有关标准的要求。</w:t>
      </w:r>
    </w:p>
    <w:p>
      <w:pPr>
        <w:pStyle w:val="200"/>
        <w:rPr>
          <w:b/>
        </w:rPr>
      </w:pPr>
      <w:r>
        <w:rPr>
          <w:b/>
        </w:rPr>
        <w:t xml:space="preserve">9.1.3 </w:t>
      </w:r>
      <w:r>
        <w:rPr>
          <w:bCs w:val="0"/>
        </w:rPr>
        <w:t>结构计算书的编制应按系统区分篇章，各系统计算书应以传力路径为顺序进行编制各小节。</w:t>
      </w:r>
    </w:p>
    <w:p>
      <w:pPr>
        <w:pStyle w:val="200"/>
      </w:pPr>
      <w:r>
        <w:rPr>
          <w:b/>
        </w:rPr>
        <w:t>9.1.4</w:t>
      </w:r>
      <w:r>
        <w:t xml:space="preserve">  结构计算书应至少包含以下内容：</w:t>
      </w:r>
    </w:p>
    <w:p>
      <w:pPr>
        <w:pStyle w:val="188"/>
        <w:ind w:firstLine="482"/>
        <w:rPr>
          <w:rFonts w:cs="Times New Roman"/>
        </w:rPr>
      </w:pPr>
      <w:r>
        <w:rPr>
          <w:rFonts w:cs="Times New Roman"/>
          <w:b/>
          <w:bCs w:val="0"/>
        </w:rPr>
        <w:t>1</w:t>
      </w:r>
      <w:r>
        <w:rPr>
          <w:rFonts w:cs="Times New Roman"/>
        </w:rPr>
        <w:t>工程概况及计算目标的选择原则；</w:t>
      </w:r>
    </w:p>
    <w:p>
      <w:pPr>
        <w:pStyle w:val="188"/>
        <w:ind w:firstLine="482"/>
        <w:rPr>
          <w:rFonts w:cs="Times New Roman"/>
        </w:rPr>
      </w:pPr>
      <w:r>
        <w:rPr>
          <w:rFonts w:cs="Times New Roman"/>
          <w:b/>
          <w:bCs w:val="0"/>
        </w:rPr>
        <w:t>2</w:t>
      </w:r>
      <w:r>
        <w:rPr>
          <w:rFonts w:cs="Times New Roman"/>
        </w:rPr>
        <w:t>计算软件的选择原则；</w:t>
      </w:r>
    </w:p>
    <w:p>
      <w:pPr>
        <w:pStyle w:val="188"/>
        <w:ind w:firstLine="482"/>
        <w:rPr>
          <w:rFonts w:cs="Times New Roman"/>
        </w:rPr>
      </w:pPr>
      <w:r>
        <w:rPr>
          <w:rFonts w:cs="Times New Roman"/>
          <w:b/>
          <w:bCs w:val="0"/>
        </w:rPr>
        <w:t>3</w:t>
      </w:r>
      <w:r>
        <w:rPr>
          <w:rFonts w:cs="Times New Roman"/>
        </w:rPr>
        <w:t>相关材料物性参数及评价指标依据；</w:t>
      </w:r>
    </w:p>
    <w:p>
      <w:pPr>
        <w:pStyle w:val="188"/>
        <w:ind w:firstLine="482"/>
        <w:rPr>
          <w:rFonts w:cs="Times New Roman"/>
        </w:rPr>
      </w:pPr>
      <w:r>
        <w:rPr>
          <w:rFonts w:cs="Times New Roman"/>
          <w:b/>
          <w:bCs w:val="0"/>
        </w:rPr>
        <w:t>4</w:t>
      </w:r>
      <w:r>
        <w:rPr>
          <w:rFonts w:cs="Times New Roman"/>
        </w:rPr>
        <w:t>计算对象的说明及分析；</w:t>
      </w:r>
    </w:p>
    <w:p>
      <w:pPr>
        <w:pStyle w:val="188"/>
        <w:ind w:firstLine="482"/>
        <w:rPr>
          <w:rFonts w:cs="Times New Roman"/>
        </w:rPr>
      </w:pPr>
      <w:r>
        <w:rPr>
          <w:rFonts w:cs="Times New Roman"/>
          <w:b/>
          <w:bCs w:val="0"/>
        </w:rPr>
        <w:t>5</w:t>
      </w:r>
      <w:r>
        <w:rPr>
          <w:rFonts w:cs="Times New Roman"/>
        </w:rPr>
        <w:t>几何模型简化处理；</w:t>
      </w:r>
    </w:p>
    <w:p>
      <w:pPr>
        <w:pStyle w:val="188"/>
        <w:ind w:firstLine="482"/>
        <w:rPr>
          <w:rFonts w:cs="Times New Roman"/>
        </w:rPr>
      </w:pPr>
      <w:r>
        <w:rPr>
          <w:rFonts w:cs="Times New Roman"/>
          <w:b/>
          <w:bCs w:val="0"/>
        </w:rPr>
        <w:t>6</w:t>
      </w:r>
      <w:r>
        <w:rPr>
          <w:rFonts w:cs="Times New Roman"/>
        </w:rPr>
        <w:t>荷载计算过程及边界条件分析处理；</w:t>
      </w:r>
    </w:p>
    <w:p>
      <w:pPr>
        <w:pStyle w:val="188"/>
        <w:ind w:firstLine="482"/>
        <w:rPr>
          <w:rFonts w:cs="Times New Roman"/>
        </w:rPr>
      </w:pPr>
      <w:r>
        <w:rPr>
          <w:rFonts w:cs="Times New Roman"/>
          <w:b/>
          <w:bCs w:val="0"/>
        </w:rPr>
        <w:t>7</w:t>
      </w:r>
      <w:r>
        <w:rPr>
          <w:rFonts w:cs="Times New Roman"/>
        </w:rPr>
        <w:t>计算条件简化与处理，含方法介绍；</w:t>
      </w:r>
    </w:p>
    <w:p>
      <w:pPr>
        <w:pStyle w:val="188"/>
        <w:ind w:firstLine="482"/>
        <w:rPr>
          <w:rFonts w:cs="Times New Roman"/>
        </w:rPr>
      </w:pPr>
      <w:r>
        <w:rPr>
          <w:rFonts w:cs="Times New Roman"/>
          <w:b/>
          <w:bCs w:val="0"/>
        </w:rPr>
        <w:t>8</w:t>
      </w:r>
      <w:r>
        <w:rPr>
          <w:rFonts w:cs="Times New Roman"/>
        </w:rPr>
        <w:t>计算参数的选用及其依据；</w:t>
      </w:r>
    </w:p>
    <w:p>
      <w:pPr>
        <w:pStyle w:val="188"/>
        <w:ind w:firstLine="482"/>
        <w:rPr>
          <w:rFonts w:cs="Times New Roman"/>
        </w:rPr>
      </w:pPr>
      <w:r>
        <w:rPr>
          <w:rFonts w:cs="Times New Roman"/>
          <w:b/>
          <w:bCs w:val="0"/>
        </w:rPr>
        <w:t>9</w:t>
      </w:r>
      <w:r>
        <w:rPr>
          <w:rFonts w:cs="Times New Roman"/>
        </w:rPr>
        <w:t>计算结果的表达与分析；</w:t>
      </w:r>
    </w:p>
    <w:p>
      <w:pPr>
        <w:pStyle w:val="188"/>
        <w:ind w:firstLine="482"/>
        <w:rPr>
          <w:rFonts w:cs="Times New Roman"/>
        </w:rPr>
      </w:pPr>
      <w:r>
        <w:rPr>
          <w:rFonts w:cs="Times New Roman"/>
          <w:b/>
          <w:bCs w:val="0"/>
        </w:rPr>
        <w:t>10</w:t>
      </w:r>
      <w:r>
        <w:rPr>
          <w:rFonts w:cs="Times New Roman"/>
        </w:rPr>
        <w:t>结构计算模型应至少清晰表达出荷载工况、荷载组合及其施加，边界条件及其施加，构件间约束及释放关系</w:t>
      </w:r>
      <w:r>
        <w:rPr>
          <w:rFonts w:hint="eastAsia" w:cs="Times New Roman"/>
        </w:rPr>
        <w:t>；</w:t>
      </w:r>
    </w:p>
    <w:p>
      <w:pPr>
        <w:pStyle w:val="188"/>
        <w:ind w:firstLine="482"/>
        <w:rPr>
          <w:rFonts w:cs="Times New Roman"/>
        </w:rPr>
      </w:pPr>
      <w:r>
        <w:rPr>
          <w:rFonts w:cs="Times New Roman"/>
          <w:b/>
          <w:bCs w:val="0"/>
        </w:rPr>
        <w:t>11</w:t>
      </w:r>
      <w:r>
        <w:rPr>
          <w:rFonts w:cs="Times New Roman"/>
        </w:rPr>
        <w:t>必要的配图，如计算对象的力学模型，荷载的作用位置及方向，构件截面尺寸等。</w:t>
      </w:r>
    </w:p>
    <w:p>
      <w:pPr>
        <w:pStyle w:val="196"/>
        <w:spacing w:before="163"/>
        <w:sectPr>
          <w:pgSz w:w="11906" w:h="16838"/>
          <w:pgMar w:top="1134" w:right="1134" w:bottom="1134" w:left="1134" w:header="851" w:footer="992" w:gutter="0"/>
          <w:cols w:space="720" w:num="1"/>
          <w:docGrid w:type="lines" w:linePitch="326" w:charSpace="0"/>
        </w:sectPr>
      </w:pPr>
    </w:p>
    <w:p>
      <w:pPr>
        <w:pStyle w:val="196"/>
        <w:spacing w:before="163"/>
        <w:rPr>
          <w:sz w:val="24"/>
          <w:szCs w:val="24"/>
        </w:rPr>
      </w:pPr>
      <w:bookmarkStart w:id="78" w:name="_Toc162996240"/>
      <w:r>
        <w:rPr>
          <w:sz w:val="24"/>
          <w:szCs w:val="24"/>
        </w:rPr>
        <w:t>附录A</w:t>
      </w:r>
      <w:r>
        <w:rPr>
          <w:rFonts w:hint="eastAsia"/>
          <w:sz w:val="24"/>
          <w:szCs w:val="24"/>
        </w:rPr>
        <w:t xml:space="preserve"> </w:t>
      </w:r>
      <w:r>
        <w:rPr>
          <w:sz w:val="24"/>
          <w:szCs w:val="24"/>
        </w:rPr>
        <w:t>穿条式隔热铝合金型材等效惯性矩计算</w:t>
      </w:r>
      <w:bookmarkEnd w:id="78"/>
    </w:p>
    <w:p>
      <w:pPr>
        <w:pStyle w:val="200"/>
      </w:pPr>
      <w:r>
        <w:rPr>
          <w:b/>
          <w:bCs w:val="0"/>
        </w:rPr>
        <w:t>A.0.1</w:t>
      </w:r>
      <w:r>
        <w:t xml:space="preserve"> 穿条式隔热铝合金型材</w:t>
      </w:r>
      <w:r>
        <w:rPr>
          <w:rFonts w:hint="eastAsia"/>
          <w:lang w:eastAsia="zh-CN"/>
        </w:rPr>
        <w:t>（</w:t>
      </w:r>
      <w:r>
        <w:t>如图A.0.1所示</w:t>
      </w:r>
      <w:r>
        <w:rPr>
          <w:rFonts w:hint="eastAsia"/>
          <w:lang w:eastAsia="zh-CN"/>
        </w:rPr>
        <w:t>）</w:t>
      </w:r>
      <w:r>
        <w:t>等效惯性矩应按式A.0.1-1~A.0.1-5计算。</w:t>
      </w:r>
    </w:p>
    <w:p>
      <w:pPr>
        <w:pStyle w:val="202"/>
        <w:rPr>
          <w:rFonts w:cs="Times New Roman"/>
        </w:rPr>
      </w:pPr>
      <w:r>
        <w:rPr>
          <w:rFonts w:cs="Times New Roman"/>
        </w:rPr>
        <w:drawing>
          <wp:inline distT="0" distB="0" distL="0" distR="0">
            <wp:extent cx="1858010" cy="2679065"/>
            <wp:effectExtent l="0" t="0" r="889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82"/>
                    <a:stretch>
                      <a:fillRect/>
                    </a:stretch>
                  </pic:blipFill>
                  <pic:spPr>
                    <a:xfrm>
                      <a:off x="0" y="0"/>
                      <a:ext cx="1858668" cy="2680454"/>
                    </a:xfrm>
                    <a:prstGeom prst="rect">
                      <a:avLst/>
                    </a:prstGeom>
                  </pic:spPr>
                </pic:pic>
              </a:graphicData>
            </a:graphic>
          </wp:inline>
        </w:drawing>
      </w:r>
    </w:p>
    <w:p>
      <w:pPr>
        <w:pStyle w:val="202"/>
        <w:rPr>
          <w:rFonts w:cs="Times New Roman"/>
        </w:rPr>
      </w:pPr>
      <w:r>
        <w:rPr>
          <w:rFonts w:cs="Times New Roman"/>
        </w:rPr>
        <w:t>图A.0.1 穿条式隔热铝合金型材截面</w:t>
      </w:r>
    </w:p>
    <w:p>
      <w:pPr>
        <w:pStyle w:val="202"/>
        <w:rPr>
          <w:rFonts w:cs="Times New Roman"/>
          <w:b w:val="0"/>
        </w:rPr>
      </w:pPr>
      <w:r>
        <w:rPr>
          <w:rFonts w:cs="Times New Roman"/>
          <w:b w:val="0"/>
        </w:rPr>
        <w:t>A</w:t>
      </w:r>
      <w:r>
        <w:rPr>
          <w:rFonts w:cs="Times New Roman"/>
          <w:b w:val="0"/>
          <w:vertAlign w:val="subscript"/>
        </w:rPr>
        <w:t>1</w:t>
      </w:r>
      <w:r>
        <w:rPr>
          <w:rFonts w:cs="Times New Roman"/>
          <w:b w:val="0"/>
        </w:rPr>
        <w:t>—铝型材1区的截面积； A</w:t>
      </w:r>
      <w:r>
        <w:rPr>
          <w:rFonts w:cs="Times New Roman"/>
          <w:b w:val="0"/>
          <w:vertAlign w:val="subscript"/>
        </w:rPr>
        <w:t>2</w:t>
      </w:r>
      <w:r>
        <w:rPr>
          <w:rFonts w:cs="Times New Roman"/>
          <w:b w:val="0"/>
        </w:rPr>
        <w:t>—铝型材2区的截面积；</w:t>
      </w:r>
    </w:p>
    <w:p>
      <w:pPr>
        <w:pStyle w:val="202"/>
        <w:rPr>
          <w:rFonts w:cs="Times New Roman"/>
          <w:b w:val="0"/>
        </w:rPr>
      </w:pPr>
      <w:r>
        <w:rPr>
          <w:rFonts w:cs="Times New Roman"/>
          <w:b w:val="0"/>
        </w:rPr>
        <w:t>S</w:t>
      </w:r>
      <w:r>
        <w:rPr>
          <w:rFonts w:cs="Times New Roman"/>
          <w:b w:val="0"/>
          <w:vertAlign w:val="subscript"/>
        </w:rPr>
        <w:t>1</w:t>
      </w:r>
      <w:r>
        <w:rPr>
          <w:rFonts w:cs="Times New Roman"/>
          <w:b w:val="0"/>
        </w:rPr>
        <w:t>—铝型材1区的形心；S</w:t>
      </w:r>
      <w:r>
        <w:rPr>
          <w:rFonts w:cs="Times New Roman"/>
          <w:b w:val="0"/>
          <w:vertAlign w:val="subscript"/>
        </w:rPr>
        <w:t>2</w:t>
      </w:r>
      <w:r>
        <w:rPr>
          <w:rFonts w:cs="Times New Roman"/>
          <w:b w:val="0"/>
        </w:rPr>
        <w:t>——铝型材2区的形心；S—隔热铝合金型材的形心；</w:t>
      </w:r>
    </w:p>
    <w:p>
      <w:pPr>
        <w:pStyle w:val="202"/>
        <w:rPr>
          <w:rFonts w:cs="Times New Roman"/>
          <w:b w:val="0"/>
        </w:rPr>
      </w:pPr>
      <w:r>
        <w:rPr>
          <w:rFonts w:cs="Times New Roman"/>
          <w:b w:val="0"/>
        </w:rPr>
        <w:t>I</w:t>
      </w:r>
      <w:r>
        <w:rPr>
          <w:rFonts w:cs="Times New Roman"/>
          <w:b w:val="0"/>
          <w:vertAlign w:val="subscript"/>
        </w:rPr>
        <w:t>1</w:t>
      </w:r>
      <w:r>
        <w:rPr>
          <w:rFonts w:cs="Times New Roman"/>
          <w:b w:val="0"/>
        </w:rPr>
        <w:t>—1区型材惯性矩；I</w:t>
      </w:r>
      <w:r>
        <w:rPr>
          <w:rFonts w:cs="Times New Roman"/>
          <w:b w:val="0"/>
          <w:vertAlign w:val="subscript"/>
        </w:rPr>
        <w:t>2</w:t>
      </w:r>
      <w:r>
        <w:rPr>
          <w:rFonts w:cs="Times New Roman"/>
          <w:b w:val="0"/>
        </w:rPr>
        <w:t>—2区型材惯性矩；</w:t>
      </w:r>
    </w:p>
    <w:p>
      <w:pPr>
        <w:pStyle w:val="202"/>
        <w:rPr>
          <w:rFonts w:cs="Times New Roman"/>
          <w:b w:val="0"/>
        </w:rPr>
      </w:pPr>
      <w:r>
        <w:rPr>
          <w:rFonts w:cs="Times New Roman"/>
          <w:b w:val="0"/>
        </w:rPr>
        <w:t>a</w:t>
      </w:r>
      <w:r>
        <w:rPr>
          <w:rFonts w:cs="Times New Roman"/>
          <w:b w:val="0"/>
          <w:vertAlign w:val="subscript"/>
        </w:rPr>
        <w:t>1</w:t>
      </w:r>
      <w:r>
        <w:rPr>
          <w:rFonts w:cs="Times New Roman"/>
          <w:b w:val="0"/>
        </w:rPr>
        <w:t>—1区形心到隔热铝合金型材形心的距离；a</w:t>
      </w:r>
      <w:r>
        <w:rPr>
          <w:rFonts w:cs="Times New Roman"/>
          <w:b w:val="0"/>
          <w:vertAlign w:val="subscript"/>
        </w:rPr>
        <w:t>2</w:t>
      </w:r>
      <w:r>
        <w:rPr>
          <w:rFonts w:cs="Times New Roman"/>
          <w:b w:val="0"/>
        </w:rPr>
        <w:t>—2区形心到隔热铝合金型材形心的距离</w:t>
      </w:r>
    </w:p>
    <w:tbl>
      <w:tblPr>
        <w:tblStyle w:val="37"/>
        <w:tblW w:w="4750" w:type="pct"/>
        <w:jc w:val="right"/>
        <w:tblLayout w:type="fixed"/>
        <w:tblCellMar>
          <w:top w:w="0" w:type="dxa"/>
          <w:left w:w="108" w:type="dxa"/>
          <w:bottom w:w="0" w:type="dxa"/>
          <w:right w:w="108" w:type="dxa"/>
        </w:tblCellMar>
      </w:tblPr>
      <w:tblGrid>
        <w:gridCol w:w="6673"/>
        <w:gridCol w:w="2688"/>
      </w:tblGrid>
      <w:tr>
        <w:tblPrEx>
          <w:tblCellMar>
            <w:top w:w="0" w:type="dxa"/>
            <w:left w:w="108" w:type="dxa"/>
            <w:bottom w:w="0" w:type="dxa"/>
            <w:right w:w="108" w:type="dxa"/>
          </w:tblCellMar>
        </w:tblPrEx>
        <w:trPr>
          <w:jc w:val="right"/>
        </w:trPr>
        <w:tc>
          <w:tcPr>
            <w:tcW w:w="6676" w:type="dxa"/>
            <w:shd w:val="clear" w:color="auto" w:fill="auto"/>
            <w:vAlign w:val="center"/>
          </w:tcPr>
          <w:p>
            <w:pPr>
              <w:spacing w:line="360" w:lineRule="auto"/>
              <w:jc w:val="center"/>
              <w:rPr>
                <w:rFonts w:ascii="Cambria Math" w:hAnsi="Cambria Math" w:cs="Times New Roman"/>
                <w:oMath/>
              </w:rPr>
            </w:pPr>
            <m:oMathPara>
              <m:oMath>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ef</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s</m:t>
                        </m:r>
                        <m:ctrlPr>
                          <w:rPr>
                            <w:rFonts w:ascii="Cambria Math" w:hAnsi="Cambria Math" w:cs="Times New Roman"/>
                            <w:i/>
                          </w:rPr>
                        </m:ctrlPr>
                      </m:sub>
                    </m:sSub>
                    <m:r>
                      <m:rPr/>
                      <w:rPr>
                        <w:rFonts w:ascii="Cambria Math" w:hAnsi="Cambria Math" w:cs="Times New Roman"/>
                      </w:rPr>
                      <m:t>(1−ν)</m:t>
                    </m:r>
                    <m:ctrlPr>
                      <w:rPr>
                        <w:rFonts w:ascii="Cambria Math" w:hAnsi="Cambria Math" w:cs="Times New Roman"/>
                        <w:i/>
                      </w:rPr>
                    </m:ctrlPr>
                  </m:num>
                  <m:den>
                    <m:r>
                      <m:rPr/>
                      <w:rPr>
                        <w:rFonts w:ascii="Cambria Math" w:hAnsi="Cambria Math" w:cs="Times New Roman"/>
                      </w:rPr>
                      <m:t>1−νβ</m:t>
                    </m:r>
                    <m:ctrlPr>
                      <w:rPr>
                        <w:rFonts w:ascii="Cambria Math" w:hAnsi="Cambria Math" w:cs="Times New Roman"/>
                        <w:i/>
                      </w:rPr>
                    </m:ctrlPr>
                  </m:den>
                </m:f>
              </m:oMath>
            </m:oMathPara>
          </w:p>
        </w:tc>
        <w:tc>
          <w:tcPr>
            <w:tcW w:w="2685"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（A.0.1-1）</w:t>
            </w:r>
          </w:p>
        </w:tc>
      </w:tr>
      <w:tr>
        <w:tblPrEx>
          <w:tblCellMar>
            <w:top w:w="0" w:type="dxa"/>
            <w:left w:w="108" w:type="dxa"/>
            <w:bottom w:w="0" w:type="dxa"/>
            <w:right w:w="108" w:type="dxa"/>
          </w:tblCellMar>
        </w:tblPrEx>
        <w:trPr>
          <w:jc w:val="right"/>
        </w:trPr>
        <w:tc>
          <w:tcPr>
            <w:tcW w:w="6676"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s</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2</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1</m:t>
                    </m:r>
                    <m:ctrlPr>
                      <w:rPr>
                        <w:rFonts w:ascii="Cambria Math" w:hAnsi="Cambria Math" w:cs="Times New Roman"/>
                        <w:i/>
                      </w:rPr>
                    </m:ctrlPr>
                  </m:sub>
                </m:sSub>
                <m:sSubSup>
                  <m:sSubSupPr>
                    <m:ctrlPr>
                      <w:rPr>
                        <w:rFonts w:ascii="Cambria Math" w:hAnsi="Cambria Math" w:cs="Times New Roman"/>
                        <w:i/>
                      </w:rPr>
                    </m:ctrlPr>
                  </m:sSubSupPr>
                  <m:e>
                    <m:r>
                      <m:rPr/>
                      <w:rPr>
                        <w:rFonts w:ascii="Cambria Math" w:hAnsi="Cambria Math" w:cs="Times New Roman"/>
                      </w:rPr>
                      <m:t>α</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2</m:t>
                    </m:r>
                    <m:ctrlPr>
                      <w:rPr>
                        <w:rFonts w:ascii="Cambria Math" w:hAnsi="Cambria Math" w:cs="Times New Roman"/>
                        <w:i/>
                      </w:rPr>
                    </m:ctrlPr>
                  </m:sub>
                </m:sSub>
                <m:sSubSup>
                  <m:sSubSupPr>
                    <m:ctrlPr>
                      <w:rPr>
                        <w:rFonts w:ascii="Cambria Math" w:hAnsi="Cambria Math" w:cs="Times New Roman"/>
                        <w:i/>
                      </w:rPr>
                    </m:ctrlPr>
                  </m:sSubSupPr>
                  <m:e>
                    <m:r>
                      <m:rPr/>
                      <w:rPr>
                        <w:rFonts w:ascii="Cambria Math" w:hAnsi="Cambria Math" w:cs="Times New Roman"/>
                      </w:rPr>
                      <m:t>α</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oMath>
            </m:oMathPara>
          </w:p>
        </w:tc>
        <w:tc>
          <w:tcPr>
            <w:tcW w:w="2685"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（A.0.1-2）</w:t>
            </w:r>
          </w:p>
        </w:tc>
      </w:tr>
      <w:tr>
        <w:tblPrEx>
          <w:tblCellMar>
            <w:top w:w="0" w:type="dxa"/>
            <w:left w:w="108" w:type="dxa"/>
            <w:bottom w:w="0" w:type="dxa"/>
            <w:right w:w="108" w:type="dxa"/>
          </w:tblCellMar>
        </w:tblPrEx>
        <w:trPr>
          <w:jc w:val="right"/>
        </w:trPr>
        <w:tc>
          <w:tcPr>
            <w:tcW w:w="6676" w:type="dxa"/>
            <w:shd w:val="clear" w:color="auto" w:fill="auto"/>
            <w:vAlign w:val="center"/>
          </w:tcPr>
          <w:p>
            <w:pPr>
              <w:spacing w:line="360" w:lineRule="auto"/>
              <w:jc w:val="center"/>
              <w:rPr>
                <w:rFonts w:ascii="Times New Roman" w:hAnsi="Times New Roman" w:cs="Times New Roman"/>
              </w:rPr>
            </w:pPr>
            <m:oMathPara>
              <m:oMath>
                <m:r>
                  <m:rPr/>
                  <w:rPr>
                    <w:rFonts w:ascii="Cambria Math" w:hAnsi="Cambria Math" w:cs="Times New Roman"/>
                  </w:rPr>
                  <m:t>ν=</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1</m:t>
                        </m:r>
                        <m:ctrlPr>
                          <w:rPr>
                            <w:rFonts w:ascii="Cambria Math" w:hAnsi="Cambria Math" w:cs="Times New Roman"/>
                            <w:i/>
                          </w:rPr>
                        </m:ctrlPr>
                      </m:sub>
                    </m:sSub>
                    <m:sSubSup>
                      <m:sSubSupPr>
                        <m:ctrlPr>
                          <w:rPr>
                            <w:rFonts w:ascii="Cambria Math" w:hAnsi="Cambria Math" w:cs="Times New Roman"/>
                            <w:i/>
                          </w:rPr>
                        </m:ctrlPr>
                      </m:sSubSup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2</m:t>
                        </m:r>
                        <m:ctrlPr>
                          <w:rPr>
                            <w:rFonts w:ascii="Cambria Math" w:hAnsi="Cambria Math" w:cs="Times New Roman"/>
                            <w:i/>
                          </w:rPr>
                        </m:ctrlPr>
                      </m:sub>
                    </m:sSub>
                    <m:sSubSup>
                      <m:sSubSupPr>
                        <m:ctrlPr>
                          <w:rPr>
                            <w:rFonts w:ascii="Cambria Math" w:hAnsi="Cambria Math" w:cs="Times New Roman"/>
                            <w:i/>
                          </w:rPr>
                        </m:ctrlPr>
                      </m:sSubSup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s</m:t>
                        </m:r>
                        <m:ctrlPr>
                          <w:rPr>
                            <w:rFonts w:ascii="Cambria Math" w:hAnsi="Cambria Math" w:cs="Times New Roman"/>
                            <w:i/>
                          </w:rPr>
                        </m:ctrlPr>
                      </m:sub>
                    </m:sSub>
                    <m:ctrlPr>
                      <w:rPr>
                        <w:rFonts w:ascii="Cambria Math" w:hAnsi="Cambria Math" w:cs="Times New Roman"/>
                        <w:i/>
                      </w:rPr>
                    </m:ctrlPr>
                  </m:den>
                </m:f>
              </m:oMath>
            </m:oMathPara>
          </w:p>
        </w:tc>
        <w:tc>
          <w:tcPr>
            <w:tcW w:w="2685"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（A.0.1-3）</w:t>
            </w:r>
          </w:p>
        </w:tc>
      </w:tr>
      <w:tr>
        <w:tblPrEx>
          <w:tblCellMar>
            <w:top w:w="0" w:type="dxa"/>
            <w:left w:w="108" w:type="dxa"/>
            <w:bottom w:w="0" w:type="dxa"/>
            <w:right w:w="108" w:type="dxa"/>
          </w:tblCellMar>
        </w:tblPrEx>
        <w:trPr>
          <w:jc w:val="right"/>
        </w:trPr>
        <w:tc>
          <w:tcPr>
            <w:tcW w:w="6676" w:type="dxa"/>
            <w:shd w:val="clear" w:color="auto" w:fill="auto"/>
            <w:vAlign w:val="center"/>
          </w:tcPr>
          <w:p>
            <w:pPr>
              <w:spacing w:line="360" w:lineRule="auto"/>
              <w:jc w:val="center"/>
              <w:rPr>
                <w:rFonts w:ascii="Times New Roman" w:hAnsi="Times New Roman" w:cs="Times New Roman"/>
              </w:rPr>
            </w:pPr>
            <m:oMathPara>
              <m:oMath>
                <m:r>
                  <m:rPr/>
                  <w:rPr>
                    <w:rFonts w:ascii="Cambria Math" w:hAnsi="Cambria Math" w:cs="Times New Roman"/>
                  </w:rPr>
                  <m:t>β=</m:t>
                </m:r>
                <m:f>
                  <m:fPr>
                    <m:ctrlPr>
                      <w:rPr>
                        <w:rFonts w:ascii="Cambria Math" w:hAnsi="Cambria Math" w:cs="Times New Roman"/>
                        <w:i/>
                      </w:rPr>
                    </m:ctrlPr>
                  </m:fPr>
                  <m:num>
                    <m:sSup>
                      <m:sSupPr>
                        <m:ctrlPr>
                          <w:rPr>
                            <w:rFonts w:ascii="Cambria Math" w:hAnsi="Cambria Math" w:cs="Times New Roman"/>
                            <w:i/>
                          </w:rPr>
                        </m:ctrlPr>
                      </m:sSupPr>
                      <m:e>
                        <m:r>
                          <m:rPr/>
                          <w:rPr>
                            <w:rFonts w:ascii="Cambria Math" w:hAnsi="Cambria Math" w:cs="Times New Roman"/>
                          </w:rPr>
                          <m:t>λ</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num>
                  <m:den>
                    <m:sSup>
                      <m:sSupPr>
                        <m:ctrlPr>
                          <w:rPr>
                            <w:rFonts w:ascii="Cambria Math" w:hAnsi="Cambria Math" w:cs="Times New Roman"/>
                            <w:i/>
                          </w:rPr>
                        </m:ctrlPr>
                      </m:sSupPr>
                      <m:e>
                        <m:r>
                          <m:rPr/>
                          <w:rPr>
                            <w:rFonts w:ascii="Cambria Math" w:hAnsi="Cambria Math" w:cs="Times New Roman"/>
                          </w:rPr>
                          <m:t>π</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λ</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den>
                </m:f>
              </m:oMath>
            </m:oMathPara>
          </w:p>
        </w:tc>
        <w:tc>
          <w:tcPr>
            <w:tcW w:w="2685"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（A.0.1-4）</w:t>
            </w:r>
          </w:p>
        </w:tc>
      </w:tr>
      <w:tr>
        <w:tblPrEx>
          <w:tblCellMar>
            <w:top w:w="0" w:type="dxa"/>
            <w:left w:w="108" w:type="dxa"/>
            <w:bottom w:w="0" w:type="dxa"/>
            <w:right w:w="108" w:type="dxa"/>
          </w:tblCellMar>
        </w:tblPrEx>
        <w:trPr>
          <w:jc w:val="right"/>
        </w:trPr>
        <w:tc>
          <w:tcPr>
            <w:tcW w:w="6676" w:type="dxa"/>
            <w:shd w:val="clear" w:color="auto" w:fill="auto"/>
            <w:vAlign w:val="center"/>
          </w:tcPr>
          <w:p>
            <w:pPr>
              <w:spacing w:line="360" w:lineRule="auto"/>
              <w:jc w:val="center"/>
              <w:rPr>
                <w:rFonts w:ascii="Times New Roman" w:hAnsi="Times New Roman" w:cs="Times New Roman"/>
              </w:rPr>
            </w:pPr>
            <m:oMathPara>
              <m:oMath>
                <m:sSup>
                  <m:sSupPr>
                    <m:ctrlPr>
                      <w:rPr>
                        <w:rFonts w:ascii="Cambria Math" w:hAnsi="Cambria Math" w:cs="Times New Roman"/>
                        <w:i/>
                      </w:rPr>
                    </m:ctrlPr>
                  </m:sSupPr>
                  <m:e>
                    <m:r>
                      <m:rPr/>
                      <w:rPr>
                        <w:rFonts w:ascii="Cambria Math" w:hAnsi="Cambria Math" w:cs="Times New Roman"/>
                      </w:rPr>
                      <m:t>λ</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c</m:t>
                    </m:r>
                    <m:sSup>
                      <m:sSupPr>
                        <m:ctrlPr>
                          <w:rPr>
                            <w:rFonts w:ascii="Cambria Math" w:hAnsi="Cambria Math" w:cs="Times New Roman"/>
                            <w:i/>
                          </w:rPr>
                        </m:ctrlPr>
                      </m:sSupPr>
                      <m:e>
                        <m:r>
                          <m:rPr/>
                          <w:rPr>
                            <w:rFonts w:ascii="Cambria Math" w:hAnsi="Cambria Math" w:cs="Times New Roman"/>
                          </w:rPr>
                          <m:t>a</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sSup>
                      <m:sSupPr>
                        <m:ctrlPr>
                          <w:rPr>
                            <w:rFonts w:ascii="Cambria Math" w:hAnsi="Cambria Math" w:cs="Times New Roman"/>
                            <w:i/>
                          </w:rPr>
                        </m:ctrlPr>
                      </m:sSupPr>
                      <m:e>
                        <m:r>
                          <m:rPr/>
                          <w:rPr>
                            <w:rFonts w:ascii="Cambria Math" w:hAnsi="Cambria Math" w:cs="Times New Roman"/>
                          </w:rPr>
                          <m:t>L</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num>
                  <m:den>
                    <m:r>
                      <m:rPr/>
                      <w:rPr>
                        <w:rFonts w:ascii="Cambria Math" w:hAnsi="Cambria Math" w:cs="Times New Roman"/>
                      </w:rPr>
                      <m:t>E</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s</m:t>
                        </m:r>
                        <m:ctrlPr>
                          <w:rPr>
                            <w:rFonts w:ascii="Cambria Math" w:hAnsi="Cambria Math" w:cs="Times New Roman"/>
                            <w:i/>
                          </w:rPr>
                        </m:ctrlPr>
                      </m:sub>
                    </m:sSub>
                    <m:r>
                      <m:rPr/>
                      <w:rPr>
                        <w:rFonts w:ascii="Cambria Math" w:hAnsi="Cambria Math" w:cs="Times New Roman"/>
                      </w:rPr>
                      <m:t>ν(1−ν)</m:t>
                    </m:r>
                    <m:ctrlPr>
                      <w:rPr>
                        <w:rFonts w:ascii="Cambria Math" w:hAnsi="Cambria Math" w:cs="Times New Roman"/>
                        <w:i/>
                      </w:rPr>
                    </m:ctrlPr>
                  </m:den>
                </m:f>
              </m:oMath>
            </m:oMathPara>
          </w:p>
        </w:tc>
        <w:tc>
          <w:tcPr>
            <w:tcW w:w="2685"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（A.0.1-5）</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s</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刚性惯性矩</w:t>
            </w:r>
            <w:r>
              <w:rPr>
                <w:rFonts w:hint="eastAsia"/>
                <w:lang w:eastAsia="zh-CN"/>
              </w:rPr>
              <w:t>（</w:t>
            </w:r>
            <w:r>
              <w:t>mm</w:t>
            </w:r>
            <w:r>
              <w:rPr>
                <w:vertAlign w:val="superscript"/>
              </w:rPr>
              <w:t>4</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ν</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作用参数；</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β</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zCs w:val="24"/>
              </w:rPr>
              <w:t>组合参数；</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λ</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zCs w:val="24"/>
              </w:rPr>
              <w:t>几何形状参数；</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L</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zCs w:val="24"/>
              </w:rPr>
              <w:t>隔热型材的承载间距</w:t>
            </w:r>
            <w:r>
              <w:rPr>
                <w:rFonts w:hint="eastAsia"/>
                <w:szCs w:val="24"/>
                <w:lang w:eastAsia="zh-CN"/>
              </w:rPr>
              <w:t>（</w:t>
            </w:r>
            <w:r>
              <w:rPr>
                <w:szCs w:val="24"/>
              </w:rPr>
              <w:t>横梁或立柱的计算跨度，单位mm)；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a</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zCs w:val="24"/>
              </w:rPr>
              <w:t>1区形心与2区形心间距</w:t>
            </w:r>
            <w:r>
              <w:rPr>
                <w:rFonts w:hint="eastAsia"/>
                <w:szCs w:val="24"/>
                <w:lang w:eastAsia="zh-CN"/>
              </w:rPr>
              <w:t>（</w:t>
            </w:r>
            <w:r>
              <w:rPr>
                <w:szCs w:val="24"/>
              </w:rPr>
              <w:t>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E</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zCs w:val="24"/>
              </w:rPr>
              <w:t>铝合金的弹性模量</w:t>
            </w:r>
            <w:r>
              <w:rPr>
                <w:rFonts w:hint="eastAsia"/>
                <w:szCs w:val="24"/>
                <w:lang w:eastAsia="zh-CN"/>
              </w:rPr>
              <w:t>（</w:t>
            </w:r>
            <w:r>
              <w:rPr>
                <w:szCs w:val="24"/>
              </w:rPr>
              <w:t>MPa)；</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c</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zCs w:val="24"/>
              </w:rPr>
              <w:t>组合弹性值</w:t>
            </w:r>
            <w:r>
              <w:rPr>
                <w:rFonts w:hint="eastAsia"/>
                <w:szCs w:val="24"/>
                <w:lang w:eastAsia="zh-CN"/>
              </w:rPr>
              <w:t>（</w:t>
            </w:r>
            <w:r>
              <w:rPr>
                <w:szCs w:val="24"/>
              </w:rPr>
              <w:t>MPa)，是在常温20</w:t>
            </w:r>
            <m:oMath>
              <m:r>
                <m:rPr>
                  <m:sty m:val="p"/>
                </m:rPr>
                <w:rPr>
                  <w:rFonts w:ascii="Cambria Math" w:hAnsi="Cambria Math"/>
                  <w:szCs w:val="24"/>
                </w:rPr>
                <m:t>℃</m:t>
              </m:r>
            </m:oMath>
            <w:r>
              <w:rPr>
                <w:szCs w:val="24"/>
              </w:rPr>
              <w:t>环境条件下，纵向抗剪试验中负荷-位移曲线的弹性变形范围内的纵向剪切力增量</w:t>
            </w:r>
            <m:oMath>
              <m:r>
                <m:rPr>
                  <m:sty m:val="p"/>
                </m:rPr>
                <w:rPr>
                  <w:rFonts w:ascii="Cambria Math" w:hAnsi="Cambria Math"/>
                </w:rPr>
                <m:t>Δ</m:t>
              </m:r>
              <m:r>
                <m:rPr/>
                <w:rPr>
                  <w:rFonts w:ascii="Cambria Math" w:hAnsi="Cambria Math"/>
                </w:rPr>
                <m:t>F</m:t>
              </m:r>
            </m:oMath>
            <w:r>
              <w:rPr>
                <w:szCs w:val="24"/>
              </w:rPr>
              <w:t>与相对应的两侧铝合金型材出现的相对位移增量</w:t>
            </w:r>
            <m:oMath>
              <m:r>
                <m:rPr>
                  <m:sty m:val="p"/>
                </m:rPr>
                <w:rPr>
                  <w:rFonts w:ascii="Cambria Math" w:hAnsi="Cambria Math"/>
                </w:rPr>
                <m:t>Δ</m:t>
              </m:r>
              <m:r>
                <m:rPr/>
                <w:rPr>
                  <w:rFonts w:ascii="Cambria Math" w:hAnsi="Cambria Math"/>
                </w:rPr>
                <m:t>δ</m:t>
              </m:r>
            </m:oMath>
            <w:r>
              <w:t>和试样长度</w:t>
            </w:r>
            <w:r>
              <w:rPr>
                <w:i/>
              </w:rPr>
              <w:t>l</w:t>
            </w:r>
            <w:r>
              <w:t>乘积的比值</w:t>
            </w:r>
            <w:r>
              <w:rPr>
                <w:szCs w:val="24"/>
              </w:rPr>
              <w:t>。</w:t>
            </w:r>
          </w:p>
        </w:tc>
      </w:tr>
    </w:tbl>
    <w:p>
      <w:pPr>
        <w:pStyle w:val="200"/>
      </w:pPr>
      <w:r>
        <w:rPr>
          <w:b/>
          <w:bCs w:val="0"/>
        </w:rPr>
        <w:t>A.0.2</w:t>
      </w:r>
      <w:r>
        <w:t xml:space="preserve"> 穿条式隔热铝合金型材</w:t>
      </w:r>
      <w:r>
        <w:rPr>
          <w:szCs w:val="24"/>
        </w:rPr>
        <w:t>组合弹性值</w:t>
      </w:r>
      <w:r>
        <w:rPr>
          <w:i/>
          <w:szCs w:val="24"/>
        </w:rPr>
        <w:t>c</w:t>
      </w:r>
      <w:r>
        <w:rPr>
          <w:szCs w:val="24"/>
        </w:rPr>
        <w:t>应按下式</w:t>
      </w:r>
      <w:r>
        <w:t>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r>
                  <m:rPr/>
                  <w:rPr>
                    <w:rFonts w:ascii="Cambria Math" w:hAnsi="Cambria Math" w:cs="Times New Roman"/>
                  </w:rPr>
                  <m:t>c=</m:t>
                </m:r>
                <m:f>
                  <m:fPr>
                    <m:ctrlPr>
                      <w:rPr>
                        <w:rFonts w:ascii="Cambria Math" w:hAnsi="Cambria Math" w:cs="Times New Roman"/>
                        <w:i/>
                      </w:rPr>
                    </m:ctrlPr>
                  </m:fPr>
                  <m:num>
                    <m:r>
                      <m:rPr>
                        <m:sty m:val="p"/>
                      </m:rPr>
                      <w:rPr>
                        <w:rFonts w:ascii="Cambria Math" w:hAnsi="Cambria Math" w:cs="Times New Roman"/>
                      </w:rPr>
                      <m:t>Δ</m:t>
                    </m:r>
                    <m:r>
                      <m:rPr/>
                      <w:rPr>
                        <w:rFonts w:ascii="Cambria Math" w:hAnsi="Cambria Math" w:cs="Times New Roman"/>
                      </w:rPr>
                      <m:t>F</m:t>
                    </m:r>
                    <m:ctrlPr>
                      <w:rPr>
                        <w:rFonts w:ascii="Cambria Math" w:hAnsi="Cambria Math" w:cs="Times New Roman"/>
                        <w:i/>
                      </w:rPr>
                    </m:ctrlPr>
                  </m:num>
                  <m:den>
                    <m:r>
                      <m:rPr>
                        <m:sty m:val="p"/>
                      </m:rPr>
                      <w:rPr>
                        <w:rFonts w:ascii="Cambria Math" w:hAnsi="Cambria Math" w:cs="Times New Roman"/>
                      </w:rPr>
                      <m:t>Δ</m:t>
                    </m:r>
                    <m:r>
                      <m:rPr/>
                      <w:rPr>
                        <w:rFonts w:ascii="Cambria Math" w:hAnsi="Cambria Math" w:cs="Times New Roman"/>
                      </w:rPr>
                      <m:t>δ·l</m:t>
                    </m:r>
                    <m:ctrlPr>
                      <w:rPr>
                        <w:rFonts w:ascii="Cambria Math" w:hAnsi="Cambria Math" w:cs="Times New Roman"/>
                        <w:i/>
                      </w:rPr>
                    </m:ctrlPr>
                  </m:den>
                </m:f>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（A.0.2）</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c>
          <w:tcPr>
            <w:tcW w:w="1134" w:type="dxa"/>
            <w:shd w:val="clear" w:color="auto" w:fill="auto"/>
          </w:tcPr>
          <w:p>
            <w:pPr>
              <w:jc w:val="right"/>
              <w:rPr>
                <w:rFonts w:ascii="Times New Roman" w:hAnsi="Times New Roman" w:cs="Times New Roman"/>
              </w:rPr>
            </w:pPr>
            <m:oMathPara>
              <m:oMathParaPr>
                <m:jc m:val="right"/>
              </m:oMathParaPr>
              <m:oMath>
                <m:r>
                  <m:rPr>
                    <m:sty m:val="p"/>
                  </m:rPr>
                  <w:rPr>
                    <w:rFonts w:ascii="Cambria Math" w:hAnsi="Cambria Math" w:cs="Times New Roman"/>
                  </w:rPr>
                  <m:t>Δ</m:t>
                </m:r>
                <m:r>
                  <m:rPr/>
                  <w:rPr>
                    <w:rFonts w:ascii="Cambria Math" w:hAnsi="Cambria Math" w:cs="Times New Roman"/>
                  </w:rPr>
                  <m:t>F</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zCs w:val="24"/>
              </w:rPr>
              <w:t>负荷-位移曲线上弹性变形范围内的纵向剪切力增量</w:t>
            </w:r>
            <w:r>
              <w:rPr>
                <w:rFonts w:hint="eastAsia"/>
                <w:szCs w:val="24"/>
                <w:lang w:eastAsia="zh-CN"/>
              </w:rPr>
              <w:t>（</w:t>
            </w:r>
            <w:r>
              <w:rPr>
                <w:szCs w:val="24"/>
              </w:rPr>
              <w:t>N)；</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m:sty m:val="p"/>
                  </m:rPr>
                  <w:rPr>
                    <w:rFonts w:ascii="Cambria Math" w:hAnsi="Cambria Math" w:cs="Times New Roman"/>
                  </w:rPr>
                  <m:t>Δ</m:t>
                </m:r>
                <m:r>
                  <m:rPr/>
                  <w:rPr>
                    <w:rFonts w:ascii="Cambria Math" w:hAnsi="Cambria Math" w:cs="Times New Roman"/>
                  </w:rPr>
                  <m:t>δ</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zCs w:val="24"/>
              </w:rPr>
              <w:t>负荷-位移曲线上弹性变形范围内的纵向剪切力增量相对应的两侧铝合金型材的位移增量</w:t>
            </w:r>
            <w:r>
              <w:rPr>
                <w:rFonts w:hint="eastAsia"/>
                <w:szCs w:val="24"/>
                <w:lang w:eastAsia="zh-CN"/>
              </w:rPr>
              <w:t>（</w:t>
            </w:r>
            <w:r>
              <w:rPr>
                <w:szCs w:val="24"/>
              </w:rPr>
              <w:t>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l</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rPr>
                <w:szCs w:val="24"/>
              </w:rPr>
              <w:t>试样长度</w:t>
            </w:r>
            <w:r>
              <w:rPr>
                <w:rFonts w:hint="eastAsia"/>
                <w:szCs w:val="24"/>
                <w:lang w:eastAsia="zh-CN"/>
              </w:rPr>
              <w:t>（</w:t>
            </w:r>
            <w:r>
              <w:rPr>
                <w:szCs w:val="24"/>
              </w:rPr>
              <w:t>mm)。</w:t>
            </w:r>
          </w:p>
        </w:tc>
      </w:tr>
    </w:tbl>
    <w:p>
      <w:pPr>
        <w:pStyle w:val="200"/>
      </w:pPr>
    </w:p>
    <w:p>
      <w:pPr>
        <w:pStyle w:val="196"/>
        <w:spacing w:before="163"/>
        <w:sectPr>
          <w:pgSz w:w="11906" w:h="16838"/>
          <w:pgMar w:top="1134" w:right="1134" w:bottom="1134" w:left="1134" w:header="851" w:footer="992" w:gutter="0"/>
          <w:cols w:space="720" w:num="1"/>
          <w:docGrid w:type="lines" w:linePitch="326" w:charSpace="0"/>
        </w:sectPr>
      </w:pPr>
    </w:p>
    <w:p>
      <w:pPr>
        <w:pStyle w:val="196"/>
        <w:rPr>
          <w:sz w:val="24"/>
          <w:szCs w:val="24"/>
        </w:rPr>
      </w:pPr>
      <w:bookmarkStart w:id="79" w:name="_Toc162996241"/>
      <w:r>
        <w:rPr>
          <w:sz w:val="24"/>
          <w:szCs w:val="24"/>
        </w:rPr>
        <w:t>附录B 开口铝合金立柱强度折减系数</w:t>
      </w:r>
      <w:bookmarkEnd w:id="79"/>
    </w:p>
    <w:p>
      <w:pPr>
        <w:pStyle w:val="200"/>
      </w:pPr>
      <w:r>
        <w:rPr>
          <w:b/>
        </w:rPr>
        <w:t xml:space="preserve">B.0.1 </w:t>
      </w:r>
      <w:r>
        <w:t>表B.0.1-1～B.0.1-4为6063-T5开口铝合金立柱的强度折减系数，当采用其它牌号或其它合金状态的铝合金型材时，应再乘以系数</w:t>
      </w:r>
      <m:oMath>
        <m:rad>
          <m:radPr>
            <m:degHide m:val="1"/>
            <m:ctrlPr>
              <w:rPr>
                <w:rFonts w:ascii="Cambria Math" w:hAnsi="Cambria Math"/>
              </w:rPr>
            </m:ctrlPr>
          </m:radPr>
          <m:deg>
            <m:ctrlPr>
              <w:rPr>
                <w:rFonts w:ascii="Cambria Math" w:hAnsi="Cambria Math"/>
              </w:rPr>
            </m:ctrlPr>
          </m:deg>
          <m:e>
            <m:f>
              <m:fPr>
                <m:ctrlPr>
                  <w:rPr>
                    <w:rFonts w:ascii="Cambria Math" w:hAnsi="Cambria Math"/>
                    <w:i/>
                  </w:rPr>
                </m:ctrlPr>
              </m:fPr>
              <m:num>
                <m:r>
                  <m:rPr/>
                  <w:rPr>
                    <w:rFonts w:ascii="Cambria Math" w:hAnsi="Cambria Math"/>
                  </w:rPr>
                  <m:t>160</m:t>
                </m:r>
                <m:ctrlPr>
                  <w:rPr>
                    <w:rFonts w:ascii="Cambria Math" w:hAnsi="Cambria Math"/>
                    <w:i/>
                  </w:rPr>
                </m:ctrlPr>
              </m:num>
              <m:den>
                <m:sSub>
                  <m:sSubPr>
                    <m:ctrlPr>
                      <w:rPr>
                        <w:rFonts w:ascii="Cambria Math" w:hAnsi="Cambria Math"/>
                        <w:i/>
                      </w:rPr>
                    </m:ctrlPr>
                  </m:sSubPr>
                  <m:e>
                    <m:r>
                      <m:rPr/>
                      <w:rPr>
                        <w:rFonts w:ascii="Cambria Math" w:hAnsi="Cambria Math"/>
                      </w:rPr>
                      <m:t>f</m:t>
                    </m:r>
                    <m:ctrlPr>
                      <w:rPr>
                        <w:rFonts w:ascii="Cambria Math" w:hAnsi="Cambria Math"/>
                        <w:i/>
                      </w:rPr>
                    </m:ctrlPr>
                  </m:e>
                  <m:sub>
                    <m:r>
                      <m:rPr>
                        <m:sty m:val="p"/>
                      </m:rPr>
                      <w:rPr>
                        <w:rFonts w:ascii="Cambria Math" w:hAnsi="Cambria Math"/>
                      </w:rPr>
                      <m:t>b</m:t>
                    </m:r>
                    <m:ctrlPr>
                      <w:rPr>
                        <w:rFonts w:ascii="Cambria Math" w:hAnsi="Cambria Math"/>
                        <w:i/>
                      </w:rPr>
                    </m:ctrlPr>
                  </m:sub>
                </m:sSub>
                <m:ctrlPr>
                  <w:rPr>
                    <w:rFonts w:ascii="Cambria Math" w:hAnsi="Cambria Math"/>
                    <w:i/>
                  </w:rPr>
                </m:ctrlPr>
              </m:den>
            </m:f>
            <m:ctrlPr>
              <w:rPr>
                <w:rFonts w:ascii="Cambria Math" w:hAnsi="Cambria Math"/>
              </w:rPr>
            </m:ctrlPr>
          </m:e>
        </m:rad>
      </m:oMath>
      <w:r>
        <w:t>，</w:t>
      </w:r>
      <m:oMath>
        <m:sSub>
          <m:sSubPr>
            <m:ctrlPr>
              <w:rPr>
                <w:rFonts w:ascii="Cambria Math" w:hAnsi="Cambria Math"/>
                <w:i/>
              </w:rPr>
            </m:ctrlPr>
          </m:sSubPr>
          <m:e>
            <m:r>
              <m:rPr/>
              <w:rPr>
                <w:rFonts w:ascii="Cambria Math" w:hAnsi="Cambria Math"/>
              </w:rPr>
              <m:t>f</m:t>
            </m:r>
            <m:ctrlPr>
              <w:rPr>
                <w:rFonts w:ascii="Cambria Math" w:hAnsi="Cambria Math"/>
                <w:i/>
              </w:rPr>
            </m:ctrlPr>
          </m:e>
          <m:sub>
            <m:r>
              <m:rPr>
                <m:sty m:val="p"/>
              </m:rPr>
              <w:rPr>
                <w:rFonts w:ascii="Cambria Math" w:hAnsi="Cambria Math"/>
              </w:rPr>
              <m:t>b</m:t>
            </m:r>
            <m:ctrlPr>
              <w:rPr>
                <w:rFonts w:ascii="Cambria Math" w:hAnsi="Cambria Math"/>
                <w:i/>
              </w:rPr>
            </m:ctrlPr>
          </m:sub>
        </m:sSub>
      </m:oMath>
      <w:r>
        <w:t>应选用GB 5237.1中抗拉强度</w:t>
      </w:r>
      <m:oMath>
        <m:sSub>
          <m:sSubPr>
            <m:ctrlPr>
              <w:rPr>
                <w:rFonts w:ascii="Cambria Math" w:hAnsi="Cambria Math"/>
                <w:i/>
              </w:rPr>
            </m:ctrlPr>
          </m:sSubPr>
          <m:e>
            <m:r>
              <m:rPr/>
              <w:rPr>
                <w:rFonts w:ascii="Cambria Math" w:hAnsi="Cambria Math"/>
              </w:rPr>
              <m:t>σ</m:t>
            </m:r>
            <m:ctrlPr>
              <w:rPr>
                <w:rFonts w:ascii="Cambria Math" w:hAnsi="Cambria Math"/>
                <w:i/>
              </w:rPr>
            </m:ctrlPr>
          </m:e>
          <m:sub>
            <m:r>
              <m:rPr>
                <m:sty m:val="p"/>
              </m:rPr>
              <w:rPr>
                <w:rFonts w:ascii="Cambria Math" w:hAnsi="Cambria Math"/>
              </w:rPr>
              <m:t>b</m:t>
            </m:r>
            <m:ctrlPr>
              <w:rPr>
                <w:rFonts w:ascii="Cambria Math" w:hAnsi="Cambria Math"/>
                <w:i/>
              </w:rPr>
            </m:ctrlPr>
          </m:sub>
        </m:sSub>
      </m:oMath>
      <w:r>
        <w:t>。</w:t>
      </w:r>
      <w:r>
        <w:rPr>
          <w:i/>
        </w:rPr>
        <w:t>L</w:t>
      </w:r>
      <w:r>
        <w:t>为同一单元板块中最大的相邻横梁间距。中间值可用插值法求出。</w:t>
      </w:r>
    </w:p>
    <w:p>
      <w:pPr>
        <w:pStyle w:val="202"/>
        <w:rPr>
          <w:rFonts w:cs="Times New Roman"/>
        </w:rPr>
      </w:pPr>
      <w:r>
        <w:rPr>
          <w:rFonts w:cs="Times New Roman"/>
        </w:rPr>
        <w:drawing>
          <wp:inline distT="0" distB="0" distL="0" distR="0">
            <wp:extent cx="4027805" cy="17995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3"/>
                    <a:stretch>
                      <a:fillRect/>
                    </a:stretch>
                  </pic:blipFill>
                  <pic:spPr>
                    <a:xfrm>
                      <a:off x="0" y="0"/>
                      <a:ext cx="4027972" cy="1800000"/>
                    </a:xfrm>
                    <a:prstGeom prst="rect">
                      <a:avLst/>
                    </a:prstGeom>
                  </pic:spPr>
                </pic:pic>
              </a:graphicData>
            </a:graphic>
          </wp:inline>
        </w:drawing>
      </w:r>
    </w:p>
    <w:p>
      <w:pPr>
        <w:pStyle w:val="202"/>
        <w:rPr>
          <w:rFonts w:cs="Times New Roman"/>
        </w:rPr>
      </w:pPr>
      <w:r>
        <w:rPr>
          <w:rFonts w:cs="Times New Roman"/>
        </w:rPr>
        <w:t>图B.0.1-1开口铝合金柱—A类截面</w:t>
      </w:r>
    </w:p>
    <w:p>
      <w:pPr>
        <w:pStyle w:val="202"/>
        <w:rPr>
          <w:rFonts w:cs="Times New Roman"/>
        </w:rPr>
      </w:pPr>
      <w:r>
        <w:rPr>
          <w:rFonts w:cs="Times New Roman"/>
        </w:rPr>
        <w:t>表B.0.1-1开口铝合金立柱强度折减系数—A类截面</w: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1065" w:type="dxa"/>
            <w:tcBorders>
              <w:tl2br w:val="single" w:color="000000" w:sz="4" w:space="0"/>
            </w:tcBorders>
            <w:vAlign w:val="center"/>
          </w:tcPr>
          <w:p>
            <w:pPr>
              <w:pStyle w:val="203"/>
              <w:jc w:val="right"/>
              <w:rPr>
                <w:rFonts w:ascii="Times New Roman" w:cs="Times New Roman"/>
              </w:rPr>
            </w:pPr>
            <w:r>
              <w:rPr>
                <w:rFonts w:ascii="Times New Roman" w:cs="Times New Roman"/>
              </w:rPr>
              <w:t>b/t</w:t>
            </w:r>
          </w:p>
          <w:p>
            <w:pPr>
              <w:pStyle w:val="203"/>
              <w:jc w:val="left"/>
              <w:rPr>
                <w:rFonts w:ascii="Times New Roman" w:cs="Times New Roman"/>
              </w:rPr>
            </w:pPr>
            <w:r>
              <w:rPr>
                <w:rFonts w:ascii="Times New Roman" w:cs="Times New Roman"/>
              </w:rPr>
              <w:t>L</w:t>
            </w:r>
          </w:p>
        </w:tc>
        <w:tc>
          <w:tcPr>
            <w:tcW w:w="1065" w:type="dxa"/>
            <w:vAlign w:val="center"/>
          </w:tcPr>
          <w:p>
            <w:pPr>
              <w:pStyle w:val="203"/>
              <w:rPr>
                <w:rFonts w:ascii="Times New Roman" w:cs="Times New Roman"/>
              </w:rPr>
            </w:pPr>
            <w:r>
              <w:rPr>
                <w:rFonts w:ascii="Times New Roman" w:cs="Times New Roman"/>
              </w:rPr>
              <w:t>20</w:t>
            </w:r>
          </w:p>
        </w:tc>
        <w:tc>
          <w:tcPr>
            <w:tcW w:w="1065" w:type="dxa"/>
            <w:vAlign w:val="center"/>
          </w:tcPr>
          <w:p>
            <w:pPr>
              <w:pStyle w:val="203"/>
              <w:rPr>
                <w:rFonts w:ascii="Times New Roman" w:cs="Times New Roman"/>
              </w:rPr>
            </w:pPr>
            <w:r>
              <w:rPr>
                <w:rFonts w:ascii="Times New Roman" w:cs="Times New Roman"/>
              </w:rPr>
              <w:t>25</w:t>
            </w:r>
          </w:p>
        </w:tc>
        <w:tc>
          <w:tcPr>
            <w:tcW w:w="1065" w:type="dxa"/>
            <w:vAlign w:val="center"/>
          </w:tcPr>
          <w:p>
            <w:pPr>
              <w:pStyle w:val="203"/>
              <w:rPr>
                <w:rFonts w:ascii="Times New Roman" w:cs="Times New Roman"/>
              </w:rPr>
            </w:pPr>
            <w:r>
              <w:rPr>
                <w:rFonts w:ascii="Times New Roman" w:cs="Times New Roman"/>
              </w:rPr>
              <w:t>30</w:t>
            </w:r>
          </w:p>
        </w:tc>
        <w:tc>
          <w:tcPr>
            <w:tcW w:w="1065" w:type="dxa"/>
            <w:vAlign w:val="center"/>
          </w:tcPr>
          <w:p>
            <w:pPr>
              <w:pStyle w:val="203"/>
              <w:rPr>
                <w:rFonts w:ascii="Times New Roman" w:cs="Times New Roman"/>
              </w:rPr>
            </w:pPr>
            <w:r>
              <w:rPr>
                <w:rFonts w:ascii="Times New Roman" w:cs="Times New Roman"/>
              </w:rPr>
              <w:t>35</w:t>
            </w:r>
          </w:p>
        </w:tc>
        <w:tc>
          <w:tcPr>
            <w:tcW w:w="1065" w:type="dxa"/>
            <w:vAlign w:val="center"/>
          </w:tcPr>
          <w:p>
            <w:pPr>
              <w:pStyle w:val="203"/>
              <w:rPr>
                <w:rFonts w:ascii="Times New Roman" w:cs="Times New Roman"/>
              </w:rPr>
            </w:pPr>
            <w:r>
              <w:rPr>
                <w:rFonts w:ascii="Times New Roman" w:cs="Times New Roman"/>
              </w:rPr>
              <w:t>40</w:t>
            </w:r>
          </w:p>
        </w:tc>
        <w:tc>
          <w:tcPr>
            <w:tcW w:w="1066" w:type="dxa"/>
            <w:vAlign w:val="center"/>
          </w:tcPr>
          <w:p>
            <w:pPr>
              <w:pStyle w:val="203"/>
              <w:rPr>
                <w:rFonts w:ascii="Times New Roman" w:cs="Times New Roman"/>
              </w:rPr>
            </w:pPr>
            <w:r>
              <w:rPr>
                <w:rFonts w:ascii="Times New Roman" w:cs="Times New Roman"/>
              </w:rPr>
              <w:t>45</w:t>
            </w:r>
          </w:p>
        </w:tc>
        <w:tc>
          <w:tcPr>
            <w:tcW w:w="1066" w:type="dxa"/>
            <w:vAlign w:val="center"/>
          </w:tcPr>
          <w:p>
            <w:pPr>
              <w:pStyle w:val="203"/>
              <w:rPr>
                <w:rFonts w:ascii="Times New Roman" w:cs="Times New Roman"/>
              </w:rPr>
            </w:pPr>
            <w:r>
              <w:rPr>
                <w:rFonts w:ascii="Times New Roman" w:cs="Times New Roma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1000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0.840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0.838</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0.832</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0.830</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1250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0.832</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0.828</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0.824</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0.822</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1500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0.819</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0.815</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0.812</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1750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0.808</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0.804</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0.801</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2000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0.802</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0.799</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0.792</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0.789</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2250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0.785</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0.782</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0.778</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0.775</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2500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0.779</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0.765</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0.762</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0.759</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2750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0.748</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0.745</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0.742</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3000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0.755</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0.737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0.733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0.730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0.727</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0.724</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3250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0.719</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0.708</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0.705</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3500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0.731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0.694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0.691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0.688</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0.685</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3750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0.719</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0.680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0.673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0.670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0.667</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0.664</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4000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0.706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0.659</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0.651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0.648</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0.645</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0.642</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0.640</w:t>
            </w:r>
          </w:p>
        </w:tc>
      </w:tr>
    </w:tbl>
    <w:p>
      <w:pPr>
        <w:pStyle w:val="203"/>
        <w:rPr>
          <w:rFonts w:ascii="Times New Roman" w:cs="Times New Roman"/>
        </w:rPr>
      </w:pPr>
    </w:p>
    <w:p>
      <w:pPr>
        <w:pStyle w:val="202"/>
        <w:rPr>
          <w:rFonts w:cs="Times New Roman"/>
        </w:rPr>
      </w:pPr>
      <w:r>
        <w:rPr>
          <w:rFonts w:cs="Times New Roman"/>
        </w:rPr>
        <w:drawing>
          <wp:inline distT="0" distB="0" distL="0" distR="0">
            <wp:extent cx="3418840" cy="143954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4"/>
                    <a:stretch>
                      <a:fillRect/>
                    </a:stretch>
                  </pic:blipFill>
                  <pic:spPr>
                    <a:xfrm>
                      <a:off x="0" y="0"/>
                      <a:ext cx="3418961" cy="1440000"/>
                    </a:xfrm>
                    <a:prstGeom prst="rect">
                      <a:avLst/>
                    </a:prstGeom>
                  </pic:spPr>
                </pic:pic>
              </a:graphicData>
            </a:graphic>
          </wp:inline>
        </w:drawing>
      </w:r>
    </w:p>
    <w:p>
      <w:pPr>
        <w:pStyle w:val="202"/>
        <w:rPr>
          <w:rFonts w:cs="Times New Roman"/>
        </w:rPr>
      </w:pPr>
      <w:r>
        <w:rPr>
          <w:rFonts w:cs="Times New Roman"/>
        </w:rPr>
        <w:t>图B.0.1-2开口铝合金柱—B类截面</w:t>
      </w:r>
    </w:p>
    <w:p>
      <w:pPr>
        <w:pStyle w:val="202"/>
        <w:rPr>
          <w:rFonts w:cs="Times New Roman"/>
        </w:rPr>
      </w:pPr>
      <w:r>
        <w:rPr>
          <w:rFonts w:cs="Times New Roman"/>
        </w:rPr>
        <w:t>表B.0.1-2开口铝合金立柱强度折减系数—B类截面</w: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065" w:type="dxa"/>
            <w:tcBorders>
              <w:tl2br w:val="single" w:color="000000" w:sz="4" w:space="0"/>
            </w:tcBorders>
            <w:vAlign w:val="center"/>
          </w:tcPr>
          <w:p>
            <w:pPr>
              <w:pStyle w:val="203"/>
              <w:jc w:val="right"/>
              <w:rPr>
                <w:rFonts w:ascii="Times New Roman" w:cs="Times New Roman"/>
              </w:rPr>
            </w:pPr>
            <w:r>
              <w:rPr>
                <w:rFonts w:ascii="Times New Roman" w:cs="Times New Roman"/>
              </w:rPr>
              <w:t>b/t</w:t>
            </w:r>
          </w:p>
          <w:p>
            <w:pPr>
              <w:pStyle w:val="203"/>
              <w:jc w:val="left"/>
              <w:rPr>
                <w:rFonts w:ascii="Times New Roman" w:cs="Times New Roman"/>
              </w:rPr>
            </w:pPr>
            <w:r>
              <w:rPr>
                <w:rFonts w:ascii="Times New Roman" w:cs="Times New Roman"/>
              </w:rPr>
              <w:t>L</w:t>
            </w:r>
          </w:p>
        </w:tc>
        <w:tc>
          <w:tcPr>
            <w:tcW w:w="1065" w:type="dxa"/>
            <w:vAlign w:val="center"/>
          </w:tcPr>
          <w:p>
            <w:pPr>
              <w:pStyle w:val="203"/>
              <w:rPr>
                <w:rFonts w:ascii="Times New Roman" w:cs="Times New Roman"/>
              </w:rPr>
            </w:pPr>
            <w:r>
              <w:rPr>
                <w:rFonts w:ascii="Times New Roman" w:cs="Times New Roman"/>
              </w:rPr>
              <w:t>20</w:t>
            </w:r>
          </w:p>
        </w:tc>
        <w:tc>
          <w:tcPr>
            <w:tcW w:w="1065" w:type="dxa"/>
            <w:vAlign w:val="center"/>
          </w:tcPr>
          <w:p>
            <w:pPr>
              <w:pStyle w:val="203"/>
              <w:rPr>
                <w:rFonts w:ascii="Times New Roman" w:cs="Times New Roman"/>
              </w:rPr>
            </w:pPr>
            <w:r>
              <w:rPr>
                <w:rFonts w:ascii="Times New Roman" w:cs="Times New Roman"/>
              </w:rPr>
              <w:t>25</w:t>
            </w:r>
          </w:p>
        </w:tc>
        <w:tc>
          <w:tcPr>
            <w:tcW w:w="1065" w:type="dxa"/>
            <w:vAlign w:val="center"/>
          </w:tcPr>
          <w:p>
            <w:pPr>
              <w:pStyle w:val="203"/>
              <w:rPr>
                <w:rFonts w:ascii="Times New Roman" w:cs="Times New Roman"/>
              </w:rPr>
            </w:pPr>
            <w:r>
              <w:rPr>
                <w:rFonts w:ascii="Times New Roman" w:cs="Times New Roman"/>
              </w:rPr>
              <w:t>30</w:t>
            </w:r>
          </w:p>
        </w:tc>
        <w:tc>
          <w:tcPr>
            <w:tcW w:w="1065" w:type="dxa"/>
            <w:vAlign w:val="center"/>
          </w:tcPr>
          <w:p>
            <w:pPr>
              <w:pStyle w:val="203"/>
              <w:rPr>
                <w:rFonts w:ascii="Times New Roman" w:cs="Times New Roman"/>
              </w:rPr>
            </w:pPr>
            <w:r>
              <w:rPr>
                <w:rFonts w:ascii="Times New Roman" w:cs="Times New Roman"/>
              </w:rPr>
              <w:t>35</w:t>
            </w:r>
          </w:p>
        </w:tc>
        <w:tc>
          <w:tcPr>
            <w:tcW w:w="1065" w:type="dxa"/>
            <w:vAlign w:val="center"/>
          </w:tcPr>
          <w:p>
            <w:pPr>
              <w:pStyle w:val="203"/>
              <w:rPr>
                <w:rFonts w:ascii="Times New Roman" w:cs="Times New Roman"/>
              </w:rPr>
            </w:pPr>
            <w:r>
              <w:rPr>
                <w:rFonts w:ascii="Times New Roman" w:cs="Times New Roman"/>
              </w:rPr>
              <w:t>40</w:t>
            </w:r>
          </w:p>
        </w:tc>
        <w:tc>
          <w:tcPr>
            <w:tcW w:w="1066" w:type="dxa"/>
            <w:vAlign w:val="center"/>
          </w:tcPr>
          <w:p>
            <w:pPr>
              <w:pStyle w:val="203"/>
              <w:rPr>
                <w:rFonts w:ascii="Times New Roman" w:cs="Times New Roman"/>
              </w:rPr>
            </w:pPr>
            <w:r>
              <w:rPr>
                <w:rFonts w:ascii="Times New Roman" w:cs="Times New Roman"/>
              </w:rPr>
              <w:t>45</w:t>
            </w:r>
          </w:p>
        </w:tc>
        <w:tc>
          <w:tcPr>
            <w:tcW w:w="1066" w:type="dxa"/>
            <w:vAlign w:val="center"/>
          </w:tcPr>
          <w:p>
            <w:pPr>
              <w:pStyle w:val="203"/>
              <w:rPr>
                <w:rFonts w:ascii="Times New Roman" w:cs="Times New Roman"/>
              </w:rPr>
            </w:pPr>
            <w:r>
              <w:rPr>
                <w:rFonts w:ascii="Times New Roman" w:cs="Times New Roma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1000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0.843</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0.839</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0.836</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0.833</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0.830</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0.827</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1250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0.836</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0.831</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0.828</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0.825</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0.822</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0.819</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1500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0.828</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0.822</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0.819</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0.816</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0.813</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0.810</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1750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0.819</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0.812</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0.809</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0.806</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0.803</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0.800</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2000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0.810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0.801</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0.797</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0.794</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0.791</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0.788</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2250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0.800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0.789</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0.785</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0.781</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0.778</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0.775</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2500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0.789</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0.776</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0.771</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0.767</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0.764</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0.761</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2750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0.778</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0.762</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0.756</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0.752</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0.749</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0.746</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3000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0.767</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0.747</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0.740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0.736</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0.733</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0.730</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3250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0.756</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0.731</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0.723</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0.719</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0.716</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0.713</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3500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0.745</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0.714</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0.705</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0.701</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0.698</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0.695</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3750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0.734</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0.696</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0.686</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0.682</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0.679</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0.676</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4000</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0.722</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0.677</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0.666</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0.662</w:t>
            </w:r>
          </w:p>
        </w:tc>
        <w:tc>
          <w:tcPr>
            <w:tcW w:w="1065"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0.659</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0.656</w:t>
            </w:r>
          </w:p>
        </w:tc>
        <w:tc>
          <w:tcPr>
            <w:tcW w:w="1066" w:type="dxa"/>
            <w:vAlign w:val="center"/>
          </w:tcPr>
          <w:p>
            <w:pPr>
              <w:jc w:val="center"/>
              <w:rPr>
                <w:rFonts w:ascii="Times New Roman" w:hAnsi="Times New Roman" w:cs="Times New Roman"/>
                <w:sz w:val="21"/>
                <w:szCs w:val="21"/>
              </w:rPr>
            </w:pPr>
            <w:r>
              <w:rPr>
                <w:rFonts w:ascii="Times New Roman" w:hAnsi="Times New Roman" w:cs="Times New Roman"/>
                <w:sz w:val="21"/>
                <w:szCs w:val="21"/>
              </w:rPr>
              <w:t>0.653</w:t>
            </w:r>
          </w:p>
        </w:tc>
      </w:tr>
    </w:tbl>
    <w:p>
      <w:pPr>
        <w:pStyle w:val="203"/>
        <w:rPr>
          <w:rFonts w:ascii="Times New Roman" w:cs="Times New Roman"/>
        </w:rPr>
      </w:pPr>
      <w:r>
        <w:rPr>
          <w:rFonts w:ascii="Times New Roman" w:cs="Times New Roman"/>
        </w:rPr>
        <w:drawing>
          <wp:inline distT="0" distB="0" distL="0" distR="0">
            <wp:extent cx="889000" cy="1619885"/>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5"/>
                    <a:stretch>
                      <a:fillRect/>
                    </a:stretch>
                  </pic:blipFill>
                  <pic:spPr>
                    <a:xfrm>
                      <a:off x="0" y="0"/>
                      <a:ext cx="889025" cy="1620000"/>
                    </a:xfrm>
                    <a:prstGeom prst="rect">
                      <a:avLst/>
                    </a:prstGeom>
                  </pic:spPr>
                </pic:pic>
              </a:graphicData>
            </a:graphic>
          </wp:inline>
        </w:drawing>
      </w:r>
    </w:p>
    <w:p>
      <w:pPr>
        <w:pStyle w:val="202"/>
        <w:rPr>
          <w:rFonts w:cs="Times New Roman"/>
        </w:rPr>
      </w:pPr>
      <w:r>
        <w:rPr>
          <w:rFonts w:cs="Times New Roman"/>
        </w:rPr>
        <w:t>图B.0.1-3开口铝合金柱—C类截面</w:t>
      </w:r>
    </w:p>
    <w:p>
      <w:pPr>
        <w:pStyle w:val="202"/>
        <w:rPr>
          <w:rFonts w:cs="Times New Roman"/>
          <w:b w:val="0"/>
        </w:rPr>
      </w:pPr>
      <w:r>
        <w:rPr>
          <w:rFonts w:cs="Times New Roman"/>
          <w:b w:val="0"/>
        </w:rPr>
        <w:t>1—铝型材</w:t>
      </w:r>
    </w:p>
    <w:p>
      <w:pPr>
        <w:pStyle w:val="202"/>
        <w:rPr>
          <w:rFonts w:cs="Times New Roman"/>
        </w:rPr>
      </w:pPr>
      <w:r>
        <w:rPr>
          <w:rFonts w:cs="Times New Roman"/>
        </w:rPr>
        <w:t>表B.0.1-3开口铝合金立柱强度折减系数—C类截面</w: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1065" w:type="dxa"/>
            <w:tcBorders>
              <w:tl2br w:val="single" w:color="000000" w:sz="4" w:space="0"/>
            </w:tcBorders>
            <w:vAlign w:val="center"/>
          </w:tcPr>
          <w:p>
            <w:pPr>
              <w:pStyle w:val="203"/>
              <w:jc w:val="right"/>
              <w:rPr>
                <w:rFonts w:ascii="Times New Roman" w:cs="Times New Roman"/>
              </w:rPr>
            </w:pPr>
            <w:r>
              <w:rPr>
                <w:rFonts w:ascii="Times New Roman" w:cs="Times New Roman"/>
              </w:rPr>
              <w:t>b/t</w:t>
            </w:r>
          </w:p>
          <w:p>
            <w:pPr>
              <w:pStyle w:val="203"/>
              <w:jc w:val="left"/>
              <w:rPr>
                <w:rFonts w:ascii="Times New Roman" w:cs="Times New Roman"/>
              </w:rPr>
            </w:pPr>
            <w:r>
              <w:rPr>
                <w:rFonts w:ascii="Times New Roman" w:cs="Times New Roman"/>
              </w:rPr>
              <w:t>L</w:t>
            </w:r>
          </w:p>
        </w:tc>
        <w:tc>
          <w:tcPr>
            <w:tcW w:w="1065" w:type="dxa"/>
            <w:vAlign w:val="center"/>
          </w:tcPr>
          <w:p>
            <w:pPr>
              <w:pStyle w:val="203"/>
              <w:rPr>
                <w:rFonts w:ascii="Times New Roman" w:cs="Times New Roman"/>
              </w:rPr>
            </w:pPr>
            <w:r>
              <w:rPr>
                <w:rFonts w:ascii="Times New Roman" w:cs="Times New Roman"/>
              </w:rPr>
              <w:t>20</w:t>
            </w:r>
          </w:p>
        </w:tc>
        <w:tc>
          <w:tcPr>
            <w:tcW w:w="1065" w:type="dxa"/>
            <w:vAlign w:val="center"/>
          </w:tcPr>
          <w:p>
            <w:pPr>
              <w:pStyle w:val="203"/>
              <w:rPr>
                <w:rFonts w:ascii="Times New Roman" w:cs="Times New Roman"/>
              </w:rPr>
            </w:pPr>
            <w:r>
              <w:rPr>
                <w:rFonts w:ascii="Times New Roman" w:cs="Times New Roman"/>
              </w:rPr>
              <w:t>25</w:t>
            </w:r>
          </w:p>
        </w:tc>
        <w:tc>
          <w:tcPr>
            <w:tcW w:w="1065" w:type="dxa"/>
            <w:vAlign w:val="center"/>
          </w:tcPr>
          <w:p>
            <w:pPr>
              <w:pStyle w:val="203"/>
              <w:rPr>
                <w:rFonts w:ascii="Times New Roman" w:cs="Times New Roman"/>
              </w:rPr>
            </w:pPr>
            <w:r>
              <w:rPr>
                <w:rFonts w:ascii="Times New Roman" w:cs="Times New Roman"/>
              </w:rPr>
              <w:t>30</w:t>
            </w:r>
          </w:p>
        </w:tc>
        <w:tc>
          <w:tcPr>
            <w:tcW w:w="1065" w:type="dxa"/>
            <w:vAlign w:val="center"/>
          </w:tcPr>
          <w:p>
            <w:pPr>
              <w:pStyle w:val="203"/>
              <w:rPr>
                <w:rFonts w:ascii="Times New Roman" w:cs="Times New Roman"/>
              </w:rPr>
            </w:pPr>
            <w:r>
              <w:rPr>
                <w:rFonts w:ascii="Times New Roman" w:cs="Times New Roman"/>
              </w:rPr>
              <w:t>35</w:t>
            </w:r>
          </w:p>
        </w:tc>
        <w:tc>
          <w:tcPr>
            <w:tcW w:w="1065" w:type="dxa"/>
            <w:vAlign w:val="center"/>
          </w:tcPr>
          <w:p>
            <w:pPr>
              <w:pStyle w:val="203"/>
              <w:rPr>
                <w:rFonts w:ascii="Times New Roman" w:cs="Times New Roman"/>
              </w:rPr>
            </w:pPr>
            <w:r>
              <w:rPr>
                <w:rFonts w:ascii="Times New Roman" w:cs="Times New Roman"/>
              </w:rPr>
              <w:t>40</w:t>
            </w:r>
          </w:p>
        </w:tc>
        <w:tc>
          <w:tcPr>
            <w:tcW w:w="1066" w:type="dxa"/>
            <w:vAlign w:val="center"/>
          </w:tcPr>
          <w:p>
            <w:pPr>
              <w:pStyle w:val="203"/>
              <w:rPr>
                <w:rFonts w:ascii="Times New Roman" w:cs="Times New Roman"/>
              </w:rPr>
            </w:pPr>
            <w:r>
              <w:rPr>
                <w:rFonts w:ascii="Times New Roman" w:cs="Times New Roman"/>
              </w:rPr>
              <w:t>45</w:t>
            </w:r>
          </w:p>
        </w:tc>
        <w:tc>
          <w:tcPr>
            <w:tcW w:w="1066" w:type="dxa"/>
            <w:vAlign w:val="center"/>
          </w:tcPr>
          <w:p>
            <w:pPr>
              <w:pStyle w:val="203"/>
              <w:rPr>
                <w:rFonts w:ascii="Times New Roman" w:cs="Times New Roman"/>
              </w:rPr>
            </w:pPr>
            <w:r>
              <w:rPr>
                <w:rFonts w:ascii="Times New Roman" w:cs="Times New Roma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1000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0.844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0.842</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0.840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0.838</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0.836</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0.834</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1250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0.832</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0.828</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0.826</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0.823</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1500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0.830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0.822</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0.819</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0.814</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0.811</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1750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0.822</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0.808</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0.805</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0.801</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0.798</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2000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0.799</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0.795</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0.787</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0.784</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2250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0.805</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0.772</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0.769</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2500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0.772</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0.756</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0.753</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2750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0.758</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0.745</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0.740</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0.736</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3000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0.734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0.728</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0.723</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0.718</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3250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0.729</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0.705</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0.699</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3500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0.699</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0.692</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0.686</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0.680</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3750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0.699</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0.681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0.673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0.666</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0.660</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4000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0.737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0.684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0.663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0.652</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0.645</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0.639</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0.635</w:t>
            </w:r>
          </w:p>
        </w:tc>
      </w:tr>
    </w:tbl>
    <w:p>
      <w:pPr>
        <w:pStyle w:val="203"/>
        <w:rPr>
          <w:rFonts w:ascii="Times New Roman" w:cs="Times New Roman"/>
        </w:rPr>
      </w:pPr>
      <w:r>
        <w:rPr>
          <w:rFonts w:ascii="Times New Roman" w:cs="Times New Roman"/>
        </w:rPr>
        <w:drawing>
          <wp:inline distT="0" distB="0" distL="0" distR="0">
            <wp:extent cx="1000760" cy="179959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6"/>
                    <a:stretch>
                      <a:fillRect/>
                    </a:stretch>
                  </pic:blipFill>
                  <pic:spPr>
                    <a:xfrm>
                      <a:off x="0" y="0"/>
                      <a:ext cx="1001216" cy="1800000"/>
                    </a:xfrm>
                    <a:prstGeom prst="rect">
                      <a:avLst/>
                    </a:prstGeom>
                  </pic:spPr>
                </pic:pic>
              </a:graphicData>
            </a:graphic>
          </wp:inline>
        </w:drawing>
      </w:r>
    </w:p>
    <w:p>
      <w:pPr>
        <w:pStyle w:val="202"/>
        <w:rPr>
          <w:rFonts w:cs="Times New Roman"/>
        </w:rPr>
      </w:pPr>
      <w:r>
        <w:rPr>
          <w:rFonts w:cs="Times New Roman"/>
        </w:rPr>
        <w:t>图B.0.1-4开口铝合金柱—D类截面</w:t>
      </w:r>
    </w:p>
    <w:p>
      <w:pPr>
        <w:pStyle w:val="202"/>
        <w:rPr>
          <w:rFonts w:cs="Times New Roman"/>
          <w:b w:val="0"/>
        </w:rPr>
      </w:pPr>
      <w:r>
        <w:rPr>
          <w:rFonts w:cs="Times New Roman"/>
          <w:b w:val="0"/>
        </w:rPr>
        <w:t>1—铝型材；2—EPDM密封条</w:t>
      </w:r>
    </w:p>
    <w:p>
      <w:pPr>
        <w:pStyle w:val="202"/>
        <w:rPr>
          <w:rFonts w:cs="Times New Roman"/>
        </w:rPr>
      </w:pPr>
      <w:r>
        <w:rPr>
          <w:rFonts w:cs="Times New Roman"/>
        </w:rPr>
        <w:t>表B.0.1-4开口铝合金立柱强度折减系数—D类截面</w:t>
      </w:r>
    </w:p>
    <w:tbl>
      <w:tblPr>
        <w:tblStyle w:val="3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blHeader/>
        </w:trPr>
        <w:tc>
          <w:tcPr>
            <w:tcW w:w="1065" w:type="dxa"/>
            <w:tcBorders>
              <w:tl2br w:val="single" w:color="000000" w:sz="4" w:space="0"/>
            </w:tcBorders>
            <w:vAlign w:val="center"/>
          </w:tcPr>
          <w:p>
            <w:pPr>
              <w:pStyle w:val="203"/>
              <w:jc w:val="right"/>
              <w:rPr>
                <w:rFonts w:ascii="Times New Roman" w:cs="Times New Roman"/>
              </w:rPr>
            </w:pPr>
            <w:r>
              <w:rPr>
                <w:rFonts w:ascii="Times New Roman" w:cs="Times New Roman"/>
              </w:rPr>
              <w:t>b/t</w:t>
            </w:r>
          </w:p>
          <w:p>
            <w:pPr>
              <w:pStyle w:val="203"/>
              <w:jc w:val="left"/>
              <w:rPr>
                <w:rFonts w:ascii="Times New Roman" w:cs="Times New Roman"/>
              </w:rPr>
            </w:pPr>
            <w:r>
              <w:rPr>
                <w:rFonts w:ascii="Times New Roman" w:cs="Times New Roman"/>
              </w:rPr>
              <w:t>L</w:t>
            </w:r>
          </w:p>
        </w:tc>
        <w:tc>
          <w:tcPr>
            <w:tcW w:w="1065" w:type="dxa"/>
            <w:vAlign w:val="center"/>
          </w:tcPr>
          <w:p>
            <w:pPr>
              <w:pStyle w:val="203"/>
              <w:rPr>
                <w:rFonts w:ascii="Times New Roman" w:cs="Times New Roman"/>
              </w:rPr>
            </w:pPr>
            <w:r>
              <w:rPr>
                <w:rFonts w:ascii="Times New Roman" w:cs="Times New Roman"/>
              </w:rPr>
              <w:t>20</w:t>
            </w:r>
          </w:p>
        </w:tc>
        <w:tc>
          <w:tcPr>
            <w:tcW w:w="1065" w:type="dxa"/>
            <w:vAlign w:val="center"/>
          </w:tcPr>
          <w:p>
            <w:pPr>
              <w:pStyle w:val="203"/>
              <w:rPr>
                <w:rFonts w:ascii="Times New Roman" w:cs="Times New Roman"/>
              </w:rPr>
            </w:pPr>
            <w:r>
              <w:rPr>
                <w:rFonts w:ascii="Times New Roman" w:cs="Times New Roman"/>
              </w:rPr>
              <w:t>25</w:t>
            </w:r>
          </w:p>
        </w:tc>
        <w:tc>
          <w:tcPr>
            <w:tcW w:w="1065" w:type="dxa"/>
            <w:vAlign w:val="center"/>
          </w:tcPr>
          <w:p>
            <w:pPr>
              <w:pStyle w:val="203"/>
              <w:rPr>
                <w:rFonts w:ascii="Times New Roman" w:cs="Times New Roman"/>
              </w:rPr>
            </w:pPr>
            <w:r>
              <w:rPr>
                <w:rFonts w:ascii="Times New Roman" w:cs="Times New Roman"/>
              </w:rPr>
              <w:t>30</w:t>
            </w:r>
          </w:p>
        </w:tc>
        <w:tc>
          <w:tcPr>
            <w:tcW w:w="1065" w:type="dxa"/>
            <w:vAlign w:val="center"/>
          </w:tcPr>
          <w:p>
            <w:pPr>
              <w:pStyle w:val="203"/>
              <w:rPr>
                <w:rFonts w:ascii="Times New Roman" w:cs="Times New Roman"/>
              </w:rPr>
            </w:pPr>
            <w:r>
              <w:rPr>
                <w:rFonts w:ascii="Times New Roman" w:cs="Times New Roman"/>
              </w:rPr>
              <w:t>35</w:t>
            </w:r>
          </w:p>
        </w:tc>
        <w:tc>
          <w:tcPr>
            <w:tcW w:w="1065" w:type="dxa"/>
            <w:vAlign w:val="center"/>
          </w:tcPr>
          <w:p>
            <w:pPr>
              <w:pStyle w:val="203"/>
              <w:rPr>
                <w:rFonts w:ascii="Times New Roman" w:cs="Times New Roman"/>
              </w:rPr>
            </w:pPr>
            <w:r>
              <w:rPr>
                <w:rFonts w:ascii="Times New Roman" w:cs="Times New Roman"/>
              </w:rPr>
              <w:t>40</w:t>
            </w:r>
          </w:p>
        </w:tc>
        <w:tc>
          <w:tcPr>
            <w:tcW w:w="1066" w:type="dxa"/>
            <w:vAlign w:val="center"/>
          </w:tcPr>
          <w:p>
            <w:pPr>
              <w:pStyle w:val="203"/>
              <w:rPr>
                <w:rFonts w:ascii="Times New Roman" w:cs="Times New Roman"/>
              </w:rPr>
            </w:pPr>
            <w:r>
              <w:rPr>
                <w:rFonts w:ascii="Times New Roman" w:cs="Times New Roman"/>
              </w:rPr>
              <w:t>45</w:t>
            </w:r>
          </w:p>
        </w:tc>
        <w:tc>
          <w:tcPr>
            <w:tcW w:w="1066" w:type="dxa"/>
            <w:vAlign w:val="center"/>
          </w:tcPr>
          <w:p>
            <w:pPr>
              <w:pStyle w:val="203"/>
              <w:rPr>
                <w:rFonts w:ascii="Times New Roman" w:cs="Times New Roman"/>
              </w:rPr>
            </w:pPr>
            <w:r>
              <w:rPr>
                <w:rFonts w:ascii="Times New Roman" w:cs="Times New Roma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1000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0.809</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0.807</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0.805</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1250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0.810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0.798</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0.796</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1500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0.803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0.788</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0.786</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1750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0.795</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0.782</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0.777</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0.775</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2000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0.786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0.768</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0.765</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0.763</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2250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0.776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0.755</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0.752</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0.751</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2500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0.766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0.739</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0.738</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2750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0.756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0.733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0.728</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0.726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0.725</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0.724</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3000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0.746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0.718</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0.710</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0.709</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3250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0.735</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0.703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0.697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0.694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0.693</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0.692</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3500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0.724</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0.687</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0.680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0.675</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0.674</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0.673</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3750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0.713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0.671</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0.662</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0.656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0.654</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0.652</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65" w:type="dxa"/>
            <w:vAlign w:val="center"/>
          </w:tcPr>
          <w:p>
            <w:pPr>
              <w:pStyle w:val="203"/>
              <w:rPr>
                <w:rFonts w:ascii="Times New Roman" w:cs="Times New Roman"/>
              </w:rPr>
            </w:pPr>
            <w:r>
              <w:rPr>
                <w:rFonts w:ascii="Times New Roman" w:cs="Times New Roman"/>
              </w:rPr>
              <w:t>4000</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0.702</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0.655</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0.643</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0.636</w:t>
            </w:r>
          </w:p>
        </w:tc>
        <w:tc>
          <w:tcPr>
            <w:tcW w:w="106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0.633</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0.630</w:t>
            </w:r>
          </w:p>
        </w:tc>
        <w:tc>
          <w:tcPr>
            <w:tcW w:w="106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0.628</w:t>
            </w:r>
          </w:p>
        </w:tc>
      </w:tr>
    </w:tbl>
    <w:p>
      <w:pPr>
        <w:pStyle w:val="188"/>
        <w:ind w:firstLine="480"/>
        <w:rPr>
          <w:rFonts w:cs="Times New Roman"/>
        </w:rPr>
      </w:pPr>
    </w:p>
    <w:p>
      <w:pPr>
        <w:pStyle w:val="200"/>
        <w:sectPr>
          <w:pgSz w:w="11906" w:h="16838"/>
          <w:pgMar w:top="1440" w:right="1800" w:bottom="1440" w:left="1800" w:header="851" w:footer="992" w:gutter="0"/>
          <w:cols w:space="720" w:num="1"/>
          <w:docGrid w:type="lines" w:linePitch="312" w:charSpace="0"/>
        </w:sectPr>
      </w:pPr>
    </w:p>
    <w:p>
      <w:pPr>
        <w:pStyle w:val="196"/>
        <w:rPr>
          <w:sz w:val="24"/>
          <w:szCs w:val="24"/>
        </w:rPr>
      </w:pPr>
      <w:bookmarkStart w:id="80" w:name="_Toc162996242"/>
      <w:r>
        <w:rPr>
          <w:sz w:val="24"/>
          <w:szCs w:val="24"/>
        </w:rPr>
        <w:t>附录C 面内受弯构件屈曲临界弯矩计算方法</w:t>
      </w:r>
      <w:bookmarkEnd w:id="80"/>
    </w:p>
    <w:p>
      <w:pPr>
        <w:pStyle w:val="200"/>
      </w:pPr>
      <w:r>
        <w:rPr>
          <w:b/>
        </w:rPr>
        <w:t>C.0.1</w:t>
      </w:r>
      <w:r>
        <w:t>对于面内受弯构件</w:t>
      </w:r>
      <w:r>
        <w:rPr>
          <w:rFonts w:hint="eastAsia"/>
          <w:lang w:eastAsia="zh-CN"/>
        </w:rPr>
        <w:t>（</w:t>
      </w:r>
      <w:r>
        <w:t>图C.0.1)，其屈曲临界弯矩可按下式计算：</w:t>
      </w:r>
    </w:p>
    <w:p>
      <w:pPr>
        <w:pStyle w:val="202"/>
        <w:rPr>
          <w:rFonts w:cs="Times New Roman"/>
        </w:rPr>
      </w:pPr>
      <w:r>
        <w:rPr>
          <w:rFonts w:cs="Times New Roman"/>
        </w:rPr>
        <w:drawing>
          <wp:inline distT="0" distB="0" distL="0" distR="0">
            <wp:extent cx="2446655" cy="21596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87"/>
                    <a:stretch>
                      <a:fillRect/>
                    </a:stretch>
                  </pic:blipFill>
                  <pic:spPr>
                    <a:xfrm>
                      <a:off x="0" y="0"/>
                      <a:ext cx="2446876" cy="2160000"/>
                    </a:xfrm>
                    <a:prstGeom prst="rect">
                      <a:avLst/>
                    </a:prstGeom>
                  </pic:spPr>
                </pic:pic>
              </a:graphicData>
            </a:graphic>
          </wp:inline>
        </w:drawing>
      </w:r>
    </w:p>
    <w:p>
      <w:pPr>
        <w:pStyle w:val="202"/>
        <w:rPr>
          <w:rFonts w:cs="Times New Roman"/>
        </w:rPr>
      </w:pPr>
      <w:r>
        <w:rPr>
          <w:rFonts w:cs="Times New Roman"/>
        </w:rPr>
        <w:t>图C.0.1 玻璃梁面内受力示意图</w:t>
      </w:r>
    </w:p>
    <w:p>
      <w:pPr>
        <w:pStyle w:val="202"/>
        <w:rPr>
          <w:rFonts w:cs="Times New Roman"/>
          <w:b w:val="0"/>
        </w:rPr>
      </w:pPr>
      <w:r>
        <w:rPr>
          <w:rFonts w:cs="Times New Roman"/>
          <w:b w:val="0"/>
        </w:rPr>
        <w:t>1—玻璃层； 2—中间层胶片</w:t>
      </w:r>
    </w:p>
    <w:tbl>
      <w:tblPr>
        <w:tblStyle w:val="37"/>
        <w:tblW w:w="4750" w:type="pct"/>
        <w:jc w:val="right"/>
        <w:tblLayout w:type="fixed"/>
        <w:tblCellMar>
          <w:top w:w="0" w:type="dxa"/>
          <w:left w:w="108" w:type="dxa"/>
          <w:bottom w:w="0" w:type="dxa"/>
          <w:right w:w="108" w:type="dxa"/>
        </w:tblCellMar>
      </w:tblPr>
      <w:tblGrid>
        <w:gridCol w:w="5771"/>
        <w:gridCol w:w="232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m:sty m:val="p"/>
                      </m:rPr>
                      <w:rPr>
                        <w:rFonts w:ascii="Cambria Math" w:hAnsi="Cambria Math" w:cs="Times New Roman"/>
                      </w:rPr>
                      <m:t>cr</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f>
                  <m:fPr>
                    <m:ctrlPr>
                      <w:rPr>
                        <w:rFonts w:ascii="Cambria Math" w:hAnsi="Cambria Math" w:cs="Times New Roman"/>
                        <w:i/>
                      </w:rPr>
                    </m:ctrlPr>
                  </m:fPr>
                  <m:num>
                    <m:sSup>
                      <m:sSupPr>
                        <m:ctrlPr>
                          <w:rPr>
                            <w:rFonts w:ascii="Cambria Math" w:hAnsi="Cambria Math" w:cs="Times New Roman"/>
                            <w:i/>
                          </w:rPr>
                        </m:ctrlPr>
                      </m:sSupPr>
                      <m:e>
                        <m:r>
                          <m:rPr/>
                          <w:rPr>
                            <w:rFonts w:ascii="Cambria Math" w:hAnsi="Cambria Math" w:cs="Times New Roman"/>
                          </w:rPr>
                          <m:t>π</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E</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ctrlPr>
                      <w:rPr>
                        <w:rFonts w:ascii="Cambria Math" w:hAnsi="Cambria Math" w:cs="Times New Roman"/>
                        <w:i/>
                      </w:rPr>
                    </m:ctrlPr>
                  </m:num>
                  <m:den>
                    <m:sSup>
                      <m:sSupPr>
                        <m:ctrlPr>
                          <w:rPr>
                            <w:rFonts w:ascii="Cambria Math" w:hAnsi="Cambria Math" w:cs="Times New Roman"/>
                            <w:i/>
                          </w:rPr>
                        </m:ctrlPr>
                      </m:sSupPr>
                      <m:e>
                        <m:r>
                          <m:rPr/>
                          <w:rPr>
                            <w:rFonts w:ascii="Cambria Math" w:hAnsi="Cambria Math" w:cs="Times New Roman"/>
                          </w:rPr>
                          <m:t>L</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den>
                </m:f>
                <m:d>
                  <m:dPr>
                    <m:begChr m:val="["/>
                    <m:endChr m:val="]"/>
                    <m:ctrlPr>
                      <w:rPr>
                        <w:rFonts w:ascii="Cambria Math" w:hAnsi="Cambria Math" w:cs="Times New Roman"/>
                        <w:i/>
                      </w:rPr>
                    </m:ctrlPr>
                  </m:dPr>
                  <m:e>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y</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m:t>
                    </m:r>
                    <m:rad>
                      <m:radPr>
                        <m:degHide m:val="1"/>
                        <m:ctrlPr>
                          <w:rPr>
                            <w:rFonts w:ascii="Cambria Math" w:hAnsi="Cambria Math" w:cs="Times New Roman"/>
                            <w:i/>
                          </w:rPr>
                        </m:ctrlPr>
                      </m:radPr>
                      <m:deg>
                        <m:ctrlPr>
                          <w:rPr>
                            <w:rFonts w:ascii="Cambria Math" w:hAnsi="Cambria Math" w:cs="Times New Roman"/>
                            <w:i/>
                          </w:rPr>
                        </m:ctrlPr>
                      </m:deg>
                      <m:e>
                        <m:sSup>
                          <m:sSupPr>
                            <m:ctrlPr>
                              <w:rPr>
                                <w:rFonts w:ascii="Cambria Math" w:hAnsi="Cambria Math" w:cs="Times New Roman"/>
                                <w:i/>
                              </w:rPr>
                            </m:ctrlPr>
                          </m:sSupPr>
                          <m:e>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y</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G</m:t>
                            </m:r>
                            <m:sSub>
                              <m:sSubPr>
                                <m:ctrlPr>
                                  <w:rPr>
                                    <w:rFonts w:ascii="Cambria Math" w:hAnsi="Cambria Math" w:cs="Times New Roman"/>
                                    <w:i/>
                                  </w:rPr>
                                </m:ctrlPr>
                              </m:sSubPr>
                              <m:e>
                                <m:r>
                                  <m:rPr/>
                                  <w:rPr>
                                    <w:rFonts w:ascii="Cambria Math" w:hAnsi="Cambria Math" w:cs="Times New Roman"/>
                                  </w:rPr>
                                  <m:t>J</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sSup>
                              <m:sSupPr>
                                <m:ctrlPr>
                                  <w:rPr>
                                    <w:rFonts w:ascii="Cambria Math" w:hAnsi="Cambria Math" w:cs="Times New Roman"/>
                                    <w:i/>
                                  </w:rPr>
                                </m:ctrlPr>
                              </m:sSupPr>
                              <m:e>
                                <m:r>
                                  <m:rPr/>
                                  <w:rPr>
                                    <w:rFonts w:ascii="Cambria Math" w:hAnsi="Cambria Math" w:cs="Times New Roman"/>
                                  </w:rPr>
                                  <m:t>L</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num>
                          <m:den>
                            <m:sSup>
                              <m:sSupPr>
                                <m:ctrlPr>
                                  <w:rPr>
                                    <w:rFonts w:ascii="Cambria Math" w:hAnsi="Cambria Math" w:cs="Times New Roman"/>
                                    <w:i/>
                                  </w:rPr>
                                </m:ctrlPr>
                              </m:sSupPr>
                              <m:e>
                                <m:r>
                                  <m:rPr/>
                                  <w:rPr>
                                    <w:rFonts w:ascii="Cambria Math" w:hAnsi="Cambria Math" w:cs="Times New Roman"/>
                                  </w:rPr>
                                  <m:t>π</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E</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rad>
                    <m:ctrlPr>
                      <w:rPr>
                        <w:rFonts w:ascii="Cambria Math" w:hAnsi="Cambria Math" w:cs="Times New Roman"/>
                        <w:i/>
                      </w:rPr>
                    </m:ctrlPr>
                  </m:e>
                </m:d>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（C.0.1）</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m:sty m:val="p"/>
                      </m:rPr>
                      <w:rPr>
                        <w:rFonts w:ascii="Cambria Math" w:hAnsi="Cambria Math" w:cs="Times New Roman"/>
                      </w:rPr>
                      <m:t>cr</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面内受弯构件的屈曲临界弯矩</w:t>
            </w:r>
            <w:r>
              <w:rPr>
                <w:rFonts w:hint="eastAsia"/>
                <w:lang w:eastAsia="zh-CN"/>
              </w:rPr>
              <w:t>（</w:t>
            </w:r>
            <w:r>
              <w:t>N·mm)；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系数，对于简支梁按表C.0.1取用；</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夹层玻璃截面绕弱轴的等效惯性矩</w:t>
            </w:r>
            <w:r>
              <w:rPr>
                <w:rFonts w:hint="eastAsia"/>
                <w:szCs w:val="24"/>
                <w:lang w:eastAsia="zh-CN"/>
              </w:rPr>
              <w:t>（</w:t>
            </w:r>
            <w:r>
              <w:rPr>
                <w:szCs w:val="24"/>
              </w:rPr>
              <w:t>mm</w:t>
            </w:r>
            <w:r>
              <w:rPr>
                <w:szCs w:val="24"/>
                <w:vertAlign w:val="superscript"/>
              </w:rPr>
              <w:t>4</w:t>
            </w:r>
            <w:r>
              <w:rPr>
                <w:szCs w:val="24"/>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GJ</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构件绕形心轴自由扭转刚度</w:t>
            </w:r>
            <w:r>
              <w:rPr>
                <w:rFonts w:hint="eastAsia"/>
                <w:szCs w:val="24"/>
                <w:lang w:eastAsia="zh-CN"/>
              </w:rPr>
              <w:t>（</w:t>
            </w:r>
            <w:r>
              <w:t>N·</w:t>
            </w:r>
            <w:r>
              <w:rPr>
                <w:szCs w:val="24"/>
              </w:rPr>
              <w:t>mm</w:t>
            </w:r>
            <w:r>
              <w:rPr>
                <w:szCs w:val="24"/>
                <w:vertAlign w:val="superscript"/>
              </w:rPr>
              <w:t>2</w:t>
            </w:r>
            <w:r>
              <w:rPr>
                <w:szCs w:val="24"/>
              </w:rPr>
              <w:t>)，按本规程第C.0.2条计算；</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L</m:t>
                </m:r>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夹层玻璃构件的计算跨度</w:t>
            </w:r>
            <w:r>
              <w:rPr>
                <w:rFonts w:hint="eastAsia"/>
                <w:szCs w:val="24"/>
                <w:lang w:eastAsia="zh-CN"/>
              </w:rPr>
              <w:t>（</w:t>
            </w:r>
            <w:r>
              <w:rPr>
                <w:szCs w:val="24"/>
              </w:rPr>
              <w:t>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y</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荷载在截面上的作用点与截面剪力中心间的距离，当荷载作用方向指向剪心时，</w:t>
            </w:r>
            <m:oMath>
              <m:sSub>
                <m:sSubPr>
                  <m:ctrlPr>
                    <w:rPr>
                      <w:rFonts w:ascii="Cambria Math" w:hAnsi="Cambria Math"/>
                      <w:i/>
                    </w:rPr>
                  </m:ctrlPr>
                </m:sSubPr>
                <m:e>
                  <m:r>
                    <m:rPr/>
                    <w:rPr>
                      <w:rFonts w:ascii="Cambria Math" w:hAnsi="Cambria Math"/>
                    </w:rPr>
                    <m:t>y</m:t>
                  </m:r>
                  <m:ctrlPr>
                    <w:rPr>
                      <w:rFonts w:ascii="Cambria Math" w:hAnsi="Cambria Math"/>
                      <w:i/>
                    </w:rPr>
                  </m:ctrlPr>
                </m:e>
                <m:sub>
                  <m:r>
                    <m:rPr/>
                    <w:rPr>
                      <w:rFonts w:ascii="Cambria Math" w:hAnsi="Cambria Math"/>
                    </w:rPr>
                    <m:t>1</m:t>
                  </m:r>
                  <m:ctrlPr>
                    <w:rPr>
                      <w:rFonts w:ascii="Cambria Math" w:hAnsi="Cambria Math"/>
                      <w:i/>
                    </w:rPr>
                  </m:ctrlPr>
                </m:sub>
              </m:sSub>
            </m:oMath>
            <w:r>
              <w:t>取负值，当荷载作用方向背离剪心时，</w:t>
            </w:r>
            <m:oMath>
              <m:sSub>
                <m:sSubPr>
                  <m:ctrlPr>
                    <w:rPr>
                      <w:rFonts w:ascii="Cambria Math" w:hAnsi="Cambria Math"/>
                      <w:i/>
                    </w:rPr>
                  </m:ctrlPr>
                </m:sSubPr>
                <m:e>
                  <m:r>
                    <m:rPr/>
                    <w:rPr>
                      <w:rFonts w:ascii="Cambria Math" w:hAnsi="Cambria Math"/>
                    </w:rPr>
                    <m:t>y</m:t>
                  </m:r>
                  <m:ctrlPr>
                    <w:rPr>
                      <w:rFonts w:ascii="Cambria Math" w:hAnsi="Cambria Math"/>
                      <w:i/>
                    </w:rPr>
                  </m:ctrlPr>
                </m:e>
                <m:sub>
                  <m:r>
                    <m:rPr/>
                    <w:rPr>
                      <w:rFonts w:ascii="Cambria Math" w:hAnsi="Cambria Math"/>
                    </w:rPr>
                    <m:t>1</m:t>
                  </m:r>
                  <m:ctrlPr>
                    <w:rPr>
                      <w:rFonts w:ascii="Cambria Math" w:hAnsi="Cambria Math"/>
                      <w:i/>
                    </w:rPr>
                  </m:ctrlPr>
                </m:sub>
              </m:sSub>
            </m:oMath>
            <w:r>
              <w:t>取正值；</w:t>
            </w:r>
          </w:p>
        </w:tc>
      </w:tr>
    </w:tbl>
    <w:p>
      <w:pPr>
        <w:pStyle w:val="202"/>
        <w:rPr>
          <w:rFonts w:cs="Times New Roman"/>
        </w:rPr>
      </w:pPr>
      <w:r>
        <w:rPr>
          <w:rFonts w:cs="Times New Roman"/>
        </w:rPr>
        <w:t>表C.0.1不同荷载类型的</w:t>
      </w:r>
      <m:oMath>
        <m:sSub>
          <m:sSubPr>
            <m:ctrlPr>
              <w:rPr>
                <w:rFonts w:ascii="Cambria Math" w:hAnsi="Cambria Math" w:cs="Times New Roman"/>
                <w:i/>
              </w:rPr>
            </m:ctrlPr>
          </m:sSubPr>
          <m:e>
            <m:r>
              <m:rPr>
                <m:sty m:val="bi"/>
              </m:rPr>
              <w:rPr>
                <w:rFonts w:ascii="Cambria Math" w:hAnsi="Cambria Math" w:cs="Times New Roman"/>
              </w:rPr>
              <m:t>C</m:t>
            </m:r>
            <m:ctrlPr>
              <w:rPr>
                <w:rFonts w:ascii="Cambria Math" w:hAnsi="Cambria Math" w:cs="Times New Roman"/>
                <w:i/>
              </w:rPr>
            </m:ctrlPr>
          </m:e>
          <m:sub>
            <m:r>
              <m:rPr>
                <m:sty m:val="bi"/>
              </m:rPr>
              <w:rPr>
                <w:rFonts w:ascii="Cambria Math" w:hAnsi="Cambria Math" w:cs="Times New Roman"/>
              </w:rPr>
              <m:t>1</m:t>
            </m:r>
            <m:ctrlPr>
              <w:rPr>
                <w:rFonts w:ascii="Cambria Math" w:hAnsi="Cambria Math" w:cs="Times New Roman"/>
                <w:i/>
              </w:rPr>
            </m:ctrlPr>
          </m:sub>
        </m:sSub>
        <m:r>
          <m:rPr>
            <m:sty m:val="bi"/>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C</m:t>
            </m:r>
            <m:ctrlPr>
              <w:rPr>
                <w:rFonts w:ascii="Cambria Math" w:hAnsi="Cambria Math" w:cs="Times New Roman"/>
                <w:i/>
              </w:rPr>
            </m:ctrlPr>
          </m:e>
          <m:sub>
            <m:r>
              <m:rPr>
                <m:sty m:val="bi"/>
              </m:rPr>
              <w:rPr>
                <w:rFonts w:ascii="Cambria Math" w:hAnsi="Cambria Math" w:cs="Times New Roman"/>
              </w:rPr>
              <m:t>2</m:t>
            </m:r>
            <m:ctrlPr>
              <w:rPr>
                <w:rFonts w:ascii="Cambria Math" w:hAnsi="Cambria Math" w:cs="Times New Roman"/>
                <w:i/>
              </w:rPr>
            </m:ctrlPr>
          </m:sub>
        </m:sSub>
      </m:oMath>
    </w:p>
    <w:tbl>
      <w:tblPr>
        <w:tblStyle w:val="3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1250" w:type="pct"/>
            <w:tcBorders>
              <w:tl2br w:val="nil"/>
            </w:tcBorders>
            <w:vAlign w:val="center"/>
          </w:tcPr>
          <w:p>
            <w:pPr>
              <w:pStyle w:val="203"/>
              <w:jc w:val="left"/>
              <w:rPr>
                <w:rFonts w:ascii="Times New Roman" w:cs="Times New Roman"/>
              </w:rPr>
            </w:pPr>
          </w:p>
        </w:tc>
        <w:tc>
          <w:tcPr>
            <w:tcW w:w="1250" w:type="pct"/>
            <w:vAlign w:val="center"/>
          </w:tcPr>
          <w:p>
            <w:pPr>
              <w:pStyle w:val="203"/>
              <w:rPr>
                <w:rFonts w:ascii="Times New Roman" w:cs="Times New Roman"/>
              </w:rPr>
            </w:pPr>
            <w:r>
              <w:rPr>
                <w:rFonts w:ascii="Times New Roman" w:cs="Times New Roman"/>
              </w:rPr>
              <w:t>荷载类型</w:t>
            </w:r>
          </w:p>
        </w:tc>
        <w:tc>
          <w:tcPr>
            <w:tcW w:w="1250" w:type="pct"/>
            <w:vAlign w:val="center"/>
          </w:tcPr>
          <w:p>
            <w:pPr>
              <w:pStyle w:val="203"/>
              <w:rPr>
                <w:rFonts w:ascii="Times New Roman" w:cs="Times New Roman"/>
              </w:rPr>
            </w:pPr>
            <m:oMathPara>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oMath>
            </m:oMathPara>
          </w:p>
        </w:tc>
        <w:tc>
          <w:tcPr>
            <w:tcW w:w="1250" w:type="pct"/>
            <w:vAlign w:val="center"/>
          </w:tcPr>
          <w:p>
            <w:pPr>
              <w:pStyle w:val="203"/>
              <w:rPr>
                <w:rFonts w:ascii="Times New Roman" w:cs="Times New Roman"/>
              </w:rPr>
            </w:pPr>
            <m:oMathPara>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oMath>
            </m:oMathPara>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50" w:type="pct"/>
            <w:vMerge w:val="restart"/>
            <w:vAlign w:val="center"/>
          </w:tcPr>
          <w:p>
            <w:pPr>
              <w:pStyle w:val="203"/>
              <w:rPr>
                <w:rFonts w:ascii="Times New Roman" w:cs="Times New Roman"/>
              </w:rPr>
            </w:pPr>
            <w:r>
              <w:rPr>
                <w:rFonts w:ascii="Times New Roman" w:cs="Times New Roman"/>
              </w:rPr>
              <w:t>跨中无侧向支承点</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跨中集中荷载</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1.37</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50" w:type="pct"/>
            <w:vMerge w:val="continue"/>
            <w:vAlign w:val="center"/>
          </w:tcPr>
          <w:p>
            <w:pPr>
              <w:pStyle w:val="203"/>
              <w:rPr>
                <w:rFonts w:ascii="Times New Roman" w:cs="Times New Roman"/>
              </w:rPr>
            </w:pP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满跨均布荷载</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1.15</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50" w:type="pct"/>
            <w:vMerge w:val="continue"/>
            <w:vAlign w:val="center"/>
          </w:tcPr>
          <w:p>
            <w:pPr>
              <w:pStyle w:val="203"/>
              <w:rPr>
                <w:rFonts w:ascii="Times New Roman" w:cs="Times New Roman"/>
              </w:rPr>
            </w:pP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纯弯曲</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50" w:type="pct"/>
            <w:vMerge w:val="restart"/>
            <w:vAlign w:val="center"/>
          </w:tcPr>
          <w:p>
            <w:pPr>
              <w:pStyle w:val="203"/>
              <w:rPr>
                <w:rFonts w:ascii="Times New Roman" w:cs="Times New Roman"/>
              </w:rPr>
            </w:pPr>
            <w:r>
              <w:rPr>
                <w:rFonts w:ascii="Times New Roman" w:cs="Times New Roman"/>
              </w:rPr>
              <w:t>跨中有一个</w:t>
            </w:r>
          </w:p>
          <w:p>
            <w:pPr>
              <w:pStyle w:val="203"/>
              <w:rPr>
                <w:rFonts w:ascii="Times New Roman" w:cs="Times New Roman"/>
              </w:rPr>
            </w:pPr>
            <w:r>
              <w:rPr>
                <w:rFonts w:ascii="Times New Roman" w:cs="Times New Roman"/>
              </w:rPr>
              <w:t>侧向支承点</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跨中集中荷载</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1.75</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50" w:type="pct"/>
            <w:vMerge w:val="continue"/>
            <w:vAlign w:val="center"/>
          </w:tcPr>
          <w:p>
            <w:pPr>
              <w:pStyle w:val="203"/>
              <w:rPr>
                <w:rFonts w:ascii="Times New Roman" w:cs="Times New Roman"/>
              </w:rPr>
            </w:pP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满跨均布荷载</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1.39</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0.14</w:t>
            </w:r>
          </w:p>
        </w:tc>
      </w:tr>
    </w:tbl>
    <w:p>
      <w:pPr>
        <w:pStyle w:val="200"/>
      </w:pPr>
      <w:r>
        <w:rPr>
          <w:b/>
        </w:rPr>
        <w:t xml:space="preserve">C.0.2 </w:t>
      </w:r>
      <w:r>
        <w:t>对于各层单片玻璃厚度相同的夹层玻璃，绕截面形心轴自由扭转刚度</w:t>
      </w:r>
      <m:oMath>
        <m:sSub>
          <m:sSubPr>
            <m:ctrlPr>
              <w:rPr>
                <w:rFonts w:ascii="Cambria Math" w:hAnsi="Cambria Math"/>
                <w:i/>
              </w:rPr>
            </m:ctrlPr>
          </m:sSubPr>
          <m:e>
            <m:r>
              <m:rPr/>
              <w:rPr>
                <w:rFonts w:ascii="Cambria Math" w:hAnsi="Cambria Math"/>
              </w:rPr>
              <m:t>GJ</m:t>
            </m:r>
            <m:ctrlPr>
              <w:rPr>
                <w:rFonts w:ascii="Cambria Math" w:hAnsi="Cambria Math"/>
                <w:i/>
              </w:rPr>
            </m:ctrlPr>
          </m:e>
          <m:sub>
            <m:r>
              <m:rPr>
                <m:sty m:val="p"/>
              </m:rPr>
              <w:rPr>
                <w:rFonts w:ascii="Cambria Math" w:hAnsi="Cambria Math"/>
              </w:rPr>
              <m:t>eff</m:t>
            </m:r>
            <m:ctrlPr>
              <w:rPr>
                <w:rFonts w:ascii="Cambria Math" w:hAnsi="Cambria Math"/>
                <w:i/>
              </w:rPr>
            </m:ctrlPr>
          </m:sub>
        </m:sSub>
      </m:oMath>
      <w:r>
        <w:t>可按下列公式计算：</w:t>
      </w:r>
    </w:p>
    <w:tbl>
      <w:tblPr>
        <w:tblStyle w:val="37"/>
        <w:tblW w:w="4750" w:type="pct"/>
        <w:jc w:val="right"/>
        <w:tblLayout w:type="fixed"/>
        <w:tblCellMar>
          <w:top w:w="0" w:type="dxa"/>
          <w:left w:w="108" w:type="dxa"/>
          <w:bottom w:w="0" w:type="dxa"/>
          <w:right w:w="108" w:type="dxa"/>
        </w:tblCellMar>
      </w:tblPr>
      <w:tblGrid>
        <w:gridCol w:w="5771"/>
        <w:gridCol w:w="232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r>
                  <m:rPr/>
                  <w:rPr>
                    <w:rFonts w:ascii="Cambria Math" w:hAnsi="Cambria Math" w:cs="Times New Roman"/>
                  </w:rPr>
                  <m:t>G</m:t>
                </m:r>
                <m:sSub>
                  <m:sSubPr>
                    <m:ctrlPr>
                      <w:rPr>
                        <w:rFonts w:ascii="Cambria Math" w:hAnsi="Cambria Math" w:cs="Times New Roman"/>
                        <w:i/>
                      </w:rPr>
                    </m:ctrlPr>
                  </m:sSubPr>
                  <m:e>
                    <m:r>
                      <m:rPr/>
                      <w:rPr>
                        <w:rFonts w:ascii="Cambria Math" w:hAnsi="Cambria Math" w:cs="Times New Roman"/>
                      </w:rPr>
                      <m:t>J</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1</m:t>
                    </m:r>
                    <m:ctrlPr>
                      <w:rPr>
                        <w:rFonts w:ascii="Cambria Math" w:hAnsi="Cambria Math" w:cs="Times New Roman"/>
                        <w:i/>
                      </w:rPr>
                    </m:ctrlPr>
                  </m:num>
                  <m:den>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η</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GJ</m:t>
                            </m:r>
                            <m:ctrlPr>
                              <w:rPr>
                                <w:rFonts w:ascii="Cambria Math" w:hAnsi="Cambria Math" w:cs="Times New Roman"/>
                                <w:i/>
                              </w:rPr>
                            </m:ctrlPr>
                          </m:e>
                          <m:sub>
                            <m:r>
                              <m:rPr>
                                <m:sty m:val="p"/>
                              </m:rPr>
                              <w:rPr>
                                <w:rFonts w:ascii="Cambria Math" w:hAnsi="Cambria Math" w:cs="Times New Roman"/>
                              </w:rPr>
                              <m:t>tot</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1−η</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Sub>
                        <m:ctrlPr>
                          <w:rPr>
                            <w:rFonts w:ascii="Cambria Math" w:hAnsi="Cambria Math" w:cs="Times New Roman"/>
                            <w:i/>
                          </w:rPr>
                        </m:ctrlPr>
                      </m:num>
                      <m:den>
                        <m:r>
                          <m:rPr/>
                          <w:rPr>
                            <w:rFonts w:ascii="Cambria Math" w:hAnsi="Cambria Math" w:cs="Times New Roman"/>
                          </w:rPr>
                          <m:t>nGJ</m:t>
                        </m:r>
                        <m:ctrlPr>
                          <w:rPr>
                            <w:rFonts w:ascii="Cambria Math" w:hAnsi="Cambria Math" w:cs="Times New Roman"/>
                            <w:i/>
                          </w:rPr>
                        </m:ctrlPr>
                      </m:den>
                    </m:f>
                    <m:ctrlPr>
                      <w:rPr>
                        <w:rFonts w:ascii="Cambria Math" w:hAnsi="Cambria Math" w:cs="Times New Roman"/>
                        <w:i/>
                      </w:rPr>
                    </m:ctrlPr>
                  </m:den>
                </m:f>
              </m:oMath>
            </m:oMathPara>
          </w:p>
        </w:tc>
        <w:tc>
          <w:tcPr>
            <w:tcW w:w="2322" w:type="dxa"/>
            <w:shd w:val="clear" w:color="auto" w:fill="auto"/>
            <w:vAlign w:val="center"/>
          </w:tcPr>
          <w:p>
            <w:pPr>
              <w:spacing w:line="360" w:lineRule="auto"/>
              <w:jc w:val="right"/>
              <w:rPr>
                <w:rFonts w:ascii="Times New Roman" w:hAnsi="Times New Roman" w:eastAsia="黑体" w:cs="Times New Roman"/>
              </w:rPr>
            </w:pPr>
            <w:r>
              <w:rPr>
                <w:rFonts w:ascii="Times New Roman" w:hAnsi="Times New Roman" w:eastAsia="黑体" w:cs="Times New Roman"/>
              </w:rPr>
              <w:t>（C.0.2-1）</w:t>
            </w:r>
          </w:p>
        </w:tc>
      </w:tr>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r>
                  <m:rPr/>
                  <w:rPr>
                    <w:rFonts w:ascii="Cambria Math" w:hAnsi="Cambria Math" w:cs="Times New Roman"/>
                  </w:rPr>
                  <m:t>J=</m:t>
                </m:r>
                <m:f>
                  <m:fPr>
                    <m:ctrlPr>
                      <w:rPr>
                        <w:rFonts w:ascii="Cambria Math" w:hAnsi="Cambria Math" w:cs="Times New Roman"/>
                        <w:i/>
                      </w:rPr>
                    </m:ctrlPr>
                  </m:fPr>
                  <m:num>
                    <m:r>
                      <m:rPr/>
                      <w:rPr>
                        <w:rFonts w:ascii="Cambria Math" w:hAnsi="Cambria Math" w:cs="Times New Roman"/>
                      </w:rPr>
                      <m:t>ℎ</m:t>
                    </m:r>
                    <m:sSup>
                      <m:sSupPr>
                        <m:ctrlPr>
                          <w:rPr>
                            <w:rFonts w:ascii="Cambria Math" w:hAnsi="Cambria Math" w:cs="Times New Roman"/>
                            <w:i/>
                          </w:rPr>
                        </m:ctrlPr>
                      </m:sSupPr>
                      <m:e>
                        <m:r>
                          <m:rPr/>
                          <w:rPr>
                            <w:rFonts w:ascii="Cambria Math" w:hAnsi="Cambria Math" w:cs="Times New Roman"/>
                          </w:rPr>
                          <m:t>t</m:t>
                        </m:r>
                        <m:ctrlPr>
                          <w:rPr>
                            <w:rFonts w:ascii="Cambria Math" w:hAnsi="Cambria Math" w:cs="Times New Roman"/>
                            <w:i/>
                          </w:rPr>
                        </m:ctrlPr>
                      </m:e>
                      <m:sup>
                        <m:r>
                          <m:rPr/>
                          <w:rPr>
                            <w:rFonts w:ascii="Cambria Math" w:hAnsi="Cambria Math" w:cs="Times New Roman"/>
                          </w:rPr>
                          <m:t>3</m:t>
                        </m:r>
                        <m:ctrlPr>
                          <w:rPr>
                            <w:rFonts w:ascii="Cambria Math" w:hAnsi="Cambria Math" w:cs="Times New Roman"/>
                            <w:i/>
                          </w:rPr>
                        </m:ctrlPr>
                      </m:sup>
                    </m:sSup>
                    <m:ctrlPr>
                      <w:rPr>
                        <w:rFonts w:ascii="Cambria Math" w:hAnsi="Cambria Math" w:cs="Times New Roman"/>
                        <w:i/>
                      </w:rPr>
                    </m:ctrlPr>
                  </m:num>
                  <m:den>
                    <m:r>
                      <m:rPr/>
                      <w:rPr>
                        <w:rFonts w:ascii="Cambria Math" w:hAnsi="Cambria Math" w:cs="Times New Roman"/>
                      </w:rPr>
                      <m:t>3</m:t>
                    </m:r>
                    <m:ctrlPr>
                      <w:rPr>
                        <w:rFonts w:ascii="Cambria Math" w:hAnsi="Cambria Math" w:cs="Times New Roman"/>
                        <w:i/>
                      </w:rPr>
                    </m:ctrlPr>
                  </m:den>
                </m:f>
              </m:oMath>
            </m:oMathPara>
          </w:p>
        </w:tc>
        <w:tc>
          <w:tcPr>
            <w:tcW w:w="2322" w:type="dxa"/>
            <w:shd w:val="clear" w:color="auto" w:fill="auto"/>
            <w:vAlign w:val="center"/>
          </w:tcPr>
          <w:p>
            <w:pPr>
              <w:spacing w:line="360" w:lineRule="auto"/>
              <w:jc w:val="right"/>
              <w:rPr>
                <w:rFonts w:ascii="Times New Roman" w:hAnsi="Times New Roman" w:eastAsia="黑体" w:cs="Times New Roman"/>
              </w:rPr>
            </w:pPr>
            <w:r>
              <w:rPr>
                <w:rFonts w:ascii="Times New Roman" w:hAnsi="Times New Roman" w:eastAsia="黑体" w:cs="Times New Roman"/>
              </w:rPr>
              <w:t>（C.0.2-2）</w:t>
            </w:r>
          </w:p>
        </w:tc>
      </w:tr>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J</m:t>
                    </m:r>
                    <m:ctrlPr>
                      <w:rPr>
                        <w:rFonts w:ascii="Cambria Math" w:hAnsi="Cambria Math" w:cs="Times New Roman"/>
                        <w:i/>
                      </w:rPr>
                    </m:ctrlPr>
                  </m:e>
                  <m:sub>
                    <m:r>
                      <m:rPr>
                        <m:sty m:val="p"/>
                      </m:rPr>
                      <w:rPr>
                        <w:rFonts w:ascii="Cambria Math" w:hAnsi="Cambria Math" w:cs="Times New Roman"/>
                      </w:rPr>
                      <m:t>tot</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ℎ</m:t>
                    </m:r>
                    <m:ctrlPr>
                      <w:rPr>
                        <w:rFonts w:ascii="Cambria Math" w:hAnsi="Cambria Math" w:cs="Times New Roman"/>
                        <w:i/>
                      </w:rPr>
                    </m:ctrlPr>
                  </m:num>
                  <m:den>
                    <m:r>
                      <m:rPr/>
                      <w:rPr>
                        <w:rFonts w:ascii="Cambria Math" w:hAnsi="Cambria Math" w:cs="Times New Roman"/>
                      </w:rPr>
                      <m:t>3</m:t>
                    </m:r>
                    <m:ctrlPr>
                      <w:rPr>
                        <w:rFonts w:ascii="Cambria Math" w:hAnsi="Cambria Math" w:cs="Times New Roman"/>
                        <w:i/>
                      </w:rPr>
                    </m:ctrlPr>
                  </m:den>
                </m:f>
                <m:sSup>
                  <m:sSupPr>
                    <m:ctrlPr>
                      <w:rPr>
                        <w:rFonts w:ascii="Cambria Math" w:hAnsi="Cambria Math" w:cs="Times New Roman"/>
                        <w:i/>
                      </w:rPr>
                    </m:ctrlPr>
                  </m:sSupPr>
                  <m:e>
                    <m:r>
                      <m:rPr/>
                      <w:rPr>
                        <w:rFonts w:ascii="Cambria Math" w:hAnsi="Cambria Math" w:cs="Times New Roman"/>
                      </w:rPr>
                      <m:t>(nt)</m:t>
                    </m:r>
                    <m:ctrlPr>
                      <w:rPr>
                        <w:rFonts w:ascii="Cambria Math" w:hAnsi="Cambria Math" w:cs="Times New Roman"/>
                        <w:i/>
                      </w:rPr>
                    </m:ctrlPr>
                  </m:e>
                  <m:sup>
                    <m:r>
                      <m:rPr/>
                      <w:rPr>
                        <w:rFonts w:ascii="Cambria Math" w:hAnsi="Cambria Math" w:cs="Times New Roman"/>
                      </w:rPr>
                      <m:t>3</m:t>
                    </m:r>
                    <m:ctrlPr>
                      <w:rPr>
                        <w:rFonts w:ascii="Cambria Math" w:hAnsi="Cambria Math" w:cs="Times New Roman"/>
                        <w:i/>
                      </w:rPr>
                    </m:ctrlPr>
                  </m:sup>
                </m:sSup>
              </m:oMath>
            </m:oMathPara>
          </w:p>
        </w:tc>
        <w:tc>
          <w:tcPr>
            <w:tcW w:w="2322" w:type="dxa"/>
            <w:shd w:val="clear" w:color="auto" w:fill="auto"/>
            <w:vAlign w:val="center"/>
          </w:tcPr>
          <w:p>
            <w:pPr>
              <w:spacing w:line="360" w:lineRule="auto"/>
              <w:jc w:val="right"/>
              <w:rPr>
                <w:rFonts w:ascii="Times New Roman" w:hAnsi="Times New Roman" w:eastAsia="黑体" w:cs="Times New Roman"/>
              </w:rPr>
            </w:pPr>
            <w:r>
              <w:rPr>
                <w:rFonts w:ascii="Times New Roman" w:hAnsi="Times New Roman" w:eastAsia="黑体" w:cs="Times New Roman"/>
              </w:rPr>
              <w:t>（C.0.2-3）</w:t>
            </w:r>
          </w:p>
        </w:tc>
      </w:tr>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η</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1</m:t>
                    </m:r>
                    <m:ctrlPr>
                      <w:rPr>
                        <w:rFonts w:ascii="Cambria Math" w:hAnsi="Cambria Math" w:cs="Times New Roman"/>
                        <w:i/>
                      </w:rPr>
                    </m:ctrlPr>
                  </m:num>
                  <m:den>
                    <m:r>
                      <m:rPr/>
                      <w:rPr>
                        <w:rFonts w:ascii="Cambria Math" w:hAnsi="Cambria Math" w:cs="Times New Roman"/>
                      </w:rPr>
                      <m:t>1+</m:t>
                    </m:r>
                    <m:f>
                      <m:fPr>
                        <m:ctrlPr>
                          <w:rPr>
                            <w:rFonts w:ascii="Cambria Math" w:hAnsi="Cambria Math" w:cs="Times New Roman"/>
                            <w:i/>
                          </w:rPr>
                        </m:ctrlPr>
                      </m:fPr>
                      <m:num>
                        <m:d>
                          <m:dPr>
                            <m:ctrlPr>
                              <w:rPr>
                                <w:rFonts w:ascii="Cambria Math" w:hAnsi="Cambria Math" w:cs="Times New Roman"/>
                                <w:i/>
                              </w:rPr>
                            </m:ctrlPr>
                          </m:dPr>
                          <m:e>
                            <m:r>
                              <m:rPr/>
                              <w:rPr>
                                <w:rFonts w:ascii="Cambria Math" w:hAnsi="Cambria Math" w:cs="Times New Roman"/>
                              </w:rPr>
                              <m:t>n+1</m:t>
                            </m:r>
                            <m:ctrlPr>
                              <w:rPr>
                                <w:rFonts w:ascii="Cambria Math" w:hAnsi="Cambria Math" w:cs="Times New Roman"/>
                                <w:i/>
                              </w:rPr>
                            </m:ctrlPr>
                          </m:e>
                        </m:d>
                        <m:r>
                          <m:rPr/>
                          <w:rPr>
                            <w:rFonts w:ascii="Cambria Math" w:hAnsi="Cambria Math" w:cs="Times New Roman"/>
                          </w:rPr>
                          <m:t>t</m:t>
                        </m:r>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m:sty m:val="p"/>
                              </m:rPr>
                              <w:rPr>
                                <w:rFonts w:ascii="Cambria Math" w:hAnsi="Cambria Math" w:cs="Times New Roman"/>
                              </w:rPr>
                              <m:t>int</m:t>
                            </m:r>
                            <m:ctrlPr>
                              <w:rPr>
                                <w:rFonts w:ascii="Cambria Math" w:hAnsi="Cambria Math" w:cs="Times New Roman"/>
                                <w:i/>
                              </w:rPr>
                            </m:ctrlPr>
                          </m:sub>
                        </m:sSub>
                        <m:ctrlPr>
                          <w:rPr>
                            <w:rFonts w:ascii="Cambria Math" w:hAnsi="Cambria Math" w:cs="Times New Roman"/>
                            <w:i/>
                          </w:rPr>
                        </m:ctrlPr>
                      </m:num>
                      <m:den>
                        <m:r>
                          <m:rPr/>
                          <w:rPr>
                            <w:rFonts w:ascii="Cambria Math" w:hAnsi="Cambria Math" w:cs="Times New Roman"/>
                          </w:rPr>
                          <m:t>n</m:t>
                        </m:r>
                        <m:ctrlPr>
                          <w:rPr>
                            <w:rFonts w:ascii="Cambria Math" w:hAnsi="Cambria Math" w:cs="Times New Roman"/>
                            <w:i/>
                          </w:rPr>
                        </m:ctrlPr>
                      </m:den>
                    </m:f>
                    <m:f>
                      <m:fPr>
                        <m:ctrlPr>
                          <w:rPr>
                            <w:rFonts w:ascii="Cambria Math" w:hAnsi="Cambria Math" w:cs="Times New Roman"/>
                            <w:i/>
                          </w:rPr>
                        </m:ctrlPr>
                      </m:fPr>
                      <m:num>
                        <m:r>
                          <m:rPr/>
                          <w:rPr>
                            <w:rFonts w:ascii="Cambria Math" w:hAnsi="Cambria Math" w:cs="Times New Roman"/>
                          </w:rPr>
                          <m:t>G</m:t>
                        </m:r>
                        <m:d>
                          <m:dPr>
                            <m:ctrlPr>
                              <w:rPr>
                                <w:rFonts w:ascii="Cambria Math" w:hAnsi="Cambria Math" w:cs="Times New Roman"/>
                                <w:i/>
                              </w:rPr>
                            </m:ctrlPr>
                          </m:dPr>
                          <m:e>
                            <m:sSup>
                              <m:sSupPr>
                                <m:ctrlPr>
                                  <w:rPr>
                                    <w:rFonts w:ascii="Cambria Math" w:hAnsi="Cambria Math" w:cs="Times New Roman"/>
                                    <w:i/>
                                  </w:rPr>
                                </m:ctrlPr>
                              </m:sSupPr>
                              <m:e>
                                <m:r>
                                  <m:rPr/>
                                  <w:rPr>
                                    <w:rFonts w:ascii="Cambria Math" w:hAnsi="Cambria Math" w:cs="Times New Roman"/>
                                  </w:rPr>
                                  <m:t>L</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ℎ</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e>
                        </m:d>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G</m:t>
                            </m:r>
                            <m:ctrlPr>
                              <w:rPr>
                                <w:rFonts w:ascii="Cambria Math" w:hAnsi="Cambria Math" w:cs="Times New Roman"/>
                                <w:i/>
                              </w:rPr>
                            </m:ctrlPr>
                          </m:e>
                          <m:sub>
                            <m:r>
                              <m:rPr>
                                <m:sty m:val="p"/>
                              </m:rPr>
                              <w:rPr>
                                <w:rFonts w:ascii="Cambria Math" w:hAnsi="Cambria Math" w:cs="Times New Roman"/>
                              </w:rPr>
                              <m:t>int</m:t>
                            </m:r>
                            <m:ctrlPr>
                              <w:rPr>
                                <w:rFonts w:ascii="Cambria Math" w:hAnsi="Cambria Math" w:cs="Times New Roman"/>
                                <w:i/>
                              </w:rPr>
                            </m:ctrlPr>
                          </m:sub>
                        </m:sSub>
                        <m:sSup>
                          <m:sSupPr>
                            <m:ctrlPr>
                              <w:rPr>
                                <w:rFonts w:ascii="Cambria Math" w:hAnsi="Cambria Math" w:cs="Times New Roman"/>
                                <w:i/>
                              </w:rPr>
                            </m:ctrlPr>
                          </m:sSupPr>
                          <m:e>
                            <m:r>
                              <m:rPr/>
                              <w:rPr>
                                <w:rFonts w:ascii="Cambria Math" w:hAnsi="Cambria Math" w:cs="Times New Roman"/>
                              </w:rPr>
                              <m:t>L</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sSup>
                          <m:sSupPr>
                            <m:ctrlPr>
                              <w:rPr>
                                <w:rFonts w:ascii="Cambria Math" w:hAnsi="Cambria Math" w:cs="Times New Roman"/>
                                <w:i/>
                              </w:rPr>
                            </m:ctrlPr>
                          </m:sSupPr>
                          <m:e>
                            <m:r>
                              <m:rPr/>
                              <w:rPr>
                                <w:rFonts w:ascii="Cambria Math" w:hAnsi="Cambria Math" w:cs="Times New Roman"/>
                              </w:rPr>
                              <m:t>ℎ</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den>
                    </m:f>
                    <m:ctrlPr>
                      <w:rPr>
                        <w:rFonts w:ascii="Cambria Math" w:hAnsi="Cambria Math" w:cs="Times New Roman"/>
                        <w:i/>
                      </w:rPr>
                    </m:ctrlPr>
                  </m:den>
                </m:f>
              </m:oMath>
            </m:oMathPara>
          </w:p>
        </w:tc>
        <w:tc>
          <w:tcPr>
            <w:tcW w:w="2322" w:type="dxa"/>
            <w:shd w:val="clear" w:color="auto" w:fill="auto"/>
            <w:vAlign w:val="center"/>
          </w:tcPr>
          <w:p>
            <w:pPr>
              <w:spacing w:line="360" w:lineRule="auto"/>
              <w:jc w:val="right"/>
              <w:rPr>
                <w:rFonts w:ascii="Times New Roman" w:hAnsi="Times New Roman" w:eastAsia="黑体" w:cs="Times New Roman"/>
              </w:rPr>
            </w:pPr>
            <w:r>
              <w:rPr>
                <w:rFonts w:ascii="Times New Roman" w:hAnsi="Times New Roman" w:eastAsia="黑体" w:cs="Times New Roman"/>
              </w:rPr>
              <w:t>（C.0.2-4）</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J</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夹层玻璃的等效扭转惯性矩</w:t>
            </w:r>
            <w:r>
              <w:rPr>
                <w:rFonts w:hint="eastAsia"/>
                <w:szCs w:val="24"/>
                <w:lang w:eastAsia="zh-CN"/>
              </w:rPr>
              <w:t>（</w:t>
            </w:r>
            <w:r>
              <w:rPr>
                <w:szCs w:val="24"/>
              </w:rPr>
              <w:t>mm</w:t>
            </w:r>
            <w:r>
              <w:rPr>
                <w:szCs w:val="24"/>
                <w:vertAlign w:val="superscript"/>
              </w:rPr>
              <w:t>4</w:t>
            </w:r>
            <w:r>
              <w:rPr>
                <w:szCs w:val="24"/>
              </w:rPr>
              <w:t>)</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t</m:t>
                </m:r>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单片玻璃的厚度</w:t>
            </w:r>
            <w:r>
              <w:rPr>
                <w:rFonts w:hint="eastAsia"/>
                <w:lang w:eastAsia="zh-CN"/>
              </w:rPr>
              <w:t>（</w:t>
            </w:r>
            <w:r>
              <w:rPr>
                <w:szCs w:val="24"/>
              </w:rPr>
              <w:t>mm)</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ℎ</m:t>
                </m:r>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梁截面高度</w:t>
            </w:r>
            <w:r>
              <w:rPr>
                <w:rFonts w:hint="eastAsia"/>
                <w:lang w:eastAsia="zh-CN"/>
              </w:rPr>
              <w:t>（</w:t>
            </w:r>
            <w:r>
              <w:rPr>
                <w:szCs w:val="24"/>
              </w:rPr>
              <w:t>mm)</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n</m:t>
                </m:r>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玻璃板层数；</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J</m:t>
                </m:r>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单片玻璃的自由扭转惯性矩</w:t>
            </w:r>
            <w:r>
              <w:rPr>
                <w:rFonts w:hint="eastAsia"/>
                <w:szCs w:val="24"/>
                <w:lang w:eastAsia="zh-CN"/>
              </w:rPr>
              <w:t>（</w:t>
            </w:r>
            <w:r>
              <w:rPr>
                <w:szCs w:val="24"/>
              </w:rPr>
              <w:t>mm</w:t>
            </w:r>
            <w:r>
              <w:rPr>
                <w:szCs w:val="24"/>
                <w:vertAlign w:val="superscript"/>
              </w:rPr>
              <w:t>4</w:t>
            </w:r>
            <w:r>
              <w:rPr>
                <w:szCs w:val="24"/>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J</m:t>
                    </m:r>
                    <m:ctrlPr>
                      <w:rPr>
                        <w:rFonts w:ascii="Cambria Math" w:hAnsi="Cambria Math" w:cs="Times New Roman"/>
                        <w:i/>
                      </w:rPr>
                    </m:ctrlPr>
                  </m:e>
                  <m:sub>
                    <m:r>
                      <m:rPr>
                        <m:sty m:val="p"/>
                      </m:rPr>
                      <w:rPr>
                        <w:rFonts w:ascii="Cambria Math" w:hAnsi="Cambria Math" w:cs="Times New Roman"/>
                      </w:rPr>
                      <m:t>tot</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夹层玻璃截面完全组合时的自由扭转惯性矩</w:t>
            </w:r>
            <w:r>
              <w:rPr>
                <w:rFonts w:hint="eastAsia"/>
                <w:szCs w:val="24"/>
                <w:lang w:eastAsia="zh-CN"/>
              </w:rPr>
              <w:t>（</w:t>
            </w:r>
            <w:r>
              <w:rPr>
                <w:szCs w:val="24"/>
              </w:rPr>
              <w:t>mm</w:t>
            </w:r>
            <w:r>
              <w:rPr>
                <w:szCs w:val="24"/>
                <w:vertAlign w:val="superscript"/>
              </w:rPr>
              <w:t>4</w:t>
            </w:r>
            <w:r>
              <w:rPr>
                <w:szCs w:val="24"/>
              </w:rPr>
              <w:t>)</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η</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与夹层剪切模量有关的系数；</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m:sty m:val="p"/>
                      </m:rPr>
                      <w:rPr>
                        <w:rFonts w:ascii="Cambria Math" w:hAnsi="Cambria Math" w:cs="Times New Roman"/>
                      </w:rPr>
                      <m:t>int</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中间层胶片厚度</w:t>
            </w:r>
            <w:r>
              <w:rPr>
                <w:rFonts w:hint="eastAsia"/>
                <w:szCs w:val="24"/>
                <w:lang w:eastAsia="zh-CN"/>
              </w:rPr>
              <w:t>（</w:t>
            </w:r>
            <w:r>
              <w:rPr>
                <w:szCs w:val="24"/>
              </w:rPr>
              <w:t>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L</m:t>
                </m:r>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夹层玻璃构件的计算跨度</w:t>
            </w:r>
            <w:r>
              <w:rPr>
                <w:rFonts w:hint="eastAsia"/>
                <w:szCs w:val="24"/>
                <w:lang w:eastAsia="zh-CN"/>
              </w:rPr>
              <w:t>（</w:t>
            </w:r>
            <w:r>
              <w:rPr>
                <w:szCs w:val="24"/>
              </w:rPr>
              <w:t>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G</m:t>
                </m:r>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玻璃剪切模量</w:t>
            </w:r>
            <w:r>
              <w:rPr>
                <w:rFonts w:hint="eastAsia"/>
                <w:szCs w:val="24"/>
                <w:lang w:eastAsia="zh-CN"/>
              </w:rPr>
              <w:t>（</w:t>
            </w:r>
            <w:r>
              <w:rPr>
                <w:szCs w:val="24"/>
              </w:rPr>
              <w:t>N/mm</w:t>
            </w:r>
            <w:r>
              <w:rPr>
                <w:szCs w:val="24"/>
                <w:vertAlign w:val="superscript"/>
              </w:rPr>
              <w:t>2</w:t>
            </w:r>
            <w:r>
              <w:rPr>
                <w:szCs w:val="24"/>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G</m:t>
                    </m:r>
                    <m:ctrlPr>
                      <w:rPr>
                        <w:rFonts w:ascii="Cambria Math" w:hAnsi="Cambria Math" w:cs="Times New Roman"/>
                        <w:i/>
                      </w:rPr>
                    </m:ctrlPr>
                  </m:e>
                  <m:sub>
                    <m:r>
                      <m:rPr>
                        <m:sty m:val="p"/>
                      </m:rPr>
                      <w:rPr>
                        <w:rFonts w:ascii="Cambria Math" w:hAnsi="Cambria Math" w:cs="Times New Roman"/>
                      </w:rPr>
                      <m:t>int</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中间层胶片剪切模量</w:t>
            </w:r>
            <w:r>
              <w:rPr>
                <w:rFonts w:hint="eastAsia"/>
                <w:szCs w:val="24"/>
                <w:lang w:eastAsia="zh-CN"/>
              </w:rPr>
              <w:t>（</w:t>
            </w:r>
            <w:r>
              <w:rPr>
                <w:szCs w:val="24"/>
              </w:rPr>
              <w:t>N/mm</w:t>
            </w:r>
            <w:r>
              <w:rPr>
                <w:szCs w:val="24"/>
                <w:vertAlign w:val="superscript"/>
              </w:rPr>
              <w:t>2</w:t>
            </w:r>
            <w:r>
              <w:rPr>
                <w:szCs w:val="24"/>
              </w:rPr>
              <w:t>)。</w:t>
            </w:r>
          </w:p>
        </w:tc>
      </w:tr>
    </w:tbl>
    <w:p>
      <w:pPr>
        <w:pStyle w:val="200"/>
      </w:pPr>
      <w:r>
        <w:rPr>
          <w:b/>
        </w:rPr>
        <w:t xml:space="preserve">C.0.3 </w:t>
      </w:r>
      <w:r>
        <w:t>当面内受弯构件与面板通过结构胶连续、可靠粘接时，可考虑结构胶对面内受弯构件整体稳定性的有利影响。此时，结构胶的作用可假定为弹性约束</w:t>
      </w:r>
      <w:r>
        <w:rPr>
          <w:rFonts w:hint="eastAsia"/>
          <w:lang w:eastAsia="zh-CN"/>
        </w:rPr>
        <w:t>（</w:t>
      </w:r>
      <w:r>
        <w:t>图C.0.3)，面内受弯构件的临界弯矩可按下列公式近似计算：</w:t>
      </w:r>
    </w:p>
    <w:tbl>
      <w:tblPr>
        <w:tblStyle w:val="37"/>
        <w:tblW w:w="4937" w:type="pct"/>
        <w:jc w:val="right"/>
        <w:tblLayout w:type="fixed"/>
        <w:tblCellMar>
          <w:top w:w="0" w:type="dxa"/>
          <w:left w:w="108" w:type="dxa"/>
          <w:bottom w:w="0" w:type="dxa"/>
          <w:right w:w="108" w:type="dxa"/>
        </w:tblCellMar>
      </w:tblPr>
      <w:tblGrid>
        <w:gridCol w:w="6090"/>
        <w:gridCol w:w="2325"/>
      </w:tblGrid>
      <w:tr>
        <w:tblPrEx>
          <w:tblCellMar>
            <w:top w:w="0" w:type="dxa"/>
            <w:left w:w="108" w:type="dxa"/>
            <w:bottom w:w="0" w:type="dxa"/>
            <w:right w:w="108" w:type="dxa"/>
          </w:tblCellMar>
        </w:tblPrEx>
        <w:trPr>
          <w:jc w:val="right"/>
        </w:trPr>
        <w:tc>
          <w:tcPr>
            <w:tcW w:w="8415" w:type="dxa"/>
            <w:gridSpan w:val="2"/>
            <w:shd w:val="clear" w:color="auto" w:fill="auto"/>
            <w:vAlign w:val="center"/>
          </w:tcPr>
          <w:p>
            <w:pPr>
              <w:spacing w:line="360" w:lineRule="auto"/>
              <w:jc w:val="right"/>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m:sty m:val="p"/>
                      </m:rPr>
                      <w:rPr>
                        <w:rFonts w:ascii="Cambria Math" w:hAnsi="Cambria Math" w:cs="Times New Roman"/>
                      </w:rPr>
                      <m:t>cr</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3</m:t>
                    </m:r>
                    <m:ctrlPr>
                      <w:rPr>
                        <w:rFonts w:ascii="Cambria Math" w:hAnsi="Cambria Math" w:cs="Times New Roman"/>
                        <w:i/>
                      </w:rPr>
                    </m:ctrlPr>
                  </m:sub>
                </m:sSub>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y</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a</m:t>
                        </m:r>
                        <m:ctrlPr>
                          <w:rPr>
                            <w:rFonts w:ascii="Cambria Math" w:hAnsi="Cambria Math" w:cs="Times New Roman"/>
                            <w:i/>
                          </w:rPr>
                        </m:ctrlPr>
                      </m:sub>
                    </m:sSub>
                    <m:sSup>
                      <m:sSupPr>
                        <m:ctrlPr>
                          <w:rPr>
                            <w:rFonts w:ascii="Cambria Math" w:hAnsi="Cambria Math" w:cs="Times New Roman"/>
                            <w:i/>
                          </w:rPr>
                        </m:ctrlPr>
                      </m:sSupPr>
                      <m:e>
                        <m:r>
                          <m:rPr/>
                          <w:rPr>
                            <w:rFonts w:ascii="Cambria Math" w:hAnsi="Cambria Math" w:cs="Times New Roman"/>
                          </w:rPr>
                          <m:t>L</m:t>
                        </m:r>
                        <m:ctrlPr>
                          <w:rPr>
                            <w:rFonts w:ascii="Cambria Math" w:hAnsi="Cambria Math" w:cs="Times New Roman"/>
                            <w:i/>
                          </w:rPr>
                        </m:ctrlPr>
                      </m:e>
                      <m:sup>
                        <m:r>
                          <m:rPr/>
                          <w:rPr>
                            <w:rFonts w:ascii="Cambria Math" w:hAnsi="Cambria Math" w:cs="Times New Roman"/>
                          </w:rPr>
                          <m:t>3</m:t>
                        </m:r>
                        <m:ctrlPr>
                          <w:rPr>
                            <w:rFonts w:ascii="Cambria Math" w:hAnsi="Cambria Math" w:cs="Times New Roman"/>
                            <w:i/>
                          </w:rPr>
                        </m:ctrlPr>
                      </m:sup>
                    </m:sSup>
                    <m:r>
                      <m:rPr/>
                      <w:rPr>
                        <w:rFonts w:ascii="Cambria Math" w:hAnsi="Cambria Math" w:cs="Times New Roman"/>
                      </w:rPr>
                      <m:t>+</m:t>
                    </m:r>
                    <m:rad>
                      <m:radPr>
                        <m:degHide m:val="1"/>
                        <m:ctrlPr>
                          <w:rPr>
                            <w:rFonts w:ascii="Cambria Math" w:hAnsi="Cambria Math" w:cs="Times New Roman"/>
                            <w:i/>
                          </w:rPr>
                        </m:ctrlPr>
                      </m:radPr>
                      <m:deg>
                        <m:ctrlPr>
                          <w:rPr>
                            <w:rFonts w:ascii="Cambria Math" w:hAnsi="Cambria Math" w:cs="Times New Roman"/>
                            <w:i/>
                          </w:rPr>
                        </m:ctrlPr>
                      </m:deg>
                      <m:e>
                        <m:sSubSup>
                          <m:sSubSupPr>
                            <m:ctrlPr>
                              <w:rPr>
                                <w:rFonts w:ascii="Cambria Math" w:hAnsi="Cambria Math" w:cs="Times New Roman"/>
                                <w:i/>
                              </w:rPr>
                            </m:ctrlPr>
                          </m:sSubSupPr>
                          <m:e>
                            <m:r>
                              <m:rPr/>
                              <w:rPr>
                                <w:rFonts w:ascii="Cambria Math" w:hAnsi="Cambria Math" w:cs="Times New Roman"/>
                              </w:rPr>
                              <m:t>y</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sSup>
                          <m:sSupPr>
                            <m:ctrlPr>
                              <w:rPr>
                                <w:rFonts w:ascii="Cambria Math" w:hAnsi="Cambria Math" w:cs="Times New Roman"/>
                                <w:i/>
                              </w:rPr>
                            </m:ctrlPr>
                          </m:sSupPr>
                          <m:e>
                            <m:sSubSup>
                              <m:sSubSupPr>
                                <m:ctrlPr>
                                  <w:rPr>
                                    <w:rFonts w:ascii="Cambria Math" w:hAnsi="Cambria Math" w:cs="Times New Roman"/>
                                    <w:i/>
                                  </w:rPr>
                                </m:ctrlPr>
                              </m:sSubSup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a</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r>
                              <m:rPr/>
                              <w:rPr>
                                <w:rFonts w:ascii="Cambria Math" w:hAnsi="Cambria Math" w:cs="Times New Roman"/>
                              </w:rPr>
                              <m:t>L</m:t>
                            </m:r>
                            <m:ctrlPr>
                              <w:rPr>
                                <w:rFonts w:ascii="Cambria Math" w:hAnsi="Cambria Math" w:cs="Times New Roman"/>
                                <w:i/>
                              </w:rPr>
                            </m:ctrlPr>
                          </m:e>
                          <m:sup>
                            <m:r>
                              <m:rPr/>
                              <w:rPr>
                                <w:rFonts w:ascii="Cambria Math" w:hAnsi="Cambria Math" w:cs="Times New Roman"/>
                              </w:rPr>
                              <m:t>6</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π</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a</m:t>
                            </m:r>
                            <m:ctrlPr>
                              <w:rPr>
                                <w:rFonts w:ascii="Cambria Math" w:hAnsi="Cambria Math" w:cs="Times New Roman"/>
                                <w:i/>
                              </w:rPr>
                            </m:ctrlPr>
                          </m:sub>
                        </m:sSub>
                        <m:sSup>
                          <m:sSupPr>
                            <m:ctrlPr>
                              <w:rPr>
                                <w:rFonts w:ascii="Cambria Math" w:hAnsi="Cambria Math" w:cs="Times New Roman"/>
                                <w:i/>
                              </w:rPr>
                            </m:ctrlPr>
                          </m:sSupPr>
                          <m:e>
                            <m:r>
                              <m:rPr/>
                              <w:rPr>
                                <w:rFonts w:ascii="Cambria Math" w:hAnsi="Cambria Math" w:cs="Times New Roman"/>
                              </w:rPr>
                              <m:t>L</m:t>
                            </m:r>
                            <m:ctrlPr>
                              <w:rPr>
                                <w:rFonts w:ascii="Cambria Math" w:hAnsi="Cambria Math" w:cs="Times New Roman"/>
                                <w:i/>
                              </w:rPr>
                            </m:ctrlPr>
                          </m:e>
                          <m:sup>
                            <m:r>
                              <m:rPr/>
                              <w:rPr>
                                <w:rFonts w:ascii="Cambria Math" w:hAnsi="Cambria Math" w:cs="Times New Roman"/>
                              </w:rPr>
                              <m:t>4</m:t>
                            </m:r>
                            <m:ctrlPr>
                              <w:rPr>
                                <w:rFonts w:ascii="Cambria Math" w:hAnsi="Cambria Math" w:cs="Times New Roman"/>
                                <w:i/>
                              </w:rPr>
                            </m:ctrlPr>
                          </m:sup>
                        </m:sSup>
                        <m:r>
                          <m:rPr/>
                          <w:rPr>
                            <w:rFonts w:ascii="Cambria Math" w:hAnsi="Cambria Math" w:cs="Times New Roman"/>
                          </w:rPr>
                          <m:t>G</m:t>
                        </m:r>
                        <m:sSub>
                          <m:sSubPr>
                            <m:ctrlPr>
                              <w:rPr>
                                <w:rFonts w:ascii="Cambria Math" w:hAnsi="Cambria Math" w:cs="Times New Roman"/>
                                <w:i/>
                              </w:rPr>
                            </m:ctrlPr>
                          </m:sSubPr>
                          <m:e>
                            <m:r>
                              <m:rPr/>
                              <w:rPr>
                                <w:rFonts w:ascii="Cambria Math" w:hAnsi="Cambria Math" w:cs="Times New Roman"/>
                              </w:rPr>
                              <m:t>J</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π</m:t>
                            </m:r>
                            <m:ctrlPr>
                              <w:rPr>
                                <w:rFonts w:ascii="Cambria Math" w:hAnsi="Cambria Math" w:cs="Times New Roman"/>
                                <w:i/>
                              </w:rPr>
                            </m:ctrlPr>
                          </m:e>
                          <m:sup>
                            <m:r>
                              <m:rPr/>
                              <w:rPr>
                                <w:rFonts w:ascii="Cambria Math" w:hAnsi="Cambria Math" w:cs="Times New Roman"/>
                              </w:rPr>
                              <m:t>4</m:t>
                            </m:r>
                            <m:ctrlPr>
                              <w:rPr>
                                <w:rFonts w:ascii="Cambria Math" w:hAnsi="Cambria Math" w:cs="Times New Roman"/>
                                <w:i/>
                              </w:rPr>
                            </m:ctrlPr>
                          </m:sup>
                        </m:sSup>
                        <m:sSubSup>
                          <m:sSubSupPr>
                            <m:ctrlPr>
                              <w:rPr>
                                <w:rFonts w:ascii="Cambria Math" w:hAnsi="Cambria Math" w:cs="Times New Roman"/>
                                <w:i/>
                              </w:rPr>
                            </m:ctrlPr>
                          </m:sSubSupPr>
                          <m:e>
                            <m:r>
                              <m:rPr/>
                              <w:rPr>
                                <w:rFonts w:ascii="Cambria Math" w:hAnsi="Cambria Math" w:cs="Times New Roman"/>
                              </w:rPr>
                              <m:t>y</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up>
                            <m:r>
                              <m:rPr/>
                              <w:rPr>
                                <w:rFonts w:ascii="Cambria Math" w:hAnsi="Cambria Math" w:cs="Times New Roman"/>
                              </w:rPr>
                              <m:t>2</m:t>
                            </m:r>
                            <m:ctrlPr>
                              <w:rPr>
                                <w:rFonts w:ascii="Cambria Math" w:hAnsi="Cambria Math" w:cs="Times New Roman"/>
                                <w:i/>
                              </w:rPr>
                            </m:ctrlPr>
                          </m:sup>
                        </m:sSubSup>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a</m:t>
                            </m:r>
                            <m:ctrlPr>
                              <w:rPr>
                                <w:rFonts w:ascii="Cambria Math" w:hAnsi="Cambria Math" w:cs="Times New Roman"/>
                                <w:i/>
                              </w:rPr>
                            </m:ctrlPr>
                          </m:sub>
                        </m:sSub>
                        <m:sSup>
                          <m:sSupPr>
                            <m:ctrlPr>
                              <w:rPr>
                                <w:rFonts w:ascii="Cambria Math" w:hAnsi="Cambria Math" w:cs="Times New Roman"/>
                                <w:i/>
                              </w:rPr>
                            </m:ctrlPr>
                          </m:sSupPr>
                          <m:e>
                            <m:r>
                              <m:rPr/>
                              <w:rPr>
                                <w:rFonts w:ascii="Cambria Math" w:hAnsi="Cambria Math" w:cs="Times New Roman"/>
                              </w:rPr>
                              <m:t>L</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E</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π</m:t>
                            </m:r>
                            <m:ctrlPr>
                              <w:rPr>
                                <w:rFonts w:ascii="Cambria Math" w:hAnsi="Cambria Math" w:cs="Times New Roman"/>
                                <w:i/>
                              </w:rPr>
                            </m:ctrlPr>
                          </m:e>
                          <m:sup>
                            <m:r>
                              <m:rPr/>
                              <w:rPr>
                                <w:rFonts w:ascii="Cambria Math" w:hAnsi="Cambria Math" w:cs="Times New Roman"/>
                              </w:rPr>
                              <m:t>6</m:t>
                            </m:r>
                            <m:ctrlPr>
                              <w:rPr>
                                <w:rFonts w:ascii="Cambria Math" w:hAnsi="Cambria Math" w:cs="Times New Roman"/>
                                <w:i/>
                              </w:rPr>
                            </m:ctrlPr>
                          </m:sup>
                        </m:sSup>
                        <m:r>
                          <m:rPr/>
                          <w:rPr>
                            <w:rFonts w:ascii="Cambria Math" w:hAnsi="Cambria Math" w:cs="Times New Roman"/>
                          </w:rPr>
                          <m:t>G</m:t>
                        </m:r>
                        <m:sSub>
                          <m:sSubPr>
                            <m:ctrlPr>
                              <w:rPr>
                                <w:rFonts w:ascii="Cambria Math" w:hAnsi="Cambria Math" w:cs="Times New Roman"/>
                                <w:i/>
                              </w:rPr>
                            </m:ctrlPr>
                          </m:sSubPr>
                          <m:e>
                            <m:r>
                              <m:rPr/>
                              <w:rPr>
                                <w:rFonts w:ascii="Cambria Math" w:hAnsi="Cambria Math" w:cs="Times New Roman"/>
                              </w:rPr>
                              <m:t>J</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r>
                          <m:rPr/>
                          <w:rPr>
                            <w:rFonts w:ascii="Cambria Math" w:hAnsi="Cambria Math" w:cs="Times New Roman"/>
                          </w:rPr>
                          <m:t>E</m:t>
                        </m:r>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ctrlPr>
                          <w:rPr>
                            <w:rFonts w:ascii="Cambria Math" w:hAnsi="Cambria Math" w:cs="Times New Roman"/>
                            <w:i/>
                          </w:rPr>
                        </m:ctrlPr>
                      </m:e>
                    </m:rad>
                    <m:ctrlPr>
                      <w:rPr>
                        <w:rFonts w:ascii="Cambria Math" w:hAnsi="Cambria Math" w:cs="Times New Roman"/>
                        <w:i/>
                      </w:rPr>
                    </m:ctrlPr>
                  </m:num>
                  <m:den>
                    <m:sSup>
                      <m:sSupPr>
                        <m:ctrlPr>
                          <w:rPr>
                            <w:rFonts w:ascii="Cambria Math" w:hAnsi="Cambria Math" w:cs="Times New Roman"/>
                            <w:i/>
                          </w:rPr>
                        </m:ctrlPr>
                      </m:sSupPr>
                      <m:e>
                        <m:r>
                          <m:rPr/>
                          <w:rPr>
                            <w:rFonts w:ascii="Cambria Math" w:hAnsi="Cambria Math" w:cs="Times New Roman"/>
                          </w:rPr>
                          <m:t>π</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L</m:t>
                    </m:r>
                    <m:ctrlPr>
                      <w:rPr>
                        <w:rFonts w:ascii="Cambria Math" w:hAnsi="Cambria Math" w:cs="Times New Roman"/>
                        <w:i/>
                      </w:rPr>
                    </m:ctrlPr>
                  </m:den>
                </m:f>
              </m:oMath>
            </m:oMathPara>
          </w:p>
        </w:tc>
      </w:tr>
      <w:tr>
        <w:tblPrEx>
          <w:tblCellMar>
            <w:top w:w="0" w:type="dxa"/>
            <w:left w:w="108" w:type="dxa"/>
            <w:bottom w:w="0" w:type="dxa"/>
            <w:right w:w="108" w:type="dxa"/>
          </w:tblCellMar>
        </w:tblPrEx>
        <w:trPr>
          <w:jc w:val="right"/>
        </w:trPr>
        <w:tc>
          <w:tcPr>
            <w:tcW w:w="6093" w:type="dxa"/>
            <w:shd w:val="clear" w:color="auto" w:fill="auto"/>
            <w:vAlign w:val="center"/>
          </w:tcPr>
          <w:p>
            <w:pPr>
              <w:spacing w:line="360" w:lineRule="auto"/>
              <w:jc w:val="center"/>
              <w:rPr>
                <w:rFonts w:ascii="Times New Roman" w:hAnsi="Times New Roman" w:cs="Times New Roman"/>
                <w:sz w:val="21"/>
                <w:szCs w:val="21"/>
              </w:rPr>
            </w:pPr>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（C.0.3-1）</w:t>
            </w:r>
          </w:p>
        </w:tc>
      </w:tr>
      <w:tr>
        <w:tblPrEx>
          <w:tblCellMar>
            <w:top w:w="0" w:type="dxa"/>
            <w:left w:w="108" w:type="dxa"/>
            <w:bottom w:w="0" w:type="dxa"/>
            <w:right w:w="108" w:type="dxa"/>
          </w:tblCellMar>
        </w:tblPrEx>
        <w:trPr>
          <w:jc w:val="right"/>
        </w:trPr>
        <w:tc>
          <w:tcPr>
            <w:tcW w:w="6093"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a</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m:sty m:val="p"/>
                          </m:rPr>
                          <w:rPr>
                            <w:rFonts w:ascii="Cambria Math" w:hAnsi="Cambria Math" w:cs="Times New Roman"/>
                          </w:rPr>
                          <m:t>a</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d</m:t>
                        </m:r>
                        <m:ctrlPr>
                          <w:rPr>
                            <w:rFonts w:ascii="Cambria Math" w:hAnsi="Cambria Math" w:cs="Times New Roman"/>
                            <w:i/>
                          </w:rPr>
                        </m:ctrlPr>
                      </m:e>
                      <m:sub>
                        <m:r>
                          <m:rPr>
                            <m:sty m:val="p"/>
                          </m:rPr>
                          <w:rPr>
                            <w:rFonts w:ascii="Cambria Math" w:hAnsi="Cambria Math" w:cs="Times New Roman"/>
                          </w:rPr>
                          <m:t>a</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3t</m:t>
                        </m:r>
                        <m:ctrlPr>
                          <w:rPr>
                            <w:rFonts w:ascii="Cambria Math" w:hAnsi="Cambria Math" w:cs="Times New Roman"/>
                            <w:i/>
                          </w:rPr>
                        </m:ctrlPr>
                      </m:e>
                      <m:sub>
                        <m:r>
                          <m:rPr>
                            <m:sty m:val="p"/>
                          </m:rPr>
                          <w:rPr>
                            <w:rFonts w:ascii="Cambria Math" w:hAnsi="Cambria Math" w:cs="Times New Roman"/>
                          </w:rPr>
                          <m:t>a</m:t>
                        </m:r>
                        <m:ctrlPr>
                          <w:rPr>
                            <w:rFonts w:ascii="Cambria Math" w:hAnsi="Cambria Math" w:cs="Times New Roman"/>
                            <w:i/>
                          </w:rPr>
                        </m:ctrlPr>
                      </m:sub>
                    </m:sSub>
                    <m:ctrlPr>
                      <w:rPr>
                        <w:rFonts w:ascii="Cambria Math" w:hAnsi="Cambria Math" w:cs="Times New Roman"/>
                        <w:i/>
                      </w:rPr>
                    </m:ctrlPr>
                  </m:den>
                </m:f>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（C.0.3-2）</w:t>
            </w:r>
          </w:p>
        </w:tc>
      </w:tr>
    </w:tbl>
    <w:p>
      <w:pPr>
        <w:pStyle w:val="200"/>
      </w:pPr>
    </w:p>
    <w:p>
      <w:pPr>
        <w:pStyle w:val="202"/>
        <w:rPr>
          <w:rFonts w:cs="Times New Roman"/>
        </w:rPr>
      </w:pPr>
      <w:r>
        <w:rPr>
          <w:rFonts w:cs="Times New Roman"/>
        </w:rPr>
        <w:drawing>
          <wp:inline distT="0" distB="0" distL="0" distR="0">
            <wp:extent cx="2708910" cy="21596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8"/>
                    <a:stretch>
                      <a:fillRect/>
                    </a:stretch>
                  </pic:blipFill>
                  <pic:spPr>
                    <a:xfrm>
                      <a:off x="0" y="0"/>
                      <a:ext cx="2709334" cy="2160000"/>
                    </a:xfrm>
                    <a:prstGeom prst="rect">
                      <a:avLst/>
                    </a:prstGeom>
                  </pic:spPr>
                </pic:pic>
              </a:graphicData>
            </a:graphic>
          </wp:inline>
        </w:drawing>
      </w:r>
    </w:p>
    <w:p>
      <w:pPr>
        <w:pStyle w:val="202"/>
        <w:rPr>
          <w:rFonts w:cs="Times New Roman"/>
        </w:rPr>
      </w:pPr>
      <w:r>
        <w:rPr>
          <w:rFonts w:cs="Times New Roman"/>
        </w:rPr>
        <w:t>图C.0.3 结构胶连续约束玻璃梁面内受力示意</w:t>
      </w:r>
    </w:p>
    <w:p>
      <w:pPr>
        <w:pStyle w:val="202"/>
        <w:rPr>
          <w:rFonts w:cs="Times New Roman"/>
          <w:b w:val="0"/>
        </w:rPr>
      </w:pPr>
      <w:r>
        <w:rPr>
          <w:rFonts w:cs="Times New Roman"/>
          <w:b w:val="0"/>
        </w:rPr>
        <w:t>1—玻璃层；2—中间层胶片</w:t>
      </w:r>
    </w:p>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m:sty m:val="p"/>
                      </m:rPr>
                      <w:rPr>
                        <w:rFonts w:ascii="Cambria Math" w:hAnsi="Cambria Math" w:cs="Times New Roman"/>
                      </w:rPr>
                      <m:t>cr</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面内受弯构件的整体稳定抗弯承载力设计值</w:t>
            </w:r>
            <w:r>
              <w:rPr>
                <w:rFonts w:hint="eastAsia"/>
                <w:lang w:eastAsia="zh-CN"/>
              </w:rPr>
              <w:t>（</w:t>
            </w:r>
            <w:r>
              <w:t>N·mm)；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3</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系数，按表C.0.3取用；</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y</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结构胶约束作用点与截面剪力中心间的距离，当结构胶约束受压侧时，</w:t>
            </w:r>
            <m:oMath>
              <m:sSub>
                <m:sSubPr>
                  <m:ctrlPr>
                    <w:rPr>
                      <w:rFonts w:ascii="Cambria Math" w:hAnsi="Cambria Math"/>
                      <w:i/>
                    </w:rPr>
                  </m:ctrlPr>
                </m:sSubPr>
                <m:e>
                  <m:r>
                    <m:rPr/>
                    <w:rPr>
                      <w:rFonts w:ascii="Cambria Math" w:hAnsi="Cambria Math"/>
                    </w:rPr>
                    <m:t>y</m:t>
                  </m:r>
                  <m:ctrlPr>
                    <w:rPr>
                      <w:rFonts w:ascii="Cambria Math" w:hAnsi="Cambria Math"/>
                      <w:i/>
                    </w:rPr>
                  </m:ctrlPr>
                </m:e>
                <m:sub>
                  <m:r>
                    <m:rPr/>
                    <w:rPr>
                      <w:rFonts w:ascii="Cambria Math" w:hAnsi="Cambria Math"/>
                    </w:rPr>
                    <m:t>2</m:t>
                  </m:r>
                  <m:ctrlPr>
                    <w:rPr>
                      <w:rFonts w:ascii="Cambria Math" w:hAnsi="Cambria Math"/>
                      <w:i/>
                    </w:rPr>
                  </m:ctrlPr>
                </m:sub>
              </m:sSub>
            </m:oMath>
            <w:r>
              <w:t>取正值，当结构胶约束受拉侧时，</w:t>
            </w:r>
            <m:oMath>
              <m:sSub>
                <m:sSubPr>
                  <m:ctrlPr>
                    <w:rPr>
                      <w:rFonts w:ascii="Cambria Math" w:hAnsi="Cambria Math"/>
                      <w:i/>
                    </w:rPr>
                  </m:ctrlPr>
                </m:sSubPr>
                <m:e>
                  <m:r>
                    <m:rPr/>
                    <w:rPr>
                      <w:rFonts w:ascii="Cambria Math" w:hAnsi="Cambria Math"/>
                    </w:rPr>
                    <m:t>y</m:t>
                  </m:r>
                  <m:ctrlPr>
                    <w:rPr>
                      <w:rFonts w:ascii="Cambria Math" w:hAnsi="Cambria Math"/>
                      <w:i/>
                    </w:rPr>
                  </m:ctrlPr>
                </m:e>
                <m:sub>
                  <m:r>
                    <m:rPr/>
                    <w:rPr>
                      <w:rFonts w:ascii="Cambria Math" w:hAnsi="Cambria Math"/>
                    </w:rPr>
                    <m:t>2</m:t>
                  </m:r>
                  <m:ctrlPr>
                    <w:rPr>
                      <w:rFonts w:ascii="Cambria Math" w:hAnsi="Cambria Math"/>
                      <w:i/>
                    </w:rPr>
                  </m:ctrlPr>
                </m:sub>
              </m:sSub>
            </m:oMath>
            <w:r>
              <w:t>取负值；</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r>
                  <m:rPr/>
                  <w:rPr>
                    <w:rFonts w:ascii="Cambria Math" w:hAnsi="Cambria Math" w:cs="Times New Roman"/>
                  </w:rPr>
                  <m:t>E</m:t>
                </m:r>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玻璃的弹性模量</w:t>
            </w:r>
            <w:r>
              <w:rPr>
                <w:rFonts w:hint="eastAsia"/>
                <w:szCs w:val="24"/>
                <w:lang w:eastAsia="zh-CN"/>
              </w:rPr>
              <w:t>（</w:t>
            </w:r>
            <w:r>
              <w:t>N/</w:t>
            </w:r>
            <w:r>
              <w:rPr>
                <w:szCs w:val="24"/>
              </w:rPr>
              <w:t>mm</w:t>
            </w:r>
            <w:r>
              <w:rPr>
                <w:szCs w:val="24"/>
                <w:vertAlign w:val="superscript"/>
              </w:rPr>
              <w:t>2</w:t>
            </w:r>
            <w:r>
              <w:rPr>
                <w:szCs w:val="24"/>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I</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夹层玻璃截面绕弱轴的等效惯性矩</w:t>
            </w:r>
            <w:r>
              <w:rPr>
                <w:rFonts w:hint="eastAsia"/>
                <w:szCs w:val="24"/>
                <w:lang w:eastAsia="zh-CN"/>
              </w:rPr>
              <w:t>（</w:t>
            </w:r>
            <w:r>
              <w:rPr>
                <w:szCs w:val="24"/>
              </w:rPr>
              <w:t>mm</w:t>
            </w:r>
            <w:r>
              <w:rPr>
                <w:szCs w:val="24"/>
                <w:vertAlign w:val="superscript"/>
              </w:rPr>
              <w:t>4</w:t>
            </w:r>
            <w:r>
              <w:rPr>
                <w:szCs w:val="24"/>
              </w:rP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J</m:t>
                    </m:r>
                    <m:ctrlPr>
                      <w:rPr>
                        <w:rFonts w:ascii="Cambria Math" w:hAnsi="Cambria Math" w:cs="Times New Roman"/>
                        <w:i/>
                      </w:rPr>
                    </m:ctrlPr>
                  </m:e>
                  <m:sub>
                    <m:r>
                      <m:rPr>
                        <m:sty m:val="p"/>
                      </m:rPr>
                      <w:rPr>
                        <w:rFonts w:ascii="Cambria Math" w:hAnsi="Cambria Math" w:cs="Times New Roman"/>
                      </w:rPr>
                      <m:t>eff</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rPr>
                <w:szCs w:val="24"/>
              </w:rPr>
              <w:t>绕截面形心轴自由扭转惯性矩</w:t>
            </w:r>
            <w:r>
              <w:rPr>
                <w:rFonts w:hint="eastAsia"/>
                <w:szCs w:val="24"/>
                <w:lang w:eastAsia="zh-CN"/>
              </w:rPr>
              <w:t>（</w:t>
            </w:r>
            <w:r>
              <w:rPr>
                <w:szCs w:val="24"/>
              </w:rPr>
              <w:t>mm</w:t>
            </w:r>
            <w:r>
              <w:rPr>
                <w:szCs w:val="24"/>
                <w:vertAlign w:val="superscript"/>
              </w:rPr>
              <w:t>4</w:t>
            </w:r>
            <w:r>
              <w:rPr>
                <w:szCs w:val="24"/>
              </w:rPr>
              <w:t>)，按本规程第C.0.2条计算；</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m:sty m:val="p"/>
                      </m:rPr>
                      <w:rPr>
                        <w:rFonts w:ascii="Cambria Math" w:hAnsi="Cambria Math" w:cs="Times New Roman"/>
                      </w:rPr>
                      <m:t>a</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结构胶侧向支撑线刚度</w:t>
            </w:r>
            <w:r>
              <w:rPr>
                <w:rFonts w:hint="eastAsia"/>
                <w:lang w:eastAsia="zh-CN"/>
              </w:rPr>
              <w:t>（</w:t>
            </w:r>
            <w:r>
              <w:t>N/</w:t>
            </w:r>
            <w:r>
              <w:rPr>
                <w:szCs w:val="24"/>
              </w:rPr>
              <w:t>mm</w:t>
            </w:r>
            <w:r>
              <w:rPr>
                <w:szCs w:val="24"/>
                <w:vertAlign w:val="superscript"/>
              </w:rPr>
              <w:t>2</w:t>
            </w:r>
            <w:r>
              <w:rPr>
                <w:szCs w:val="24"/>
              </w:rPr>
              <w:t>)</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E</m:t>
                    </m:r>
                    <m:ctrlPr>
                      <w:rPr>
                        <w:rFonts w:ascii="Cambria Math" w:hAnsi="Cambria Math" w:cs="Times New Roman"/>
                        <w:i/>
                      </w:rPr>
                    </m:ctrlPr>
                  </m:e>
                  <m:sub>
                    <m:r>
                      <m:rPr>
                        <m:sty m:val="p"/>
                      </m:rPr>
                      <w:rPr>
                        <w:rFonts w:ascii="Cambria Math" w:hAnsi="Cambria Math" w:cs="Times New Roman"/>
                      </w:rPr>
                      <m:t>a</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硅硐结构密封胶弹性模量</w:t>
            </w:r>
            <w:r>
              <w:rPr>
                <w:rFonts w:hint="eastAsia"/>
                <w:lang w:eastAsia="zh-CN"/>
              </w:rPr>
              <w:t>（</w:t>
            </w:r>
            <w:r>
              <w:t>N/</w:t>
            </w:r>
            <w:r>
              <w:rPr>
                <w:szCs w:val="24"/>
              </w:rPr>
              <w:t>mm</w:t>
            </w:r>
            <w:r>
              <w:rPr>
                <w:szCs w:val="24"/>
                <w:vertAlign w:val="superscript"/>
              </w:rPr>
              <w:t>2</w:t>
            </w:r>
            <w:r>
              <w:rPr>
                <w:szCs w:val="24"/>
              </w:rPr>
              <w:t>)</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d</m:t>
                    </m:r>
                    <m:ctrlPr>
                      <w:rPr>
                        <w:rFonts w:ascii="Cambria Math" w:hAnsi="Cambria Math" w:cs="Times New Roman"/>
                        <w:i/>
                      </w:rPr>
                    </m:ctrlPr>
                  </m:e>
                  <m:sub>
                    <m:r>
                      <m:rPr>
                        <m:sty m:val="p"/>
                      </m:rPr>
                      <w:rPr>
                        <w:rFonts w:ascii="Cambria Math" w:hAnsi="Cambria Math" w:cs="Times New Roman"/>
                      </w:rPr>
                      <m:t>a</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硅硐结构密封胶粘接宽度</w:t>
            </w:r>
            <w:r>
              <w:rPr>
                <w:rFonts w:hint="eastAsia"/>
                <w:lang w:eastAsia="zh-CN"/>
              </w:rPr>
              <w:t>（</w:t>
            </w:r>
            <w:r>
              <w:rPr>
                <w:szCs w:val="24"/>
              </w:rPr>
              <w:t>mm)</w:t>
            </w:r>
            <w:r>
              <w:t>，对于胶缝有垫块等填充物材料时，应取结构胶实际粘接宽度；</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t</m:t>
                    </m:r>
                    <m:ctrlPr>
                      <w:rPr>
                        <w:rFonts w:ascii="Cambria Math" w:hAnsi="Cambria Math" w:cs="Times New Roman"/>
                        <w:i/>
                      </w:rPr>
                    </m:ctrlPr>
                  </m:e>
                  <m:sub>
                    <m:r>
                      <m:rPr>
                        <m:sty m:val="p"/>
                      </m:rPr>
                      <w:rPr>
                        <w:rFonts w:ascii="Cambria Math" w:hAnsi="Cambria Math" w:cs="Times New Roman"/>
                      </w:rPr>
                      <m:t>a</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硅硐结构密封胶粘接厚度</w:t>
            </w:r>
            <w:r>
              <w:rPr>
                <w:rFonts w:hint="eastAsia"/>
                <w:lang w:eastAsia="zh-CN"/>
              </w:rPr>
              <w:t>（</w:t>
            </w:r>
            <w:r>
              <w:rPr>
                <w:szCs w:val="24"/>
              </w:rPr>
              <w:t>mm)</w:t>
            </w:r>
            <w:r>
              <w:t>。</w:t>
            </w:r>
          </w:p>
        </w:tc>
      </w:tr>
    </w:tbl>
    <w:p>
      <w:pPr>
        <w:pStyle w:val="202"/>
        <w:rPr>
          <w:rFonts w:cs="Times New Roman"/>
        </w:rPr>
      </w:pPr>
      <w:r>
        <w:rPr>
          <w:rFonts w:cs="Times New Roman"/>
        </w:rPr>
        <w:t>表C.0.3系数</w:t>
      </w:r>
      <m:oMath>
        <m:sSub>
          <m:sSubPr>
            <m:ctrlPr>
              <w:rPr>
                <w:rFonts w:ascii="Cambria Math" w:hAnsi="Cambria Math" w:cs="Times New Roman"/>
                <w:i/>
              </w:rPr>
            </m:ctrlPr>
          </m:sSubPr>
          <m:e>
            <m:r>
              <m:rPr>
                <m:sty m:val="bi"/>
              </m:rPr>
              <w:rPr>
                <w:rFonts w:ascii="Cambria Math" w:hAnsi="Cambria Math" w:cs="Times New Roman"/>
              </w:rPr>
              <m:t>C</m:t>
            </m:r>
            <m:ctrlPr>
              <w:rPr>
                <w:rFonts w:ascii="Cambria Math" w:hAnsi="Cambria Math" w:cs="Times New Roman"/>
                <w:i/>
              </w:rPr>
            </m:ctrlPr>
          </m:e>
          <m:sub>
            <m:r>
              <m:rPr>
                <m:sty m:val="b"/>
              </m:rPr>
              <w:rPr>
                <w:rFonts w:ascii="Cambria Math" w:hAnsi="Cambria Math" w:cs="Times New Roman"/>
              </w:rPr>
              <m:t>3</m:t>
            </m:r>
            <m:ctrlPr>
              <w:rPr>
                <w:rFonts w:ascii="Cambria Math" w:hAnsi="Cambria Math" w:cs="Times New Roman"/>
                <w:i/>
              </w:rPr>
            </m:ctrlPr>
          </m:sub>
        </m:sSub>
      </m:oMath>
      <w:r>
        <w:rPr>
          <w:rFonts w:cs="Times New Roman"/>
        </w:rPr>
        <w:t>取值</w:t>
      </w:r>
    </w:p>
    <w:tbl>
      <w:tblPr>
        <w:tblStyle w:val="3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50" w:type="pct"/>
            <w:vAlign w:val="center"/>
          </w:tcPr>
          <w:p>
            <w:pPr>
              <w:pStyle w:val="203"/>
              <w:rPr>
                <w:rFonts w:ascii="Times New Roman" w:cs="Times New Roman"/>
              </w:rPr>
            </w:pPr>
            <w:r>
              <w:rPr>
                <w:rFonts w:ascii="Times New Roman" w:cs="Times New Roman"/>
              </w:rPr>
              <w:t>荷载形式</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跨中集中力</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均布荷载</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端弯矩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50" w:type="pct"/>
            <w:vAlign w:val="center"/>
          </w:tcPr>
          <w:p>
            <w:pPr>
              <w:pStyle w:val="203"/>
              <w:rPr>
                <w:rFonts w:ascii="Times New Roman" w:cs="Times New Roman"/>
              </w:rPr>
            </w:pPr>
            <m:oMathPara>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3</m:t>
                    </m:r>
                    <m:ctrlPr>
                      <w:rPr>
                        <w:rFonts w:ascii="Cambria Math" w:hAnsi="Cambria Math" w:cs="Times New Roman"/>
                        <w:i/>
                      </w:rPr>
                    </m:ctrlPr>
                  </m:sub>
                </m:sSub>
              </m:oMath>
            </m:oMathPara>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0.85</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0.95</w:t>
            </w:r>
          </w:p>
        </w:tc>
        <w:tc>
          <w:tcPr>
            <w:tcW w:w="1250" w:type="pct"/>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w:t>
            </w:r>
          </w:p>
        </w:tc>
      </w:tr>
    </w:tbl>
    <w:p>
      <w:pPr>
        <w:pStyle w:val="200"/>
      </w:pPr>
    </w:p>
    <w:p>
      <w:pPr>
        <w:pStyle w:val="200"/>
      </w:pPr>
    </w:p>
    <w:p>
      <w:pPr>
        <w:pStyle w:val="200"/>
        <w:sectPr>
          <w:pgSz w:w="11906" w:h="16838"/>
          <w:pgMar w:top="1440" w:right="1800" w:bottom="1440" w:left="1800" w:header="851" w:footer="992" w:gutter="0"/>
          <w:cols w:space="720" w:num="1"/>
          <w:docGrid w:type="lines" w:linePitch="312" w:charSpace="0"/>
        </w:sectPr>
      </w:pPr>
    </w:p>
    <w:p>
      <w:pPr>
        <w:pStyle w:val="196"/>
        <w:spacing w:before="163"/>
        <w:rPr>
          <w:sz w:val="24"/>
          <w:szCs w:val="24"/>
        </w:rPr>
      </w:pPr>
      <w:bookmarkStart w:id="81" w:name="_Toc162996243"/>
      <w:r>
        <w:rPr>
          <w:sz w:val="24"/>
          <w:szCs w:val="24"/>
        </w:rPr>
        <w:t>附录D</w:t>
      </w:r>
      <w:r>
        <w:rPr>
          <w:rFonts w:hint="eastAsia"/>
          <w:sz w:val="24"/>
          <w:szCs w:val="24"/>
        </w:rPr>
        <w:t xml:space="preserve"> </w:t>
      </w:r>
      <w:r>
        <w:rPr>
          <w:sz w:val="24"/>
          <w:szCs w:val="24"/>
        </w:rPr>
        <w:t>槽式预埋件设计</w:t>
      </w:r>
      <w:bookmarkEnd w:id="81"/>
    </w:p>
    <w:p>
      <w:pPr>
        <w:pStyle w:val="200"/>
      </w:pPr>
      <w:r>
        <w:rPr>
          <w:b/>
        </w:rPr>
        <w:t xml:space="preserve">D.0.1 </w:t>
      </w:r>
      <w:r>
        <w:t>槽式预埋件设计承载力应按下列设计表达式验算所有可能的失效模式：</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ParaPr>
                <m:jc m:val="center"/>
              </m:oMathParaPr>
              <m:oMath>
                <m:r>
                  <m:rPr/>
                  <w:rPr>
                    <w:rFonts w:ascii="Cambria Math" w:hAnsi="Cambria Math" w:cs="Times New Roman"/>
                  </w:rPr>
                  <m:t>S≤</m:t>
                </m:r>
                <m:sSub>
                  <m:sSubPr>
                    <m:ctrlPr>
                      <w:rPr>
                        <w:rFonts w:ascii="Cambria Math" w:hAnsi="Cambria Math" w:cs="Times New Roman"/>
                        <w:i/>
                      </w:rPr>
                    </m:ctrlPr>
                  </m:sSubPr>
                  <m:e>
                    <m:r>
                      <m:rPr/>
                      <w:rPr>
                        <w:rFonts w:ascii="Cambria Math" w:hAnsi="Cambria Math" w:cs="Times New Roman"/>
                      </w:rPr>
                      <m:t>R</m:t>
                    </m:r>
                    <m:ctrlPr>
                      <w:rPr>
                        <w:rFonts w:ascii="Cambria Math" w:hAnsi="Cambria Math" w:cs="Times New Roman"/>
                        <w:i/>
                      </w:rPr>
                    </m:ctrlPr>
                  </m:e>
                  <m:sub>
                    <m:r>
                      <m:rPr>
                        <m:sty m:val="p"/>
                      </m:rPr>
                      <w:rPr>
                        <w:rFonts w:ascii="Cambria Math" w:hAnsi="Cambria Math" w:cs="Times New Roman"/>
                      </w:rPr>
                      <m:t>d</m:t>
                    </m:r>
                    <m:ctrlPr>
                      <w:rPr>
                        <w:rFonts w:ascii="Cambria Math" w:hAnsi="Cambria Math" w:cs="Times New Roman"/>
                        <w:i/>
                      </w:rPr>
                    </m:ctrlPr>
                  </m:sub>
                </m:sSub>
                <m:r>
                  <m:rPr/>
                  <w:rPr>
                    <w:rFonts w:ascii="Cambria Math" w:hAnsi="Cambria Math" w:cs="Times New Roman"/>
                  </w:rPr>
                  <m:t xml:space="preserve">    </m:t>
                </m:r>
                <m:r>
                  <m:rPr/>
                  <w:rPr>
                    <w:rFonts w:hint="eastAsia" w:hAnsi="Cambria Math" w:cs="Times New Roman"/>
                    <w:i/>
                    <w:lang w:eastAsia="zh-CN"/>
                  </w:rPr>
                  <m:t>（</m:t>
                </m:r>
                <m:r>
                  <m:rPr>
                    <m:sty m:val="p"/>
                  </m:rPr>
                  <w:rPr>
                    <w:rFonts w:ascii="Cambria Math" w:hAnsi="Cambria Math" w:cs="Times New Roman"/>
                  </w:rPr>
                  <m:t>基本组合</m:t>
                </m:r>
                <m:r>
                  <m:rPr/>
                  <w:rPr>
                    <w:rFonts w:hint="eastAsia" w:hAnsi="Cambria Math" w:cs="Times New Roman"/>
                    <w:b w:val="0"/>
                    <w:i w:val="0"/>
                    <w:lang w:eastAsia="zh-CN"/>
                  </w:rPr>
                  <m:t>）</m:t>
                </m:r>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（D.0.1-1）</w:t>
            </w:r>
          </w:p>
        </w:tc>
      </w:tr>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ParaPr>
                <m:jc m:val="center"/>
              </m:oMathParaPr>
              <m:oMath>
                <m:r>
                  <m:rPr/>
                  <w:rPr>
                    <w:rFonts w:ascii="Cambria Math" w:hAnsi="Cambria Math" w:cs="Times New Roman"/>
                  </w:rPr>
                  <m:t>S≤</m:t>
                </m:r>
                <m:sSub>
                  <m:sSubPr>
                    <m:ctrlPr>
                      <w:rPr>
                        <w:rFonts w:ascii="Cambria Math" w:hAnsi="Cambria Math" w:cs="Times New Roman"/>
                        <w:i/>
                      </w:rPr>
                    </m:ctrlPr>
                  </m:sSubPr>
                  <m:e>
                    <m:r>
                      <m:rPr/>
                      <w:rPr>
                        <w:rFonts w:ascii="Cambria Math" w:hAnsi="Cambria Math" w:cs="Times New Roman"/>
                      </w:rPr>
                      <m:t>k·R</m:t>
                    </m:r>
                    <m:ctrlPr>
                      <w:rPr>
                        <w:rFonts w:ascii="Cambria Math" w:hAnsi="Cambria Math" w:cs="Times New Roman"/>
                        <w:i/>
                      </w:rPr>
                    </m:ctrlPr>
                  </m:e>
                  <m:sub>
                    <m:r>
                      <m:rPr>
                        <m:sty m:val="p"/>
                      </m:rPr>
                      <w:rPr>
                        <w:rFonts w:ascii="Cambria Math" w:hAnsi="Cambria Math" w:cs="Times New Roman"/>
                      </w:rPr>
                      <m:t>d</m:t>
                    </m:r>
                    <m:ctrlPr>
                      <w:rPr>
                        <w:rFonts w:ascii="Cambria Math" w:hAnsi="Cambria Math" w:cs="Times New Roman"/>
                        <w:i/>
                      </w:rPr>
                    </m:ctrlPr>
                  </m:sub>
                </m:sSub>
                <m:r>
                  <m:rPr/>
                  <w:rPr>
                    <w:rFonts w:ascii="Cambria Math" w:hAnsi="Cambria Math" w:cs="Times New Roman"/>
                  </w:rPr>
                  <m:t xml:space="preserve">    </m:t>
                </m:r>
                <m:r>
                  <m:rPr/>
                  <w:rPr>
                    <w:rFonts w:hint="eastAsia" w:hAnsi="Cambria Math" w:cs="Times New Roman"/>
                    <w:i/>
                    <w:lang w:eastAsia="zh-CN"/>
                  </w:rPr>
                  <m:t>（</m:t>
                </m:r>
                <m:r>
                  <m:rPr>
                    <m:sty m:val="p"/>
                  </m:rPr>
                  <w:rPr>
                    <w:rFonts w:ascii="Cambria Math" w:hAnsi="Cambria Math" w:cs="Times New Roman"/>
                  </w:rPr>
                  <m:t>地震作用组合</m:t>
                </m:r>
                <m:r>
                  <m:rPr/>
                  <w:rPr>
                    <w:rFonts w:hint="eastAsia" w:hAnsi="Cambria Math" w:cs="Times New Roman"/>
                    <w:b w:val="0"/>
                    <w:i w:val="0"/>
                    <w:lang w:eastAsia="zh-CN"/>
                  </w:rPr>
                  <m:t>）</m:t>
                </m:r>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（D.0.1-2）</w:t>
            </w:r>
          </w:p>
        </w:tc>
      </w:tr>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R</m:t>
                    </m:r>
                    <m:ctrlPr>
                      <w:rPr>
                        <w:rFonts w:ascii="Cambria Math" w:hAnsi="Cambria Math" w:cs="Times New Roman"/>
                        <w:i/>
                      </w:rPr>
                    </m:ctrlPr>
                  </m:e>
                  <m:sub>
                    <m:r>
                      <m:rPr>
                        <m:sty m:val="p"/>
                      </m:rPr>
                      <w:rPr>
                        <w:rFonts w:ascii="Cambria Math" w:hAnsi="Cambria Math" w:cs="Times New Roman"/>
                      </w:rPr>
                      <m:t>d</m:t>
                    </m:r>
                    <m:ctrlPr>
                      <w:rPr>
                        <w:rFonts w:ascii="Cambria Math" w:hAnsi="Cambria Math" w:cs="Times New Roman"/>
                        <w:i/>
                      </w:rPr>
                    </m:ctrlPr>
                  </m:sub>
                </m:sSub>
                <m:r>
                  <m:rPr/>
                  <w:rPr>
                    <w:rFonts w:ascii="Cambria Math" w:hAnsi="Cambria Math" w:cs="Times New Roman"/>
                  </w:rPr>
                  <m:t>=</m:t>
                </m:r>
                <m:f>
                  <m:fPr>
                    <m:type m:val="skw"/>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R</m:t>
                        </m:r>
                        <m:ctrlPr>
                          <w:rPr>
                            <w:rFonts w:ascii="Cambria Math" w:hAnsi="Cambria Math" w:cs="Times New Roman"/>
                            <w:i/>
                          </w:rPr>
                        </m:ctrlPr>
                      </m:e>
                      <m:sub>
                        <m:r>
                          <m:rPr>
                            <m:sty m:val="p"/>
                          </m:rPr>
                          <w:rPr>
                            <w:rFonts w:ascii="Cambria Math" w:hAnsi="Cambria Math" w:cs="Times New Roman"/>
                          </w:rPr>
                          <m:t>k</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m:sty m:val="p"/>
                          </m:rPr>
                          <w:rPr>
                            <w:rFonts w:ascii="Cambria Math" w:hAnsi="Cambria Math" w:cs="Times New Roman"/>
                          </w:rPr>
                          <m:t>R</m:t>
                        </m:r>
                        <m:ctrlPr>
                          <w:rPr>
                            <w:rFonts w:ascii="Cambria Math" w:hAnsi="Cambria Math" w:cs="Times New Roman"/>
                            <w:i/>
                          </w:rPr>
                        </m:ctrlPr>
                      </m:sub>
                    </m:sSub>
                    <m:ctrlPr>
                      <w:rPr>
                        <w:rFonts w:ascii="Cambria Math" w:hAnsi="Cambria Math" w:cs="Times New Roman"/>
                        <w:i/>
                      </w:rPr>
                    </m:ctrlPr>
                  </m:den>
                </m:f>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（D.0.1-3）</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S</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承载能力极限状态下，槽式预埋件上作用组合的效应设计值，在本</w:t>
            </w:r>
          </w:p>
          <w:p>
            <w:pPr>
              <w:pStyle w:val="189"/>
            </w:pPr>
            <w:r>
              <w:t>节各条中S用内力设计值</w:t>
            </w:r>
            <w:r>
              <w:rPr>
                <w:rFonts w:hint="eastAsia"/>
                <w:lang w:eastAsia="zh-CN"/>
              </w:rPr>
              <w:t>（</w:t>
            </w:r>
            <m:oMath>
              <m:sSub>
                <m:sSubPr>
                  <m:ctrlPr>
                    <w:rPr>
                      <w:rFonts w:ascii="Cambria Math" w:hAnsi="Cambria Math"/>
                      <w:i/>
                    </w:rPr>
                  </m:ctrlPr>
                </m:sSubPr>
                <m:e>
                  <m:r>
                    <m:rPr/>
                    <w:rPr>
                      <w:rFonts w:ascii="Cambria Math" w:hAnsi="Cambria Math"/>
                    </w:rPr>
                    <m:t>N</m:t>
                  </m:r>
                  <m:ctrlPr>
                    <w:rPr>
                      <w:rFonts w:ascii="Cambria Math" w:hAnsi="Cambria Math"/>
                      <w:i/>
                    </w:rPr>
                  </m:ctrlPr>
                </m:e>
                <m:sub>
                  <m:r>
                    <m:rPr>
                      <m:sty m:val="p"/>
                    </m:rPr>
                    <w:rPr>
                      <w:rFonts w:ascii="Cambria Math" w:hAnsi="Cambria Math"/>
                    </w:rPr>
                    <m:t>ED</m:t>
                  </m:r>
                  <m:ctrlPr>
                    <w:rPr>
                      <w:rFonts w:ascii="Cambria Math" w:hAnsi="Cambria Math"/>
                      <w:i/>
                    </w:rPr>
                  </m:ctrlPr>
                </m:sub>
              </m:sSub>
            </m:oMath>
            <w:r>
              <w:t xml:space="preserve">，  </w:t>
            </w:r>
            <m:oMath>
              <m:sSub>
                <m:sSubPr>
                  <m:ctrlPr>
                    <w:rPr>
                      <w:rFonts w:ascii="Cambria Math" w:hAnsi="Cambria Math"/>
                      <w:i/>
                    </w:rPr>
                  </m:ctrlPr>
                </m:sSubPr>
                <m:e>
                  <m:r>
                    <m:rPr/>
                    <w:rPr>
                      <w:rFonts w:ascii="Cambria Math" w:hAnsi="Cambria Math"/>
                    </w:rPr>
                    <m:t>V</m:t>
                  </m:r>
                  <m:ctrlPr>
                    <w:rPr>
                      <w:rFonts w:ascii="Cambria Math" w:hAnsi="Cambria Math"/>
                      <w:i/>
                    </w:rPr>
                  </m:ctrlPr>
                </m:e>
                <m:sub>
                  <m:r>
                    <m:rPr>
                      <m:sty m:val="p"/>
                    </m:rPr>
                    <w:rPr>
                      <w:rFonts w:ascii="Cambria Math" w:hAnsi="Cambria Math"/>
                    </w:rPr>
                    <m:t>ED</m:t>
                  </m:r>
                  <m:ctrlPr>
                    <w:rPr>
                      <w:rFonts w:ascii="Cambria Math" w:hAnsi="Cambria Math"/>
                      <w:i/>
                    </w:rPr>
                  </m:ctrlPr>
                </m:sub>
              </m:sSub>
            </m:oMath>
            <w:r>
              <w:rPr>
                <w:rFonts w:hint="eastAsia" w:hAnsi="Cambria Math"/>
                <w:i w:val="0"/>
                <w:lang w:eastAsia="zh-CN"/>
              </w:rPr>
              <w:t>）</w:t>
            </w:r>
            <w:r>
              <w:t>表示；</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R</m:t>
                    </m:r>
                    <m:ctrlPr>
                      <w:rPr>
                        <w:rFonts w:ascii="Cambria Math" w:hAnsi="Cambria Math" w:cs="Times New Roman"/>
                        <w:i/>
                      </w:rPr>
                    </m:ctrlPr>
                  </m:e>
                  <m:sub>
                    <m:r>
                      <m:rPr>
                        <m:sty m:val="p"/>
                      </m:rPr>
                      <w:rPr>
                        <w:rFonts w:ascii="Cambria Math" w:hAnsi="Cambria Math" w:cs="Times New Roman"/>
                      </w:rPr>
                      <m:t>d</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槽式预埋件承载力设计值；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R</m:t>
                    </m:r>
                    <m:ctrlPr>
                      <w:rPr>
                        <w:rFonts w:ascii="Cambria Math" w:hAnsi="Cambria Math" w:cs="Times New Roman"/>
                        <w:i/>
                      </w:rPr>
                    </m:ctrlPr>
                  </m:e>
                  <m:sub>
                    <m:r>
                      <m:rPr>
                        <m:sty m:val="p"/>
                      </m:rPr>
                      <w:rPr>
                        <w:rFonts w:ascii="Cambria Math" w:hAnsi="Cambria Math" w:cs="Times New Roman"/>
                      </w:rPr>
                      <m:t>k</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槽式预埋件承载力标准值；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m:sty m:val="p"/>
                      </m:rPr>
                      <w:rPr>
                        <w:rFonts w:ascii="Cambria Math" w:hAnsi="Cambria Math" w:cs="Times New Roman"/>
                      </w:rPr>
                      <m:t>R</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槽式预埋件承载力分项系数，按D.0.10条取值；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k</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地震作用下承载力降低系数。当地震作用效应不大于荷载效应组合值</w:t>
            </w:r>
            <w:r>
              <w:rPr>
                <w:i/>
              </w:rPr>
              <w:t>S</w:t>
            </w:r>
            <w:r>
              <w:t>的20%时，</w:t>
            </w:r>
            <w:r>
              <w:rPr>
                <w:i/>
              </w:rPr>
              <w:t>k</w:t>
            </w:r>
            <w:r>
              <w:t>值可取1.0。当地震作用效应大于荷载效应组合值</w:t>
            </w:r>
            <w:r>
              <w:rPr>
                <w:i/>
              </w:rPr>
              <w:t>S</w:t>
            </w:r>
            <w:r>
              <w:t>的20%时，宜根据试验或认证报告确定。</w:t>
            </w:r>
          </w:p>
        </w:tc>
      </w:tr>
    </w:tbl>
    <w:p>
      <w:pPr>
        <w:pStyle w:val="200"/>
      </w:pPr>
      <w:r>
        <w:rPr>
          <w:b/>
        </w:rPr>
        <w:t>D.0.2</w:t>
      </w:r>
      <w:r>
        <w:t>需要考虑平行于槽体长度方向剪力时，不应仅依靠T型螺栓与钢槽卷边之间的摩擦力来抗剪，螺栓应焊接定位或采用其他防滑移措施。</w:t>
      </w:r>
    </w:p>
    <w:p>
      <w:pPr>
        <w:pStyle w:val="200"/>
      </w:pPr>
      <w:r>
        <w:rPr>
          <w:b/>
        </w:rPr>
        <w:t>D.0.3</w:t>
      </w:r>
      <w:r>
        <w:t>承载力标准值由产品型式检验报告或认证报告提供，测试方法可按照国家与行业相关标准执行。</w:t>
      </w:r>
    </w:p>
    <w:p>
      <w:pPr>
        <w:pStyle w:val="200"/>
      </w:pPr>
      <w:r>
        <w:rPr>
          <w:b/>
        </w:rPr>
        <w:t>D.0.4</w:t>
      </w:r>
      <w:r>
        <w:t>槽式预埋件各部件示意见图D.0.4。</w:t>
      </w:r>
    </w:p>
    <w:p>
      <w:pPr>
        <w:pStyle w:val="188"/>
        <w:ind w:firstLine="480"/>
        <w:rPr>
          <w:rFonts w:cs="Times New Roman"/>
        </w:rPr>
      </w:pPr>
      <m:oMath>
        <m:f>
          <m:fPr>
            <m:type m:val="skw"/>
            <m:ctrlPr>
              <w:rPr>
                <w:rFonts w:ascii="Cambria Math" w:hAnsi="Cambria Math" w:cs="Times New Roman"/>
              </w:rPr>
            </m:ctrlPr>
          </m:fPr>
          <m:num>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m:sty m:val="p"/>
                  </m:rPr>
                  <w:rPr>
                    <w:rFonts w:ascii="Cambria Math" w:hAnsi="Cambria Math" w:cs="Times New Roman"/>
                  </w:rPr>
                  <m:t>ch</m:t>
                </m:r>
                <m:ctrlPr>
                  <w:rPr>
                    <w:rFonts w:ascii="Cambria Math" w:hAnsi="Cambria Math" w:cs="Times New Roman"/>
                    <w:i/>
                  </w:rPr>
                </m:ctrlPr>
              </m:sub>
            </m:sSub>
            <m:ctrlPr>
              <w:rPr>
                <w:rFonts w:ascii="Cambria Math" w:hAnsi="Cambria Math" w:cs="Times New Roman"/>
              </w:rPr>
            </m:ctrlPr>
          </m:num>
          <m:den>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m:sty m:val="p"/>
                  </m:rPr>
                  <w:rPr>
                    <w:rFonts w:ascii="Cambria Math" w:hAnsi="Cambria Math" w:cs="Times New Roman"/>
                  </w:rPr>
                  <m:t>ef</m:t>
                </m:r>
                <m:ctrlPr>
                  <w:rPr>
                    <w:rFonts w:ascii="Cambria Math" w:hAnsi="Cambria Math" w:cs="Times New Roman"/>
                    <w:i/>
                  </w:rPr>
                </m:ctrlPr>
              </m:sub>
            </m:sSub>
            <m:ctrlPr>
              <w:rPr>
                <w:rFonts w:ascii="Cambria Math" w:hAnsi="Cambria Math" w:cs="Times New Roman"/>
              </w:rPr>
            </m:ctrlPr>
          </m:den>
        </m:f>
        <m:r>
          <m:rPr/>
          <w:rPr>
            <w:rFonts w:ascii="Cambria Math" w:hAnsi="Cambria Math" w:cs="Times New Roman"/>
          </w:rPr>
          <m:t>≤0.4</m:t>
        </m:r>
      </m:oMath>
      <w:r>
        <w:rPr>
          <w:rFonts w:cs="Times New Roman"/>
        </w:rPr>
        <w:t>且</w:t>
      </w:r>
      <m:oMath>
        <m:f>
          <m:fPr>
            <m:type m:val="skw"/>
            <m:ctrlPr>
              <w:rPr>
                <w:rFonts w:ascii="Cambria Math" w:hAnsi="Cambria Math" w:cs="Times New Roman"/>
              </w:rPr>
            </m:ctrlPr>
          </m:fPr>
          <m:num>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m:sty m:val="p"/>
                  </m:rPr>
                  <w:rPr>
                    <w:rFonts w:ascii="Cambria Math" w:hAnsi="Cambria Math" w:cs="Times New Roman"/>
                  </w:rPr>
                  <m:t>ch</m:t>
                </m:r>
                <m:ctrlPr>
                  <w:rPr>
                    <w:rFonts w:ascii="Cambria Math" w:hAnsi="Cambria Math" w:cs="Times New Roman"/>
                    <w:i/>
                  </w:rPr>
                </m:ctrlPr>
              </m:sub>
            </m:sSub>
            <m:ctrlPr>
              <w:rPr>
                <w:rFonts w:ascii="Cambria Math" w:hAnsi="Cambria Math" w:cs="Times New Roman"/>
              </w:rPr>
            </m:ctrlPr>
          </m:num>
          <m:den>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m:sty m:val="p"/>
                  </m:rPr>
                  <w:rPr>
                    <w:rFonts w:ascii="Cambria Math" w:hAnsi="Cambria Math" w:cs="Times New Roman"/>
                  </w:rPr>
                  <m:t>ef</m:t>
                </m:r>
                <m:ctrlPr>
                  <w:rPr>
                    <w:rFonts w:ascii="Cambria Math" w:hAnsi="Cambria Math" w:cs="Times New Roman"/>
                    <w:i/>
                  </w:rPr>
                </m:ctrlPr>
              </m:sub>
            </m:sSub>
            <m:ctrlPr>
              <w:rPr>
                <w:rFonts w:ascii="Cambria Math" w:hAnsi="Cambria Math" w:cs="Times New Roman"/>
              </w:rPr>
            </m:ctrlPr>
          </m:den>
        </m:f>
        <m:r>
          <m:rPr/>
          <w:rPr>
            <w:rFonts w:ascii="Cambria Math" w:hAnsi="Cambria Math" w:cs="Times New Roman"/>
          </w:rPr>
          <m:t>≤0.7</m:t>
        </m:r>
      </m:oMath>
      <w:r>
        <w:rPr>
          <w:rFonts w:cs="Times New Roman"/>
        </w:rPr>
        <w:t>时，槽式预埋件的有效埋置深度可按图D.0.4-a取</w:t>
      </w:r>
      <m:oMath>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m:sty m:val="p"/>
              </m:rPr>
              <w:rPr>
                <w:rFonts w:ascii="Cambria Math" w:hAnsi="Cambria Math" w:cs="Times New Roman"/>
              </w:rPr>
              <m:t>ef</m:t>
            </m:r>
            <m:ctrlPr>
              <w:rPr>
                <w:rFonts w:ascii="Cambria Math" w:hAnsi="Cambria Math" w:cs="Times New Roman"/>
                <w:i/>
              </w:rPr>
            </m:ctrlPr>
          </m:sub>
        </m:sSub>
      </m:oMath>
      <w:r>
        <w:rPr>
          <w:rFonts w:cs="Times New Roman"/>
        </w:rPr>
        <w:t>；不满足上述条件时，槽式预埋件的有效埋置深度按图D.0.4-b取</w:t>
      </w:r>
      <m:oMath>
        <m:sSubSup>
          <m:sSubSupPr>
            <m:ctrlPr>
              <w:rPr>
                <w:rFonts w:ascii="Cambria Math" w:hAnsi="Cambria Math" w:cs="Times New Roman"/>
              </w:rPr>
            </m:ctrlPr>
          </m:sSubSupPr>
          <m:e>
            <m:r>
              <m:rPr/>
              <w:rPr>
                <w:rFonts w:ascii="Cambria Math" w:hAnsi="Cambria Math" w:cs="Times New Roman"/>
              </w:rPr>
              <m:t>ℎ</m:t>
            </m:r>
            <m:ctrlPr>
              <w:rPr>
                <w:rFonts w:ascii="Cambria Math" w:hAnsi="Cambria Math" w:cs="Times New Roman"/>
              </w:rPr>
            </m:ctrlPr>
          </m:e>
          <m:sub>
            <m:r>
              <m:rPr>
                <m:sty m:val="p"/>
              </m:rPr>
              <w:rPr>
                <w:rFonts w:ascii="Cambria Math" w:hAnsi="Cambria Math" w:cs="Times New Roman"/>
              </w:rPr>
              <m:t>ef</m:t>
            </m:r>
            <m:ctrlPr>
              <w:rPr>
                <w:rFonts w:ascii="Cambria Math" w:hAnsi="Cambria Math" w:cs="Times New Roman"/>
              </w:rPr>
            </m:ctrlPr>
          </m:sub>
          <m:sup>
            <m:r>
              <m:rPr/>
              <w:rPr>
                <w:rFonts w:ascii="Cambria Math" w:hAnsi="Cambria Math" w:cs="Times New Roman"/>
              </w:rPr>
              <m:t>∗</m:t>
            </m:r>
            <m:ctrlPr>
              <w:rPr>
                <w:rFonts w:ascii="Cambria Math" w:hAnsi="Cambria Math" w:cs="Times New Roman"/>
              </w:rPr>
            </m:ctrlPr>
          </m:sup>
        </m:sSubSup>
      </m:oMath>
      <w:r>
        <w:rPr>
          <w:rFonts w:cs="Times New Roman"/>
        </w:rPr>
        <w:t>。</w:t>
      </w:r>
    </w:p>
    <w:p>
      <w:pPr>
        <w:pStyle w:val="202"/>
        <w:rPr>
          <w:rFonts w:cs="Times New Roman"/>
        </w:rPr>
      </w:pPr>
      <w:r>
        <w:rPr>
          <w:rFonts w:cs="Times New Roman"/>
        </w:rPr>
        <w:drawing>
          <wp:inline distT="0" distB="0" distL="0" distR="0">
            <wp:extent cx="3592195" cy="179959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89"/>
                    <a:stretch>
                      <a:fillRect/>
                    </a:stretch>
                  </pic:blipFill>
                  <pic:spPr>
                    <a:xfrm>
                      <a:off x="0" y="0"/>
                      <a:ext cx="3592829" cy="1800000"/>
                    </a:xfrm>
                    <a:prstGeom prst="rect">
                      <a:avLst/>
                    </a:prstGeom>
                  </pic:spPr>
                </pic:pic>
              </a:graphicData>
            </a:graphic>
          </wp:inline>
        </w:drawing>
      </w:r>
    </w:p>
    <w:p>
      <w:pPr>
        <w:pStyle w:val="202"/>
        <w:rPr>
          <w:rFonts w:cs="Times New Roman"/>
        </w:rPr>
      </w:pPr>
      <w:r>
        <w:rPr>
          <w:rFonts w:cs="Times New Roman"/>
        </w:rPr>
        <w:t>图D.0.4槽式预埋件各部件示意图</w:t>
      </w:r>
    </w:p>
    <w:p>
      <w:pPr>
        <w:pStyle w:val="202"/>
        <w:rPr>
          <w:rFonts w:cs="Times New Roman"/>
          <w:b w:val="0"/>
        </w:rPr>
      </w:pPr>
      <w:r>
        <w:rPr>
          <w:rFonts w:cs="Times New Roman"/>
          <w:b w:val="0"/>
        </w:rPr>
        <w:t>1—锚筋（锚腿）；2—锚筋与槽体连接处；3—槽体（又称钢槽）；4—槽体卷边；</w:t>
      </w:r>
    </w:p>
    <w:p>
      <w:pPr>
        <w:pStyle w:val="202"/>
        <w:rPr>
          <w:rFonts w:cs="Times New Roman"/>
          <w:b w:val="0"/>
        </w:rPr>
      </w:pPr>
      <w:r>
        <w:rPr>
          <w:rFonts w:cs="Times New Roman"/>
          <w:b w:val="0"/>
        </w:rPr>
        <w:t>5—T型螺栓；</w:t>
      </w:r>
      <m:oMath>
        <m:sSub>
          <m:sSubPr>
            <m:ctrlPr>
              <w:rPr>
                <w:rFonts w:ascii="Cambria Math" w:hAnsi="Cambria Math" w:eastAsia="宋体" w:cs="Times New Roman"/>
                <w:b w:val="0"/>
                <w:bCs/>
                <w:i/>
                <w:kern w:val="0"/>
                <w:sz w:val="24"/>
                <w:szCs w:val="24"/>
              </w:rPr>
            </m:ctrlPr>
          </m:sSubPr>
          <m:e>
            <m:r>
              <m:rPr>
                <m:sty m:val="bi"/>
              </m:rPr>
              <w:rPr>
                <w:rFonts w:ascii="Cambria Math" w:hAnsi="Cambria Math" w:cs="Times New Roman"/>
              </w:rPr>
              <m:t>b</m:t>
            </m:r>
            <m:ctrlPr>
              <w:rPr>
                <w:rFonts w:ascii="Cambria Math" w:hAnsi="Cambria Math" w:eastAsia="宋体" w:cs="Times New Roman"/>
                <w:b w:val="0"/>
                <w:bCs/>
                <w:i/>
                <w:kern w:val="0"/>
                <w:sz w:val="24"/>
                <w:szCs w:val="24"/>
              </w:rPr>
            </m:ctrlPr>
          </m:e>
          <m:sub>
            <m:r>
              <m:rPr>
                <m:sty m:val="b"/>
              </m:rPr>
              <w:rPr>
                <w:rFonts w:ascii="Cambria Math" w:hAnsi="Cambria Math" w:cs="Times New Roman"/>
              </w:rPr>
              <m:t>ch</m:t>
            </m:r>
            <m:ctrlPr>
              <w:rPr>
                <w:rFonts w:ascii="Cambria Math" w:hAnsi="Cambria Math" w:eastAsia="宋体" w:cs="Times New Roman"/>
                <w:b w:val="0"/>
                <w:bCs/>
                <w:i/>
                <w:kern w:val="0"/>
                <w:sz w:val="24"/>
                <w:szCs w:val="24"/>
              </w:rPr>
            </m:ctrlPr>
          </m:sub>
        </m:sSub>
      </m:oMath>
      <w:r>
        <w:rPr>
          <w:rFonts w:cs="Times New Roman"/>
          <w:b w:val="0"/>
        </w:rPr>
        <w:t>—槽体宽度；</w:t>
      </w:r>
      <m:oMath>
        <m:sSub>
          <m:sSubPr>
            <m:ctrlPr>
              <w:rPr>
                <w:rFonts w:ascii="Cambria Math" w:hAnsi="Cambria Math" w:eastAsia="宋体" w:cs="Times New Roman"/>
                <w:b w:val="0"/>
                <w:bCs/>
                <w:i/>
                <w:kern w:val="0"/>
                <w:sz w:val="24"/>
                <w:szCs w:val="24"/>
              </w:rPr>
            </m:ctrlPr>
          </m:sSubPr>
          <m:e>
            <m:r>
              <m:rPr>
                <m:sty m:val="bi"/>
              </m:rPr>
              <w:rPr>
                <w:rFonts w:ascii="Cambria Math" w:hAnsi="Cambria Math" w:cs="Times New Roman"/>
              </w:rPr>
              <m:t>h</m:t>
            </m:r>
            <m:ctrlPr>
              <w:rPr>
                <w:rFonts w:ascii="Cambria Math" w:hAnsi="Cambria Math" w:eastAsia="宋体" w:cs="Times New Roman"/>
                <w:b w:val="0"/>
                <w:bCs/>
                <w:i/>
                <w:kern w:val="0"/>
                <w:sz w:val="24"/>
                <w:szCs w:val="24"/>
              </w:rPr>
            </m:ctrlPr>
          </m:e>
          <m:sub>
            <m:r>
              <m:rPr>
                <m:sty m:val="b"/>
              </m:rPr>
              <w:rPr>
                <w:rFonts w:ascii="Cambria Math" w:hAnsi="Cambria Math" w:cs="Times New Roman"/>
              </w:rPr>
              <m:t>ch</m:t>
            </m:r>
            <m:ctrlPr>
              <w:rPr>
                <w:rFonts w:ascii="Cambria Math" w:hAnsi="Cambria Math" w:eastAsia="宋体" w:cs="Times New Roman"/>
                <w:b w:val="0"/>
                <w:bCs/>
                <w:i/>
                <w:kern w:val="0"/>
                <w:sz w:val="24"/>
                <w:szCs w:val="24"/>
              </w:rPr>
            </m:ctrlPr>
          </m:sub>
        </m:sSub>
      </m:oMath>
      <w:r>
        <w:rPr>
          <w:rFonts w:cs="Times New Roman"/>
          <w:b w:val="0"/>
        </w:rPr>
        <w:t>—槽体高度；</w:t>
      </w:r>
      <m:oMath>
        <m:sSubSup>
          <m:sSubSupPr>
            <m:ctrlPr>
              <w:rPr>
                <w:rFonts w:ascii="Cambria Math" w:hAnsi="Cambria Math" w:eastAsia="宋体" w:cs="Times New Roman"/>
                <w:b w:val="0"/>
                <w:bCs/>
                <w:kern w:val="0"/>
                <w:sz w:val="24"/>
                <w:szCs w:val="24"/>
              </w:rPr>
            </m:ctrlPr>
          </m:sSubSupPr>
          <m:e>
            <m:r>
              <m:rPr>
                <m:sty m:val="bi"/>
              </m:rPr>
              <w:rPr>
                <w:rFonts w:ascii="Cambria Math" w:hAnsi="Cambria Math" w:cs="Times New Roman"/>
              </w:rPr>
              <m:t>h</m:t>
            </m:r>
            <m:ctrlPr>
              <w:rPr>
                <w:rFonts w:ascii="Cambria Math" w:hAnsi="Cambria Math" w:eastAsia="宋体" w:cs="Times New Roman"/>
                <w:b w:val="0"/>
                <w:bCs/>
                <w:kern w:val="0"/>
                <w:sz w:val="24"/>
                <w:szCs w:val="24"/>
              </w:rPr>
            </m:ctrlPr>
          </m:e>
          <m:sub>
            <m:r>
              <m:rPr>
                <m:sty m:val="b"/>
              </m:rPr>
              <w:rPr>
                <w:rFonts w:ascii="Cambria Math" w:hAnsi="Cambria Math" w:cs="Times New Roman"/>
              </w:rPr>
              <m:t>ef</m:t>
            </m:r>
            <m:ctrlPr>
              <w:rPr>
                <w:rFonts w:ascii="Cambria Math" w:hAnsi="Cambria Math" w:eastAsia="宋体" w:cs="Times New Roman"/>
                <w:b w:val="0"/>
                <w:bCs/>
                <w:kern w:val="0"/>
                <w:sz w:val="24"/>
                <w:szCs w:val="24"/>
              </w:rPr>
            </m:ctrlPr>
          </m:sub>
          <m:sup>
            <m:r>
              <m:rPr>
                <m:sty m:val="bi"/>
              </m:rPr>
              <w:rPr>
                <w:rFonts w:ascii="Cambria Math" w:hAnsi="Cambria Math" w:cs="Times New Roman"/>
              </w:rPr>
              <m:t>∗</m:t>
            </m:r>
            <m:ctrlPr>
              <w:rPr>
                <w:rFonts w:ascii="Cambria Math" w:hAnsi="Cambria Math" w:eastAsia="宋体" w:cs="Times New Roman"/>
                <w:b w:val="0"/>
                <w:bCs/>
                <w:kern w:val="0"/>
                <w:sz w:val="24"/>
                <w:szCs w:val="24"/>
              </w:rPr>
            </m:ctrlPr>
          </m:sup>
        </m:sSubSup>
        <m:r>
          <m:rPr>
            <m:sty m:val="bi"/>
          </m:rPr>
          <w:rPr>
            <w:rFonts w:ascii="Cambria Math" w:hAnsi="Cambria Math" w:eastAsia="宋体" w:cs="Times New Roman"/>
            <w:kern w:val="0"/>
            <w:sz w:val="24"/>
            <w:szCs w:val="24"/>
          </w:rPr>
          <m:t>=</m:t>
        </m:r>
        <m:sSub>
          <m:sSubPr>
            <m:ctrlPr>
              <w:rPr>
                <w:rFonts w:ascii="Cambria Math" w:hAnsi="Cambria Math" w:eastAsia="宋体" w:cs="Times New Roman"/>
                <w:b w:val="0"/>
                <w:bCs/>
                <w:i/>
                <w:kern w:val="0"/>
                <w:sz w:val="24"/>
                <w:szCs w:val="24"/>
              </w:rPr>
            </m:ctrlPr>
          </m:sSubPr>
          <m:e>
            <m:r>
              <m:rPr>
                <m:sty m:val="bi"/>
              </m:rPr>
              <w:rPr>
                <w:rFonts w:ascii="Cambria Math" w:hAnsi="Cambria Math" w:cs="Times New Roman"/>
              </w:rPr>
              <m:t>h</m:t>
            </m:r>
            <m:ctrlPr>
              <w:rPr>
                <w:rFonts w:ascii="Cambria Math" w:hAnsi="Cambria Math" w:eastAsia="宋体" w:cs="Times New Roman"/>
                <w:b w:val="0"/>
                <w:bCs/>
                <w:i/>
                <w:kern w:val="0"/>
                <w:sz w:val="24"/>
                <w:szCs w:val="24"/>
              </w:rPr>
            </m:ctrlPr>
          </m:e>
          <m:sub>
            <m:r>
              <m:rPr>
                <m:sty m:val="b"/>
              </m:rPr>
              <w:rPr>
                <w:rFonts w:ascii="Cambria Math" w:hAnsi="Cambria Math" w:cs="Times New Roman"/>
              </w:rPr>
              <m:t>ef</m:t>
            </m:r>
            <m:ctrlPr>
              <w:rPr>
                <w:rFonts w:ascii="Cambria Math" w:hAnsi="Cambria Math" w:eastAsia="宋体" w:cs="Times New Roman"/>
                <w:b w:val="0"/>
                <w:bCs/>
                <w:i/>
                <w:kern w:val="0"/>
                <w:sz w:val="24"/>
                <w:szCs w:val="24"/>
              </w:rPr>
            </m:ctrlPr>
          </m:sub>
        </m:sSub>
        <m:r>
          <m:rPr>
            <m:sty m:val="bi"/>
          </m:rPr>
          <w:rPr>
            <w:rFonts w:ascii="Cambria Math" w:hAnsi="Cambria Math" w:eastAsia="宋体" w:cs="Times New Roman"/>
            <w:kern w:val="0"/>
            <w:sz w:val="24"/>
            <w:szCs w:val="24"/>
          </w:rPr>
          <m:t>−</m:t>
        </m:r>
        <m:sSub>
          <m:sSubPr>
            <m:ctrlPr>
              <w:rPr>
                <w:rFonts w:ascii="Cambria Math" w:hAnsi="Cambria Math" w:eastAsia="宋体" w:cs="Times New Roman"/>
                <w:b w:val="0"/>
                <w:bCs/>
                <w:i/>
                <w:kern w:val="0"/>
                <w:sz w:val="24"/>
                <w:szCs w:val="24"/>
              </w:rPr>
            </m:ctrlPr>
          </m:sSubPr>
          <m:e>
            <m:r>
              <m:rPr>
                <m:sty m:val="bi"/>
              </m:rPr>
              <w:rPr>
                <w:rFonts w:ascii="Cambria Math" w:hAnsi="Cambria Math" w:cs="Times New Roman"/>
              </w:rPr>
              <m:t>h</m:t>
            </m:r>
            <m:ctrlPr>
              <w:rPr>
                <w:rFonts w:ascii="Cambria Math" w:hAnsi="Cambria Math" w:eastAsia="宋体" w:cs="Times New Roman"/>
                <w:b w:val="0"/>
                <w:bCs/>
                <w:i/>
                <w:kern w:val="0"/>
                <w:sz w:val="24"/>
                <w:szCs w:val="24"/>
              </w:rPr>
            </m:ctrlPr>
          </m:e>
          <m:sub>
            <m:r>
              <m:rPr>
                <m:sty m:val="b"/>
              </m:rPr>
              <w:rPr>
                <w:rFonts w:ascii="Cambria Math" w:hAnsi="Cambria Math" w:cs="Times New Roman"/>
              </w:rPr>
              <m:t>ch</m:t>
            </m:r>
            <m:ctrlPr>
              <w:rPr>
                <w:rFonts w:ascii="Cambria Math" w:hAnsi="Cambria Math" w:eastAsia="宋体" w:cs="Times New Roman"/>
                <w:b w:val="0"/>
                <w:bCs/>
                <w:i/>
                <w:kern w:val="0"/>
                <w:sz w:val="24"/>
                <w:szCs w:val="24"/>
              </w:rPr>
            </m:ctrlPr>
          </m:sub>
        </m:sSub>
      </m:oMath>
    </w:p>
    <w:p>
      <w:pPr>
        <w:pStyle w:val="200"/>
      </w:pPr>
      <w:r>
        <w:rPr>
          <w:b/>
        </w:rPr>
        <w:t xml:space="preserve">D.0.5 </w:t>
      </w:r>
      <w:r>
        <w:t>槽式预埋件受拉内力计算：</w:t>
      </w:r>
    </w:p>
    <w:p>
      <w:pPr>
        <w:pStyle w:val="188"/>
        <w:ind w:firstLine="482"/>
        <w:rPr>
          <w:rFonts w:cs="Times New Roman"/>
        </w:rPr>
      </w:pPr>
      <w:r>
        <w:rPr>
          <w:rFonts w:cs="Times New Roman"/>
          <w:b/>
          <w:bCs w:val="0"/>
        </w:rPr>
        <w:t>1</w:t>
      </w:r>
      <w:r>
        <w:rPr>
          <w:rFonts w:cs="Times New Roman"/>
        </w:rPr>
        <w:t>位于槽式预埋件任意位置的T型螺栓受拉时，槽式预埋件各锚筋的受力可沿集中力影响范围线性分配，每根锚筋所受拉力可按式D.0.5计算。当槽式预埋件受多处集中力时，锚筋所受拉力等于各集中力的线性分布力叠加值。若钢槽上集中受力的位置未知或可调，应根据不同破坏模式假定受力位置为最不利时对其进行验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r>
                      <m:rPr/>
                      <w:rPr>
                        <w:rFonts w:ascii="Cambria Math" w:hAnsi="Cambria Math" w:cs="Times New Roman"/>
                      </w:rPr>
                      <m:t>i</m:t>
                    </m:r>
                    <m:ctrlPr>
                      <w:rPr>
                        <w:rFonts w:ascii="Cambria Math" w:hAnsi="Cambria Math" w:cs="Times New Roman"/>
                      </w:rPr>
                    </m:ctrlPr>
                  </m:sub>
                  <m:sup>
                    <m:r>
                      <m:rPr/>
                      <w:rPr>
                        <w:rFonts w:ascii="Cambria Math" w:hAnsi="Cambria Math" w:cs="Times New Roman"/>
                      </w:rPr>
                      <m:t>a</m:t>
                    </m:r>
                    <m:ctrlPr>
                      <w:rPr>
                        <w:rFonts w:ascii="Cambria Math" w:hAnsi="Cambria Math" w:cs="Times New Roman"/>
                      </w:rPr>
                    </m:ctrlPr>
                  </m:sup>
                </m:sSubSup>
                <m:r>
                  <m:rPr/>
                  <w:rPr>
                    <w:rFonts w:ascii="Cambria Math" w:hAnsi="Cambria Math" w:cs="Times New Roman"/>
                  </w:rPr>
                  <m:t>=k·</m:t>
                </m:r>
                <m:sSubSup>
                  <m:sSubSupPr>
                    <m:ctrlPr>
                      <w:rPr>
                        <w:rFonts w:ascii="Cambria Math" w:hAnsi="Cambria Math" w:cs="Times New Roman"/>
                        <w:i/>
                      </w:rPr>
                    </m:ctrlPr>
                  </m:sSubSup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up>
                    <m:r>
                      <m:rPr/>
                      <w:rPr>
                        <w:rFonts w:ascii="Cambria Math" w:hAnsi="Cambria Math" w:cs="Times New Roman"/>
                      </w:rPr>
                      <m:t>'</m:t>
                    </m:r>
                    <m:ctrlPr>
                      <w:rPr>
                        <w:rFonts w:ascii="Cambria Math" w:hAnsi="Cambria Math" w:cs="Times New Roman"/>
                        <w:i/>
                      </w:rPr>
                    </m:ctrlPr>
                  </m:sup>
                </m:sSubSup>
                <m:r>
                  <m:rPr/>
                  <w:rPr>
                    <w:rFonts w:ascii="Cambria Math" w:hAnsi="Cambria Math" w:cs="Times New Roman"/>
                  </w:rPr>
                  <m:t>·</m:t>
                </m:r>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w:rPr>
                        <w:rFonts w:ascii="Cambria Math" w:hAnsi="Cambria Math" w:cs="Times New Roman"/>
                      </w:rPr>
                      <m:t>cb</m:t>
                    </m:r>
                    <m:ctrlPr>
                      <w:rPr>
                        <w:rFonts w:ascii="Cambria Math" w:hAnsi="Cambria Math" w:cs="Times New Roman"/>
                      </w:rPr>
                    </m:ctrlPr>
                  </m:sup>
                </m:sSubSup>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（D.0.5）</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r>
                      <m:rPr/>
                      <w:rPr>
                        <w:rFonts w:ascii="Cambria Math" w:hAnsi="Cambria Math" w:cs="Times New Roman"/>
                      </w:rPr>
                      <m:t>i</m:t>
                    </m:r>
                    <m:ctrlPr>
                      <w:rPr>
                        <w:rFonts w:ascii="Cambria Math" w:hAnsi="Cambria Math" w:cs="Times New Roman"/>
                      </w:rPr>
                    </m:ctrlPr>
                  </m:sub>
                  <m:sup>
                    <m:r>
                      <m:rPr/>
                      <w:rPr>
                        <w:rFonts w:ascii="Cambria Math" w:hAnsi="Cambria Math" w:cs="Times New Roman"/>
                      </w:rPr>
                      <m:t>a</m:t>
                    </m:r>
                    <m:ctrlPr>
                      <w:rPr>
                        <w:rFonts w:ascii="Cambria Math" w:hAnsi="Cambria Math" w:cs="Times New Roman"/>
                      </w:rPr>
                    </m:ctrlPr>
                  </m:sup>
                </m:sSubSup>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锚筋</w:t>
            </w:r>
            <w:r>
              <w:rPr>
                <w:i/>
              </w:rPr>
              <w:t>i</w:t>
            </w:r>
            <w:r>
              <w:t>受到的拉力设计值</w:t>
            </w:r>
            <w:r>
              <w:rPr>
                <w:rFonts w:hint="eastAsia"/>
                <w:lang w:eastAsia="zh-CN"/>
              </w:rPr>
              <w:t>（</w:t>
            </w:r>
            <w:r>
              <w:t>kN)；</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w:rPr>
                        <w:rFonts w:ascii="Cambria Math" w:hAnsi="Cambria Math" w:cs="Times New Roman"/>
                      </w:rPr>
                      <m:t>cb</m:t>
                    </m:r>
                    <m:ctrlPr>
                      <w:rPr>
                        <w:rFonts w:ascii="Cambria Math" w:hAnsi="Cambria Math" w:cs="Times New Roman"/>
                      </w:rPr>
                    </m:ctrlPr>
                  </m:sup>
                </m:sSubSup>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槽式预埋件受到的拉力设计值</w:t>
            </w:r>
            <w:r>
              <w:rPr>
                <w:rFonts w:hint="eastAsia"/>
                <w:lang w:eastAsia="zh-CN"/>
              </w:rPr>
              <w:t>（</w:t>
            </w:r>
            <w:r>
              <w:t>kN)，见图D.0.5；</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i/>
                      </w:rPr>
                    </m:ctrlPr>
                  </m:sSubSup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up>
                    <m:r>
                      <m:rPr/>
                      <w:rPr>
                        <w:rFonts w:ascii="Cambria Math" w:hAnsi="Cambria Math" w:cs="Times New Roman"/>
                      </w:rPr>
                      <m:t>'</m:t>
                    </m:r>
                    <m:ctrlPr>
                      <w:rPr>
                        <w:rFonts w:ascii="Cambria Math" w:hAnsi="Cambria Math" w:cs="Times New Roman"/>
                        <w:i/>
                      </w:rPr>
                    </m:ctrlPr>
                  </m:sup>
                </m:sSubSup>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以荷载</w:t>
            </w:r>
            <m:oMath>
              <m:sSubSup>
                <m:sSubSupPr>
                  <m:ctrlPr>
                    <w:rPr>
                      <w:rFonts w:ascii="Cambria Math" w:hAnsi="Cambria Math"/>
                      <w:bCs w:val="0"/>
                      <w:szCs w:val="24"/>
                    </w:rPr>
                  </m:ctrlPr>
                </m:sSubSupPr>
                <m:e>
                  <m:r>
                    <m:rPr/>
                    <w:rPr>
                      <w:rFonts w:ascii="Cambria Math" w:hAnsi="Cambria Math"/>
                    </w:rPr>
                    <m:t>N</m:t>
                  </m:r>
                  <m:ctrlPr>
                    <w:rPr>
                      <w:rFonts w:ascii="Cambria Math" w:hAnsi="Cambria Math"/>
                      <w:bCs w:val="0"/>
                      <w:szCs w:val="24"/>
                    </w:rPr>
                  </m:ctrlPr>
                </m:e>
                <m:sub>
                  <m:r>
                    <m:rPr>
                      <m:sty m:val="p"/>
                    </m:rPr>
                    <w:rPr>
                      <w:rFonts w:ascii="Cambria Math" w:hAnsi="Cambria Math"/>
                    </w:rPr>
                    <m:t>Ed</m:t>
                  </m:r>
                  <m:ctrlPr>
                    <w:rPr>
                      <w:rFonts w:ascii="Cambria Math" w:hAnsi="Cambria Math"/>
                      <w:bCs w:val="0"/>
                      <w:szCs w:val="24"/>
                    </w:rPr>
                  </m:ctrlPr>
                </m:sub>
                <m:sup>
                  <m:r>
                    <m:rPr/>
                    <w:rPr>
                      <w:rFonts w:ascii="Cambria Math" w:hAnsi="Cambria Math"/>
                    </w:rPr>
                    <m:t>cb</m:t>
                  </m:r>
                  <m:ctrlPr>
                    <w:rPr>
                      <w:rFonts w:ascii="Cambria Math" w:hAnsi="Cambria Math"/>
                      <w:bCs w:val="0"/>
                      <w:szCs w:val="24"/>
                    </w:rPr>
                  </m:ctrlPr>
                </m:sup>
              </m:sSubSup>
            </m:oMath>
            <w:r>
              <w:t>为高度单位1.0，与其影响长度</w:t>
            </w:r>
            <m:oMath>
              <m:r>
                <m:rPr>
                  <m:sty m:val="p"/>
                </m:rPr>
                <w:rPr>
                  <w:rFonts w:ascii="Cambria Math" w:hAnsi="Cambria Math"/>
                </w:rPr>
                <m:t>2</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i</m:t>
                  </m:r>
                  <m:ctrlPr>
                    <w:rPr>
                      <w:rFonts w:ascii="Cambria Math" w:hAnsi="Cambria Math"/>
                    </w:rPr>
                  </m:ctrlPr>
                </m:sub>
              </m:sSub>
            </m:oMath>
            <w:r>
              <w:t>形成一个三角形，锚筋</w:t>
            </w:r>
            <w:r>
              <w:rPr>
                <w:i/>
              </w:rPr>
              <w:t>i</w:t>
            </w:r>
            <w:r>
              <w:t>在该三角形内的高度或纵坐标值（mm）；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i/>
              </w:rPr>
            </w:pPr>
            <m:oMathPara>
              <m:oMathParaPr>
                <m:jc m:val="right"/>
              </m:oMathParaPr>
              <m:oMath>
                <m:r>
                  <m:rPr/>
                  <w:rPr>
                    <w:rFonts w:ascii="Cambria Math" w:hAnsi="Cambria Math" w:cs="Times New Roman"/>
                  </w:rPr>
                  <m:t>k</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荷载三角形内各</w:t>
            </w:r>
            <m:oMath>
              <m:sSubSup>
                <m:sSubSupPr>
                  <m:ctrlPr>
                    <w:rPr>
                      <w:rFonts w:ascii="Cambria Math" w:hAnsi="Cambria Math"/>
                      <w:bCs w:val="0"/>
                      <w:i/>
                      <w:szCs w:val="24"/>
                    </w:rPr>
                  </m:ctrlPr>
                </m:sSubSupPr>
                <m:e>
                  <m:r>
                    <m:rPr/>
                    <w:rPr>
                      <w:rFonts w:ascii="Cambria Math" w:hAnsi="Cambria Math"/>
                    </w:rPr>
                    <m:t>A</m:t>
                  </m:r>
                  <m:ctrlPr>
                    <w:rPr>
                      <w:rFonts w:ascii="Cambria Math" w:hAnsi="Cambria Math"/>
                      <w:bCs w:val="0"/>
                      <w:i/>
                      <w:szCs w:val="24"/>
                    </w:rPr>
                  </m:ctrlPr>
                </m:e>
                <m:sub>
                  <m:r>
                    <m:rPr/>
                    <w:rPr>
                      <w:rFonts w:ascii="Cambria Math" w:hAnsi="Cambria Math"/>
                    </w:rPr>
                    <m:t>i</m:t>
                  </m:r>
                  <m:ctrlPr>
                    <w:rPr>
                      <w:rFonts w:ascii="Cambria Math" w:hAnsi="Cambria Math"/>
                      <w:bCs w:val="0"/>
                      <w:i/>
                      <w:szCs w:val="24"/>
                    </w:rPr>
                  </m:ctrlPr>
                </m:sub>
                <m:sup>
                  <m:r>
                    <m:rPr/>
                    <w:rPr>
                      <w:rFonts w:ascii="Cambria Math" w:hAnsi="Cambria Math"/>
                    </w:rPr>
                    <m:t>'</m:t>
                  </m:r>
                  <m:ctrlPr>
                    <w:rPr>
                      <w:rFonts w:ascii="Cambria Math" w:hAnsi="Cambria Math"/>
                      <w:bCs w:val="0"/>
                      <w:i/>
                      <w:szCs w:val="24"/>
                    </w:rPr>
                  </m:ctrlPr>
                </m:sup>
              </m:sSubSup>
            </m:oMath>
            <w:r>
              <w:t>总和的倒数，按D.0.6条计算；</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i/>
              </w:rPr>
            </w:pPr>
            <m:oMathPara>
              <m:oMathParaPr>
                <m:jc m:val="right"/>
              </m:oMathParaPr>
              <m:oMath>
                <m:sSub>
                  <m:sSubPr>
                    <m:ctrlPr>
                      <w:rPr>
                        <w:rFonts w:ascii="Cambria Math" w:hAnsi="Cambria Math" w:cs="Times New Roman"/>
                        <w:bCs/>
                        <w:szCs w:val="21"/>
                      </w:rPr>
                    </m:ctrlPr>
                  </m:sSubPr>
                  <m:e>
                    <m:r>
                      <m:rPr/>
                      <w:rPr>
                        <w:rFonts w:ascii="Cambria Math" w:hAnsi="Cambria Math" w:cs="Times New Roman"/>
                      </w:rPr>
                      <m:t>l</m:t>
                    </m:r>
                    <m:ctrlPr>
                      <w:rPr>
                        <w:rFonts w:ascii="Cambria Math" w:hAnsi="Cambria Math" w:cs="Times New Roman"/>
                        <w:bCs/>
                        <w:szCs w:val="21"/>
                      </w:rPr>
                    </m:ctrlPr>
                  </m:e>
                  <m:sub>
                    <m:r>
                      <m:rPr/>
                      <w:rPr>
                        <w:rFonts w:ascii="Cambria Math" w:hAnsi="Cambria Math" w:cs="Times New Roman"/>
                      </w:rPr>
                      <m:t>i</m:t>
                    </m:r>
                    <m:ctrlPr>
                      <w:rPr>
                        <w:rFonts w:ascii="Cambria Math" w:hAnsi="Cambria Math" w:cs="Times New Roman"/>
                        <w:bCs/>
                        <w:szCs w:val="21"/>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pPr>
            <w:r>
              <w:t>拉力作用对槽式预埋件的影响长度，可按D.0.7条计算。</w:t>
            </w:r>
          </w:p>
        </w:tc>
      </w:tr>
    </w:tbl>
    <w:p>
      <w:pPr>
        <w:pStyle w:val="202"/>
        <w:rPr>
          <w:rFonts w:cs="Times New Roman"/>
        </w:rPr>
      </w:pPr>
      <w:r>
        <w:rPr>
          <w:rFonts w:cs="Times New Roman"/>
        </w:rPr>
        <w:drawing>
          <wp:inline distT="0" distB="0" distL="0" distR="0">
            <wp:extent cx="3599815" cy="101219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0"/>
                    <a:stretch>
                      <a:fillRect/>
                    </a:stretch>
                  </pic:blipFill>
                  <pic:spPr>
                    <a:xfrm>
                      <a:off x="0" y="0"/>
                      <a:ext cx="3600000" cy="1012302"/>
                    </a:xfrm>
                    <a:prstGeom prst="rect">
                      <a:avLst/>
                    </a:prstGeom>
                  </pic:spPr>
                </pic:pic>
              </a:graphicData>
            </a:graphic>
          </wp:inline>
        </w:drawing>
      </w:r>
    </w:p>
    <w:p>
      <w:pPr>
        <w:pStyle w:val="202"/>
        <w:rPr>
          <w:rFonts w:cs="Times New Roman"/>
        </w:rPr>
      </w:pPr>
      <w:r>
        <w:rPr>
          <w:rFonts w:cs="Times New Roman"/>
        </w:rPr>
        <w:drawing>
          <wp:inline distT="0" distB="0" distL="0" distR="0">
            <wp:extent cx="3599815" cy="2078355"/>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1"/>
                    <a:stretch>
                      <a:fillRect/>
                    </a:stretch>
                  </pic:blipFill>
                  <pic:spPr>
                    <a:xfrm>
                      <a:off x="0" y="0"/>
                      <a:ext cx="3600000" cy="2078873"/>
                    </a:xfrm>
                    <a:prstGeom prst="rect">
                      <a:avLst/>
                    </a:prstGeom>
                  </pic:spPr>
                </pic:pic>
              </a:graphicData>
            </a:graphic>
          </wp:inline>
        </w:drawing>
      </w:r>
    </w:p>
    <w:p>
      <w:pPr>
        <w:pStyle w:val="202"/>
        <w:rPr>
          <w:rFonts w:cs="Times New Roman"/>
        </w:rPr>
      </w:pPr>
      <w:r>
        <w:rPr>
          <w:rFonts w:cs="Times New Roman"/>
        </w:rPr>
        <w:t>图D.0.5 槽式预埋件锚筋受力计算示意图</w:t>
      </w:r>
    </w:p>
    <w:p>
      <w:pPr>
        <w:pStyle w:val="202"/>
        <w:rPr>
          <w:rFonts w:cs="Times New Roman"/>
          <w:b w:val="0"/>
        </w:rPr>
      </w:pPr>
      <w:r>
        <w:rPr>
          <w:rFonts w:cs="Times New Roman"/>
          <w:b w:val="0"/>
        </w:rPr>
        <w:t>a</w:t>
      </w:r>
      <w:r>
        <w:rPr>
          <w:rFonts w:hint="eastAsia" w:cs="Times New Roman"/>
          <w:b w:val="0"/>
          <w:lang w:eastAsia="zh-CN"/>
        </w:rPr>
        <w:t>）</w:t>
      </w:r>
      <w:r>
        <w:rPr>
          <w:rFonts w:cs="Times New Roman"/>
          <w:b w:val="0"/>
        </w:rPr>
        <w:t>一个槽式预埋件示意图；b</w:t>
      </w:r>
      <w:r>
        <w:rPr>
          <w:rFonts w:hint="eastAsia" w:cs="Times New Roman"/>
          <w:b w:val="0"/>
          <w:lang w:eastAsia="zh-CN"/>
        </w:rPr>
        <w:t>）</w:t>
      </w:r>
      <w:r>
        <w:rPr>
          <w:rFonts w:cs="Times New Roman"/>
          <w:b w:val="0"/>
        </w:rPr>
        <w:t>弹性支撑示意图；c</w:t>
      </w:r>
      <w:r>
        <w:rPr>
          <w:rFonts w:hint="eastAsia" w:cs="Times New Roman"/>
          <w:b w:val="0"/>
          <w:lang w:eastAsia="zh-CN"/>
        </w:rPr>
        <w:t>）</w:t>
      </w:r>
      <w:r>
        <w:rPr>
          <w:rFonts w:cs="Times New Roman"/>
          <w:b w:val="0"/>
        </w:rPr>
        <w:t>荷载三角形分配计算方法</w:t>
      </w:r>
    </w:p>
    <w:p>
      <w:pPr>
        <w:pStyle w:val="200"/>
      </w:pPr>
      <m:oMathPara>
        <m:oMath>
          <m:sSubSup>
            <m:sSubSupPr>
              <m:ctrlPr>
                <w:rPr>
                  <w:rFonts w:ascii="Cambria Math" w:hAnsi="Cambria Math"/>
                  <w:bCs w:val="0"/>
                  <w:i/>
                  <w:szCs w:val="24"/>
                </w:rPr>
              </m:ctrlPr>
            </m:sSubSupPr>
            <m:e>
              <m:r>
                <m:rPr/>
                <w:rPr>
                  <w:rFonts w:ascii="Cambria Math" w:hAnsi="Cambria Math"/>
                </w:rPr>
                <m:t>A</m:t>
              </m:r>
              <m:ctrlPr>
                <w:rPr>
                  <w:rFonts w:ascii="Cambria Math" w:hAnsi="Cambria Math"/>
                  <w:bCs w:val="0"/>
                  <w:i/>
                  <w:szCs w:val="24"/>
                </w:rPr>
              </m:ctrlPr>
            </m:e>
            <m:sub>
              <m:r>
                <m:rPr/>
                <w:rPr>
                  <w:rFonts w:ascii="Cambria Math" w:hAnsi="Cambria Math"/>
                </w:rPr>
                <m:t>2</m:t>
              </m:r>
              <m:ctrlPr>
                <w:rPr>
                  <w:rFonts w:ascii="Cambria Math" w:hAnsi="Cambria Math"/>
                  <w:bCs w:val="0"/>
                  <w:i/>
                  <w:szCs w:val="24"/>
                </w:rPr>
              </m:ctrlPr>
            </m:sub>
            <m:sup>
              <m:r>
                <m:rPr/>
                <w:rPr>
                  <w:rFonts w:ascii="Cambria Math" w:hAnsi="Cambria Math"/>
                </w:rPr>
                <m:t>'</m:t>
              </m:r>
              <m:ctrlPr>
                <w:rPr>
                  <w:rFonts w:ascii="Cambria Math" w:hAnsi="Cambria Math"/>
                  <w:bCs w:val="0"/>
                  <w:i/>
                  <w:szCs w:val="24"/>
                </w:rPr>
              </m:ctrlPr>
            </m:sup>
          </m:sSubSup>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−e−s</m:t>
              </m:r>
              <m:ctrlPr>
                <w:rPr>
                  <w:rFonts w:ascii="Cambria Math" w:hAnsi="Cambria Math"/>
                  <w:i/>
                </w:rPr>
              </m:ctrlPr>
            </m:num>
            <m:den>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den>
          </m:f>
          <m:r>
            <m:rPr/>
            <w:rPr>
              <w:rFonts w:ascii="Cambria Math" w:hAnsi="Cambria Math"/>
            </w:rPr>
            <m:t xml:space="preserve">           </m:t>
          </m:r>
          <m:sSubSup>
            <m:sSubSupPr>
              <m:ctrlPr>
                <w:rPr>
                  <w:rFonts w:ascii="Cambria Math" w:hAnsi="Cambria Math"/>
                  <w:bCs w:val="0"/>
                  <w:i/>
                  <w:szCs w:val="24"/>
                </w:rPr>
              </m:ctrlPr>
            </m:sSubSupPr>
            <m:e>
              <m:r>
                <m:rPr/>
                <w:rPr>
                  <w:rFonts w:ascii="Cambria Math" w:hAnsi="Cambria Math"/>
                </w:rPr>
                <m:t>A</m:t>
              </m:r>
              <m:ctrlPr>
                <w:rPr>
                  <w:rFonts w:ascii="Cambria Math" w:hAnsi="Cambria Math"/>
                  <w:bCs w:val="0"/>
                  <w:i/>
                  <w:szCs w:val="24"/>
                </w:rPr>
              </m:ctrlPr>
            </m:e>
            <m:sub>
              <m:r>
                <m:rPr/>
                <w:rPr>
                  <w:rFonts w:ascii="Cambria Math" w:hAnsi="Cambria Math"/>
                </w:rPr>
                <m:t>3</m:t>
              </m:r>
              <m:ctrlPr>
                <w:rPr>
                  <w:rFonts w:ascii="Cambria Math" w:hAnsi="Cambria Math"/>
                  <w:bCs w:val="0"/>
                  <w:i/>
                  <w:szCs w:val="24"/>
                </w:rPr>
              </m:ctrlPr>
            </m:sub>
            <m:sup>
              <m:r>
                <m:rPr/>
                <w:rPr>
                  <w:rFonts w:ascii="Cambria Math" w:hAnsi="Cambria Math"/>
                </w:rPr>
                <m:t>'</m:t>
              </m:r>
              <m:ctrlPr>
                <w:rPr>
                  <w:rFonts w:ascii="Cambria Math" w:hAnsi="Cambria Math"/>
                  <w:bCs w:val="0"/>
                  <w:i/>
                  <w:szCs w:val="24"/>
                </w:rPr>
              </m:ctrlPr>
            </m:sup>
          </m:sSubSup>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−e</m:t>
              </m:r>
              <m:ctrlPr>
                <w:rPr>
                  <w:rFonts w:ascii="Cambria Math" w:hAnsi="Cambria Math"/>
                  <w:i/>
                </w:rPr>
              </m:ctrlPr>
            </m:num>
            <m:den>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den>
          </m:f>
          <m:r>
            <m:rPr/>
            <w:rPr>
              <w:rFonts w:ascii="Cambria Math" w:hAnsi="Cambria Math"/>
            </w:rPr>
            <m:t xml:space="preserve">              </m:t>
          </m:r>
          <m:sSubSup>
            <m:sSubSupPr>
              <m:ctrlPr>
                <w:rPr>
                  <w:rFonts w:ascii="Cambria Math" w:hAnsi="Cambria Math"/>
                  <w:bCs w:val="0"/>
                  <w:i/>
                  <w:szCs w:val="24"/>
                </w:rPr>
              </m:ctrlPr>
            </m:sSubSupPr>
            <m:e>
              <m:r>
                <m:rPr/>
                <w:rPr>
                  <w:rFonts w:ascii="Cambria Math" w:hAnsi="Cambria Math"/>
                </w:rPr>
                <m:t>A</m:t>
              </m:r>
              <m:ctrlPr>
                <w:rPr>
                  <w:rFonts w:ascii="Cambria Math" w:hAnsi="Cambria Math"/>
                  <w:bCs w:val="0"/>
                  <w:i/>
                  <w:szCs w:val="24"/>
                </w:rPr>
              </m:ctrlPr>
            </m:e>
            <m:sub>
              <m:r>
                <m:rPr/>
                <w:rPr>
                  <w:rFonts w:ascii="Cambria Math" w:hAnsi="Cambria Math"/>
                </w:rPr>
                <m:t>4</m:t>
              </m:r>
              <m:ctrlPr>
                <w:rPr>
                  <w:rFonts w:ascii="Cambria Math" w:hAnsi="Cambria Math"/>
                  <w:bCs w:val="0"/>
                  <w:i/>
                  <w:szCs w:val="24"/>
                </w:rPr>
              </m:ctrlPr>
            </m:sub>
            <m:sup>
              <m:r>
                <m:rPr/>
                <w:rPr>
                  <w:rFonts w:ascii="Cambria Math" w:hAnsi="Cambria Math"/>
                </w:rPr>
                <m:t>'</m:t>
              </m:r>
              <m:ctrlPr>
                <w:rPr>
                  <w:rFonts w:ascii="Cambria Math" w:hAnsi="Cambria Math"/>
                  <w:bCs w:val="0"/>
                  <w:i/>
                  <w:szCs w:val="24"/>
                </w:rPr>
              </m:ctrlPr>
            </m:sup>
          </m:sSubSup>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−s+e</m:t>
              </m:r>
              <m:ctrlPr>
                <w:rPr>
                  <w:rFonts w:ascii="Cambria Math" w:hAnsi="Cambria Math"/>
                  <w:i/>
                </w:rPr>
              </m:ctrlPr>
            </m:num>
            <m:den>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den>
          </m:f>
          <m:r>
            <m:rPr/>
            <w:rPr>
              <w:rFonts w:ascii="Cambria Math" w:hAnsi="Cambria Math"/>
            </w:rPr>
            <m:t xml:space="preserve"> </m:t>
          </m:r>
        </m:oMath>
      </m:oMathPara>
    </w:p>
    <w:p>
      <w:pPr>
        <w:pStyle w:val="188"/>
        <w:ind w:firstLine="482"/>
        <w:rPr>
          <w:rFonts w:cs="Times New Roman"/>
        </w:rPr>
      </w:pPr>
      <w:r>
        <w:rPr>
          <w:rFonts w:cs="Times New Roman"/>
          <w:b/>
          <w:bCs w:val="0"/>
        </w:rPr>
        <w:t>2</w:t>
      </w:r>
      <w:r>
        <w:rPr>
          <w:rFonts w:cs="Times New Roman"/>
        </w:rPr>
        <w:t xml:space="preserve"> 位于槽式预埋件任意位置的T型螺栓受拉时，槽式预埋件会产生整体受弯，该弯矩设计值</w:t>
      </w:r>
      <m:oMath>
        <m:sSubSup>
          <m:sSubSupPr>
            <m:ctrlPr>
              <w:rPr>
                <w:rFonts w:ascii="Cambria Math" w:hAnsi="Cambria Math" w:cs="Times New Roman"/>
                <w:bCs w:val="0"/>
              </w:rPr>
            </m:ctrlPr>
          </m:sSubSupPr>
          <m:e>
            <m:r>
              <m:rPr/>
              <w:rPr>
                <w:rFonts w:ascii="Cambria Math" w:hAnsi="Cambria Math" w:cs="Times New Roman"/>
              </w:rPr>
              <m:t>M</m:t>
            </m:r>
            <m:ctrlPr>
              <w:rPr>
                <w:rFonts w:ascii="Cambria Math" w:hAnsi="Cambria Math" w:cs="Times New Roman"/>
                <w:bCs w:val="0"/>
              </w:rPr>
            </m:ctrlPr>
          </m:e>
          <m:sub>
            <m:r>
              <m:rPr>
                <m:sty m:val="p"/>
              </m:rPr>
              <w:rPr>
                <w:rFonts w:ascii="Cambria Math" w:hAnsi="Cambria Math" w:cs="Times New Roman"/>
              </w:rPr>
              <m:t>Ed</m:t>
            </m:r>
            <m:ctrlPr>
              <w:rPr>
                <w:rFonts w:ascii="Cambria Math" w:hAnsi="Cambria Math" w:cs="Times New Roman"/>
                <w:bCs w:val="0"/>
              </w:rPr>
            </m:ctrlPr>
          </m:sub>
          <m:sup>
            <m:r>
              <m:rPr/>
              <w:rPr>
                <w:rFonts w:ascii="Cambria Math" w:hAnsi="Cambria Math" w:cs="Times New Roman"/>
              </w:rPr>
              <m:t>cℎ</m:t>
            </m:r>
            <m:ctrlPr>
              <w:rPr>
                <w:rFonts w:ascii="Cambria Math" w:hAnsi="Cambria Math" w:cs="Times New Roman"/>
                <w:bCs w:val="0"/>
              </w:rPr>
            </m:ctrlPr>
          </m:sup>
        </m:sSubSup>
      </m:oMath>
      <w:r>
        <w:rPr>
          <w:rFonts w:cs="Times New Roman"/>
        </w:rPr>
        <w:t>，可假定槽式预埋件是以锚筋为支点的简支梁进行计算。</w:t>
      </w:r>
    </w:p>
    <w:p>
      <w:pPr>
        <w:pStyle w:val="200"/>
      </w:pPr>
      <w:r>
        <w:rPr>
          <w:b/>
        </w:rPr>
        <w:t xml:space="preserve">D.0.6 </w:t>
      </w:r>
      <w:r>
        <w:t>槽式预埋件受拉内力计算时，荷载三角形内各</w:t>
      </w:r>
      <m:oMath>
        <m:sSubSup>
          <m:sSubSupPr>
            <m:ctrlPr>
              <w:rPr>
                <w:rFonts w:ascii="Cambria Math" w:hAnsi="Cambria Math"/>
                <w:bCs w:val="0"/>
                <w:i/>
                <w:szCs w:val="24"/>
              </w:rPr>
            </m:ctrlPr>
          </m:sSubSupPr>
          <m:e>
            <m:r>
              <m:rPr/>
              <w:rPr>
                <w:rFonts w:ascii="Cambria Math" w:hAnsi="Cambria Math"/>
              </w:rPr>
              <m:t>A</m:t>
            </m:r>
            <m:ctrlPr>
              <w:rPr>
                <w:rFonts w:ascii="Cambria Math" w:hAnsi="Cambria Math"/>
                <w:bCs w:val="0"/>
                <w:i/>
                <w:szCs w:val="24"/>
              </w:rPr>
            </m:ctrlPr>
          </m:e>
          <m:sub>
            <m:r>
              <m:rPr/>
              <w:rPr>
                <w:rFonts w:ascii="Cambria Math" w:hAnsi="Cambria Math"/>
              </w:rPr>
              <m:t>i</m:t>
            </m:r>
            <m:ctrlPr>
              <w:rPr>
                <w:rFonts w:ascii="Cambria Math" w:hAnsi="Cambria Math"/>
                <w:bCs w:val="0"/>
                <w:i/>
                <w:szCs w:val="24"/>
              </w:rPr>
            </m:ctrlPr>
          </m:sub>
          <m:sup>
            <m:r>
              <m:rPr/>
              <w:rPr>
                <w:rFonts w:ascii="Cambria Math" w:hAnsi="Cambria Math"/>
              </w:rPr>
              <m:t>'</m:t>
            </m:r>
            <m:ctrlPr>
              <w:rPr>
                <w:rFonts w:ascii="Cambria Math" w:hAnsi="Cambria Math"/>
                <w:bCs w:val="0"/>
                <w:i/>
                <w:szCs w:val="24"/>
              </w:rPr>
            </m:ctrlPr>
          </m:sup>
        </m:sSubSup>
      </m:oMath>
      <w:r>
        <w:t>总和的倒数</w:t>
      </w:r>
      <w:r>
        <w:rPr>
          <w:i/>
        </w:rPr>
        <w:t>k</w:t>
      </w:r>
      <w:r>
        <w:t>可按下式计算：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r>
                  <m:rPr/>
                  <w:rPr>
                    <w:rFonts w:ascii="Cambria Math" w:hAnsi="Cambria Math" w:cs="Times New Roman"/>
                  </w:rPr>
                  <m:t>k=</m:t>
                </m:r>
                <m:f>
                  <m:fPr>
                    <m:ctrlPr>
                      <w:rPr>
                        <w:rFonts w:ascii="Cambria Math" w:hAnsi="Cambria Math" w:cs="Times New Roman"/>
                        <w:i/>
                      </w:rPr>
                    </m:ctrlPr>
                  </m:fPr>
                  <m:num>
                    <m:r>
                      <m:rPr/>
                      <w:rPr>
                        <w:rFonts w:ascii="Cambria Math" w:hAnsi="Cambria Math" w:cs="Times New Roman"/>
                      </w:rPr>
                      <m:t>1</m:t>
                    </m:r>
                    <m:ctrlPr>
                      <w:rPr>
                        <w:rFonts w:ascii="Cambria Math" w:hAnsi="Cambria Math" w:cs="Times New Roman"/>
                        <w:i/>
                      </w:rPr>
                    </m:ctrlPr>
                  </m:num>
                  <m:den>
                    <m:nary>
                      <m:naryPr>
                        <m:chr m:val="∑"/>
                        <m:limLoc m:val="subSup"/>
                        <m:ctrlPr>
                          <w:rPr>
                            <w:rFonts w:ascii="Cambria Math" w:hAnsi="Cambria Math" w:cs="Times New Roman"/>
                            <w:i/>
                          </w:rPr>
                        </m:ctrlPr>
                      </m:naryPr>
                      <m:sub>
                        <m:r>
                          <m:rPr/>
                          <w:rPr>
                            <w:rFonts w:ascii="Cambria Math" w:hAnsi="Cambria Math" w:cs="Times New Roman"/>
                          </w:rPr>
                          <m:t>1</m:t>
                        </m:r>
                        <m:ctrlPr>
                          <w:rPr>
                            <w:rFonts w:ascii="Cambria Math" w:hAnsi="Cambria Math" w:cs="Times New Roman"/>
                            <w:i/>
                          </w:rPr>
                        </m:ctrlPr>
                      </m:sub>
                      <m:sup>
                        <m:r>
                          <m:rPr/>
                          <w:rPr>
                            <w:rFonts w:ascii="Cambria Math" w:hAnsi="Cambria Math" w:cs="Times New Roman"/>
                          </w:rPr>
                          <m:t>n</m:t>
                        </m:r>
                        <m:ctrlPr>
                          <w:rPr>
                            <w:rFonts w:ascii="Cambria Math" w:hAnsi="Cambria Math" w:cs="Times New Roman"/>
                            <w:i/>
                          </w:rPr>
                        </m:ctrlPr>
                      </m:sup>
                      <m:e>
                        <m:sSubSup>
                          <m:sSubSupPr>
                            <m:ctrlPr>
                              <w:rPr>
                                <w:rFonts w:ascii="Cambria Math" w:hAnsi="Cambria Math" w:cs="Times New Roman"/>
                                <w:i/>
                              </w:rPr>
                            </m:ctrlPr>
                          </m:sSubSup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up>
                            <m:r>
                              <m:rPr/>
                              <w:rPr>
                                <w:rFonts w:ascii="Cambria Math" w:hAnsi="Cambria Math" w:cs="Times New Roman"/>
                              </w:rPr>
                              <m:t>'</m:t>
                            </m:r>
                            <m:ctrlPr>
                              <w:rPr>
                                <w:rFonts w:ascii="Cambria Math" w:hAnsi="Cambria Math" w:cs="Times New Roman"/>
                                <w:i/>
                              </w:rPr>
                            </m:ctrlPr>
                          </m:sup>
                        </m:sSubSup>
                        <m:ctrlPr>
                          <w:rPr>
                            <w:rFonts w:ascii="Cambria Math" w:hAnsi="Cambria Math" w:cs="Times New Roman"/>
                            <w:i/>
                          </w:rPr>
                        </m:ctrlPr>
                      </m:e>
                    </m:nary>
                    <m:ctrlPr>
                      <w:rPr>
                        <w:rFonts w:ascii="Cambria Math" w:hAnsi="Cambria Math" w:cs="Times New Roman"/>
                        <w:i/>
                      </w:rPr>
                    </m:ctrlPr>
                  </m:den>
                </m:f>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（D.0.6）</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r>
                  <m:rPr/>
                  <w:rPr>
                    <w:rFonts w:ascii="Cambria Math" w:hAnsi="Cambria Math" w:cs="Times New Roman"/>
                  </w:rPr>
                  <m:t>n</m:t>
                </m:r>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拉力</w:t>
            </w:r>
            <m:oMath>
              <m:sSubSup>
                <m:sSubSupPr>
                  <m:ctrlPr>
                    <w:rPr>
                      <w:rFonts w:ascii="Cambria Math" w:hAnsi="Cambria Math"/>
                      <w:bCs w:val="0"/>
                      <w:szCs w:val="24"/>
                    </w:rPr>
                  </m:ctrlPr>
                </m:sSubSupPr>
                <m:e>
                  <m:r>
                    <m:rPr/>
                    <w:rPr>
                      <w:rFonts w:ascii="Cambria Math" w:hAnsi="Cambria Math"/>
                    </w:rPr>
                    <m:t>N</m:t>
                  </m:r>
                  <m:ctrlPr>
                    <w:rPr>
                      <w:rFonts w:ascii="Cambria Math" w:hAnsi="Cambria Math"/>
                      <w:bCs w:val="0"/>
                      <w:szCs w:val="24"/>
                    </w:rPr>
                  </m:ctrlPr>
                </m:e>
                <m:sub>
                  <m:r>
                    <m:rPr>
                      <m:sty m:val="p"/>
                    </m:rPr>
                    <w:rPr>
                      <w:rFonts w:ascii="Cambria Math" w:hAnsi="Cambria Math"/>
                    </w:rPr>
                    <m:t>Ed</m:t>
                  </m:r>
                  <m:ctrlPr>
                    <w:rPr>
                      <w:rFonts w:ascii="Cambria Math" w:hAnsi="Cambria Math"/>
                      <w:bCs w:val="0"/>
                      <w:szCs w:val="24"/>
                    </w:rPr>
                  </m:ctrlPr>
                </m:sub>
                <m:sup>
                  <m:r>
                    <m:rPr/>
                    <w:rPr>
                      <w:rFonts w:ascii="Cambria Math" w:hAnsi="Cambria Math"/>
                    </w:rPr>
                    <m:t>cb</m:t>
                  </m:r>
                  <m:ctrlPr>
                    <w:rPr>
                      <w:rFonts w:ascii="Cambria Math" w:hAnsi="Cambria Math"/>
                      <w:bCs w:val="0"/>
                      <w:szCs w:val="24"/>
                    </w:rPr>
                  </m:ctrlPr>
                </m:sup>
              </m:sSubSup>
            </m:oMath>
            <w:r>
              <w:t>影响长度内的锚筋数量；</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Sup>
                  <m:sSubSupPr>
                    <m:ctrlPr>
                      <w:rPr>
                        <w:rFonts w:ascii="Cambria Math" w:hAnsi="Cambria Math" w:cs="Times New Roman"/>
                        <w:i/>
                      </w:rPr>
                    </m:ctrlPr>
                  </m:sSubSup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up>
                    <m:r>
                      <m:rPr/>
                      <w:rPr>
                        <w:rFonts w:ascii="Cambria Math" w:hAnsi="Cambria Math" w:cs="Times New Roman"/>
                      </w:rPr>
                      <m:t>'</m:t>
                    </m:r>
                    <m:ctrlPr>
                      <w:rPr>
                        <w:rFonts w:ascii="Cambria Math" w:hAnsi="Cambria Math" w:cs="Times New Roman"/>
                        <w:i/>
                      </w:rPr>
                    </m:ctrlPr>
                  </m:sup>
                </m:sSubSup>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见D.0.5条。</w:t>
            </w:r>
          </w:p>
        </w:tc>
      </w:tr>
    </w:tbl>
    <w:p>
      <w:pPr>
        <w:pStyle w:val="200"/>
      </w:pPr>
      <w:r>
        <w:rPr>
          <w:b/>
        </w:rPr>
        <w:t xml:space="preserve">D.0.7 </w:t>
      </w:r>
      <w:r>
        <w:t>槽式预埋件受拉内力计算时，拉力作用对槽式预埋件的影响长度</w:t>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i</m:t>
            </m:r>
            <m:ctrlPr>
              <w:rPr>
                <w:rFonts w:ascii="Cambria Math" w:hAnsi="Cambria Math"/>
                <w:i/>
              </w:rPr>
            </m:ctrlPr>
          </m:sub>
        </m:sSub>
      </m:oMath>
      <w:r>
        <w:t>可按下式计算：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bCs/>
                        <w:i/>
                        <w:szCs w:val="21"/>
                      </w:rPr>
                    </m:ctrlPr>
                  </m:sSubPr>
                  <m:e>
                    <m:r>
                      <m:rPr/>
                      <w:rPr>
                        <w:rFonts w:ascii="Cambria Math" w:hAnsi="Cambria Math" w:cs="Times New Roman"/>
                      </w:rPr>
                      <m:t>l</m:t>
                    </m:r>
                    <m:ctrlPr>
                      <w:rPr>
                        <w:rFonts w:ascii="Cambria Math" w:hAnsi="Cambria Math" w:cs="Times New Roman"/>
                        <w:bCs/>
                        <w:i/>
                        <w:szCs w:val="21"/>
                      </w:rPr>
                    </m:ctrlPr>
                  </m:e>
                  <m:sub>
                    <m:r>
                      <m:rPr/>
                      <w:rPr>
                        <w:rFonts w:ascii="Cambria Math" w:hAnsi="Cambria Math" w:cs="Times New Roman"/>
                      </w:rPr>
                      <m:t>i</m:t>
                    </m:r>
                    <m:ctrlPr>
                      <w:rPr>
                        <w:rFonts w:ascii="Cambria Math" w:hAnsi="Cambria Math" w:cs="Times New Roman"/>
                        <w:bCs/>
                        <w:i/>
                        <w:szCs w:val="21"/>
                      </w:rPr>
                    </m:ctrlPr>
                  </m:sub>
                </m:sSub>
                <m:r>
                  <m:rPr/>
                  <w:rPr>
                    <w:rFonts w:ascii="Cambria Math" w:hAnsi="Cambria Math" w:cs="Times New Roman"/>
                  </w:rPr>
                  <m:t>=13·</m:t>
                </m:r>
                <m:sSubSup>
                  <m:sSubSupPr>
                    <m:ctrlPr>
                      <w:rPr>
                        <w:rFonts w:ascii="Cambria Math" w:hAnsi="Cambria Math" w:cs="Times New Roman"/>
                        <w:i/>
                      </w:rPr>
                    </m:ctrlPr>
                  </m:sSubSupPr>
                  <m:e>
                    <m:r>
                      <m:rPr/>
                      <w:rPr>
                        <w:rFonts w:ascii="Cambria Math" w:hAnsi="Cambria Math" w:cs="Times New Roman"/>
                      </w:rPr>
                      <m:t>I</m:t>
                    </m:r>
                    <m:ctrlPr>
                      <w:rPr>
                        <w:rFonts w:ascii="Cambria Math" w:hAnsi="Cambria Math" w:cs="Times New Roman"/>
                        <w:i/>
                      </w:rPr>
                    </m:ctrlPr>
                  </m:e>
                  <m:sub>
                    <m:r>
                      <m:rPr/>
                      <w:rPr>
                        <w:rFonts w:ascii="Cambria Math" w:hAnsi="Cambria Math" w:cs="Times New Roman"/>
                      </w:rPr>
                      <m:t>y</m:t>
                    </m:r>
                    <m:ctrlPr>
                      <w:rPr>
                        <w:rFonts w:ascii="Cambria Math" w:hAnsi="Cambria Math" w:cs="Times New Roman"/>
                        <w:i/>
                      </w:rPr>
                    </m:ctrlPr>
                  </m:sub>
                  <m:sup>
                    <m:r>
                      <m:rPr/>
                      <w:rPr>
                        <w:rFonts w:ascii="Cambria Math" w:hAnsi="Cambria Math" w:cs="Times New Roman"/>
                      </w:rPr>
                      <m:t>0.05</m:t>
                    </m:r>
                    <m:ctrlPr>
                      <w:rPr>
                        <w:rFonts w:ascii="Cambria Math" w:hAnsi="Cambria Math" w:cs="Times New Roman"/>
                        <w:i/>
                      </w:rPr>
                    </m:ctrlPr>
                  </m:sup>
                </m:sSub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s</m:t>
                    </m:r>
                    <m:ctrlPr>
                      <w:rPr>
                        <w:rFonts w:ascii="Cambria Math" w:hAnsi="Cambria Math" w:cs="Times New Roman"/>
                        <w:i/>
                      </w:rPr>
                    </m:ctrlPr>
                  </m:e>
                  <m:sup>
                    <m:r>
                      <m:rPr/>
                      <w:rPr>
                        <w:rFonts w:ascii="Cambria Math" w:hAnsi="Cambria Math" w:cs="Times New Roman"/>
                      </w:rPr>
                      <m:t>0.5</m:t>
                    </m:r>
                    <m:ctrlPr>
                      <w:rPr>
                        <w:rFonts w:ascii="Cambria Math" w:hAnsi="Cambria Math" w:cs="Times New Roman"/>
                        <w:i/>
                      </w:rPr>
                    </m:ctrlPr>
                  </m:sup>
                </m:sSup>
                <m:r>
                  <m:rPr/>
                  <w:rPr>
                    <w:rFonts w:ascii="Cambria Math" w:hAnsi="Cambria Math" w:cs="Times New Roman"/>
                  </w:rPr>
                  <m:t>≥s</m:t>
                </m:r>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（D.0.7）</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bCs/>
                        <w:i/>
                        <w:szCs w:val="21"/>
                      </w:rPr>
                    </m:ctrlPr>
                  </m:sSubPr>
                  <m:e>
                    <m:r>
                      <m:rPr/>
                      <w:rPr>
                        <w:rFonts w:ascii="Cambria Math" w:hAnsi="Cambria Math" w:cs="Times New Roman"/>
                      </w:rPr>
                      <m:t>I</m:t>
                    </m:r>
                    <m:ctrlPr>
                      <w:rPr>
                        <w:rFonts w:ascii="Cambria Math" w:hAnsi="Cambria Math" w:cs="Times New Roman"/>
                        <w:bCs/>
                        <w:i/>
                        <w:szCs w:val="21"/>
                      </w:rPr>
                    </m:ctrlPr>
                  </m:e>
                  <m:sub>
                    <m:r>
                      <m:rPr/>
                      <w:rPr>
                        <w:rFonts w:ascii="Cambria Math" w:hAnsi="Cambria Math" w:cs="Times New Roman"/>
                      </w:rPr>
                      <m:t>y</m:t>
                    </m:r>
                    <m:ctrlPr>
                      <w:rPr>
                        <w:rFonts w:ascii="Cambria Math" w:hAnsi="Cambria Math" w:cs="Times New Roman"/>
                        <w:bCs/>
                        <w:i/>
                        <w:szCs w:val="21"/>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钢槽截面惯性矩</w:t>
            </w:r>
            <w:r>
              <w:rPr>
                <w:rFonts w:hint="eastAsia"/>
                <w:lang w:eastAsia="zh-CN"/>
              </w:rPr>
              <w:t>（</w:t>
            </w:r>
            <w:r>
              <w:t>mm</w:t>
            </w:r>
            <w:r>
              <w:rPr>
                <w:vertAlign w:val="superscript"/>
              </w:rPr>
              <w:t>4</w:t>
            </w:r>
            <w:r>
              <w:t>)，由相关产品型式检验报告或认证报告提供；</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r>
                  <m:rPr/>
                  <w:rPr>
                    <w:rFonts w:ascii="Cambria Math" w:hAnsi="Cambria Math" w:cs="Times New Roman"/>
                  </w:rPr>
                  <m:t>s</m:t>
                </m:r>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锚筋间距</w:t>
            </w:r>
            <w:r>
              <w:rPr>
                <w:rFonts w:hint="eastAsia"/>
                <w:lang w:eastAsia="zh-CN"/>
              </w:rPr>
              <w:t>（</w:t>
            </w:r>
            <w:r>
              <w:t>mm)，见图D.0.5条。</w:t>
            </w:r>
          </w:p>
        </w:tc>
      </w:tr>
    </w:tbl>
    <w:p>
      <w:pPr>
        <w:pStyle w:val="200"/>
      </w:pPr>
      <w:r>
        <w:rPr>
          <w:b/>
        </w:rPr>
        <w:t xml:space="preserve">D.0.8 </w:t>
      </w:r>
      <w:r>
        <w:t>槽式预埋件受剪力时的内力计算：</w:t>
      </w:r>
    </w:p>
    <w:p>
      <w:pPr>
        <w:pStyle w:val="188"/>
        <w:ind w:firstLine="482"/>
        <w:rPr>
          <w:rFonts w:cs="Times New Roman"/>
        </w:rPr>
      </w:pPr>
      <w:r>
        <w:rPr>
          <w:rFonts w:cs="Times New Roman"/>
          <w:b/>
          <w:bCs w:val="0"/>
        </w:rPr>
        <w:t>1</w:t>
      </w:r>
      <w:r>
        <w:rPr>
          <w:rFonts w:cs="Times New Roman"/>
        </w:rPr>
        <w:t>槽式预埋件受垂直于钢槽长度方向的剪力</w:t>
      </w: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Ed，y</m:t>
            </m:r>
            <m:ctrlPr>
              <w:rPr>
                <w:rFonts w:ascii="Cambria Math" w:hAnsi="Cambria Math" w:cs="Times New Roman"/>
                <w:szCs w:val="21"/>
              </w:rPr>
            </m:ctrlPr>
          </m:sub>
        </m:sSub>
      </m:oMath>
      <w:r>
        <w:rPr>
          <w:rFonts w:cs="Times New Roman"/>
        </w:rPr>
        <w:t>时，其内力可按照D.0.5条进行计算。</w:t>
      </w:r>
    </w:p>
    <w:p>
      <w:pPr>
        <w:pStyle w:val="188"/>
        <w:ind w:firstLine="482"/>
        <w:rPr>
          <w:rFonts w:cs="Times New Roman"/>
        </w:rPr>
      </w:pPr>
      <w:r>
        <w:rPr>
          <w:rFonts w:cs="Times New Roman"/>
          <w:b/>
          <w:bCs w:val="0"/>
        </w:rPr>
        <w:t>2</w:t>
      </w:r>
      <w:r>
        <w:rPr>
          <w:rFonts w:cs="Times New Roman"/>
        </w:rPr>
        <w:t>槽式预埋件受平行于钢槽长度方向的剪力</w:t>
      </w: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Ed，x</m:t>
            </m:r>
            <m:ctrlPr>
              <w:rPr>
                <w:rFonts w:ascii="Cambria Math" w:hAnsi="Cambria Math" w:cs="Times New Roman"/>
                <w:szCs w:val="21"/>
              </w:rPr>
            </m:ctrlPr>
          </m:sub>
        </m:sSub>
      </m:oMath>
      <w:r>
        <w:rPr>
          <w:rFonts w:cs="Times New Roman"/>
        </w:rPr>
        <w:t>时，仅由受力方向尾部的三根锚筋平均承担荷载，即尾部三根锚筋的力值均为</w:t>
      </w: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Ed，x</m:t>
            </m:r>
            <m:ctrlPr>
              <w:rPr>
                <w:rFonts w:ascii="Cambria Math" w:hAnsi="Cambria Math" w:cs="Times New Roman"/>
                <w:szCs w:val="21"/>
              </w:rPr>
            </m:ctrlPr>
          </m:sub>
        </m:sSub>
        <m:r>
          <m:rPr/>
          <w:rPr>
            <w:rFonts w:ascii="Cambria Math" w:hAnsi="Cambria Math" w:cs="Times New Roman"/>
            <w:szCs w:val="21"/>
          </w:rPr>
          <m:t>/3</m:t>
        </m:r>
      </m:oMath>
      <w:r>
        <w:rPr>
          <w:rFonts w:cs="Times New Roman"/>
        </w:rPr>
        <w:t>；锚筋数量不大于3时，可将剪力</w:t>
      </w: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Ed，x</m:t>
            </m:r>
            <m:ctrlPr>
              <w:rPr>
                <w:rFonts w:ascii="Cambria Math" w:hAnsi="Cambria Math" w:cs="Times New Roman"/>
                <w:szCs w:val="21"/>
              </w:rPr>
            </m:ctrlPr>
          </m:sub>
        </m:sSub>
      </m:oMath>
      <w:r>
        <w:rPr>
          <w:rFonts w:cs="Times New Roman"/>
        </w:rPr>
        <w:t>平均分配到各锚筋上。</w:t>
      </w:r>
    </w:p>
    <w:p>
      <w:pPr>
        <w:pStyle w:val="200"/>
      </w:pPr>
      <w:r>
        <w:rPr>
          <w:b/>
        </w:rPr>
        <w:t xml:space="preserve">D.0.9 </w:t>
      </w:r>
      <w:r>
        <w:t>下列2个条件同时满足时，作用于钢槽的剪力可以认定为没有杠杆臂的纯剪切状态，否则应按照有杠杆臂受剪进行计算（图D.0.9）。</w:t>
      </w:r>
    </w:p>
    <w:p>
      <w:pPr>
        <w:pStyle w:val="188"/>
        <w:ind w:firstLine="482"/>
        <w:rPr>
          <w:rFonts w:cs="Times New Roman"/>
        </w:rPr>
      </w:pPr>
      <w:r>
        <w:rPr>
          <w:rFonts w:cs="Times New Roman"/>
          <w:b/>
          <w:bCs w:val="0"/>
        </w:rPr>
        <w:t>1</w:t>
      </w:r>
      <w:r>
        <w:rPr>
          <w:rFonts w:cs="Times New Roman"/>
        </w:rPr>
        <w:t>被连接件材质为钢或铝合金，在其厚度范围内与T型螺栓全接触；</w:t>
      </w:r>
    </w:p>
    <w:p>
      <w:pPr>
        <w:pStyle w:val="188"/>
        <w:ind w:firstLine="482"/>
        <w:rPr>
          <w:rFonts w:cs="Times New Roman"/>
        </w:rPr>
      </w:pPr>
      <w:r>
        <w:rPr>
          <w:rFonts w:cs="Times New Roman"/>
          <w:b/>
          <w:bCs w:val="0"/>
        </w:rPr>
        <w:t>2</w:t>
      </w:r>
      <w:r>
        <w:rPr>
          <w:rFonts w:cs="Times New Roman"/>
        </w:rPr>
        <w:t>被连接件与混凝土基材直接接触。</w:t>
      </w:r>
    </w:p>
    <w:p>
      <w:pPr>
        <w:pStyle w:val="202"/>
        <w:rPr>
          <w:rFonts w:cs="Times New Roman"/>
        </w:rPr>
      </w:pPr>
      <w:r>
        <w:rPr>
          <w:rFonts w:cs="Times New Roman"/>
        </w:rPr>
        <w:drawing>
          <wp:inline distT="0" distB="0" distL="0" distR="0">
            <wp:extent cx="3009900" cy="22529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2"/>
                    <a:stretch>
                      <a:fillRect/>
                    </a:stretch>
                  </pic:blipFill>
                  <pic:spPr>
                    <a:xfrm>
                      <a:off x="0" y="0"/>
                      <a:ext cx="3012216" cy="2254505"/>
                    </a:xfrm>
                    <a:prstGeom prst="rect">
                      <a:avLst/>
                    </a:prstGeom>
                  </pic:spPr>
                </pic:pic>
              </a:graphicData>
            </a:graphic>
          </wp:inline>
        </w:drawing>
      </w:r>
    </w:p>
    <w:p>
      <w:pPr>
        <w:pStyle w:val="202"/>
        <w:rPr>
          <w:rFonts w:cs="Times New Roman"/>
        </w:rPr>
      </w:pPr>
      <w:r>
        <w:rPr>
          <w:rFonts w:cs="Times New Roman"/>
        </w:rPr>
        <w:t>图D.0.9杠杆力臂长度示意图</w:t>
      </w:r>
    </w:p>
    <w:p>
      <w:pPr>
        <w:pStyle w:val="200"/>
      </w:pPr>
      <w:r>
        <w:rPr>
          <w:b/>
        </w:rPr>
        <w:t xml:space="preserve">D.0.10 </w:t>
      </w:r>
      <w:r>
        <w:t>槽式预埋组件设计，应分别对拉力和剪力引起的槽式预埋件及混凝土结构强度进行校核，并验算拉剪复合作用。</w:t>
      </w:r>
    </w:p>
    <w:p>
      <w:pPr>
        <w:pStyle w:val="188"/>
        <w:ind w:firstLine="482"/>
        <w:rPr>
          <w:rFonts w:cs="Times New Roman"/>
        </w:rPr>
      </w:pPr>
      <w:r>
        <w:rPr>
          <w:rFonts w:cs="Times New Roman"/>
          <w:b/>
          <w:bCs w:val="0"/>
        </w:rPr>
        <w:t>1</w:t>
      </w:r>
      <w:r>
        <w:rPr>
          <w:rFonts w:cs="Times New Roman"/>
        </w:rPr>
        <w:t>槽式预埋件应按照表D.0.10-1计算受拉承载力。</w:t>
      </w:r>
    </w:p>
    <w:p>
      <w:pPr>
        <w:pStyle w:val="202"/>
        <w:rPr>
          <w:rFonts w:cs="Times New Roman"/>
        </w:rPr>
      </w:pPr>
      <w:r>
        <w:rPr>
          <w:rFonts w:cs="Times New Roman"/>
        </w:rPr>
        <w:t>表D.0.10-1拉力作用下槽式预埋件的验算项目</w:t>
      </w:r>
    </w:p>
    <w:tbl>
      <w:tblPr>
        <w:tblStyle w:val="3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8"/>
        <w:gridCol w:w="493"/>
        <w:gridCol w:w="1661"/>
        <w:gridCol w:w="2194"/>
        <w:gridCol w:w="2383"/>
        <w:gridCol w:w="2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85" w:type="pct"/>
            <w:vAlign w:val="center"/>
          </w:tcPr>
          <w:p>
            <w:pPr>
              <w:pStyle w:val="203"/>
              <w:rPr>
                <w:rFonts w:ascii="Times New Roman" w:cs="Times New Roman"/>
              </w:rPr>
            </w:pPr>
            <w:r>
              <w:rPr>
                <w:rFonts w:ascii="Times New Roman" w:cs="Times New Roman"/>
              </w:rPr>
              <w:t>序号</w:t>
            </w:r>
          </w:p>
        </w:tc>
        <w:tc>
          <w:tcPr>
            <w:tcW w:w="1092" w:type="pct"/>
            <w:gridSpan w:val="2"/>
          </w:tcPr>
          <w:p>
            <w:pPr>
              <w:pStyle w:val="203"/>
              <w:rPr>
                <w:rFonts w:ascii="Times New Roman" w:cs="Times New Roman"/>
              </w:rPr>
            </w:pPr>
            <w:r>
              <w:rPr>
                <w:rFonts w:ascii="Times New Roman" w:cs="Times New Roman"/>
              </w:rPr>
              <w:t>失效模式</w:t>
            </w:r>
          </w:p>
        </w:tc>
        <w:tc>
          <w:tcPr>
            <w:tcW w:w="1113" w:type="pct"/>
          </w:tcPr>
          <w:p>
            <w:pPr>
              <w:pStyle w:val="203"/>
              <w:rPr>
                <w:rFonts w:ascii="Times New Roman" w:cs="Times New Roman"/>
              </w:rPr>
            </w:pPr>
            <w:r>
              <w:rPr>
                <w:rFonts w:ascii="Times New Roman" w:cs="Times New Roman"/>
              </w:rPr>
              <w:t>钢槽</w:t>
            </w:r>
          </w:p>
        </w:tc>
        <w:tc>
          <w:tcPr>
            <w:tcW w:w="1209" w:type="pct"/>
          </w:tcPr>
          <w:p>
            <w:pPr>
              <w:pStyle w:val="203"/>
              <w:rPr>
                <w:rFonts w:ascii="Times New Roman" w:cs="Times New Roman"/>
              </w:rPr>
            </w:pPr>
            <w:r>
              <w:rPr>
                <w:rFonts w:ascii="Times New Roman" w:cs="Times New Roman"/>
              </w:rPr>
              <w:t>最不利锚筋或螺栓</w:t>
            </w:r>
          </w:p>
        </w:tc>
        <w:tc>
          <w:tcPr>
            <w:tcW w:w="1200" w:type="pct"/>
          </w:tcPr>
          <w:p>
            <w:pPr>
              <w:pStyle w:val="203"/>
              <w:rPr>
                <w:rFonts w:ascii="Times New Roman" w:cs="Times New Roman"/>
              </w:rPr>
            </w:pPr>
            <w:r>
              <w:rPr>
                <w:rFonts w:ascii="Times New Roman" w:cs="Times New Roman"/>
              </w:rPr>
              <w:t>示意图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5" w:type="pct"/>
            <w:vAlign w:val="center"/>
          </w:tcPr>
          <w:p>
            <w:pPr>
              <w:pStyle w:val="203"/>
              <w:rPr>
                <w:rFonts w:ascii="Times New Roman" w:cs="Times New Roman"/>
              </w:rPr>
            </w:pPr>
            <w:r>
              <w:rPr>
                <w:rFonts w:ascii="Times New Roman" w:cs="Times New Roman"/>
              </w:rPr>
              <w:t>1</w:t>
            </w:r>
          </w:p>
        </w:tc>
        <w:tc>
          <w:tcPr>
            <w:tcW w:w="250" w:type="pct"/>
            <w:vMerge w:val="restart"/>
            <w:vAlign w:val="center"/>
          </w:tcPr>
          <w:p>
            <w:pPr>
              <w:pStyle w:val="203"/>
              <w:rPr>
                <w:rFonts w:ascii="Times New Roman" w:cs="Times New Roman"/>
              </w:rPr>
            </w:pPr>
            <w:r>
              <w:rPr>
                <w:rFonts w:ascii="Times New Roman" w:cs="Times New Roman"/>
              </w:rPr>
              <w:t>钢材破坏</w:t>
            </w:r>
          </w:p>
        </w:tc>
        <w:tc>
          <w:tcPr>
            <w:tcW w:w="843" w:type="pct"/>
            <w:vAlign w:val="center"/>
          </w:tcPr>
          <w:p>
            <w:pPr>
              <w:pStyle w:val="203"/>
              <w:jc w:val="both"/>
              <w:rPr>
                <w:rFonts w:ascii="Times New Roman" w:cs="Times New Roman"/>
              </w:rPr>
            </w:pPr>
            <w:r>
              <w:rPr>
                <w:rFonts w:ascii="Times New Roman" w:cs="Times New Roman"/>
              </w:rPr>
              <w:t>锚筋受拉</w:t>
            </w:r>
          </w:p>
        </w:tc>
        <w:tc>
          <w:tcPr>
            <w:tcW w:w="1113" w:type="pct"/>
            <w:vAlign w:val="center"/>
          </w:tcPr>
          <w:p>
            <w:pPr>
              <w:pStyle w:val="203"/>
              <w:rPr>
                <w:rFonts w:ascii="Times New Roman" w:cs="Times New Roman"/>
              </w:rPr>
            </w:pPr>
            <w:r>
              <w:rPr>
                <w:rFonts w:hint="eastAsia" w:ascii="Times New Roman" w:cs="Times New Roman"/>
              </w:rPr>
              <w:t>——</w:t>
            </w:r>
          </w:p>
        </w:tc>
        <w:tc>
          <w:tcPr>
            <w:tcW w:w="1209"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N</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w:rPr>
                        <w:rFonts w:ascii="Cambria Math" w:hAnsi="Cambria Math" w:cs="Times New Roman"/>
                      </w:rPr>
                      <m:t>a</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Rd，s，a</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Rk，s，a</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Ms</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00" w:type="pct"/>
            <w:vAlign w:val="center"/>
          </w:tcPr>
          <w:p>
            <w:pPr>
              <w:pStyle w:val="203"/>
              <w:rPr>
                <w:rFonts w:ascii="Times New Roman" w:cs="Times New Roman"/>
              </w:rPr>
            </w:pPr>
            <w:r>
              <w:rPr>
                <w:rFonts w:ascii="Times New Roman" w:cs="Times New Roman"/>
              </w:rPr>
              <w:drawing>
                <wp:inline distT="0" distB="0" distL="0" distR="0">
                  <wp:extent cx="522605" cy="719455"/>
                  <wp:effectExtent l="0" t="0" r="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3"/>
                          <a:stretch>
                            <a:fillRect/>
                          </a:stretch>
                        </pic:blipFill>
                        <pic:spPr>
                          <a:xfrm>
                            <a:off x="0" y="0"/>
                            <a:ext cx="523019" cy="72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5" w:type="pct"/>
            <w:vAlign w:val="center"/>
          </w:tcPr>
          <w:p>
            <w:pPr>
              <w:pStyle w:val="203"/>
              <w:rPr>
                <w:rFonts w:ascii="Times New Roman" w:cs="Times New Roman"/>
              </w:rPr>
            </w:pPr>
            <w:r>
              <w:rPr>
                <w:rFonts w:ascii="Times New Roman" w:cs="Times New Roman"/>
              </w:rPr>
              <w:t>2</w:t>
            </w:r>
          </w:p>
        </w:tc>
        <w:tc>
          <w:tcPr>
            <w:tcW w:w="250" w:type="pct"/>
            <w:vMerge w:val="continue"/>
          </w:tcPr>
          <w:p>
            <w:pPr>
              <w:pStyle w:val="203"/>
              <w:rPr>
                <w:rFonts w:ascii="Times New Roman" w:cs="Times New Roman"/>
              </w:rPr>
            </w:pPr>
          </w:p>
        </w:tc>
        <w:tc>
          <w:tcPr>
            <w:tcW w:w="843" w:type="pct"/>
            <w:vAlign w:val="center"/>
          </w:tcPr>
          <w:p>
            <w:pPr>
              <w:pStyle w:val="203"/>
              <w:jc w:val="both"/>
              <w:rPr>
                <w:rFonts w:ascii="Times New Roman" w:cs="Times New Roman"/>
              </w:rPr>
            </w:pPr>
            <w:r>
              <w:rPr>
                <w:rFonts w:ascii="Times New Roman" w:cs="Times New Roman"/>
              </w:rPr>
              <w:t>锚筋与钢槽连接处受拉</w:t>
            </w:r>
          </w:p>
        </w:tc>
        <w:tc>
          <w:tcPr>
            <w:tcW w:w="1113" w:type="pct"/>
            <w:vAlign w:val="center"/>
          </w:tcPr>
          <w:p>
            <w:pPr>
              <w:pStyle w:val="203"/>
              <w:rPr>
                <w:rFonts w:ascii="Times New Roman" w:cs="Times New Roman"/>
              </w:rPr>
            </w:pPr>
            <w:r>
              <w:rPr>
                <w:rFonts w:hint="eastAsia" w:ascii="Times New Roman" w:cs="Times New Roman"/>
              </w:rPr>
              <w:t>——</w:t>
            </w:r>
          </w:p>
        </w:tc>
        <w:tc>
          <w:tcPr>
            <w:tcW w:w="1209"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N</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w:rPr>
                        <w:rFonts w:ascii="Cambria Math" w:hAnsi="Cambria Math" w:cs="Times New Roman"/>
                      </w:rPr>
                      <m:t>a</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Rd，s，c</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Rk，s，c</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Ms，ca</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00" w:type="pct"/>
            <w:vAlign w:val="center"/>
          </w:tcPr>
          <w:p>
            <w:pPr>
              <w:pStyle w:val="203"/>
              <w:rPr>
                <w:rFonts w:ascii="Times New Roman" w:cs="Times New Roman"/>
              </w:rPr>
            </w:pPr>
            <w:r>
              <w:rPr>
                <w:rFonts w:ascii="Times New Roman" w:cs="Times New Roman"/>
              </w:rPr>
              <w:drawing>
                <wp:inline distT="0" distB="0" distL="0" distR="0">
                  <wp:extent cx="773430" cy="719455"/>
                  <wp:effectExtent l="0" t="0" r="762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94"/>
                          <a:stretch>
                            <a:fillRect/>
                          </a:stretch>
                        </pic:blipFill>
                        <pic:spPr>
                          <a:xfrm>
                            <a:off x="0" y="0"/>
                            <a:ext cx="773617" cy="72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5" w:type="pct"/>
            <w:vAlign w:val="center"/>
          </w:tcPr>
          <w:p>
            <w:pPr>
              <w:pStyle w:val="203"/>
              <w:rPr>
                <w:rFonts w:ascii="Times New Roman" w:cs="Times New Roman"/>
              </w:rPr>
            </w:pPr>
            <w:r>
              <w:rPr>
                <w:rFonts w:ascii="Times New Roman" w:cs="Times New Roman"/>
              </w:rPr>
              <w:t>3</w:t>
            </w:r>
          </w:p>
        </w:tc>
        <w:tc>
          <w:tcPr>
            <w:tcW w:w="250" w:type="pct"/>
            <w:vMerge w:val="restart"/>
            <w:vAlign w:val="center"/>
          </w:tcPr>
          <w:p>
            <w:pPr>
              <w:pStyle w:val="203"/>
              <w:rPr>
                <w:rFonts w:ascii="Times New Roman" w:cs="Times New Roman"/>
              </w:rPr>
            </w:pPr>
            <w:r>
              <w:rPr>
                <w:rFonts w:ascii="Times New Roman" w:cs="Times New Roman"/>
              </w:rPr>
              <w:t>钢材破坏</w:t>
            </w:r>
          </w:p>
        </w:tc>
        <w:tc>
          <w:tcPr>
            <w:tcW w:w="843" w:type="pct"/>
            <w:vAlign w:val="center"/>
          </w:tcPr>
          <w:p>
            <w:pPr>
              <w:pStyle w:val="203"/>
              <w:jc w:val="both"/>
              <w:rPr>
                <w:rFonts w:ascii="Times New Roman" w:cs="Times New Roman"/>
              </w:rPr>
            </w:pPr>
            <w:r>
              <w:rPr>
                <w:rFonts w:ascii="Times New Roman" w:cs="Times New Roman"/>
              </w:rPr>
              <w:t>钢槽卷边受拉破坏</w:t>
            </w:r>
            <w:r>
              <w:rPr>
                <w:rFonts w:hint="eastAsia" w:ascii="Times New Roman" w:cs="Times New Roman"/>
                <w:lang w:eastAsia="zh-CN"/>
              </w:rPr>
              <w:t>（</w:t>
            </w:r>
            <w:r>
              <w:rPr>
                <w:rFonts w:ascii="Times New Roman" w:cs="Times New Roman"/>
              </w:rPr>
              <w:t>验算螺栓受力最大者</w:t>
            </w:r>
            <w:r>
              <w:rPr>
                <w:rFonts w:hint="eastAsia" w:ascii="Times New Roman" w:cs="Times New Roman"/>
                <w:lang w:eastAsia="zh-CN"/>
              </w:rPr>
              <w:t>）</w:t>
            </w:r>
          </w:p>
        </w:tc>
        <w:tc>
          <w:tcPr>
            <w:tcW w:w="1113"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N</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w:rPr>
                        <w:rFonts w:ascii="Cambria Math" w:hAnsi="Cambria Math" w:cs="Times New Roman"/>
                      </w:rPr>
                      <m:t>cb</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Rd，s，</m:t>
                    </m:r>
                    <m:r>
                      <m:rPr/>
                      <w:rPr>
                        <w:rFonts w:ascii="Cambria Math" w:hAnsi="Cambria Math" w:cs="Times New Roman"/>
                        <w:kern w:val="0"/>
                      </w:rPr>
                      <m:t>l</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Rk，s，</m:t>
                        </m:r>
                        <m:r>
                          <m:rPr/>
                          <w:rPr>
                            <w:rFonts w:ascii="Cambria Math" w:hAnsi="Cambria Math" w:cs="Times New Roman"/>
                            <w:kern w:val="0"/>
                          </w:rPr>
                          <m:t>l</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Ms，</m:t>
                        </m:r>
                        <m:r>
                          <m:rPr/>
                          <w:rPr>
                            <w:rFonts w:ascii="Cambria Math" w:hAnsi="Cambria Math" w:cs="Times New Roman"/>
                            <w:kern w:val="0"/>
                          </w:rPr>
                          <m:t>l</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09" w:type="pct"/>
            <w:vAlign w:val="center"/>
          </w:tcPr>
          <w:p>
            <w:pPr>
              <w:pStyle w:val="203"/>
              <w:rPr>
                <w:rFonts w:ascii="Times New Roman" w:cs="Times New Roman"/>
              </w:rPr>
            </w:pPr>
            <w:r>
              <w:rPr>
                <w:rFonts w:hint="eastAsia" w:ascii="Times New Roman" w:cs="Times New Roman"/>
              </w:rPr>
              <w:t>——</w:t>
            </w:r>
          </w:p>
        </w:tc>
        <w:tc>
          <w:tcPr>
            <w:tcW w:w="1200" w:type="pct"/>
            <w:vAlign w:val="center"/>
          </w:tcPr>
          <w:p>
            <w:pPr>
              <w:pStyle w:val="203"/>
              <w:rPr>
                <w:rFonts w:ascii="Times New Roman" w:cs="Times New Roman"/>
              </w:rPr>
            </w:pPr>
            <w:r>
              <w:rPr>
                <w:rFonts w:ascii="Times New Roman" w:cs="Times New Roman"/>
              </w:rPr>
              <w:drawing>
                <wp:inline distT="0" distB="0" distL="0" distR="0">
                  <wp:extent cx="811530" cy="719455"/>
                  <wp:effectExtent l="0" t="0" r="762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95"/>
                          <a:stretch>
                            <a:fillRect/>
                          </a:stretch>
                        </pic:blipFill>
                        <pic:spPr>
                          <a:xfrm>
                            <a:off x="0" y="0"/>
                            <a:ext cx="811636" cy="72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5" w:type="pct"/>
            <w:vAlign w:val="center"/>
          </w:tcPr>
          <w:p>
            <w:pPr>
              <w:pStyle w:val="203"/>
              <w:rPr>
                <w:rFonts w:ascii="Times New Roman" w:cs="Times New Roman"/>
              </w:rPr>
            </w:pPr>
            <w:r>
              <w:rPr>
                <w:rFonts w:ascii="Times New Roman" w:cs="Times New Roman"/>
              </w:rPr>
              <w:t>4</w:t>
            </w:r>
          </w:p>
        </w:tc>
        <w:tc>
          <w:tcPr>
            <w:tcW w:w="250" w:type="pct"/>
            <w:vMerge w:val="continue"/>
            <w:vAlign w:val="center"/>
          </w:tcPr>
          <w:p>
            <w:pPr>
              <w:pStyle w:val="203"/>
              <w:rPr>
                <w:rFonts w:ascii="Times New Roman" w:cs="Times New Roman"/>
              </w:rPr>
            </w:pPr>
          </w:p>
        </w:tc>
        <w:tc>
          <w:tcPr>
            <w:tcW w:w="843" w:type="pct"/>
            <w:vAlign w:val="center"/>
          </w:tcPr>
          <w:p>
            <w:pPr>
              <w:pStyle w:val="203"/>
              <w:jc w:val="both"/>
              <w:rPr>
                <w:rFonts w:ascii="Times New Roman" w:cs="Times New Roman"/>
              </w:rPr>
            </w:pPr>
            <w:r>
              <w:rPr>
                <w:rFonts w:ascii="Times New Roman" w:cs="Times New Roman"/>
              </w:rPr>
              <w:t>螺栓受拉</w:t>
            </w:r>
          </w:p>
        </w:tc>
        <w:tc>
          <w:tcPr>
            <w:tcW w:w="1113" w:type="pct"/>
            <w:vAlign w:val="center"/>
          </w:tcPr>
          <w:p>
            <w:pPr>
              <w:pStyle w:val="203"/>
              <w:rPr>
                <w:rFonts w:ascii="Times New Roman" w:cs="Times New Roman"/>
              </w:rPr>
            </w:pPr>
            <w:r>
              <w:rPr>
                <w:rFonts w:hint="eastAsia" w:ascii="Times New Roman" w:cs="Times New Roman"/>
              </w:rPr>
              <w:t>——</w:t>
            </w:r>
          </w:p>
        </w:tc>
        <w:tc>
          <w:tcPr>
            <w:tcW w:w="1209"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N</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m:sty m:val="p"/>
                      </m:rPr>
                      <w:rPr>
                        <w:rFonts w:ascii="Cambria Math" w:hAnsi="Cambria Math" w:cs="Times New Roman"/>
                      </w:rPr>
                      <m:t>cb</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Rd，s</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Rk，s</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Ms</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00" w:type="pct"/>
            <w:vAlign w:val="center"/>
          </w:tcPr>
          <w:p>
            <w:pPr>
              <w:pStyle w:val="203"/>
              <w:rPr>
                <w:rFonts w:ascii="Times New Roman" w:cs="Times New Roman"/>
              </w:rPr>
            </w:pPr>
            <w:r>
              <w:rPr>
                <w:rFonts w:ascii="Times New Roman" w:cs="Times New Roman"/>
              </w:rPr>
              <w:drawing>
                <wp:inline distT="0" distB="0" distL="0" distR="0">
                  <wp:extent cx="863600" cy="719455"/>
                  <wp:effectExtent l="0" t="0" r="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96"/>
                          <a:stretch>
                            <a:fillRect/>
                          </a:stretch>
                        </pic:blipFill>
                        <pic:spPr>
                          <a:xfrm>
                            <a:off x="0" y="0"/>
                            <a:ext cx="864000" cy="72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5" w:type="pct"/>
            <w:vAlign w:val="center"/>
          </w:tcPr>
          <w:p>
            <w:pPr>
              <w:pStyle w:val="203"/>
              <w:rPr>
                <w:rFonts w:ascii="Times New Roman" w:cs="Times New Roman"/>
              </w:rPr>
            </w:pPr>
            <w:r>
              <w:rPr>
                <w:rFonts w:ascii="Times New Roman" w:cs="Times New Roman"/>
              </w:rPr>
              <w:t>5</w:t>
            </w:r>
          </w:p>
        </w:tc>
        <w:tc>
          <w:tcPr>
            <w:tcW w:w="250" w:type="pct"/>
            <w:vMerge w:val="continue"/>
          </w:tcPr>
          <w:p>
            <w:pPr>
              <w:pStyle w:val="203"/>
              <w:rPr>
                <w:rFonts w:ascii="Times New Roman" w:cs="Times New Roman"/>
              </w:rPr>
            </w:pPr>
          </w:p>
        </w:tc>
        <w:tc>
          <w:tcPr>
            <w:tcW w:w="843" w:type="pct"/>
            <w:vAlign w:val="center"/>
          </w:tcPr>
          <w:p>
            <w:pPr>
              <w:pStyle w:val="203"/>
              <w:jc w:val="both"/>
              <w:rPr>
                <w:rFonts w:ascii="Times New Roman" w:cs="Times New Roman"/>
              </w:rPr>
            </w:pPr>
            <w:r>
              <w:rPr>
                <w:rFonts w:ascii="Times New Roman" w:cs="Times New Roman"/>
              </w:rPr>
              <w:t>钢槽整体受拉弯曲破坏</w:t>
            </w:r>
          </w:p>
        </w:tc>
        <w:tc>
          <w:tcPr>
            <w:tcW w:w="1113"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M</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m:sty m:val="p"/>
                      </m:rPr>
                      <w:rPr>
                        <w:rFonts w:ascii="Cambria Math" w:hAnsi="Cambria Math" w:cs="Times New Roman"/>
                      </w:rPr>
                      <m:t>ch</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M</m:t>
                    </m:r>
                    <m:ctrlPr>
                      <w:rPr>
                        <w:rFonts w:ascii="Cambria Math" w:hAnsi="Cambria Math" w:cs="Times New Roman"/>
                        <w:i/>
                        <w:kern w:val="0"/>
                      </w:rPr>
                    </m:ctrlPr>
                  </m:e>
                  <m:sub>
                    <m:r>
                      <m:rPr>
                        <m:sty m:val="p"/>
                      </m:rPr>
                      <w:rPr>
                        <w:rFonts w:ascii="Cambria Math" w:hAnsi="Cambria Math" w:cs="Times New Roman"/>
                        <w:kern w:val="0"/>
                      </w:rPr>
                      <m:t>Rd，s，flex</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M</m:t>
                        </m:r>
                        <m:ctrlPr>
                          <w:rPr>
                            <w:rFonts w:ascii="Cambria Math" w:hAnsi="Cambria Math" w:cs="Times New Roman"/>
                            <w:i/>
                            <w:kern w:val="0"/>
                          </w:rPr>
                        </m:ctrlPr>
                      </m:e>
                      <m:sub>
                        <m:r>
                          <m:rPr>
                            <m:sty m:val="p"/>
                          </m:rPr>
                          <w:rPr>
                            <w:rFonts w:ascii="Cambria Math" w:hAnsi="Cambria Math" w:cs="Times New Roman"/>
                            <w:kern w:val="0"/>
                          </w:rPr>
                          <m:t>Rk，s，flex</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Ms，flex</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09" w:type="pct"/>
            <w:vAlign w:val="center"/>
          </w:tcPr>
          <w:p>
            <w:pPr>
              <w:pStyle w:val="203"/>
              <w:rPr>
                <w:rFonts w:ascii="Times New Roman" w:cs="Times New Roman"/>
              </w:rPr>
            </w:pPr>
            <w:r>
              <w:rPr>
                <w:rFonts w:hint="eastAsia" w:ascii="Times New Roman" w:cs="Times New Roman"/>
              </w:rPr>
              <w:t>——</w:t>
            </w:r>
          </w:p>
        </w:tc>
        <w:tc>
          <w:tcPr>
            <w:tcW w:w="1200" w:type="pct"/>
            <w:vAlign w:val="center"/>
          </w:tcPr>
          <w:p>
            <w:pPr>
              <w:pStyle w:val="203"/>
              <w:rPr>
                <w:rFonts w:ascii="Times New Roman" w:cs="Times New Roman"/>
              </w:rPr>
            </w:pPr>
            <w:r>
              <w:rPr>
                <w:rFonts w:ascii="Times New Roman" w:cs="Times New Roman"/>
              </w:rPr>
              <w:drawing>
                <wp:inline distT="0" distB="0" distL="0" distR="0">
                  <wp:extent cx="964565" cy="719455"/>
                  <wp:effectExtent l="0" t="0" r="6985" b="444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97"/>
                          <a:stretch>
                            <a:fillRect/>
                          </a:stretch>
                        </pic:blipFill>
                        <pic:spPr>
                          <a:xfrm>
                            <a:off x="0" y="0"/>
                            <a:ext cx="965106" cy="72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5" w:type="pct"/>
            <w:vAlign w:val="center"/>
          </w:tcPr>
          <w:p>
            <w:pPr>
              <w:pStyle w:val="203"/>
              <w:rPr>
                <w:rFonts w:ascii="Times New Roman" w:cs="Times New Roman"/>
              </w:rPr>
            </w:pPr>
            <w:r>
              <w:rPr>
                <w:rFonts w:ascii="Times New Roman" w:cs="Times New Roman"/>
              </w:rPr>
              <w:t>6</w:t>
            </w:r>
          </w:p>
        </w:tc>
        <w:tc>
          <w:tcPr>
            <w:tcW w:w="1092" w:type="pct"/>
            <w:gridSpan w:val="2"/>
            <w:vAlign w:val="center"/>
          </w:tcPr>
          <w:p>
            <w:pPr>
              <w:pStyle w:val="203"/>
              <w:jc w:val="both"/>
              <w:rPr>
                <w:rFonts w:ascii="Times New Roman" w:cs="Times New Roman"/>
              </w:rPr>
            </w:pPr>
            <w:r>
              <w:rPr>
                <w:rFonts w:ascii="Times New Roman" w:cs="Times New Roman"/>
              </w:rPr>
              <w:t>锚筋受拉拔出破坏</w:t>
            </w:r>
          </w:p>
        </w:tc>
        <w:tc>
          <w:tcPr>
            <w:tcW w:w="1113" w:type="pct"/>
            <w:vAlign w:val="center"/>
          </w:tcPr>
          <w:p>
            <w:pPr>
              <w:pStyle w:val="203"/>
              <w:rPr>
                <w:rFonts w:ascii="Times New Roman" w:cs="Times New Roman"/>
              </w:rPr>
            </w:pPr>
            <w:r>
              <w:rPr>
                <w:rFonts w:hint="eastAsia" w:ascii="Times New Roman" w:cs="Times New Roman"/>
              </w:rPr>
              <w:t>——</w:t>
            </w:r>
          </w:p>
        </w:tc>
        <w:tc>
          <w:tcPr>
            <w:tcW w:w="1209"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N</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m:sty m:val="p"/>
                      </m:rPr>
                      <w:rPr>
                        <w:rFonts w:ascii="Cambria Math" w:hAnsi="Cambria Math" w:cs="Times New Roman"/>
                      </w:rPr>
                      <m:t>a</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Rd，p</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Rk，p</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Mp</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00" w:type="pct"/>
            <w:vAlign w:val="center"/>
          </w:tcPr>
          <w:p>
            <w:pPr>
              <w:pStyle w:val="203"/>
              <w:rPr>
                <w:rFonts w:ascii="Times New Roman" w:cs="Times New Roman"/>
              </w:rPr>
            </w:pPr>
            <w:r>
              <w:rPr>
                <w:rFonts w:ascii="Times New Roman" w:cs="Times New Roman"/>
              </w:rPr>
              <w:drawing>
                <wp:inline distT="0" distB="0" distL="0" distR="0">
                  <wp:extent cx="848995" cy="719455"/>
                  <wp:effectExtent l="0" t="0" r="8255" b="444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98"/>
                          <a:stretch>
                            <a:fillRect/>
                          </a:stretch>
                        </pic:blipFill>
                        <pic:spPr>
                          <a:xfrm>
                            <a:off x="0" y="0"/>
                            <a:ext cx="849057" cy="72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5" w:type="pct"/>
            <w:vAlign w:val="center"/>
          </w:tcPr>
          <w:p>
            <w:pPr>
              <w:pStyle w:val="203"/>
              <w:rPr>
                <w:rFonts w:ascii="Times New Roman" w:cs="Times New Roman"/>
              </w:rPr>
            </w:pPr>
            <w:r>
              <w:rPr>
                <w:rFonts w:ascii="Times New Roman" w:cs="Times New Roman"/>
              </w:rPr>
              <w:t>7</w:t>
            </w:r>
          </w:p>
        </w:tc>
        <w:tc>
          <w:tcPr>
            <w:tcW w:w="1092" w:type="pct"/>
            <w:gridSpan w:val="2"/>
            <w:vAlign w:val="center"/>
          </w:tcPr>
          <w:p>
            <w:pPr>
              <w:pStyle w:val="203"/>
              <w:jc w:val="both"/>
              <w:rPr>
                <w:rFonts w:ascii="Times New Roman" w:cs="Times New Roman"/>
              </w:rPr>
            </w:pPr>
            <w:r>
              <w:rPr>
                <w:rFonts w:ascii="Times New Roman" w:cs="Times New Roman"/>
              </w:rPr>
              <w:t>混凝土锥体破坏</w:t>
            </w:r>
            <w:r>
              <w:rPr>
                <w:rFonts w:hint="eastAsia" w:ascii="Times New Roman" w:cs="Times New Roman"/>
                <w:lang w:eastAsia="zh-CN"/>
              </w:rPr>
              <w:t>（</w:t>
            </w:r>
            <w:r>
              <w:rPr>
                <w:rFonts w:ascii="Times New Roman" w:cs="Times New Roman"/>
              </w:rPr>
              <w:t>不满足要求时，可考虑设置抗拉附加钢筋</w:t>
            </w:r>
            <w:r>
              <w:rPr>
                <w:rFonts w:hint="eastAsia" w:ascii="Times New Roman" w:cs="Times New Roman"/>
                <w:lang w:eastAsia="zh-CN"/>
              </w:rPr>
              <w:t>）</w:t>
            </w:r>
          </w:p>
        </w:tc>
        <w:tc>
          <w:tcPr>
            <w:tcW w:w="1113" w:type="pct"/>
            <w:vAlign w:val="center"/>
          </w:tcPr>
          <w:p>
            <w:pPr>
              <w:pStyle w:val="203"/>
              <w:rPr>
                <w:rFonts w:ascii="Times New Roman" w:cs="Times New Roman"/>
              </w:rPr>
            </w:pPr>
            <w:r>
              <w:rPr>
                <w:rFonts w:hint="eastAsia" w:ascii="Times New Roman" w:cs="Times New Roman"/>
              </w:rPr>
              <w:t>——</w:t>
            </w:r>
          </w:p>
        </w:tc>
        <w:tc>
          <w:tcPr>
            <w:tcW w:w="1209"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N</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m:sty m:val="p"/>
                      </m:rPr>
                      <w:rPr>
                        <w:rFonts w:ascii="Cambria Math" w:hAnsi="Cambria Math" w:cs="Times New Roman"/>
                      </w:rPr>
                      <m:t>a</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Rd，c</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Rk，c</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Mc</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00" w:type="pct"/>
            <w:vAlign w:val="center"/>
          </w:tcPr>
          <w:p>
            <w:pPr>
              <w:pStyle w:val="203"/>
              <w:rPr>
                <w:rFonts w:ascii="Times New Roman" w:cs="Times New Roman"/>
              </w:rPr>
            </w:pPr>
            <w:r>
              <w:rPr>
                <w:rFonts w:ascii="Times New Roman" w:cs="Times New Roman"/>
              </w:rPr>
              <w:drawing>
                <wp:inline distT="0" distB="0" distL="0" distR="0">
                  <wp:extent cx="1159510" cy="719455"/>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9"/>
                          <a:stretch>
                            <a:fillRect/>
                          </a:stretch>
                        </pic:blipFill>
                        <pic:spPr>
                          <a:xfrm>
                            <a:off x="0" y="0"/>
                            <a:ext cx="1160000" cy="72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5" w:type="pct"/>
            <w:vAlign w:val="center"/>
          </w:tcPr>
          <w:p>
            <w:pPr>
              <w:pStyle w:val="203"/>
              <w:rPr>
                <w:rFonts w:ascii="Times New Roman" w:cs="Times New Roman"/>
              </w:rPr>
            </w:pPr>
            <w:r>
              <w:rPr>
                <w:rFonts w:ascii="Times New Roman" w:cs="Times New Roman"/>
              </w:rPr>
              <w:t>8</w:t>
            </w:r>
          </w:p>
        </w:tc>
        <w:tc>
          <w:tcPr>
            <w:tcW w:w="1092" w:type="pct"/>
            <w:gridSpan w:val="2"/>
            <w:vAlign w:val="center"/>
          </w:tcPr>
          <w:p>
            <w:pPr>
              <w:pStyle w:val="203"/>
              <w:jc w:val="both"/>
              <w:rPr>
                <w:rFonts w:ascii="Times New Roman" w:cs="Times New Roman"/>
              </w:rPr>
            </w:pPr>
            <w:r>
              <w:rPr>
                <w:rFonts w:ascii="Times New Roman" w:cs="Times New Roman"/>
              </w:rPr>
              <w:t>混凝土劈裂破坏</w:t>
            </w:r>
          </w:p>
        </w:tc>
        <w:tc>
          <w:tcPr>
            <w:tcW w:w="1113" w:type="pct"/>
            <w:vAlign w:val="center"/>
          </w:tcPr>
          <w:p>
            <w:pPr>
              <w:pStyle w:val="203"/>
              <w:rPr>
                <w:rFonts w:ascii="Times New Roman" w:cs="Times New Roman"/>
              </w:rPr>
            </w:pPr>
            <w:r>
              <w:rPr>
                <w:rFonts w:hint="eastAsia" w:ascii="Times New Roman" w:cs="Times New Roman"/>
              </w:rPr>
              <w:t>——</w:t>
            </w:r>
          </w:p>
        </w:tc>
        <w:tc>
          <w:tcPr>
            <w:tcW w:w="1209"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N</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m:sty m:val="p"/>
                      </m:rPr>
                      <w:rPr>
                        <w:rFonts w:ascii="Cambria Math" w:hAnsi="Cambria Math" w:cs="Times New Roman"/>
                      </w:rPr>
                      <m:t>a</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Rd，sp</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Rk，sp</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Msp</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00" w:type="pct"/>
            <w:vAlign w:val="center"/>
          </w:tcPr>
          <w:p>
            <w:pPr>
              <w:pStyle w:val="203"/>
              <w:rPr>
                <w:rFonts w:ascii="Times New Roman" w:cs="Times New Roman"/>
              </w:rPr>
            </w:pPr>
            <w:r>
              <w:rPr>
                <w:rFonts w:ascii="Times New Roman" w:cs="Times New Roman"/>
              </w:rPr>
              <w:drawing>
                <wp:inline distT="0" distB="0" distL="0" distR="0">
                  <wp:extent cx="857250" cy="719455"/>
                  <wp:effectExtent l="0" t="0" r="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0"/>
                          <a:stretch>
                            <a:fillRect/>
                          </a:stretch>
                        </pic:blipFill>
                        <pic:spPr>
                          <a:xfrm>
                            <a:off x="0" y="0"/>
                            <a:ext cx="857739" cy="72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5" w:type="pct"/>
            <w:vAlign w:val="center"/>
          </w:tcPr>
          <w:p>
            <w:pPr>
              <w:pStyle w:val="203"/>
              <w:rPr>
                <w:rFonts w:ascii="Times New Roman" w:cs="Times New Roman"/>
              </w:rPr>
            </w:pPr>
            <w:r>
              <w:rPr>
                <w:rFonts w:ascii="Times New Roman" w:cs="Times New Roman"/>
              </w:rPr>
              <w:t>9</w:t>
            </w:r>
          </w:p>
        </w:tc>
        <w:tc>
          <w:tcPr>
            <w:tcW w:w="1092" w:type="pct"/>
            <w:gridSpan w:val="2"/>
            <w:vAlign w:val="center"/>
          </w:tcPr>
          <w:p>
            <w:pPr>
              <w:pStyle w:val="203"/>
              <w:jc w:val="both"/>
              <w:rPr>
                <w:rFonts w:ascii="Times New Roman" w:cs="Times New Roman"/>
              </w:rPr>
            </w:pPr>
            <w:r>
              <w:rPr>
                <w:rFonts w:ascii="Times New Roman" w:cs="Times New Roman"/>
              </w:rPr>
              <w:t>混凝土受拉边缘剥落破坏</w:t>
            </w:r>
          </w:p>
        </w:tc>
        <w:tc>
          <w:tcPr>
            <w:tcW w:w="1113" w:type="pct"/>
            <w:vAlign w:val="center"/>
          </w:tcPr>
          <w:p>
            <w:pPr>
              <w:pStyle w:val="203"/>
              <w:rPr>
                <w:rFonts w:ascii="Times New Roman" w:cs="Times New Roman"/>
              </w:rPr>
            </w:pPr>
            <w:r>
              <w:rPr>
                <w:rFonts w:hint="eastAsia" w:ascii="Times New Roman" w:cs="Times New Roman"/>
              </w:rPr>
              <w:t>——</w:t>
            </w:r>
          </w:p>
        </w:tc>
        <w:tc>
          <w:tcPr>
            <w:tcW w:w="1209"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N</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m:sty m:val="p"/>
                      </m:rPr>
                      <w:rPr>
                        <w:rFonts w:ascii="Cambria Math" w:hAnsi="Cambria Math" w:cs="Times New Roman"/>
                      </w:rPr>
                      <m:t>a</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Rd，cb</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N</m:t>
                        </m:r>
                        <m:ctrlPr>
                          <w:rPr>
                            <w:rFonts w:ascii="Cambria Math" w:hAnsi="Cambria Math" w:cs="Times New Roman"/>
                            <w:i/>
                            <w:kern w:val="0"/>
                          </w:rPr>
                        </m:ctrlPr>
                      </m:e>
                      <m:sub>
                        <m:r>
                          <m:rPr>
                            <m:sty m:val="p"/>
                          </m:rPr>
                          <w:rPr>
                            <w:rFonts w:ascii="Cambria Math" w:hAnsi="Cambria Math" w:cs="Times New Roman"/>
                            <w:kern w:val="0"/>
                          </w:rPr>
                          <m:t>Rk，cb</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Mc</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00" w:type="pct"/>
            <w:vAlign w:val="center"/>
          </w:tcPr>
          <w:p>
            <w:pPr>
              <w:pStyle w:val="203"/>
              <w:rPr>
                <w:rFonts w:ascii="Times New Roman" w:cs="Times New Roman"/>
              </w:rPr>
            </w:pPr>
            <w:r>
              <w:rPr>
                <w:rFonts w:ascii="Times New Roman" w:cs="Times New Roman"/>
              </w:rPr>
              <w:drawing>
                <wp:inline distT="0" distB="0" distL="0" distR="0">
                  <wp:extent cx="916940" cy="719455"/>
                  <wp:effectExtent l="0" t="0" r="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1"/>
                          <a:stretch>
                            <a:fillRect/>
                          </a:stretch>
                        </pic:blipFill>
                        <pic:spPr>
                          <a:xfrm>
                            <a:off x="0" y="0"/>
                            <a:ext cx="916981" cy="720000"/>
                          </a:xfrm>
                          <a:prstGeom prst="rect">
                            <a:avLst/>
                          </a:prstGeom>
                        </pic:spPr>
                      </pic:pic>
                    </a:graphicData>
                  </a:graphic>
                </wp:inline>
              </w:drawing>
            </w:r>
          </w:p>
        </w:tc>
      </w:tr>
    </w:tbl>
    <w:p>
      <w:pPr>
        <w:pStyle w:val="188"/>
        <w:ind w:firstLine="482"/>
        <w:rPr>
          <w:rFonts w:cs="Times New Roman"/>
        </w:rPr>
      </w:pPr>
      <w:r>
        <w:rPr>
          <w:rFonts w:cs="Times New Roman"/>
          <w:b/>
          <w:bCs w:val="0"/>
        </w:rPr>
        <w:t>2</w:t>
      </w:r>
      <w:r>
        <w:rPr>
          <w:rFonts w:cs="Times New Roman"/>
        </w:rPr>
        <w:t>槽式预埋件应按照表D.0.10-2计算受剪承载力。</w:t>
      </w:r>
    </w:p>
    <w:p>
      <w:pPr>
        <w:pStyle w:val="202"/>
        <w:rPr>
          <w:rFonts w:cs="Times New Roman"/>
        </w:rPr>
      </w:pPr>
      <w:r>
        <w:rPr>
          <w:rFonts w:cs="Times New Roman"/>
        </w:rPr>
        <w:t>表D.0.10-2剪力作用下槽式预埋件的验算项目</w:t>
      </w:r>
    </w:p>
    <w:tbl>
      <w:tblPr>
        <w:tblStyle w:val="3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1"/>
        <w:gridCol w:w="993"/>
        <w:gridCol w:w="1125"/>
        <w:gridCol w:w="2178"/>
        <w:gridCol w:w="2365"/>
        <w:gridCol w:w="2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81" w:type="pct"/>
            <w:vAlign w:val="center"/>
          </w:tcPr>
          <w:p>
            <w:pPr>
              <w:pStyle w:val="203"/>
              <w:rPr>
                <w:rFonts w:ascii="Times New Roman" w:cs="Times New Roman"/>
              </w:rPr>
            </w:pPr>
            <w:r>
              <w:rPr>
                <w:rFonts w:ascii="Times New Roman" w:cs="Times New Roman"/>
              </w:rPr>
              <w:t>序号</w:t>
            </w:r>
          </w:p>
        </w:tc>
        <w:tc>
          <w:tcPr>
            <w:tcW w:w="1075" w:type="pct"/>
            <w:gridSpan w:val="2"/>
          </w:tcPr>
          <w:p>
            <w:pPr>
              <w:pStyle w:val="203"/>
              <w:rPr>
                <w:rFonts w:ascii="Times New Roman" w:cs="Times New Roman"/>
              </w:rPr>
            </w:pPr>
            <w:r>
              <w:rPr>
                <w:rFonts w:ascii="Times New Roman" w:cs="Times New Roman"/>
              </w:rPr>
              <w:t>失效模式</w:t>
            </w:r>
          </w:p>
        </w:tc>
        <w:tc>
          <w:tcPr>
            <w:tcW w:w="1105" w:type="pct"/>
          </w:tcPr>
          <w:p>
            <w:pPr>
              <w:pStyle w:val="203"/>
              <w:rPr>
                <w:rFonts w:ascii="Times New Roman" w:cs="Times New Roman"/>
              </w:rPr>
            </w:pPr>
            <w:r>
              <w:rPr>
                <w:rFonts w:ascii="Times New Roman" w:cs="Times New Roman"/>
              </w:rPr>
              <w:t>钢槽</w:t>
            </w:r>
          </w:p>
        </w:tc>
        <w:tc>
          <w:tcPr>
            <w:tcW w:w="1200" w:type="pct"/>
          </w:tcPr>
          <w:p>
            <w:pPr>
              <w:pStyle w:val="203"/>
              <w:rPr>
                <w:rFonts w:ascii="Times New Roman" w:cs="Times New Roman"/>
              </w:rPr>
            </w:pPr>
            <w:r>
              <w:rPr>
                <w:rFonts w:ascii="Times New Roman" w:cs="Times New Roman"/>
              </w:rPr>
              <w:t>最不利锚筋或螺栓</w:t>
            </w:r>
          </w:p>
        </w:tc>
        <w:tc>
          <w:tcPr>
            <w:tcW w:w="1239" w:type="pct"/>
          </w:tcPr>
          <w:p>
            <w:pPr>
              <w:pStyle w:val="203"/>
              <w:rPr>
                <w:rFonts w:ascii="Times New Roman" w:cs="Times New Roman"/>
              </w:rPr>
            </w:pPr>
            <w:r>
              <w:rPr>
                <w:rFonts w:ascii="Times New Roman" w:cs="Times New Roman"/>
              </w:rPr>
              <w:t>示意图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81" w:type="pct"/>
            <w:vAlign w:val="center"/>
          </w:tcPr>
          <w:p>
            <w:pPr>
              <w:pStyle w:val="203"/>
              <w:rPr>
                <w:rFonts w:ascii="Times New Roman" w:cs="Times New Roman"/>
              </w:rPr>
            </w:pPr>
            <w:r>
              <w:rPr>
                <w:rFonts w:ascii="Times New Roman" w:cs="Times New Roman"/>
              </w:rPr>
              <w:t>1</w:t>
            </w:r>
          </w:p>
        </w:tc>
        <w:tc>
          <w:tcPr>
            <w:tcW w:w="504" w:type="pct"/>
            <w:vMerge w:val="restart"/>
            <w:vAlign w:val="center"/>
          </w:tcPr>
          <w:p>
            <w:pPr>
              <w:pStyle w:val="203"/>
              <w:rPr>
                <w:rFonts w:ascii="Times New Roman" w:cs="Times New Roman"/>
              </w:rPr>
            </w:pPr>
            <w:r>
              <w:rPr>
                <w:rFonts w:ascii="Times New Roman" w:cs="Times New Roman"/>
              </w:rPr>
              <w:t>钢材</w:t>
            </w:r>
          </w:p>
          <w:p>
            <w:pPr>
              <w:pStyle w:val="203"/>
              <w:rPr>
                <w:rFonts w:ascii="Times New Roman" w:cs="Times New Roman"/>
              </w:rPr>
            </w:pPr>
            <w:r>
              <w:rPr>
                <w:rFonts w:ascii="Times New Roman" w:cs="Times New Roman"/>
              </w:rPr>
              <w:t>破坏</w:t>
            </w:r>
          </w:p>
          <w:p>
            <w:pPr>
              <w:pStyle w:val="203"/>
              <w:rPr>
                <w:rFonts w:ascii="Times New Roman" w:cs="Times New Roman"/>
              </w:rPr>
            </w:pPr>
            <w:r>
              <w:rPr>
                <w:rFonts w:hint="eastAsia" w:ascii="Times New Roman" w:cs="Times New Roman"/>
                <w:lang w:eastAsia="zh-CN"/>
              </w:rPr>
              <w:t>（</w:t>
            </w:r>
            <w:r>
              <w:rPr>
                <w:rFonts w:ascii="Times New Roman" w:cs="Times New Roman"/>
              </w:rPr>
              <w:t>无杠杆臂</w:t>
            </w:r>
            <w:r>
              <w:rPr>
                <w:rFonts w:hint="eastAsia" w:ascii="Times New Roman" w:cs="Times New Roman"/>
                <w:lang w:eastAsia="zh-CN"/>
              </w:rPr>
              <w:t>）</w:t>
            </w:r>
          </w:p>
        </w:tc>
        <w:tc>
          <w:tcPr>
            <w:tcW w:w="571" w:type="pct"/>
            <w:vAlign w:val="center"/>
          </w:tcPr>
          <w:p>
            <w:pPr>
              <w:pStyle w:val="203"/>
              <w:jc w:val="both"/>
              <w:rPr>
                <w:rFonts w:ascii="Times New Roman" w:cs="Times New Roman"/>
              </w:rPr>
            </w:pPr>
            <w:r>
              <w:rPr>
                <w:rFonts w:ascii="Times New Roman" w:cs="Times New Roman"/>
              </w:rPr>
              <w:t>螺栓</w:t>
            </w:r>
          </w:p>
          <w:p>
            <w:pPr>
              <w:pStyle w:val="203"/>
              <w:jc w:val="both"/>
              <w:rPr>
                <w:rFonts w:ascii="Times New Roman" w:cs="Times New Roman"/>
              </w:rPr>
            </w:pPr>
            <w:r>
              <w:rPr>
                <w:rFonts w:ascii="Times New Roman" w:cs="Times New Roman"/>
              </w:rPr>
              <w:t>受剪</w:t>
            </w:r>
          </w:p>
        </w:tc>
        <w:tc>
          <w:tcPr>
            <w:tcW w:w="1105" w:type="pct"/>
            <w:vAlign w:val="center"/>
          </w:tcPr>
          <w:p>
            <w:pPr>
              <w:pStyle w:val="203"/>
              <w:rPr>
                <w:rFonts w:ascii="Times New Roman" w:cs="Times New Roman"/>
              </w:rPr>
            </w:pPr>
            <w:r>
              <w:rPr>
                <w:rFonts w:hint="eastAsia" w:ascii="Times New Roman" w:cs="Times New Roman"/>
              </w:rPr>
              <w:t>——</w:t>
            </w:r>
          </w:p>
        </w:tc>
        <w:tc>
          <w:tcPr>
            <w:tcW w:w="1200"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V</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w:rPr>
                        <w:rFonts w:ascii="Cambria Math" w:hAnsi="Cambria Math" w:cs="Times New Roman"/>
                      </w:rPr>
                      <m:t>cb</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Rd，s</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Rk，s</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Ms</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39" w:type="pct"/>
            <w:vAlign w:val="center"/>
          </w:tcPr>
          <w:p>
            <w:pPr>
              <w:pStyle w:val="203"/>
              <w:rPr>
                <w:rFonts w:ascii="Times New Roman" w:cs="Times New Roman"/>
              </w:rPr>
            </w:pPr>
            <w:r>
              <w:rPr>
                <w:rFonts w:ascii="Times New Roman" w:cs="Times New Roman"/>
              </w:rPr>
              <w:drawing>
                <wp:inline distT="0" distB="0" distL="0" distR="0">
                  <wp:extent cx="1046480" cy="899795"/>
                  <wp:effectExtent l="0" t="0" r="127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02"/>
                          <a:stretch>
                            <a:fillRect/>
                          </a:stretch>
                        </pic:blipFill>
                        <pic:spPr>
                          <a:xfrm>
                            <a:off x="0" y="0"/>
                            <a:ext cx="1046739" cy="90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1" w:type="pct"/>
            <w:vAlign w:val="center"/>
          </w:tcPr>
          <w:p>
            <w:pPr>
              <w:pStyle w:val="203"/>
              <w:rPr>
                <w:rFonts w:ascii="Times New Roman" w:cs="Times New Roman"/>
              </w:rPr>
            </w:pPr>
            <w:r>
              <w:rPr>
                <w:rFonts w:ascii="Times New Roman" w:cs="Times New Roman"/>
              </w:rPr>
              <w:t>2</w:t>
            </w:r>
          </w:p>
        </w:tc>
        <w:tc>
          <w:tcPr>
            <w:tcW w:w="504" w:type="pct"/>
            <w:vMerge w:val="continue"/>
          </w:tcPr>
          <w:p>
            <w:pPr>
              <w:pStyle w:val="203"/>
              <w:rPr>
                <w:rFonts w:ascii="Times New Roman" w:cs="Times New Roman"/>
              </w:rPr>
            </w:pPr>
          </w:p>
        </w:tc>
        <w:tc>
          <w:tcPr>
            <w:tcW w:w="571" w:type="pct"/>
            <w:vAlign w:val="center"/>
          </w:tcPr>
          <w:p>
            <w:pPr>
              <w:pStyle w:val="203"/>
              <w:jc w:val="both"/>
              <w:rPr>
                <w:rFonts w:ascii="Times New Roman" w:cs="Times New Roman"/>
              </w:rPr>
            </w:pPr>
            <w:r>
              <w:rPr>
                <w:rFonts w:ascii="Times New Roman" w:cs="Times New Roman"/>
              </w:rPr>
              <w:t>锚筋</w:t>
            </w:r>
          </w:p>
          <w:p>
            <w:pPr>
              <w:pStyle w:val="203"/>
              <w:jc w:val="both"/>
              <w:rPr>
                <w:rFonts w:ascii="Times New Roman" w:cs="Times New Roman"/>
              </w:rPr>
            </w:pPr>
            <w:r>
              <w:rPr>
                <w:rFonts w:ascii="Times New Roman" w:cs="Times New Roman"/>
              </w:rPr>
              <w:t>受剪</w:t>
            </w:r>
          </w:p>
        </w:tc>
        <w:tc>
          <w:tcPr>
            <w:tcW w:w="1105" w:type="pct"/>
            <w:vAlign w:val="center"/>
          </w:tcPr>
          <w:p>
            <w:pPr>
              <w:pStyle w:val="203"/>
              <w:rPr>
                <w:rFonts w:ascii="Times New Roman" w:cs="Times New Roman"/>
              </w:rPr>
            </w:pPr>
            <w:r>
              <w:rPr>
                <w:rFonts w:hint="eastAsia" w:ascii="Times New Roman" w:cs="Times New Roman"/>
              </w:rPr>
              <w:t>——</w:t>
            </w:r>
          </w:p>
        </w:tc>
        <w:tc>
          <w:tcPr>
            <w:tcW w:w="1200"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V</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w:rPr>
                        <w:rFonts w:ascii="Cambria Math" w:hAnsi="Cambria Math" w:cs="Times New Roman"/>
                      </w:rPr>
                      <m:t>a</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Rd，s，a</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Rk，s，a</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Ms</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39" w:type="pct"/>
            <w:vAlign w:val="center"/>
          </w:tcPr>
          <w:p>
            <w:pPr>
              <w:pStyle w:val="203"/>
              <w:rPr>
                <w:rFonts w:ascii="Times New Roman" w:cs="Times New Roman"/>
              </w:rPr>
            </w:pPr>
            <w:r>
              <w:rPr>
                <w:rFonts w:ascii="Times New Roman" w:cs="Times New Roman"/>
              </w:rPr>
              <w:drawing>
                <wp:inline distT="0" distB="0" distL="0" distR="0">
                  <wp:extent cx="1203325" cy="89979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03"/>
                          <a:stretch>
                            <a:fillRect/>
                          </a:stretch>
                        </pic:blipFill>
                        <pic:spPr>
                          <a:xfrm>
                            <a:off x="0" y="0"/>
                            <a:ext cx="1203489" cy="90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1" w:type="pct"/>
            <w:vAlign w:val="center"/>
          </w:tcPr>
          <w:p>
            <w:pPr>
              <w:pStyle w:val="203"/>
              <w:rPr>
                <w:rFonts w:ascii="Times New Roman" w:cs="Times New Roman"/>
              </w:rPr>
            </w:pPr>
            <w:r>
              <w:rPr>
                <w:rFonts w:ascii="Times New Roman" w:cs="Times New Roman"/>
              </w:rPr>
              <w:t>3</w:t>
            </w:r>
          </w:p>
        </w:tc>
        <w:tc>
          <w:tcPr>
            <w:tcW w:w="504" w:type="pct"/>
            <w:vMerge w:val="restart"/>
            <w:vAlign w:val="center"/>
          </w:tcPr>
          <w:p>
            <w:pPr>
              <w:pStyle w:val="203"/>
              <w:rPr>
                <w:rFonts w:ascii="Times New Roman" w:cs="Times New Roman"/>
              </w:rPr>
            </w:pPr>
            <w:r>
              <w:rPr>
                <w:rFonts w:ascii="Times New Roman" w:cs="Times New Roman"/>
              </w:rPr>
              <w:t>钢材</w:t>
            </w:r>
          </w:p>
          <w:p>
            <w:pPr>
              <w:pStyle w:val="203"/>
              <w:rPr>
                <w:rFonts w:ascii="Times New Roman" w:cs="Times New Roman"/>
              </w:rPr>
            </w:pPr>
            <w:r>
              <w:rPr>
                <w:rFonts w:ascii="Times New Roman" w:cs="Times New Roman"/>
              </w:rPr>
              <w:t>破坏</w:t>
            </w:r>
          </w:p>
          <w:p>
            <w:pPr>
              <w:pStyle w:val="203"/>
              <w:rPr>
                <w:rFonts w:ascii="Times New Roman" w:cs="Times New Roman"/>
              </w:rPr>
            </w:pPr>
            <w:r>
              <w:rPr>
                <w:rFonts w:hint="eastAsia" w:ascii="Times New Roman" w:cs="Times New Roman"/>
                <w:lang w:eastAsia="zh-CN"/>
              </w:rPr>
              <w:t>（</w:t>
            </w:r>
            <w:r>
              <w:rPr>
                <w:rFonts w:ascii="Times New Roman" w:cs="Times New Roman"/>
              </w:rPr>
              <w:t>无杠杆臂</w:t>
            </w:r>
            <w:r>
              <w:rPr>
                <w:rFonts w:hint="eastAsia" w:ascii="Times New Roman" w:cs="Times New Roman"/>
                <w:lang w:eastAsia="zh-CN"/>
              </w:rPr>
              <w:t>）</w:t>
            </w:r>
          </w:p>
        </w:tc>
        <w:tc>
          <w:tcPr>
            <w:tcW w:w="571" w:type="pct"/>
            <w:vAlign w:val="center"/>
          </w:tcPr>
          <w:p>
            <w:pPr>
              <w:pStyle w:val="203"/>
              <w:jc w:val="both"/>
              <w:rPr>
                <w:rFonts w:ascii="Times New Roman" w:cs="Times New Roman"/>
              </w:rPr>
            </w:pPr>
            <w:r>
              <w:rPr>
                <w:rFonts w:ascii="Times New Roman" w:cs="Times New Roman"/>
              </w:rPr>
              <w:t>锚筋与钢槽连接处受剪</w:t>
            </w:r>
          </w:p>
        </w:tc>
        <w:tc>
          <w:tcPr>
            <w:tcW w:w="1105" w:type="pct"/>
            <w:vAlign w:val="center"/>
          </w:tcPr>
          <w:p>
            <w:pPr>
              <w:pStyle w:val="203"/>
              <w:rPr>
                <w:rFonts w:ascii="Times New Roman" w:cs="Times New Roman"/>
              </w:rPr>
            </w:pPr>
            <w:r>
              <w:rPr>
                <w:rFonts w:hint="eastAsia" w:ascii="Times New Roman" w:cs="Times New Roman"/>
              </w:rPr>
              <w:t>——</w:t>
            </w:r>
          </w:p>
        </w:tc>
        <w:tc>
          <w:tcPr>
            <w:tcW w:w="1200"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V</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w:rPr>
                        <w:rFonts w:ascii="Cambria Math" w:hAnsi="Cambria Math" w:cs="Times New Roman"/>
                      </w:rPr>
                      <m:t>a</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Rd，s，c</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Rk，s，c</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Ms，ca</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39" w:type="pct"/>
            <w:vAlign w:val="center"/>
          </w:tcPr>
          <w:p>
            <w:pPr>
              <w:pStyle w:val="203"/>
              <w:rPr>
                <w:rFonts w:ascii="Times New Roman" w:cs="Times New Roman"/>
              </w:rPr>
            </w:pPr>
            <w:r>
              <w:rPr>
                <w:rFonts w:ascii="Times New Roman" w:cs="Times New Roman"/>
              </w:rPr>
              <w:drawing>
                <wp:inline distT="0" distB="0" distL="0" distR="0">
                  <wp:extent cx="1151255" cy="89979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04"/>
                          <a:stretch>
                            <a:fillRect/>
                          </a:stretch>
                        </pic:blipFill>
                        <pic:spPr>
                          <a:xfrm>
                            <a:off x="0" y="0"/>
                            <a:ext cx="1151613" cy="90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1" w:type="pct"/>
            <w:vAlign w:val="center"/>
          </w:tcPr>
          <w:p>
            <w:pPr>
              <w:pStyle w:val="203"/>
              <w:rPr>
                <w:rFonts w:ascii="Times New Roman" w:cs="Times New Roman"/>
              </w:rPr>
            </w:pPr>
            <w:r>
              <w:rPr>
                <w:rFonts w:ascii="Times New Roman" w:cs="Times New Roman"/>
              </w:rPr>
              <w:t>4</w:t>
            </w:r>
          </w:p>
        </w:tc>
        <w:tc>
          <w:tcPr>
            <w:tcW w:w="504" w:type="pct"/>
            <w:vMerge w:val="continue"/>
            <w:vAlign w:val="center"/>
          </w:tcPr>
          <w:p>
            <w:pPr>
              <w:pStyle w:val="203"/>
              <w:rPr>
                <w:rFonts w:ascii="Times New Roman" w:cs="Times New Roman"/>
              </w:rPr>
            </w:pPr>
          </w:p>
        </w:tc>
        <w:tc>
          <w:tcPr>
            <w:tcW w:w="571" w:type="pct"/>
            <w:vAlign w:val="center"/>
          </w:tcPr>
          <w:p>
            <w:pPr>
              <w:pStyle w:val="203"/>
              <w:jc w:val="both"/>
              <w:rPr>
                <w:rFonts w:ascii="Times New Roman" w:cs="Times New Roman"/>
              </w:rPr>
            </w:pPr>
            <w:r>
              <w:rPr>
                <w:rFonts w:ascii="Times New Roman" w:cs="Times New Roman"/>
              </w:rPr>
              <w:t>钢槽卷边受剪破坏</w:t>
            </w:r>
          </w:p>
        </w:tc>
        <w:tc>
          <w:tcPr>
            <w:tcW w:w="1105"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V</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m:sty m:val="p"/>
                      </m:rPr>
                      <w:rPr>
                        <w:rFonts w:ascii="Cambria Math" w:hAnsi="Cambria Math" w:cs="Times New Roman"/>
                      </w:rPr>
                      <m:t>cb</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Rd，s，</m:t>
                    </m:r>
                    <m:r>
                      <m:rPr/>
                      <w:rPr>
                        <w:rFonts w:ascii="Cambria Math" w:hAnsi="Cambria Math" w:cs="Times New Roman"/>
                        <w:kern w:val="0"/>
                      </w:rPr>
                      <m:t>l</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Rk，s，</m:t>
                        </m:r>
                        <m:r>
                          <m:rPr/>
                          <w:rPr>
                            <w:rFonts w:ascii="Cambria Math" w:hAnsi="Cambria Math" w:cs="Times New Roman"/>
                            <w:kern w:val="0"/>
                          </w:rPr>
                          <m:t>l</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Ms，</m:t>
                        </m:r>
                        <m:r>
                          <m:rPr/>
                          <w:rPr>
                            <w:rFonts w:ascii="Cambria Math" w:hAnsi="Cambria Math" w:cs="Times New Roman"/>
                            <w:kern w:val="0"/>
                          </w:rPr>
                          <m:t>l</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00" w:type="pct"/>
            <w:vAlign w:val="center"/>
          </w:tcPr>
          <w:p>
            <w:pPr>
              <w:pStyle w:val="203"/>
              <w:rPr>
                <w:rFonts w:ascii="Times New Roman" w:cs="Times New Roman"/>
              </w:rPr>
            </w:pPr>
            <w:r>
              <w:rPr>
                <w:rFonts w:hint="eastAsia" w:ascii="Times New Roman" w:cs="Times New Roman"/>
              </w:rPr>
              <w:t>——</w:t>
            </w:r>
          </w:p>
        </w:tc>
        <w:tc>
          <w:tcPr>
            <w:tcW w:w="1239" w:type="pct"/>
            <w:vAlign w:val="center"/>
          </w:tcPr>
          <w:p>
            <w:pPr>
              <w:pStyle w:val="203"/>
              <w:rPr>
                <w:rFonts w:ascii="Times New Roman" w:cs="Times New Roman"/>
              </w:rPr>
            </w:pPr>
            <w:r>
              <w:rPr>
                <w:rFonts w:ascii="Times New Roman" w:cs="Times New Roman"/>
              </w:rPr>
              <w:drawing>
                <wp:inline distT="0" distB="0" distL="0" distR="0">
                  <wp:extent cx="820420" cy="719455"/>
                  <wp:effectExtent l="0" t="0" r="0" b="444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05"/>
                          <a:stretch>
                            <a:fillRect/>
                          </a:stretch>
                        </pic:blipFill>
                        <pic:spPr>
                          <a:xfrm>
                            <a:off x="0" y="0"/>
                            <a:ext cx="820465" cy="72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1" w:type="pct"/>
            <w:vAlign w:val="center"/>
          </w:tcPr>
          <w:p>
            <w:pPr>
              <w:pStyle w:val="203"/>
              <w:rPr>
                <w:rFonts w:ascii="Times New Roman" w:cs="Times New Roman"/>
              </w:rPr>
            </w:pPr>
            <w:r>
              <w:rPr>
                <w:rFonts w:ascii="Times New Roman" w:cs="Times New Roman"/>
              </w:rPr>
              <w:t>5</w:t>
            </w:r>
          </w:p>
        </w:tc>
        <w:tc>
          <w:tcPr>
            <w:tcW w:w="504" w:type="pct"/>
          </w:tcPr>
          <w:p>
            <w:pPr>
              <w:pStyle w:val="203"/>
              <w:rPr>
                <w:rFonts w:ascii="Times New Roman" w:cs="Times New Roman"/>
              </w:rPr>
            </w:pPr>
            <w:r>
              <w:rPr>
                <w:rFonts w:ascii="Times New Roman" w:cs="Times New Roman"/>
              </w:rPr>
              <w:t>钢材</w:t>
            </w:r>
          </w:p>
          <w:p>
            <w:pPr>
              <w:pStyle w:val="203"/>
              <w:rPr>
                <w:rFonts w:ascii="Times New Roman" w:cs="Times New Roman"/>
              </w:rPr>
            </w:pPr>
            <w:r>
              <w:rPr>
                <w:rFonts w:ascii="Times New Roman" w:cs="Times New Roman"/>
              </w:rPr>
              <w:t>破坏</w:t>
            </w:r>
          </w:p>
          <w:p>
            <w:pPr>
              <w:pStyle w:val="203"/>
              <w:rPr>
                <w:rFonts w:ascii="Times New Roman" w:cs="Times New Roman"/>
              </w:rPr>
            </w:pPr>
            <w:r>
              <w:rPr>
                <w:rFonts w:hint="eastAsia" w:ascii="Times New Roman" w:cs="Times New Roman"/>
                <w:lang w:eastAsia="zh-CN"/>
              </w:rPr>
              <w:t>（</w:t>
            </w:r>
            <w:r>
              <w:rPr>
                <w:rFonts w:ascii="Times New Roman" w:cs="Times New Roman"/>
              </w:rPr>
              <w:t>有杠杆臂</w:t>
            </w:r>
            <w:r>
              <w:rPr>
                <w:rFonts w:hint="eastAsia" w:ascii="Times New Roman" w:cs="Times New Roman"/>
                <w:lang w:eastAsia="zh-CN"/>
              </w:rPr>
              <w:t>）</w:t>
            </w:r>
          </w:p>
        </w:tc>
        <w:tc>
          <w:tcPr>
            <w:tcW w:w="571" w:type="pct"/>
            <w:vAlign w:val="center"/>
          </w:tcPr>
          <w:p>
            <w:pPr>
              <w:pStyle w:val="203"/>
              <w:jc w:val="both"/>
              <w:rPr>
                <w:rFonts w:ascii="Times New Roman" w:cs="Times New Roman"/>
              </w:rPr>
            </w:pPr>
            <w:r>
              <w:rPr>
                <w:rFonts w:ascii="Times New Roman" w:cs="Times New Roman"/>
              </w:rPr>
              <w:t>螺栓</w:t>
            </w:r>
          </w:p>
          <w:p>
            <w:pPr>
              <w:pStyle w:val="203"/>
              <w:jc w:val="both"/>
              <w:rPr>
                <w:rFonts w:ascii="Times New Roman" w:cs="Times New Roman"/>
              </w:rPr>
            </w:pPr>
            <w:r>
              <w:rPr>
                <w:rFonts w:ascii="Times New Roman" w:cs="Times New Roman"/>
              </w:rPr>
              <w:t>受剪</w:t>
            </w:r>
          </w:p>
        </w:tc>
        <w:tc>
          <w:tcPr>
            <w:tcW w:w="1105" w:type="pct"/>
            <w:vAlign w:val="center"/>
          </w:tcPr>
          <w:p>
            <w:pPr>
              <w:pStyle w:val="203"/>
              <w:rPr>
                <w:rFonts w:ascii="Times New Roman" w:cs="Times New Roman"/>
              </w:rPr>
            </w:pPr>
            <w:r>
              <w:rPr>
                <w:rFonts w:hint="eastAsia" w:ascii="Times New Roman" w:cs="Times New Roman"/>
              </w:rPr>
              <w:t>——</w:t>
            </w:r>
          </w:p>
        </w:tc>
        <w:tc>
          <w:tcPr>
            <w:tcW w:w="1200"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V</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m:sty m:val="p"/>
                      </m:rPr>
                      <w:rPr>
                        <w:rFonts w:ascii="Cambria Math" w:hAnsi="Cambria Math" w:cs="Times New Roman"/>
                      </w:rPr>
                      <m:t>cb</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Rd，s，M</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Rk，s，M</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Ms</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39" w:type="pct"/>
            <w:vAlign w:val="center"/>
          </w:tcPr>
          <w:p>
            <w:pPr>
              <w:pStyle w:val="203"/>
              <w:rPr>
                <w:rFonts w:ascii="Times New Roman" w:cs="Times New Roman"/>
              </w:rPr>
            </w:pPr>
            <w:r>
              <w:rPr>
                <w:rFonts w:ascii="Times New Roman" w:cs="Times New Roman"/>
              </w:rPr>
              <w:drawing>
                <wp:inline distT="0" distB="0" distL="0" distR="0">
                  <wp:extent cx="1053465" cy="89979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406"/>
                          <a:stretch>
                            <a:fillRect/>
                          </a:stretch>
                        </pic:blipFill>
                        <pic:spPr>
                          <a:xfrm>
                            <a:off x="0" y="0"/>
                            <a:ext cx="1053659" cy="90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1" w:type="pct"/>
            <w:vAlign w:val="center"/>
          </w:tcPr>
          <w:p>
            <w:pPr>
              <w:pStyle w:val="203"/>
              <w:rPr>
                <w:rFonts w:ascii="Times New Roman" w:cs="Times New Roman"/>
              </w:rPr>
            </w:pPr>
            <w:r>
              <w:rPr>
                <w:rFonts w:ascii="Times New Roman" w:cs="Times New Roman"/>
              </w:rPr>
              <w:t>6</w:t>
            </w:r>
          </w:p>
        </w:tc>
        <w:tc>
          <w:tcPr>
            <w:tcW w:w="1075" w:type="pct"/>
            <w:gridSpan w:val="2"/>
            <w:vAlign w:val="center"/>
          </w:tcPr>
          <w:p>
            <w:pPr>
              <w:pStyle w:val="203"/>
              <w:jc w:val="both"/>
              <w:rPr>
                <w:rFonts w:ascii="Times New Roman" w:cs="Times New Roman"/>
              </w:rPr>
            </w:pPr>
            <w:r>
              <w:rPr>
                <w:rFonts w:ascii="Times New Roman" w:cs="Times New Roman"/>
              </w:rPr>
              <w:t>混凝土剪撬破坏</w:t>
            </w:r>
          </w:p>
        </w:tc>
        <w:tc>
          <w:tcPr>
            <w:tcW w:w="1105" w:type="pct"/>
            <w:vAlign w:val="center"/>
          </w:tcPr>
          <w:p>
            <w:pPr>
              <w:pStyle w:val="203"/>
              <w:rPr>
                <w:rFonts w:ascii="Times New Roman" w:cs="Times New Roman"/>
              </w:rPr>
            </w:pPr>
            <w:r>
              <w:rPr>
                <w:rFonts w:hint="eastAsia" w:ascii="Times New Roman" w:cs="Times New Roman"/>
              </w:rPr>
              <w:t>——</w:t>
            </w:r>
          </w:p>
        </w:tc>
        <w:tc>
          <w:tcPr>
            <w:tcW w:w="1200"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V</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m:sty m:val="p"/>
                      </m:rPr>
                      <w:rPr>
                        <w:rFonts w:ascii="Cambria Math" w:hAnsi="Cambria Math" w:cs="Times New Roman"/>
                      </w:rPr>
                      <m:t>a</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Rd，cp</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Rk，cp</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Mc</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39" w:type="pct"/>
            <w:vAlign w:val="center"/>
          </w:tcPr>
          <w:p>
            <w:pPr>
              <w:pStyle w:val="203"/>
              <w:rPr>
                <w:rFonts w:ascii="Times New Roman" w:cs="Times New Roman"/>
              </w:rPr>
            </w:pPr>
            <w:r>
              <w:rPr>
                <w:rFonts w:ascii="Times New Roman" w:cs="Times New Roman"/>
              </w:rPr>
              <w:drawing>
                <wp:inline distT="0" distB="0" distL="0" distR="0">
                  <wp:extent cx="992505" cy="719455"/>
                  <wp:effectExtent l="0" t="0" r="0" b="444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07"/>
                          <a:stretch>
                            <a:fillRect/>
                          </a:stretch>
                        </pic:blipFill>
                        <pic:spPr>
                          <a:xfrm>
                            <a:off x="0" y="0"/>
                            <a:ext cx="992842" cy="720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81" w:type="pct"/>
            <w:vAlign w:val="center"/>
          </w:tcPr>
          <w:p>
            <w:pPr>
              <w:pStyle w:val="203"/>
              <w:rPr>
                <w:rFonts w:ascii="Times New Roman" w:cs="Times New Roman"/>
              </w:rPr>
            </w:pPr>
            <w:r>
              <w:rPr>
                <w:rFonts w:ascii="Times New Roman" w:cs="Times New Roman"/>
              </w:rPr>
              <w:t>7</w:t>
            </w:r>
          </w:p>
        </w:tc>
        <w:tc>
          <w:tcPr>
            <w:tcW w:w="1075" w:type="pct"/>
            <w:gridSpan w:val="2"/>
            <w:vAlign w:val="center"/>
          </w:tcPr>
          <w:p>
            <w:pPr>
              <w:pStyle w:val="203"/>
              <w:jc w:val="both"/>
              <w:rPr>
                <w:rFonts w:ascii="Times New Roman" w:cs="Times New Roman"/>
              </w:rPr>
            </w:pPr>
            <w:r>
              <w:rPr>
                <w:rFonts w:ascii="Times New Roman" w:cs="Times New Roman"/>
              </w:rPr>
              <w:t>混凝土边缘破坏</w:t>
            </w:r>
            <w:r>
              <w:rPr>
                <w:rFonts w:hint="eastAsia" w:ascii="Times New Roman" w:cs="Times New Roman"/>
                <w:lang w:eastAsia="zh-CN"/>
              </w:rPr>
              <w:t>（</w:t>
            </w:r>
            <w:r>
              <w:rPr>
                <w:rFonts w:ascii="Times New Roman" w:cs="Times New Roman"/>
              </w:rPr>
              <w:t>不满足要求时，可考虑加密箍筋</w:t>
            </w:r>
            <w:r>
              <w:rPr>
                <w:rFonts w:hint="eastAsia" w:ascii="Times New Roman" w:cs="Times New Roman"/>
                <w:lang w:eastAsia="zh-CN"/>
              </w:rPr>
              <w:t>）</w:t>
            </w:r>
          </w:p>
        </w:tc>
        <w:tc>
          <w:tcPr>
            <w:tcW w:w="1105" w:type="pct"/>
            <w:vAlign w:val="center"/>
          </w:tcPr>
          <w:p>
            <w:pPr>
              <w:pStyle w:val="203"/>
              <w:rPr>
                <w:rFonts w:ascii="Times New Roman" w:cs="Times New Roman"/>
              </w:rPr>
            </w:pPr>
            <w:r>
              <w:rPr>
                <w:rFonts w:hint="eastAsia" w:ascii="Times New Roman" w:cs="Times New Roman"/>
              </w:rPr>
              <w:t>——</w:t>
            </w:r>
          </w:p>
        </w:tc>
        <w:tc>
          <w:tcPr>
            <w:tcW w:w="1200" w:type="pct"/>
            <w:vAlign w:val="center"/>
          </w:tcPr>
          <w:p>
            <w:pPr>
              <w:pStyle w:val="203"/>
              <w:rPr>
                <w:rFonts w:ascii="Times New Roman" w:cs="Times New Roman"/>
              </w:rPr>
            </w:pPr>
            <m:oMathPara>
              <m:oMath>
                <m:sSubSup>
                  <m:sSubSupPr>
                    <m:ctrlPr>
                      <w:rPr>
                        <w:rFonts w:ascii="Cambria Math" w:hAnsi="Cambria Math" w:cs="Times New Roman"/>
                        <w:kern w:val="0"/>
                      </w:rPr>
                    </m:ctrlPr>
                  </m:sSubSupPr>
                  <m:e>
                    <m:r>
                      <m:rPr/>
                      <w:rPr>
                        <w:rFonts w:ascii="Cambria Math" w:hAnsi="Cambria Math" w:cs="Times New Roman"/>
                      </w:rPr>
                      <m:t>V</m:t>
                    </m:r>
                    <m:ctrlPr>
                      <w:rPr>
                        <w:rFonts w:ascii="Cambria Math" w:hAnsi="Cambria Math" w:cs="Times New Roman"/>
                        <w:kern w:val="0"/>
                      </w:rPr>
                    </m:ctrlPr>
                  </m:e>
                  <m:sub>
                    <m:r>
                      <m:rPr>
                        <m:sty m:val="p"/>
                      </m:rPr>
                      <w:rPr>
                        <w:rFonts w:ascii="Cambria Math" w:hAnsi="Cambria Math" w:cs="Times New Roman"/>
                      </w:rPr>
                      <m:t>Ed</m:t>
                    </m:r>
                    <m:ctrlPr>
                      <w:rPr>
                        <w:rFonts w:ascii="Cambria Math" w:hAnsi="Cambria Math" w:cs="Times New Roman"/>
                        <w:kern w:val="0"/>
                      </w:rPr>
                    </m:ctrlPr>
                  </m:sub>
                  <m:sup>
                    <m:r>
                      <m:rPr>
                        <m:sty m:val="p"/>
                      </m:rPr>
                      <w:rPr>
                        <w:rFonts w:ascii="Cambria Math" w:hAnsi="Cambria Math" w:cs="Times New Roman"/>
                      </w:rPr>
                      <m:t>a</m:t>
                    </m:r>
                    <m:ctrlPr>
                      <w:rPr>
                        <w:rFonts w:ascii="Cambria Math" w:hAnsi="Cambria Math" w:cs="Times New Roman"/>
                        <w:kern w:val="0"/>
                      </w:rPr>
                    </m:ctrlPr>
                  </m:sup>
                </m:sSubSup>
                <m:r>
                  <m:rPr/>
                  <w:rPr>
                    <w:rFonts w:ascii="Cambria Math" w:hAnsi="Cambria Math" w:cs="Times New Roman"/>
                    <w:kern w:val="0"/>
                  </w:rPr>
                  <m:t>≤</m:t>
                </m:r>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Rd，c</m:t>
                    </m:r>
                    <m:ctrlPr>
                      <w:rPr>
                        <w:rFonts w:ascii="Cambria Math" w:hAnsi="Cambria Math" w:cs="Times New Roman"/>
                        <w:i/>
                        <w:kern w:val="0"/>
                      </w:rPr>
                    </m:ctrlPr>
                  </m:sub>
                </m:sSub>
                <m:r>
                  <m:rPr/>
                  <w:rPr>
                    <w:rFonts w:ascii="Cambria Math" w:hAnsi="Cambria Math" w:cs="Times New Roman"/>
                    <w:kern w:val="0"/>
                  </w:rPr>
                  <m:t>=</m:t>
                </m:r>
                <m:f>
                  <m:fPr>
                    <m:type m:val="skw"/>
                    <m:ctrlPr>
                      <w:rPr>
                        <w:rFonts w:ascii="Cambria Math" w:hAnsi="Cambria Math" w:cs="Times New Roman"/>
                        <w:i/>
                        <w:kern w:val="0"/>
                      </w:rPr>
                    </m:ctrlPr>
                  </m:fPr>
                  <m:num>
                    <m:sSub>
                      <m:sSubPr>
                        <m:ctrlPr>
                          <w:rPr>
                            <w:rFonts w:ascii="Cambria Math" w:hAnsi="Cambria Math" w:cs="Times New Roman"/>
                            <w:i/>
                            <w:kern w:val="0"/>
                          </w:rPr>
                        </m:ctrlPr>
                      </m:sSubPr>
                      <m:e>
                        <m:r>
                          <m:rPr/>
                          <w:rPr>
                            <w:rFonts w:ascii="Cambria Math" w:hAnsi="Cambria Math" w:cs="Times New Roman"/>
                            <w:kern w:val="0"/>
                          </w:rPr>
                          <m:t>V</m:t>
                        </m:r>
                        <m:ctrlPr>
                          <w:rPr>
                            <w:rFonts w:ascii="Cambria Math" w:hAnsi="Cambria Math" w:cs="Times New Roman"/>
                            <w:i/>
                            <w:kern w:val="0"/>
                          </w:rPr>
                        </m:ctrlPr>
                      </m:e>
                      <m:sub>
                        <m:r>
                          <m:rPr>
                            <m:sty m:val="p"/>
                          </m:rPr>
                          <w:rPr>
                            <w:rFonts w:ascii="Cambria Math" w:hAnsi="Cambria Math" w:cs="Times New Roman"/>
                            <w:kern w:val="0"/>
                          </w:rPr>
                          <m:t>Rk，c</m:t>
                        </m:r>
                        <m:ctrlPr>
                          <w:rPr>
                            <w:rFonts w:ascii="Cambria Math" w:hAnsi="Cambria Math" w:cs="Times New Roman"/>
                            <w:i/>
                            <w:kern w:val="0"/>
                          </w:rPr>
                        </m:ctrlPr>
                      </m:sub>
                    </m:sSub>
                    <m:ctrlPr>
                      <w:rPr>
                        <w:rFonts w:ascii="Cambria Math" w:hAnsi="Cambria Math" w:cs="Times New Roman"/>
                        <w:i/>
                        <w:kern w:val="0"/>
                      </w:rPr>
                    </m:ctrlPr>
                  </m:num>
                  <m:den>
                    <m:sSub>
                      <m:sSubPr>
                        <m:ctrlPr>
                          <w:rPr>
                            <w:rFonts w:ascii="Cambria Math" w:hAnsi="Cambria Math" w:cs="Times New Roman"/>
                            <w:i/>
                            <w:kern w:val="0"/>
                          </w:rPr>
                        </m:ctrlPr>
                      </m:sSubPr>
                      <m:e>
                        <m:r>
                          <m:rPr/>
                          <w:rPr>
                            <w:rFonts w:ascii="Cambria Math" w:hAnsi="Cambria Math" w:cs="Times New Roman"/>
                            <w:kern w:val="0"/>
                          </w:rPr>
                          <m:t>γ</m:t>
                        </m:r>
                        <m:ctrlPr>
                          <w:rPr>
                            <w:rFonts w:ascii="Cambria Math" w:hAnsi="Cambria Math" w:cs="Times New Roman"/>
                            <w:i/>
                            <w:kern w:val="0"/>
                          </w:rPr>
                        </m:ctrlPr>
                      </m:e>
                      <m:sub>
                        <m:r>
                          <m:rPr>
                            <m:sty m:val="p"/>
                          </m:rPr>
                          <w:rPr>
                            <w:rFonts w:ascii="Cambria Math" w:hAnsi="Cambria Math" w:cs="Times New Roman"/>
                            <w:kern w:val="0"/>
                          </w:rPr>
                          <m:t>Mc</m:t>
                        </m:r>
                        <m:ctrlPr>
                          <w:rPr>
                            <w:rFonts w:ascii="Cambria Math" w:hAnsi="Cambria Math" w:cs="Times New Roman"/>
                            <w:i/>
                            <w:kern w:val="0"/>
                          </w:rPr>
                        </m:ctrlPr>
                      </m:sub>
                    </m:sSub>
                    <m:ctrlPr>
                      <w:rPr>
                        <w:rFonts w:ascii="Cambria Math" w:hAnsi="Cambria Math" w:cs="Times New Roman"/>
                        <w:i/>
                        <w:kern w:val="0"/>
                      </w:rPr>
                    </m:ctrlPr>
                  </m:den>
                </m:f>
              </m:oMath>
            </m:oMathPara>
          </w:p>
        </w:tc>
        <w:tc>
          <w:tcPr>
            <w:tcW w:w="1239" w:type="pct"/>
            <w:vAlign w:val="center"/>
          </w:tcPr>
          <w:p>
            <w:pPr>
              <w:pStyle w:val="203"/>
              <w:rPr>
                <w:rFonts w:ascii="Times New Roman" w:cs="Times New Roman"/>
              </w:rPr>
            </w:pPr>
            <w:r>
              <w:rPr>
                <w:rFonts w:ascii="Times New Roman" w:cs="Times New Roman"/>
              </w:rPr>
              <w:drawing>
                <wp:inline distT="0" distB="0" distL="0" distR="0">
                  <wp:extent cx="959485" cy="719455"/>
                  <wp:effectExtent l="0" t="0" r="0" b="444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08"/>
                          <a:stretch>
                            <a:fillRect/>
                          </a:stretch>
                        </pic:blipFill>
                        <pic:spPr>
                          <a:xfrm>
                            <a:off x="0" y="0"/>
                            <a:ext cx="960000" cy="720000"/>
                          </a:xfrm>
                          <a:prstGeom prst="rect">
                            <a:avLst/>
                          </a:prstGeom>
                        </pic:spPr>
                      </pic:pic>
                    </a:graphicData>
                  </a:graphic>
                </wp:inline>
              </w:drawing>
            </w:r>
          </w:p>
        </w:tc>
      </w:tr>
    </w:tbl>
    <w:p>
      <w:pPr>
        <w:pStyle w:val="188"/>
        <w:ind w:firstLine="482"/>
        <w:rPr>
          <w:rFonts w:cs="Times New Roman"/>
        </w:rPr>
      </w:pPr>
      <w:r>
        <w:rPr>
          <w:rFonts w:cs="Times New Roman"/>
          <w:b/>
          <w:bCs w:val="0"/>
        </w:rPr>
        <w:t>3</w:t>
      </w:r>
      <w:r>
        <w:rPr>
          <w:rFonts w:cs="Times New Roman"/>
        </w:rPr>
        <w:t>槽式预埋件与混凝土结构锚固连接的承载力分项系数，应按照表D.0.10-3采用。</w:t>
      </w:r>
    </w:p>
    <w:p>
      <w:pPr>
        <w:pStyle w:val="202"/>
        <w:rPr>
          <w:rFonts w:cs="Times New Roman"/>
        </w:rPr>
      </w:pPr>
      <w:r>
        <w:rPr>
          <w:rFonts w:cs="Times New Roman"/>
        </w:rPr>
        <w:t>表D.0.10-3槽式预埋件设计的承载力分项系数</w:t>
      </w:r>
    </w:p>
    <w:tbl>
      <w:tblPr>
        <w:tblStyle w:val="37"/>
        <w:tblW w:w="5000" w:type="pct"/>
        <w:tblInd w:w="0" w:type="dxa"/>
        <w:shd w:val="clear" w:color="auto" w:fill="FFFFFF" w:themeFill="background1"/>
        <w:tblLayout w:type="autofit"/>
        <w:tblCellMar>
          <w:top w:w="0" w:type="dxa"/>
          <w:left w:w="108" w:type="dxa"/>
          <w:bottom w:w="0" w:type="dxa"/>
          <w:right w:w="108" w:type="dxa"/>
        </w:tblCellMar>
      </w:tblPr>
      <w:tblGrid>
        <w:gridCol w:w="5654"/>
        <w:gridCol w:w="1831"/>
        <w:gridCol w:w="2369"/>
      </w:tblGrid>
      <w:tr>
        <w:tblPrEx>
          <w:tblCellMar>
            <w:top w:w="0" w:type="dxa"/>
            <w:left w:w="108" w:type="dxa"/>
            <w:bottom w:w="0" w:type="dxa"/>
            <w:right w:w="108" w:type="dxa"/>
          </w:tblCellMar>
        </w:tblPrEx>
        <w:trPr>
          <w:trHeight w:val="270" w:hRule="atLeast"/>
        </w:trPr>
        <w:tc>
          <w:tcPr>
            <w:tcW w:w="2869"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191"/>
              <w:rPr>
                <w:sz w:val="21"/>
              </w:rPr>
            </w:pPr>
            <w:r>
              <w:rPr>
                <w:sz w:val="21"/>
              </w:rPr>
              <w:t>破坏模式</w:t>
            </w:r>
          </w:p>
        </w:tc>
        <w:tc>
          <w:tcPr>
            <w:tcW w:w="929" w:type="pct"/>
            <w:tcBorders>
              <w:top w:val="single" w:color="auto" w:sz="4" w:space="0"/>
              <w:left w:val="nil"/>
              <w:bottom w:val="single" w:color="auto" w:sz="4" w:space="0"/>
              <w:right w:val="single" w:color="auto" w:sz="4" w:space="0"/>
            </w:tcBorders>
            <w:shd w:val="clear" w:color="auto" w:fill="FFFFFF" w:themeFill="background1"/>
            <w:vAlign w:val="center"/>
          </w:tcPr>
          <w:p>
            <w:pPr>
              <w:pStyle w:val="191"/>
              <w:rPr>
                <w:sz w:val="21"/>
              </w:rPr>
            </w:pPr>
            <w:r>
              <w:rPr>
                <w:sz w:val="21"/>
              </w:rPr>
              <w:t>分项系数代号</w:t>
            </w:r>
          </w:p>
        </w:tc>
        <w:tc>
          <w:tcPr>
            <w:tcW w:w="1202" w:type="pct"/>
            <w:tcBorders>
              <w:top w:val="single" w:color="auto" w:sz="4" w:space="0"/>
              <w:left w:val="nil"/>
              <w:bottom w:val="single" w:color="auto" w:sz="4" w:space="0"/>
              <w:right w:val="single" w:color="auto" w:sz="4" w:space="0"/>
            </w:tcBorders>
            <w:shd w:val="clear" w:color="auto" w:fill="FFFFFF" w:themeFill="background1"/>
            <w:vAlign w:val="center"/>
          </w:tcPr>
          <w:p>
            <w:pPr>
              <w:pStyle w:val="191"/>
              <w:rPr>
                <w:sz w:val="21"/>
              </w:rPr>
            </w:pPr>
            <w:r>
              <w:rPr>
                <w:sz w:val="21"/>
              </w:rPr>
              <w:t>分项系数</w:t>
            </w:r>
          </w:p>
        </w:tc>
      </w:tr>
      <w:tr>
        <w:tblPrEx>
          <w:tblCellMar>
            <w:top w:w="0" w:type="dxa"/>
            <w:left w:w="108" w:type="dxa"/>
            <w:bottom w:w="0" w:type="dxa"/>
            <w:right w:w="108" w:type="dxa"/>
          </w:tblCellMar>
        </w:tblPrEx>
        <w:trPr>
          <w:trHeight w:val="270"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191"/>
              <w:jc w:val="left"/>
              <w:rPr>
                <w:sz w:val="21"/>
              </w:rPr>
            </w:pPr>
            <w:r>
              <w:rPr>
                <w:sz w:val="21"/>
              </w:rPr>
              <w:t>槽式预埋件钢材破坏</w:t>
            </w:r>
          </w:p>
        </w:tc>
      </w:tr>
      <w:tr>
        <w:tblPrEx>
          <w:tblCellMar>
            <w:top w:w="0" w:type="dxa"/>
            <w:left w:w="108" w:type="dxa"/>
            <w:bottom w:w="0" w:type="dxa"/>
            <w:right w:w="108" w:type="dxa"/>
          </w:tblCellMar>
        </w:tblPrEx>
        <w:trPr>
          <w:trHeight w:val="270" w:hRule="atLeast"/>
        </w:trPr>
        <w:tc>
          <w:tcPr>
            <w:tcW w:w="2869" w:type="pct"/>
            <w:tcBorders>
              <w:top w:val="nil"/>
              <w:left w:val="single" w:color="auto" w:sz="4" w:space="0"/>
              <w:bottom w:val="single" w:color="auto" w:sz="4" w:space="0"/>
              <w:right w:val="single" w:color="auto" w:sz="4" w:space="0"/>
            </w:tcBorders>
            <w:shd w:val="clear" w:color="auto" w:fill="FFFFFF" w:themeFill="background1"/>
            <w:vAlign w:val="center"/>
          </w:tcPr>
          <w:p>
            <w:pPr>
              <w:pStyle w:val="191"/>
              <w:jc w:val="left"/>
              <w:rPr>
                <w:sz w:val="21"/>
              </w:rPr>
            </w:pPr>
            <w:r>
              <w:rPr>
                <w:sz w:val="21"/>
              </w:rPr>
              <w:t>1 锚筋受拉、螺栓受拉</w:t>
            </w:r>
          </w:p>
        </w:tc>
        <w:tc>
          <w:tcPr>
            <w:tcW w:w="929" w:type="pct"/>
            <w:tcBorders>
              <w:top w:val="nil"/>
              <w:left w:val="nil"/>
              <w:bottom w:val="single" w:color="auto" w:sz="4" w:space="0"/>
              <w:right w:val="single" w:color="auto" w:sz="4" w:space="0"/>
            </w:tcBorders>
            <w:shd w:val="clear" w:color="auto" w:fill="FFFFFF" w:themeFill="background1"/>
            <w:vAlign w:val="center"/>
          </w:tcPr>
          <w:p>
            <w:pPr>
              <w:pStyle w:val="191"/>
              <w:rPr>
                <w:sz w:val="21"/>
              </w:rPr>
            </w:pPr>
            <m:oMathPara>
              <m:oMath>
                <m:sSub>
                  <m:sSubPr>
                    <m:ctrlPr>
                      <w:rPr>
                        <w:rFonts w:ascii="Cambria Math" w:hAnsi="Cambria Math"/>
                        <w:i/>
                        <w:sz w:val="21"/>
                      </w:rPr>
                    </m:ctrlPr>
                  </m:sSubPr>
                  <m:e>
                    <m:r>
                      <m:rPr/>
                      <w:rPr>
                        <w:rFonts w:ascii="Cambria Math" w:hAnsi="Cambria Math"/>
                        <w:sz w:val="21"/>
                      </w:rPr>
                      <m:t>γ</m:t>
                    </m:r>
                    <m:ctrlPr>
                      <w:rPr>
                        <w:rFonts w:ascii="Cambria Math" w:hAnsi="Cambria Math"/>
                        <w:i/>
                        <w:sz w:val="21"/>
                      </w:rPr>
                    </m:ctrlPr>
                  </m:e>
                  <m:sub>
                    <m:r>
                      <m:rPr>
                        <m:sty m:val="p"/>
                      </m:rPr>
                      <w:rPr>
                        <w:rFonts w:ascii="Cambria Math" w:hAnsi="Cambria Math"/>
                        <w:sz w:val="21"/>
                      </w:rPr>
                      <m:t>Ms</m:t>
                    </m:r>
                    <m:ctrlPr>
                      <w:rPr>
                        <w:rFonts w:ascii="Cambria Math" w:hAnsi="Cambria Math"/>
                        <w:i/>
                        <w:sz w:val="21"/>
                      </w:rPr>
                    </m:ctrlPr>
                  </m:sub>
                </m:sSub>
              </m:oMath>
            </m:oMathPara>
          </w:p>
        </w:tc>
        <w:tc>
          <w:tcPr>
            <w:tcW w:w="1202" w:type="pct"/>
            <w:tcBorders>
              <w:top w:val="nil"/>
              <w:left w:val="nil"/>
              <w:bottom w:val="single" w:color="auto" w:sz="4" w:space="0"/>
              <w:right w:val="single" w:color="auto" w:sz="4" w:space="0"/>
            </w:tcBorders>
            <w:shd w:val="clear" w:color="auto" w:fill="FFFFFF" w:themeFill="background1"/>
            <w:vAlign w:val="center"/>
          </w:tcPr>
          <w:p>
            <w:pPr>
              <w:pStyle w:val="191"/>
              <w:rPr>
                <w:sz w:val="21"/>
              </w:rPr>
            </w:pPr>
            <w:r>
              <w:rPr>
                <w:sz w:val="21"/>
              </w:rPr>
              <w:t>1.50</w:t>
            </w:r>
          </w:p>
        </w:tc>
      </w:tr>
      <w:tr>
        <w:tblPrEx>
          <w:shd w:val="clear" w:color="auto" w:fill="FFFFFF" w:themeFill="background1"/>
          <w:tblCellMar>
            <w:top w:w="0" w:type="dxa"/>
            <w:left w:w="108" w:type="dxa"/>
            <w:bottom w:w="0" w:type="dxa"/>
            <w:right w:w="108" w:type="dxa"/>
          </w:tblCellMar>
        </w:tblPrEx>
        <w:trPr>
          <w:trHeight w:val="270" w:hRule="atLeast"/>
        </w:trPr>
        <w:tc>
          <w:tcPr>
            <w:tcW w:w="2869" w:type="pct"/>
            <w:tcBorders>
              <w:top w:val="nil"/>
              <w:left w:val="single" w:color="auto" w:sz="4" w:space="0"/>
              <w:bottom w:val="single" w:color="auto" w:sz="4" w:space="0"/>
              <w:right w:val="single" w:color="auto" w:sz="4" w:space="0"/>
            </w:tcBorders>
            <w:shd w:val="clear" w:color="auto" w:fill="FFFFFF" w:themeFill="background1"/>
            <w:vAlign w:val="center"/>
          </w:tcPr>
          <w:p>
            <w:pPr>
              <w:pStyle w:val="191"/>
              <w:jc w:val="left"/>
              <w:rPr>
                <w:sz w:val="21"/>
              </w:rPr>
            </w:pPr>
            <w:r>
              <w:rPr>
                <w:sz w:val="21"/>
              </w:rPr>
              <w:t>2 锚筋受剪，螺栓受剪（有杠杆臂、无杠杆臂）</w:t>
            </w:r>
          </w:p>
        </w:tc>
        <w:tc>
          <w:tcPr>
            <w:tcW w:w="929" w:type="pct"/>
            <w:tcBorders>
              <w:top w:val="nil"/>
              <w:left w:val="nil"/>
              <w:bottom w:val="single" w:color="auto" w:sz="4" w:space="0"/>
              <w:right w:val="single" w:color="auto" w:sz="4" w:space="0"/>
            </w:tcBorders>
            <w:shd w:val="clear" w:color="auto" w:fill="FFFFFF" w:themeFill="background1"/>
            <w:vAlign w:val="center"/>
          </w:tcPr>
          <w:p>
            <w:pPr>
              <w:pStyle w:val="191"/>
              <w:rPr>
                <w:sz w:val="21"/>
              </w:rPr>
            </w:pPr>
            <m:oMathPara>
              <m:oMath>
                <m:sSub>
                  <m:sSubPr>
                    <m:ctrlPr>
                      <w:rPr>
                        <w:rFonts w:ascii="Cambria Math" w:hAnsi="Cambria Math"/>
                        <w:i/>
                        <w:sz w:val="21"/>
                      </w:rPr>
                    </m:ctrlPr>
                  </m:sSubPr>
                  <m:e>
                    <m:r>
                      <m:rPr/>
                      <w:rPr>
                        <w:rFonts w:ascii="Cambria Math" w:hAnsi="Cambria Math"/>
                        <w:sz w:val="21"/>
                      </w:rPr>
                      <m:t>γ</m:t>
                    </m:r>
                    <m:ctrlPr>
                      <w:rPr>
                        <w:rFonts w:ascii="Cambria Math" w:hAnsi="Cambria Math"/>
                        <w:i/>
                        <w:sz w:val="21"/>
                      </w:rPr>
                    </m:ctrlPr>
                  </m:e>
                  <m:sub>
                    <m:r>
                      <m:rPr>
                        <m:sty m:val="p"/>
                      </m:rPr>
                      <w:rPr>
                        <w:rFonts w:ascii="Cambria Math" w:hAnsi="Cambria Math"/>
                        <w:sz w:val="21"/>
                      </w:rPr>
                      <m:t>Ms</m:t>
                    </m:r>
                    <m:ctrlPr>
                      <w:rPr>
                        <w:rFonts w:ascii="Cambria Math" w:hAnsi="Cambria Math"/>
                        <w:i/>
                        <w:sz w:val="21"/>
                      </w:rPr>
                    </m:ctrlPr>
                  </m:sub>
                </m:sSub>
              </m:oMath>
            </m:oMathPara>
          </w:p>
        </w:tc>
        <w:tc>
          <w:tcPr>
            <w:tcW w:w="1202" w:type="pct"/>
            <w:tcBorders>
              <w:top w:val="nil"/>
              <w:left w:val="nil"/>
              <w:bottom w:val="single" w:color="auto" w:sz="4" w:space="0"/>
              <w:right w:val="single" w:color="auto" w:sz="4" w:space="0"/>
            </w:tcBorders>
            <w:shd w:val="clear" w:color="auto" w:fill="FFFFFF" w:themeFill="background1"/>
            <w:vAlign w:val="center"/>
          </w:tcPr>
          <w:p>
            <w:pPr>
              <w:pStyle w:val="191"/>
              <w:rPr>
                <w:sz w:val="21"/>
              </w:rPr>
            </w:pPr>
            <w:r>
              <w:rPr>
                <w:sz w:val="21"/>
              </w:rPr>
              <w:t>1.25</w:t>
            </w:r>
          </w:p>
        </w:tc>
      </w:tr>
      <w:tr>
        <w:tblPrEx>
          <w:shd w:val="clear" w:color="auto" w:fill="FFFFFF" w:themeFill="background1"/>
          <w:tblCellMar>
            <w:top w:w="0" w:type="dxa"/>
            <w:left w:w="108" w:type="dxa"/>
            <w:bottom w:w="0" w:type="dxa"/>
            <w:right w:w="108" w:type="dxa"/>
          </w:tblCellMar>
        </w:tblPrEx>
        <w:trPr>
          <w:trHeight w:val="270" w:hRule="atLeast"/>
        </w:trPr>
        <w:tc>
          <w:tcPr>
            <w:tcW w:w="2869" w:type="pct"/>
            <w:tcBorders>
              <w:top w:val="nil"/>
              <w:left w:val="single" w:color="auto" w:sz="4" w:space="0"/>
              <w:bottom w:val="single" w:color="auto" w:sz="4" w:space="0"/>
              <w:right w:val="single" w:color="auto" w:sz="4" w:space="0"/>
            </w:tcBorders>
            <w:shd w:val="clear" w:color="auto" w:fill="FFFFFF" w:themeFill="background1"/>
            <w:vAlign w:val="center"/>
          </w:tcPr>
          <w:p>
            <w:pPr>
              <w:pStyle w:val="191"/>
              <w:jc w:val="left"/>
              <w:rPr>
                <w:sz w:val="21"/>
              </w:rPr>
            </w:pPr>
            <w:r>
              <w:rPr>
                <w:sz w:val="21"/>
              </w:rPr>
              <w:t>3 锚筋与钢槽连接处受拉、受剪</w:t>
            </w:r>
          </w:p>
        </w:tc>
        <w:tc>
          <w:tcPr>
            <w:tcW w:w="929" w:type="pct"/>
            <w:tcBorders>
              <w:top w:val="nil"/>
              <w:left w:val="nil"/>
              <w:bottom w:val="single" w:color="auto" w:sz="4" w:space="0"/>
              <w:right w:val="single" w:color="auto" w:sz="4" w:space="0"/>
            </w:tcBorders>
            <w:shd w:val="clear" w:color="auto" w:fill="FFFFFF" w:themeFill="background1"/>
            <w:vAlign w:val="center"/>
          </w:tcPr>
          <w:p>
            <w:pPr>
              <w:pStyle w:val="191"/>
              <w:rPr>
                <w:sz w:val="21"/>
              </w:rPr>
            </w:pPr>
            <m:oMathPara>
              <m:oMath>
                <m:sSub>
                  <m:sSubPr>
                    <m:ctrlPr>
                      <w:rPr>
                        <w:rFonts w:ascii="Cambria Math" w:hAnsi="Cambria Math"/>
                        <w:i/>
                        <w:sz w:val="21"/>
                      </w:rPr>
                    </m:ctrlPr>
                  </m:sSubPr>
                  <m:e>
                    <m:r>
                      <m:rPr/>
                      <w:rPr>
                        <w:rFonts w:ascii="Cambria Math" w:hAnsi="Cambria Math"/>
                        <w:sz w:val="21"/>
                      </w:rPr>
                      <m:t>γ</m:t>
                    </m:r>
                    <m:ctrlPr>
                      <w:rPr>
                        <w:rFonts w:ascii="Cambria Math" w:hAnsi="Cambria Math"/>
                        <w:i/>
                        <w:sz w:val="21"/>
                      </w:rPr>
                    </m:ctrlPr>
                  </m:e>
                  <m:sub>
                    <m:r>
                      <m:rPr>
                        <m:sty m:val="p"/>
                      </m:rPr>
                      <w:rPr>
                        <w:rFonts w:ascii="Cambria Math" w:hAnsi="Cambria Math"/>
                        <w:sz w:val="21"/>
                      </w:rPr>
                      <m:t>Ms，ca</m:t>
                    </m:r>
                    <m:ctrlPr>
                      <w:rPr>
                        <w:rFonts w:ascii="Cambria Math" w:hAnsi="Cambria Math"/>
                        <w:i/>
                        <w:sz w:val="21"/>
                      </w:rPr>
                    </m:ctrlPr>
                  </m:sub>
                </m:sSub>
              </m:oMath>
            </m:oMathPara>
          </w:p>
        </w:tc>
        <w:tc>
          <w:tcPr>
            <w:tcW w:w="1202" w:type="pct"/>
            <w:tcBorders>
              <w:top w:val="nil"/>
              <w:left w:val="nil"/>
              <w:bottom w:val="single" w:color="auto" w:sz="4" w:space="0"/>
              <w:right w:val="single" w:color="auto" w:sz="4" w:space="0"/>
            </w:tcBorders>
            <w:shd w:val="clear" w:color="auto" w:fill="FFFFFF" w:themeFill="background1"/>
            <w:vAlign w:val="center"/>
          </w:tcPr>
          <w:p>
            <w:pPr>
              <w:pStyle w:val="191"/>
              <w:rPr>
                <w:sz w:val="21"/>
              </w:rPr>
            </w:pPr>
            <w:r>
              <w:rPr>
                <w:sz w:val="21"/>
              </w:rPr>
              <w:t>1.80</w:t>
            </w:r>
          </w:p>
        </w:tc>
      </w:tr>
      <w:tr>
        <w:tblPrEx>
          <w:shd w:val="clear" w:color="auto" w:fill="FFFFFF" w:themeFill="background1"/>
          <w:tblCellMar>
            <w:top w:w="0" w:type="dxa"/>
            <w:left w:w="108" w:type="dxa"/>
            <w:bottom w:w="0" w:type="dxa"/>
            <w:right w:w="108" w:type="dxa"/>
          </w:tblCellMar>
        </w:tblPrEx>
        <w:trPr>
          <w:trHeight w:val="270" w:hRule="atLeast"/>
        </w:trPr>
        <w:tc>
          <w:tcPr>
            <w:tcW w:w="2869" w:type="pct"/>
            <w:tcBorders>
              <w:top w:val="nil"/>
              <w:left w:val="single" w:color="auto" w:sz="4" w:space="0"/>
              <w:bottom w:val="single" w:color="auto" w:sz="4" w:space="0"/>
              <w:right w:val="single" w:color="auto" w:sz="4" w:space="0"/>
            </w:tcBorders>
            <w:shd w:val="clear" w:color="auto" w:fill="FFFFFF" w:themeFill="background1"/>
            <w:vAlign w:val="center"/>
          </w:tcPr>
          <w:p>
            <w:pPr>
              <w:pStyle w:val="191"/>
              <w:jc w:val="left"/>
              <w:rPr>
                <w:sz w:val="21"/>
              </w:rPr>
            </w:pPr>
            <w:r>
              <w:rPr>
                <w:sz w:val="21"/>
              </w:rPr>
              <w:t>4 钢槽卷边受拉、受剪</w:t>
            </w:r>
          </w:p>
        </w:tc>
        <w:tc>
          <w:tcPr>
            <w:tcW w:w="929" w:type="pct"/>
            <w:tcBorders>
              <w:top w:val="nil"/>
              <w:left w:val="nil"/>
              <w:bottom w:val="single" w:color="auto" w:sz="4" w:space="0"/>
              <w:right w:val="single" w:color="auto" w:sz="4" w:space="0"/>
            </w:tcBorders>
            <w:shd w:val="clear" w:color="auto" w:fill="FFFFFF" w:themeFill="background1"/>
            <w:vAlign w:val="center"/>
          </w:tcPr>
          <w:p>
            <w:pPr>
              <w:pStyle w:val="191"/>
              <w:rPr>
                <w:sz w:val="21"/>
              </w:rPr>
            </w:pPr>
            <m:oMathPara>
              <m:oMath>
                <m:sSub>
                  <m:sSubPr>
                    <m:ctrlPr>
                      <w:rPr>
                        <w:rFonts w:ascii="Cambria Math" w:hAnsi="Cambria Math"/>
                        <w:i/>
                        <w:sz w:val="21"/>
                      </w:rPr>
                    </m:ctrlPr>
                  </m:sSubPr>
                  <m:e>
                    <m:r>
                      <m:rPr/>
                      <w:rPr>
                        <w:rFonts w:ascii="Cambria Math" w:hAnsi="Cambria Math"/>
                        <w:sz w:val="21"/>
                      </w:rPr>
                      <m:t>γ</m:t>
                    </m:r>
                    <m:ctrlPr>
                      <w:rPr>
                        <w:rFonts w:ascii="Cambria Math" w:hAnsi="Cambria Math"/>
                        <w:i/>
                        <w:sz w:val="21"/>
                      </w:rPr>
                    </m:ctrlPr>
                  </m:e>
                  <m:sub>
                    <m:r>
                      <m:rPr>
                        <m:sty m:val="p"/>
                      </m:rPr>
                      <w:rPr>
                        <w:rFonts w:ascii="Cambria Math" w:hAnsi="Cambria Math"/>
                        <w:sz w:val="21"/>
                      </w:rPr>
                      <m:t>Ms，</m:t>
                    </m:r>
                    <m:r>
                      <m:rPr/>
                      <w:rPr>
                        <w:rFonts w:ascii="Cambria Math" w:hAnsi="Cambria Math"/>
                        <w:sz w:val="21"/>
                      </w:rPr>
                      <m:t>l</m:t>
                    </m:r>
                    <m:ctrlPr>
                      <w:rPr>
                        <w:rFonts w:ascii="Cambria Math" w:hAnsi="Cambria Math"/>
                        <w:i/>
                        <w:sz w:val="21"/>
                      </w:rPr>
                    </m:ctrlPr>
                  </m:sub>
                </m:sSub>
              </m:oMath>
            </m:oMathPara>
          </w:p>
        </w:tc>
        <w:tc>
          <w:tcPr>
            <w:tcW w:w="1202" w:type="pct"/>
            <w:tcBorders>
              <w:top w:val="nil"/>
              <w:left w:val="nil"/>
              <w:bottom w:val="single" w:color="auto" w:sz="4" w:space="0"/>
              <w:right w:val="single" w:color="auto" w:sz="4" w:space="0"/>
            </w:tcBorders>
            <w:shd w:val="clear" w:color="auto" w:fill="FFFFFF" w:themeFill="background1"/>
            <w:vAlign w:val="center"/>
          </w:tcPr>
          <w:p>
            <w:pPr>
              <w:pStyle w:val="191"/>
              <w:rPr>
                <w:sz w:val="21"/>
              </w:rPr>
            </w:pPr>
            <w:r>
              <w:rPr>
                <w:sz w:val="21"/>
              </w:rPr>
              <w:t>1.80</w:t>
            </w:r>
          </w:p>
        </w:tc>
      </w:tr>
      <w:tr>
        <w:tblPrEx>
          <w:shd w:val="clear" w:color="auto" w:fill="FFFFFF" w:themeFill="background1"/>
          <w:tblCellMar>
            <w:top w:w="0" w:type="dxa"/>
            <w:left w:w="108" w:type="dxa"/>
            <w:bottom w:w="0" w:type="dxa"/>
            <w:right w:w="108" w:type="dxa"/>
          </w:tblCellMar>
        </w:tblPrEx>
        <w:trPr>
          <w:trHeight w:val="270" w:hRule="atLeast"/>
        </w:trPr>
        <w:tc>
          <w:tcPr>
            <w:tcW w:w="2869" w:type="pct"/>
            <w:tcBorders>
              <w:top w:val="nil"/>
              <w:left w:val="single" w:color="auto" w:sz="4" w:space="0"/>
              <w:bottom w:val="single" w:color="auto" w:sz="4" w:space="0"/>
              <w:right w:val="single" w:color="auto" w:sz="4" w:space="0"/>
            </w:tcBorders>
            <w:shd w:val="clear" w:color="auto" w:fill="FFFFFF" w:themeFill="background1"/>
            <w:vAlign w:val="center"/>
          </w:tcPr>
          <w:p>
            <w:pPr>
              <w:pStyle w:val="191"/>
              <w:jc w:val="left"/>
              <w:rPr>
                <w:sz w:val="21"/>
              </w:rPr>
            </w:pPr>
            <w:r>
              <w:rPr>
                <w:sz w:val="21"/>
              </w:rPr>
              <w:t>5 钢槽整体受拉弯曲</w:t>
            </w:r>
          </w:p>
        </w:tc>
        <w:tc>
          <w:tcPr>
            <w:tcW w:w="929" w:type="pct"/>
            <w:tcBorders>
              <w:top w:val="nil"/>
              <w:left w:val="nil"/>
              <w:bottom w:val="single" w:color="auto" w:sz="4" w:space="0"/>
              <w:right w:val="single" w:color="auto" w:sz="4" w:space="0"/>
            </w:tcBorders>
            <w:shd w:val="clear" w:color="auto" w:fill="FFFFFF" w:themeFill="background1"/>
            <w:vAlign w:val="center"/>
          </w:tcPr>
          <w:p>
            <w:pPr>
              <w:pStyle w:val="191"/>
              <w:rPr>
                <w:sz w:val="21"/>
              </w:rPr>
            </w:pPr>
            <m:oMathPara>
              <m:oMath>
                <m:sSub>
                  <m:sSubPr>
                    <m:ctrlPr>
                      <w:rPr>
                        <w:rFonts w:ascii="Cambria Math" w:hAnsi="Cambria Math"/>
                        <w:i/>
                        <w:sz w:val="21"/>
                      </w:rPr>
                    </m:ctrlPr>
                  </m:sSubPr>
                  <m:e>
                    <m:r>
                      <m:rPr/>
                      <w:rPr>
                        <w:rFonts w:ascii="Cambria Math" w:hAnsi="Cambria Math"/>
                        <w:sz w:val="21"/>
                      </w:rPr>
                      <m:t>γ</m:t>
                    </m:r>
                    <m:ctrlPr>
                      <w:rPr>
                        <w:rFonts w:ascii="Cambria Math" w:hAnsi="Cambria Math"/>
                        <w:i/>
                        <w:sz w:val="21"/>
                      </w:rPr>
                    </m:ctrlPr>
                  </m:e>
                  <m:sub>
                    <m:r>
                      <m:rPr>
                        <m:sty m:val="p"/>
                      </m:rPr>
                      <w:rPr>
                        <w:rFonts w:ascii="Cambria Math" w:hAnsi="Cambria Math"/>
                        <w:sz w:val="21"/>
                      </w:rPr>
                      <m:t>Ms，flex</m:t>
                    </m:r>
                    <m:ctrlPr>
                      <w:rPr>
                        <w:rFonts w:ascii="Cambria Math" w:hAnsi="Cambria Math"/>
                        <w:i/>
                        <w:sz w:val="21"/>
                      </w:rPr>
                    </m:ctrlPr>
                  </m:sub>
                </m:sSub>
              </m:oMath>
            </m:oMathPara>
          </w:p>
        </w:tc>
        <w:tc>
          <w:tcPr>
            <w:tcW w:w="1202" w:type="pct"/>
            <w:tcBorders>
              <w:top w:val="nil"/>
              <w:left w:val="nil"/>
              <w:bottom w:val="single" w:color="auto" w:sz="4" w:space="0"/>
              <w:right w:val="single" w:color="auto" w:sz="4" w:space="0"/>
            </w:tcBorders>
            <w:shd w:val="clear" w:color="auto" w:fill="FFFFFF" w:themeFill="background1"/>
            <w:vAlign w:val="center"/>
          </w:tcPr>
          <w:p>
            <w:pPr>
              <w:pStyle w:val="191"/>
              <w:rPr>
                <w:sz w:val="21"/>
              </w:rPr>
            </w:pPr>
            <w:r>
              <w:rPr>
                <w:sz w:val="21"/>
              </w:rPr>
              <w:t>1.15</w:t>
            </w:r>
          </w:p>
        </w:tc>
      </w:tr>
      <w:tr>
        <w:trPr>
          <w:trHeight w:val="270"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191"/>
              <w:jc w:val="left"/>
              <w:rPr>
                <w:sz w:val="21"/>
              </w:rPr>
            </w:pPr>
            <w:r>
              <w:rPr>
                <w:sz w:val="21"/>
              </w:rPr>
              <w:t>混凝土破坏</w:t>
            </w:r>
          </w:p>
        </w:tc>
      </w:tr>
      <w:tr>
        <w:tblPrEx>
          <w:tblCellMar>
            <w:top w:w="0" w:type="dxa"/>
            <w:left w:w="108" w:type="dxa"/>
            <w:bottom w:w="0" w:type="dxa"/>
            <w:right w:w="108" w:type="dxa"/>
          </w:tblCellMar>
        </w:tblPrEx>
        <w:trPr>
          <w:trHeight w:val="540" w:hRule="atLeast"/>
        </w:trPr>
        <w:tc>
          <w:tcPr>
            <w:tcW w:w="2869" w:type="pct"/>
            <w:tcBorders>
              <w:top w:val="nil"/>
              <w:left w:val="single" w:color="auto" w:sz="4" w:space="0"/>
              <w:bottom w:val="single" w:color="auto" w:sz="4" w:space="0"/>
              <w:right w:val="single" w:color="auto" w:sz="4" w:space="0"/>
            </w:tcBorders>
            <w:shd w:val="clear" w:color="auto" w:fill="FFFFFF" w:themeFill="background1"/>
            <w:vAlign w:val="center"/>
          </w:tcPr>
          <w:p>
            <w:pPr>
              <w:pStyle w:val="191"/>
              <w:jc w:val="left"/>
              <w:rPr>
                <w:sz w:val="21"/>
              </w:rPr>
            </w:pPr>
            <w:r>
              <w:rPr>
                <w:sz w:val="21"/>
              </w:rPr>
              <w:t>6 混凝土受拉锥体破坏、混凝土受拉边缘破坏、混凝土受剪边缘破坏、混凝土受剪剪撬破坏</w:t>
            </w:r>
          </w:p>
        </w:tc>
        <w:tc>
          <w:tcPr>
            <w:tcW w:w="929" w:type="pct"/>
            <w:tcBorders>
              <w:top w:val="nil"/>
              <w:left w:val="nil"/>
              <w:bottom w:val="single" w:color="auto" w:sz="4" w:space="0"/>
              <w:right w:val="single" w:color="auto" w:sz="4" w:space="0"/>
            </w:tcBorders>
            <w:shd w:val="clear" w:color="auto" w:fill="FFFFFF" w:themeFill="background1"/>
            <w:vAlign w:val="center"/>
          </w:tcPr>
          <w:p>
            <w:pPr>
              <w:pStyle w:val="191"/>
              <w:rPr>
                <w:sz w:val="21"/>
              </w:rPr>
            </w:pPr>
            <m:oMathPara>
              <m:oMath>
                <m:sSub>
                  <m:sSubPr>
                    <m:ctrlPr>
                      <w:rPr>
                        <w:rFonts w:ascii="Cambria Math" w:hAnsi="Cambria Math"/>
                        <w:i/>
                        <w:sz w:val="21"/>
                      </w:rPr>
                    </m:ctrlPr>
                  </m:sSubPr>
                  <m:e>
                    <m:r>
                      <m:rPr/>
                      <w:rPr>
                        <w:rFonts w:ascii="Cambria Math" w:hAnsi="Cambria Math"/>
                        <w:sz w:val="21"/>
                      </w:rPr>
                      <m:t>γ</m:t>
                    </m:r>
                    <m:ctrlPr>
                      <w:rPr>
                        <w:rFonts w:ascii="Cambria Math" w:hAnsi="Cambria Math"/>
                        <w:i/>
                        <w:sz w:val="21"/>
                      </w:rPr>
                    </m:ctrlPr>
                  </m:e>
                  <m:sub>
                    <m:r>
                      <m:rPr>
                        <m:sty m:val="p"/>
                      </m:rPr>
                      <w:rPr>
                        <w:rFonts w:ascii="Cambria Math" w:hAnsi="Cambria Math"/>
                        <w:sz w:val="21"/>
                      </w:rPr>
                      <m:t>Mc</m:t>
                    </m:r>
                    <m:ctrlPr>
                      <w:rPr>
                        <w:rFonts w:ascii="Cambria Math" w:hAnsi="Cambria Math"/>
                        <w:i/>
                        <w:sz w:val="21"/>
                      </w:rPr>
                    </m:ctrlPr>
                  </m:sub>
                </m:sSub>
              </m:oMath>
            </m:oMathPara>
          </w:p>
        </w:tc>
        <w:tc>
          <w:tcPr>
            <w:tcW w:w="1202" w:type="pct"/>
            <w:tcBorders>
              <w:top w:val="nil"/>
              <w:left w:val="nil"/>
              <w:bottom w:val="single" w:color="auto" w:sz="4" w:space="0"/>
              <w:right w:val="single" w:color="auto" w:sz="4" w:space="0"/>
            </w:tcBorders>
            <w:shd w:val="clear" w:color="auto" w:fill="FFFFFF" w:themeFill="background1"/>
            <w:vAlign w:val="center"/>
          </w:tcPr>
          <w:p>
            <w:pPr>
              <w:pStyle w:val="191"/>
              <w:rPr>
                <w:sz w:val="21"/>
              </w:rPr>
            </w:pPr>
            <w:r>
              <w:rPr>
                <w:sz w:val="21"/>
              </w:rPr>
              <w:t>1.50</w:t>
            </w:r>
          </w:p>
        </w:tc>
      </w:tr>
      <w:tr>
        <w:tblPrEx>
          <w:tblCellMar>
            <w:top w:w="0" w:type="dxa"/>
            <w:left w:w="108" w:type="dxa"/>
            <w:bottom w:w="0" w:type="dxa"/>
            <w:right w:w="108" w:type="dxa"/>
          </w:tblCellMar>
        </w:tblPrEx>
        <w:trPr>
          <w:trHeight w:val="270" w:hRule="atLeast"/>
        </w:trPr>
        <w:tc>
          <w:tcPr>
            <w:tcW w:w="2869" w:type="pct"/>
            <w:tcBorders>
              <w:top w:val="nil"/>
              <w:left w:val="single" w:color="auto" w:sz="4" w:space="0"/>
              <w:bottom w:val="single" w:color="auto" w:sz="4" w:space="0"/>
              <w:right w:val="single" w:color="auto" w:sz="4" w:space="0"/>
            </w:tcBorders>
            <w:shd w:val="clear" w:color="auto" w:fill="FFFFFF" w:themeFill="background1"/>
            <w:vAlign w:val="center"/>
          </w:tcPr>
          <w:p>
            <w:pPr>
              <w:pStyle w:val="191"/>
              <w:jc w:val="left"/>
              <w:rPr>
                <w:sz w:val="21"/>
              </w:rPr>
            </w:pPr>
            <w:r>
              <w:rPr>
                <w:sz w:val="21"/>
              </w:rPr>
              <w:t>7 混凝土劈裂破坏</w:t>
            </w:r>
          </w:p>
        </w:tc>
        <w:tc>
          <w:tcPr>
            <w:tcW w:w="929" w:type="pct"/>
            <w:tcBorders>
              <w:top w:val="nil"/>
              <w:left w:val="nil"/>
              <w:bottom w:val="single" w:color="auto" w:sz="4" w:space="0"/>
              <w:right w:val="single" w:color="auto" w:sz="4" w:space="0"/>
            </w:tcBorders>
            <w:shd w:val="clear" w:color="auto" w:fill="FFFFFF" w:themeFill="background1"/>
            <w:vAlign w:val="center"/>
          </w:tcPr>
          <w:p>
            <w:pPr>
              <w:pStyle w:val="191"/>
              <w:rPr>
                <w:sz w:val="21"/>
              </w:rPr>
            </w:pPr>
            <m:oMathPara>
              <m:oMath>
                <m:sSub>
                  <m:sSubPr>
                    <m:ctrlPr>
                      <w:rPr>
                        <w:rFonts w:ascii="Cambria Math" w:hAnsi="Cambria Math"/>
                        <w:i/>
                        <w:sz w:val="21"/>
                      </w:rPr>
                    </m:ctrlPr>
                  </m:sSubPr>
                  <m:e>
                    <m:r>
                      <m:rPr/>
                      <w:rPr>
                        <w:rFonts w:ascii="Cambria Math" w:hAnsi="Cambria Math"/>
                        <w:sz w:val="21"/>
                      </w:rPr>
                      <m:t>γ</m:t>
                    </m:r>
                    <m:ctrlPr>
                      <w:rPr>
                        <w:rFonts w:ascii="Cambria Math" w:hAnsi="Cambria Math"/>
                        <w:i/>
                        <w:sz w:val="21"/>
                      </w:rPr>
                    </m:ctrlPr>
                  </m:e>
                  <m:sub>
                    <m:r>
                      <m:rPr>
                        <m:sty m:val="p"/>
                      </m:rPr>
                      <w:rPr>
                        <w:rFonts w:ascii="Cambria Math" w:hAnsi="Cambria Math"/>
                        <w:sz w:val="21"/>
                      </w:rPr>
                      <m:t>Msp</m:t>
                    </m:r>
                    <m:ctrlPr>
                      <w:rPr>
                        <w:rFonts w:ascii="Cambria Math" w:hAnsi="Cambria Math"/>
                        <w:i/>
                        <w:sz w:val="21"/>
                      </w:rPr>
                    </m:ctrlPr>
                  </m:sub>
                </m:sSub>
              </m:oMath>
            </m:oMathPara>
          </w:p>
        </w:tc>
        <w:tc>
          <w:tcPr>
            <w:tcW w:w="1202" w:type="pct"/>
            <w:tcBorders>
              <w:top w:val="nil"/>
              <w:left w:val="nil"/>
              <w:bottom w:val="single" w:color="auto" w:sz="4" w:space="0"/>
              <w:right w:val="single" w:color="auto" w:sz="4" w:space="0"/>
            </w:tcBorders>
            <w:shd w:val="clear" w:color="auto" w:fill="FFFFFF" w:themeFill="background1"/>
            <w:vAlign w:val="center"/>
          </w:tcPr>
          <w:p>
            <w:pPr>
              <w:pStyle w:val="191"/>
              <w:rPr>
                <w:sz w:val="21"/>
              </w:rPr>
            </w:pPr>
            <w:r>
              <w:rPr>
                <w:sz w:val="21"/>
              </w:rPr>
              <w:t>1.50</w:t>
            </w:r>
          </w:p>
        </w:tc>
      </w:tr>
      <w:tr>
        <w:tblPrEx>
          <w:shd w:val="clear" w:color="auto" w:fill="FFFFFF" w:themeFill="background1"/>
          <w:tblCellMar>
            <w:top w:w="0" w:type="dxa"/>
            <w:left w:w="108" w:type="dxa"/>
            <w:bottom w:w="0" w:type="dxa"/>
            <w:right w:w="108" w:type="dxa"/>
          </w:tblCellMar>
        </w:tblPrEx>
        <w:trPr>
          <w:trHeight w:val="270"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191"/>
              <w:jc w:val="left"/>
              <w:rPr>
                <w:sz w:val="21"/>
              </w:rPr>
            </w:pPr>
            <w:r>
              <w:rPr>
                <w:sz w:val="21"/>
              </w:rPr>
              <w:t>锚筋受拉拔出破坏</w:t>
            </w:r>
          </w:p>
        </w:tc>
      </w:tr>
      <w:tr>
        <w:tblPrEx>
          <w:tblCellMar>
            <w:top w:w="0" w:type="dxa"/>
            <w:left w:w="108" w:type="dxa"/>
            <w:bottom w:w="0" w:type="dxa"/>
            <w:right w:w="108" w:type="dxa"/>
          </w:tblCellMar>
        </w:tblPrEx>
        <w:trPr>
          <w:trHeight w:val="270" w:hRule="atLeast"/>
        </w:trPr>
        <w:tc>
          <w:tcPr>
            <w:tcW w:w="2869" w:type="pct"/>
            <w:tcBorders>
              <w:top w:val="nil"/>
              <w:left w:val="single" w:color="auto" w:sz="4" w:space="0"/>
              <w:bottom w:val="single" w:color="auto" w:sz="4" w:space="0"/>
              <w:right w:val="single" w:color="auto" w:sz="4" w:space="0"/>
            </w:tcBorders>
            <w:shd w:val="clear" w:color="auto" w:fill="FFFFFF" w:themeFill="background1"/>
            <w:vAlign w:val="center"/>
          </w:tcPr>
          <w:p>
            <w:pPr>
              <w:pStyle w:val="191"/>
              <w:jc w:val="left"/>
              <w:rPr>
                <w:sz w:val="21"/>
              </w:rPr>
            </w:pPr>
            <w:r>
              <w:rPr>
                <w:sz w:val="21"/>
              </w:rPr>
              <w:t>8 锚筋受拉拔出破坏</w:t>
            </w:r>
          </w:p>
        </w:tc>
        <w:tc>
          <w:tcPr>
            <w:tcW w:w="929" w:type="pct"/>
            <w:tcBorders>
              <w:top w:val="nil"/>
              <w:left w:val="nil"/>
              <w:bottom w:val="single" w:color="auto" w:sz="4" w:space="0"/>
              <w:right w:val="single" w:color="auto" w:sz="4" w:space="0"/>
            </w:tcBorders>
            <w:shd w:val="clear" w:color="auto" w:fill="FFFFFF" w:themeFill="background1"/>
            <w:vAlign w:val="center"/>
          </w:tcPr>
          <w:p>
            <w:pPr>
              <w:pStyle w:val="191"/>
              <w:rPr>
                <w:sz w:val="21"/>
              </w:rPr>
            </w:pPr>
            <m:oMathPara>
              <m:oMath>
                <m:sSub>
                  <m:sSubPr>
                    <m:ctrlPr>
                      <w:rPr>
                        <w:rFonts w:ascii="Cambria Math" w:hAnsi="Cambria Math"/>
                        <w:i/>
                        <w:sz w:val="21"/>
                      </w:rPr>
                    </m:ctrlPr>
                  </m:sSubPr>
                  <m:e>
                    <m:r>
                      <m:rPr/>
                      <w:rPr>
                        <w:rFonts w:ascii="Cambria Math" w:hAnsi="Cambria Math"/>
                        <w:sz w:val="21"/>
                      </w:rPr>
                      <m:t>γ</m:t>
                    </m:r>
                    <m:ctrlPr>
                      <w:rPr>
                        <w:rFonts w:ascii="Cambria Math" w:hAnsi="Cambria Math"/>
                        <w:i/>
                        <w:sz w:val="21"/>
                      </w:rPr>
                    </m:ctrlPr>
                  </m:e>
                  <m:sub>
                    <m:r>
                      <m:rPr>
                        <m:sty m:val="p"/>
                      </m:rPr>
                      <w:rPr>
                        <w:rFonts w:ascii="Cambria Math" w:hAnsi="Cambria Math"/>
                        <w:sz w:val="21"/>
                      </w:rPr>
                      <m:t>Mp</m:t>
                    </m:r>
                    <m:ctrlPr>
                      <w:rPr>
                        <w:rFonts w:ascii="Cambria Math" w:hAnsi="Cambria Math"/>
                        <w:i/>
                        <w:sz w:val="21"/>
                      </w:rPr>
                    </m:ctrlPr>
                  </m:sub>
                </m:sSub>
              </m:oMath>
            </m:oMathPara>
          </w:p>
        </w:tc>
        <w:tc>
          <w:tcPr>
            <w:tcW w:w="1202" w:type="pct"/>
            <w:tcBorders>
              <w:top w:val="nil"/>
              <w:left w:val="nil"/>
              <w:bottom w:val="single" w:color="auto" w:sz="4" w:space="0"/>
              <w:right w:val="single" w:color="auto" w:sz="4" w:space="0"/>
            </w:tcBorders>
            <w:shd w:val="clear" w:color="auto" w:fill="FFFFFF" w:themeFill="background1"/>
            <w:vAlign w:val="center"/>
          </w:tcPr>
          <w:p>
            <w:pPr>
              <w:pStyle w:val="191"/>
              <w:rPr>
                <w:sz w:val="21"/>
              </w:rPr>
            </w:pPr>
            <w:r>
              <w:rPr>
                <w:sz w:val="21"/>
              </w:rPr>
              <w:t>1.50</w:t>
            </w:r>
          </w:p>
        </w:tc>
      </w:tr>
    </w:tbl>
    <w:p>
      <w:pPr>
        <w:pStyle w:val="200"/>
      </w:pPr>
      <w:r>
        <w:rPr>
          <w:b/>
        </w:rPr>
        <w:t>D.0.11</w:t>
      </w:r>
      <w:r>
        <w:t>槽式预埋件受拉钢材破坏：</w:t>
      </w:r>
    </w:p>
    <w:p>
      <w:pPr>
        <w:pStyle w:val="188"/>
        <w:ind w:firstLine="482"/>
        <w:rPr>
          <w:rFonts w:cs="Times New Roman"/>
        </w:rPr>
      </w:pPr>
      <w:r>
        <w:rPr>
          <w:rFonts w:cs="Times New Roman"/>
          <w:b/>
          <w:bCs w:val="0"/>
        </w:rPr>
        <w:t>1</w:t>
      </w:r>
      <w:r>
        <w:rPr>
          <w:rFonts w:cs="Times New Roman"/>
        </w:rPr>
        <w:t>锚筋的钢材破坏受拉承载力标准值</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Rk，s，a</m:t>
            </m:r>
            <m:ctrlPr>
              <w:rPr>
                <w:rFonts w:ascii="Cambria Math" w:hAnsi="Cambria Math" w:cs="Times New Roman"/>
                <w:i/>
              </w:rPr>
            </m:ctrlPr>
          </m:sub>
        </m:sSub>
      </m:oMath>
      <w:r>
        <w:rPr>
          <w:rFonts w:cs="Times New Roman"/>
        </w:rPr>
        <w:t>，应按产品认证报告取值；若无认证报告，应经检测确定；</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Rk，s，a</m:t>
            </m:r>
            <m:ctrlPr>
              <w:rPr>
                <w:rFonts w:ascii="Cambria Math" w:hAnsi="Cambria Math" w:cs="Times New Roman"/>
                <w:i/>
              </w:rPr>
            </m:ctrlPr>
          </m:sub>
        </m:sSub>
      </m:oMath>
      <w:r>
        <w:rPr>
          <w:rFonts w:cs="Times New Roman"/>
        </w:rPr>
        <w:t>不应大于</w:t>
      </w: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s</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yk</m:t>
            </m:r>
            <m:ctrlPr>
              <w:rPr>
                <w:rFonts w:ascii="Cambria Math" w:hAnsi="Cambria Math" w:cs="Times New Roman"/>
                <w:i/>
              </w:rPr>
            </m:ctrlPr>
          </m:sub>
        </m:sSub>
      </m:oMath>
      <w:r>
        <w:rPr>
          <w:rFonts w:cs="Times New Roman"/>
        </w:rPr>
        <w:t xml:space="preserve"> ， 其中</w:t>
      </w: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s</m:t>
            </m:r>
            <m:ctrlPr>
              <w:rPr>
                <w:rFonts w:ascii="Cambria Math" w:hAnsi="Cambria Math" w:cs="Times New Roman"/>
                <w:i/>
              </w:rPr>
            </m:ctrlPr>
          </m:sub>
        </m:sSub>
      </m:oMath>
      <w:r>
        <w:rPr>
          <w:rFonts w:cs="Times New Roman"/>
        </w:rPr>
        <w:t>为锚筋受拉应力截面面积，</w:t>
      </w: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yk</m:t>
            </m:r>
            <m:ctrlPr>
              <w:rPr>
                <w:rFonts w:ascii="Cambria Math" w:hAnsi="Cambria Math" w:cs="Times New Roman"/>
                <w:i/>
              </w:rPr>
            </m:ctrlPr>
          </m:sub>
        </m:sSub>
      </m:oMath>
      <w:r>
        <w:rPr>
          <w:rFonts w:cs="Times New Roman"/>
        </w:rPr>
        <w:t>为锚筋屈服强度标准值。</w:t>
      </w:r>
    </w:p>
    <w:p>
      <w:pPr>
        <w:pStyle w:val="188"/>
        <w:ind w:firstLine="482"/>
        <w:rPr>
          <w:rFonts w:cs="Times New Roman"/>
        </w:rPr>
      </w:pPr>
      <w:r>
        <w:rPr>
          <w:rFonts w:cs="Times New Roman"/>
          <w:b/>
          <w:bCs w:val="0"/>
        </w:rPr>
        <w:t>2</w:t>
      </w:r>
      <w:r>
        <w:rPr>
          <w:rFonts w:cs="Times New Roman"/>
        </w:rPr>
        <w:t>锚筋与钢槽连接处钢材破坏受拉承载力标准值</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Rk，s，c</m:t>
            </m:r>
            <m:ctrlPr>
              <w:rPr>
                <w:rFonts w:ascii="Cambria Math" w:hAnsi="Cambria Math" w:cs="Times New Roman"/>
                <w:i/>
              </w:rPr>
            </m:ctrlPr>
          </m:sub>
        </m:sSub>
      </m:oMath>
      <w:r>
        <w:rPr>
          <w:rFonts w:cs="Times New Roman"/>
        </w:rPr>
        <w:t>，应按产品认证报告取值；若无认证报告，应经检测确定。</w:t>
      </w:r>
    </w:p>
    <w:p>
      <w:pPr>
        <w:pStyle w:val="188"/>
        <w:ind w:firstLine="482"/>
        <w:rPr>
          <w:rFonts w:cs="Times New Roman"/>
        </w:rPr>
      </w:pPr>
      <w:r>
        <w:rPr>
          <w:rFonts w:cs="Times New Roman"/>
          <w:b/>
          <w:bCs w:val="0"/>
        </w:rPr>
        <w:t>3</w:t>
      </w:r>
      <w:r>
        <w:rPr>
          <w:rFonts w:cs="Times New Roman"/>
        </w:rPr>
        <w:t>钢槽卷边钢材破坏受拉承载力标准值</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Rk，s，</m:t>
            </m:r>
            <m:r>
              <m:rPr/>
              <w:rPr>
                <w:rFonts w:ascii="Cambria Math" w:hAnsi="Cambria Math" w:cs="Times New Roman"/>
              </w:rPr>
              <m:t>l</m:t>
            </m:r>
            <m:ctrlPr>
              <w:rPr>
                <w:rFonts w:ascii="Cambria Math" w:hAnsi="Cambria Math" w:cs="Times New Roman"/>
                <w:i/>
              </w:rPr>
            </m:ctrlPr>
          </m:sub>
        </m:sSub>
      </m:oMath>
      <w:r>
        <w:rPr>
          <w:rFonts w:cs="Times New Roman"/>
        </w:rPr>
        <w:t>，应按产品认证报告取值；若无认证报告，应经检测确定。设计时应保证相邻T型螺栓的轴心间距</w:t>
      </w:r>
      <m:oMath>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m:sty m:val="p"/>
              </m:rPr>
              <w:rPr>
                <w:rFonts w:ascii="Cambria Math" w:hAnsi="Cambria Math" w:cs="Times New Roman"/>
              </w:rPr>
              <m:t>chb</m:t>
            </m:r>
            <m:ctrlPr>
              <w:rPr>
                <w:rFonts w:ascii="Cambria Math" w:hAnsi="Cambria Math" w:cs="Times New Roman"/>
                <w:i/>
              </w:rPr>
            </m:ctrlPr>
          </m:sub>
        </m:sSub>
        <m:r>
          <m:rPr/>
          <w:rPr>
            <w:rFonts w:ascii="Cambria Math" w:hAnsi="Cambria Math" w:cs="Times New Roman"/>
          </w:rPr>
          <m:t>≥2·</m:t>
        </m:r>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m:sty m:val="p"/>
              </m:rPr>
              <w:rPr>
                <w:rFonts w:ascii="Cambria Math" w:hAnsi="Cambria Math" w:cs="Times New Roman"/>
              </w:rPr>
              <m:t>ch</m:t>
            </m:r>
            <m:ctrlPr>
              <w:rPr>
                <w:rFonts w:ascii="Cambria Math" w:hAnsi="Cambria Math" w:cs="Times New Roman"/>
                <w:i/>
              </w:rPr>
            </m:ctrlPr>
          </m:sub>
        </m:sSub>
      </m:oMath>
      <w:r>
        <w:rPr>
          <w:rFonts w:cs="Times New Roman"/>
        </w:rPr>
        <w:t>，（</w:t>
      </w:r>
      <m:oMath>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m:sty m:val="p"/>
              </m:rPr>
              <w:rPr>
                <w:rFonts w:ascii="Cambria Math" w:hAnsi="Cambria Math" w:cs="Times New Roman"/>
              </w:rPr>
              <m:t>ch</m:t>
            </m:r>
            <m:ctrlPr>
              <w:rPr>
                <w:rFonts w:ascii="Cambria Math" w:hAnsi="Cambria Math" w:cs="Times New Roman"/>
                <w:i/>
              </w:rPr>
            </m:ctrlPr>
          </m:sub>
        </m:sSub>
      </m:oMath>
      <w:r>
        <w:rPr>
          <w:rFonts w:cs="Times New Roman"/>
        </w:rPr>
        <w:t>为槽式预埋件宽度；</w:t>
      </w:r>
      <m:oMath>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m:sty m:val="p"/>
              </m:rPr>
              <w:rPr>
                <w:rFonts w:ascii="Cambria Math" w:hAnsi="Cambria Math" w:cs="Times New Roman"/>
              </w:rPr>
              <m:t>chb</m:t>
            </m:r>
            <m:ctrlPr>
              <w:rPr>
                <w:rFonts w:ascii="Cambria Math" w:hAnsi="Cambria Math" w:cs="Times New Roman"/>
                <w:i/>
              </w:rPr>
            </m:ctrlPr>
          </m:sub>
        </m:sSub>
      </m:oMath>
      <w:r>
        <w:rPr>
          <w:rFonts w:cs="Times New Roman"/>
        </w:rPr>
        <w:t>为相邻T型螺栓轴心间距），否则该承载力标准值应当乘以折减系数：</w:t>
      </w:r>
    </w:p>
    <w:p>
      <w:pPr>
        <w:pStyle w:val="188"/>
        <w:ind w:firstLine="480"/>
        <w:rPr>
          <w:rFonts w:cs="Times New Roman"/>
        </w:rPr>
      </w:pPr>
      <m:oMathPara>
        <m:oMath>
          <m:r>
            <m:rPr/>
            <w:rPr>
              <w:rFonts w:ascii="Cambria Math" w:hAnsi="Cambria Math" w:cs="Times New Roman"/>
            </w:rPr>
            <m:t>0.5·(1+</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m:sty m:val="p"/>
                    </m:rPr>
                    <w:rPr>
                      <w:rFonts w:ascii="Cambria Math" w:hAnsi="Cambria Math" w:cs="Times New Roman"/>
                    </w:rPr>
                    <m:t>chb</m:t>
                  </m:r>
                  <m:ctrlPr>
                    <w:rPr>
                      <w:rFonts w:ascii="Cambria Math" w:hAnsi="Cambria Math" w:cs="Times New Roman"/>
                      <w:i/>
                    </w:rPr>
                  </m:ctrlPr>
                </m:sub>
              </m:sSub>
              <m:ctrlPr>
                <w:rPr>
                  <w:rFonts w:ascii="Cambria Math" w:hAnsi="Cambria Math" w:cs="Times New Roman"/>
                  <w:i/>
                </w:rPr>
              </m:ctrlPr>
            </m:num>
            <m:den>
              <m:r>
                <m:rPr/>
                <w:rPr>
                  <w:rFonts w:ascii="Cambria Math" w:hAnsi="Cambria Math" w:cs="Times New Roman"/>
                </w:rPr>
                <m:t>2·</m:t>
              </m:r>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m:sty m:val="p"/>
                    </m:rPr>
                    <w:rPr>
                      <w:rFonts w:ascii="Cambria Math" w:hAnsi="Cambria Math" w:cs="Times New Roman"/>
                    </w:rPr>
                    <m:t>ch</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)≤1.0</m:t>
          </m:r>
        </m:oMath>
      </m:oMathPara>
    </w:p>
    <w:p>
      <w:pPr>
        <w:pStyle w:val="188"/>
        <w:ind w:firstLine="482"/>
        <w:rPr>
          <w:rFonts w:cs="Times New Roman"/>
        </w:rPr>
      </w:pPr>
      <w:r>
        <w:rPr>
          <w:rFonts w:cs="Times New Roman"/>
          <w:b/>
          <w:bCs w:val="0"/>
        </w:rPr>
        <w:t>4</w:t>
      </w:r>
      <w:r>
        <w:rPr>
          <w:rFonts w:cs="Times New Roman"/>
        </w:rPr>
        <w:t xml:space="preserve"> T型螺栓的钢材破坏受拉承载力标准值</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Rk，s</m:t>
            </m:r>
            <m:ctrlPr>
              <w:rPr>
                <w:rFonts w:ascii="Cambria Math" w:hAnsi="Cambria Math" w:cs="Times New Roman"/>
                <w:i/>
              </w:rPr>
            </m:ctrlPr>
          </m:sub>
        </m:sSub>
      </m:oMath>
      <w:r>
        <w:rPr>
          <w:rFonts w:cs="Times New Roman"/>
        </w:rPr>
        <w:t>，应按产品认证报告取值；若无认证报告，应经检测确定；</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Rk，s</m:t>
            </m:r>
            <m:ctrlPr>
              <w:rPr>
                <w:rFonts w:ascii="Cambria Math" w:hAnsi="Cambria Math" w:cs="Times New Roman"/>
                <w:i/>
              </w:rPr>
            </m:ctrlPr>
          </m:sub>
        </m:sSub>
      </m:oMath>
      <w:r>
        <w:rPr>
          <w:rFonts w:cs="Times New Roman"/>
        </w:rPr>
        <w:t>不应大于</w:t>
      </w: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s</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yk</m:t>
            </m:r>
            <m:ctrlPr>
              <w:rPr>
                <w:rFonts w:ascii="Cambria Math" w:hAnsi="Cambria Math" w:cs="Times New Roman"/>
                <w:i/>
              </w:rPr>
            </m:ctrlPr>
          </m:sub>
        </m:sSub>
      </m:oMath>
      <w:r>
        <w:rPr>
          <w:rFonts w:cs="Times New Roman"/>
        </w:rPr>
        <w:t>， 其中</w:t>
      </w: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s</m:t>
            </m:r>
            <m:ctrlPr>
              <w:rPr>
                <w:rFonts w:ascii="Cambria Math" w:hAnsi="Cambria Math" w:cs="Times New Roman"/>
                <w:i/>
              </w:rPr>
            </m:ctrlPr>
          </m:sub>
        </m:sSub>
      </m:oMath>
      <w:r>
        <w:rPr>
          <w:rFonts w:cs="Times New Roman"/>
        </w:rPr>
        <w:t>为T型螺栓受拉应力截面面积；</w:t>
      </w: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yk</m:t>
            </m:r>
            <m:ctrlPr>
              <w:rPr>
                <w:rFonts w:ascii="Cambria Math" w:hAnsi="Cambria Math" w:cs="Times New Roman"/>
                <w:i/>
              </w:rPr>
            </m:ctrlPr>
          </m:sub>
        </m:sSub>
      </m:oMath>
      <w:r>
        <w:rPr>
          <w:rFonts w:cs="Times New Roman"/>
        </w:rPr>
        <w:t>为T型螺栓屈服强度标准值。</w:t>
      </w:r>
    </w:p>
    <w:p>
      <w:pPr>
        <w:pStyle w:val="188"/>
        <w:ind w:firstLine="482"/>
        <w:rPr>
          <w:rFonts w:cs="Times New Roman"/>
        </w:rPr>
      </w:pPr>
      <w:r>
        <w:rPr>
          <w:rFonts w:cs="Times New Roman"/>
          <w:b/>
          <w:bCs w:val="0"/>
        </w:rPr>
        <w:t xml:space="preserve">5 </w:t>
      </w:r>
      <w:r>
        <w:rPr>
          <w:rFonts w:cs="Times New Roman"/>
        </w:rPr>
        <w:t>钢槽受拉弯曲钢材破坏的抗弯承载力标准值</w:t>
      </w:r>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m:sty m:val="p"/>
              </m:rPr>
              <w:rPr>
                <w:rFonts w:ascii="Cambria Math" w:hAnsi="Cambria Math" w:cs="Times New Roman"/>
              </w:rPr>
              <m:t>Rk，s，flex</m:t>
            </m:r>
            <m:ctrlPr>
              <w:rPr>
                <w:rFonts w:ascii="Cambria Math" w:hAnsi="Cambria Math" w:cs="Times New Roman"/>
                <w:i/>
              </w:rPr>
            </m:ctrlPr>
          </m:sub>
        </m:sSub>
      </m:oMath>
      <w:r>
        <w:rPr>
          <w:rFonts w:cs="Times New Roman"/>
        </w:rPr>
        <w:t>，应由产品认证报告提供; 若无认证报告，可按下式计算：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m:sty m:val="p"/>
                      </m:rPr>
                      <w:rPr>
                        <w:rFonts w:ascii="Cambria Math" w:hAnsi="Cambria Math" w:cs="Times New Roman"/>
                      </w:rPr>
                      <m:t>Rk，s，flex</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W</m:t>
                    </m:r>
                    <m:ctrlPr>
                      <w:rPr>
                        <w:rFonts w:ascii="Cambria Math" w:hAnsi="Cambria Math" w:cs="Times New Roman"/>
                        <w:i/>
                      </w:rPr>
                    </m:ctrlPr>
                  </m:e>
                  <m:sub>
                    <m:r>
                      <m:rPr>
                        <m:sty m:val="p"/>
                      </m:rPr>
                      <w:rPr>
                        <w:rFonts w:ascii="Cambria Math" w:hAnsi="Cambria Math" w:cs="Times New Roman"/>
                      </w:rPr>
                      <m:t>pl，y</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yk</m:t>
                    </m:r>
                    <m:ctrlPr>
                      <w:rPr>
                        <w:rFonts w:ascii="Cambria Math" w:hAnsi="Cambria Math" w:cs="Times New Roman"/>
                        <w:i/>
                      </w:rPr>
                    </m:ctrlPr>
                  </m:sub>
                </m:sSub>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（D.0.11）</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W</m:t>
                    </m:r>
                    <m:ctrlPr>
                      <w:rPr>
                        <w:rFonts w:ascii="Cambria Math" w:hAnsi="Cambria Math" w:cs="Times New Roman"/>
                        <w:i/>
                      </w:rPr>
                    </m:ctrlPr>
                  </m:e>
                  <m:sub>
                    <m:r>
                      <m:rPr>
                        <m:sty m:val="p"/>
                      </m:rPr>
                      <w:rPr>
                        <w:rFonts w:ascii="Cambria Math" w:hAnsi="Cambria Math" w:cs="Times New Roman"/>
                      </w:rPr>
                      <m:t>pl，y</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槽式预埋件y轴向的塑性截面抵抗矩，由材料供应提供；</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yk</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钢槽材料的屈服强度标准值。</w:t>
            </w:r>
          </w:p>
        </w:tc>
      </w:tr>
    </w:tbl>
    <w:p>
      <w:pPr>
        <w:pStyle w:val="200"/>
      </w:pPr>
      <w:r>
        <w:rPr>
          <w:b/>
        </w:rPr>
        <w:t xml:space="preserve">D.0.12 </w:t>
      </w:r>
      <w:r>
        <w:t>锚筋受拉拔出破坏承载力标准值可按下式计算：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Rk，p</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m:sty m:val="p"/>
                      </m:rPr>
                      <w:rPr>
                        <w:rFonts w:ascii="Cambria Math" w:hAnsi="Cambria Math" w:cs="Times New Roman"/>
                      </w:rPr>
                      <m:t>2</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cu，k</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h</m:t>
                    </m:r>
                    <m:ctrlPr>
                      <w:rPr>
                        <w:rFonts w:ascii="Cambria Math" w:hAnsi="Cambria Math" w:cs="Times New Roman"/>
                        <w:i/>
                      </w:rPr>
                    </m:ctrlPr>
                  </m:sub>
                </m:sSub>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（D.0.12）</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m:sty m:val="p"/>
                      </m:rPr>
                      <w:rPr>
                        <w:rFonts w:ascii="Cambria Math" w:hAnsi="Cambria Math" w:cs="Times New Roman"/>
                      </w:rPr>
                      <m:t>2</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取6.0（开裂混凝土）或取8.4（非开裂混凝土）；</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h</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锚筋端部受力面积(mm</w:t>
            </w:r>
            <w:r>
              <w:rPr>
                <w:vertAlign w:val="superscript"/>
              </w:rPr>
              <w:t>2</w:t>
            </w:r>
            <w:r>
              <w:t>)；锚筋端部为圆头时，</w:t>
            </w:r>
            <m:oMath>
              <m:sSub>
                <m:sSubPr>
                  <m:ctrlPr>
                    <w:rPr>
                      <w:rFonts w:ascii="Cambria Math" w:hAnsi="Cambria Math"/>
                      <w:i/>
                    </w:rPr>
                  </m:ctrlPr>
                </m:sSubPr>
                <m:e>
                  <m:r>
                    <m:rPr/>
                    <w:rPr>
                      <w:rFonts w:ascii="Cambria Math" w:hAnsi="Cambria Math"/>
                    </w:rPr>
                    <m:t>A</m:t>
                  </m:r>
                  <m:ctrlPr>
                    <w:rPr>
                      <w:rFonts w:ascii="Cambria Math" w:hAnsi="Cambria Math"/>
                      <w:i/>
                    </w:rPr>
                  </m:ctrlPr>
                </m:e>
                <m:sub>
                  <m:r>
                    <m:rPr>
                      <m:sty m:val="p"/>
                    </m:rPr>
                    <w:rPr>
                      <w:rFonts w:ascii="Cambria Math" w:hAnsi="Cambria Math"/>
                    </w:rPr>
                    <m:t>h</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π</m:t>
                  </m:r>
                  <m:ctrlPr>
                    <w:rPr>
                      <w:rFonts w:ascii="Cambria Math" w:hAnsi="Cambria Math"/>
                      <w:i/>
                    </w:rPr>
                  </m:ctrlPr>
                </m:num>
                <m:den>
                  <m:r>
                    <m:rPr/>
                    <w:rPr>
                      <w:rFonts w:ascii="Cambria Math" w:hAnsi="Cambria Math"/>
                    </w:rPr>
                    <m:t>4</m:t>
                  </m:r>
                  <m:ctrlPr>
                    <w:rPr>
                      <w:rFonts w:ascii="Cambria Math" w:hAnsi="Cambria Math"/>
                      <w:i/>
                    </w:rPr>
                  </m:ctrlPr>
                </m:den>
              </m:f>
              <m:r>
                <m:rPr/>
                <w:rPr>
                  <w:rFonts w:ascii="Cambria Math" w:hAnsi="Cambria Math"/>
                </w:rPr>
                <m:t>·(</m:t>
              </m:r>
              <m:sSubSup>
                <m:sSubSupPr>
                  <m:ctrlPr>
                    <w:rPr>
                      <w:rFonts w:ascii="Cambria Math" w:hAnsi="Cambria Math"/>
                      <w:i/>
                    </w:rPr>
                  </m:ctrlPr>
                </m:sSubSupPr>
                <m:e>
                  <m:r>
                    <m:rPr/>
                    <w:rPr>
                      <w:rFonts w:ascii="Cambria Math" w:hAnsi="Cambria Math"/>
                    </w:rPr>
                    <m:t>d</m:t>
                  </m:r>
                  <m:ctrlPr>
                    <w:rPr>
                      <w:rFonts w:ascii="Cambria Math" w:hAnsi="Cambria Math"/>
                      <w:i/>
                    </w:rPr>
                  </m:ctrlPr>
                </m:e>
                <m:sub>
                  <m:r>
                    <m:rPr>
                      <m:sty m:val="p"/>
                    </m:rPr>
                    <w:rPr>
                      <w:rFonts w:ascii="Cambria Math" w:hAnsi="Cambria Math"/>
                    </w:rPr>
                    <m:t>h</m:t>
                  </m:r>
                  <m:ctrlPr>
                    <w:rPr>
                      <w:rFonts w:ascii="Cambria Math" w:hAnsi="Cambria Math"/>
                      <w:i/>
                    </w:rPr>
                  </m:ctrlPr>
                </m:sub>
                <m:sup>
                  <m:r>
                    <m:rPr/>
                    <w:rPr>
                      <w:rFonts w:ascii="Cambria Math" w:hAnsi="Cambria Math"/>
                    </w:rPr>
                    <m:t>2</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d</m:t>
                  </m:r>
                  <m:ctrlPr>
                    <w:rPr>
                      <w:rFonts w:ascii="Cambria Math" w:hAnsi="Cambria Math"/>
                      <w:i/>
                    </w:rPr>
                  </m:ctrlPr>
                </m:e>
                <m:sub>
                  <m:r>
                    <m:rPr>
                      <m:sty m:val="p"/>
                    </m:rPr>
                    <w:rPr>
                      <w:rFonts w:ascii="Cambria Math" w:hAnsi="Cambria Math"/>
                    </w:rPr>
                    <m:t>a</m:t>
                  </m:r>
                  <m:ctrlPr>
                    <w:rPr>
                      <w:rFonts w:ascii="Cambria Math" w:hAnsi="Cambria Math"/>
                      <w:i/>
                    </w:rPr>
                  </m:ctrlPr>
                </m:sub>
                <m:sup>
                  <m:r>
                    <m:rPr/>
                    <w:rPr>
                      <w:rFonts w:ascii="Cambria Math" w:hAnsi="Cambria Math"/>
                    </w:rPr>
                    <m:t>2</m:t>
                  </m:r>
                  <m:ctrlPr>
                    <w:rPr>
                      <w:rFonts w:ascii="Cambria Math" w:hAnsi="Cambria Math"/>
                      <w:i/>
                    </w:rPr>
                  </m:ctrlPr>
                </m:sup>
              </m:sSubSup>
              <m:r>
                <m:rPr/>
                <w:rPr>
                  <w:rFonts w:ascii="Cambria Math" w:hAnsi="Cambria Math"/>
                </w:rPr>
                <m:t>)</m:t>
              </m:r>
            </m:oMath>
            <w:r>
              <w:t>，</w:t>
            </w:r>
            <m:oMath>
              <m:sSub>
                <m:sSubPr>
                  <m:ctrlPr>
                    <w:rPr>
                      <w:rFonts w:ascii="Cambria Math" w:hAnsi="Cambria Math"/>
                      <w:i/>
                    </w:rPr>
                  </m:ctrlPr>
                </m:sSubPr>
                <m:e>
                  <m:r>
                    <m:rPr/>
                    <w:rPr>
                      <w:rFonts w:ascii="Cambria Math" w:hAnsi="Cambria Math"/>
                    </w:rPr>
                    <m:t>d</m:t>
                  </m:r>
                  <m:ctrlPr>
                    <w:rPr>
                      <w:rFonts w:ascii="Cambria Math" w:hAnsi="Cambria Math"/>
                      <w:i/>
                    </w:rPr>
                  </m:ctrlPr>
                </m:e>
                <m:sub>
                  <m:r>
                    <m:rPr>
                      <m:sty m:val="p"/>
                    </m:rPr>
                    <w:rPr>
                      <w:rFonts w:ascii="Cambria Math" w:hAnsi="Cambria Math"/>
                    </w:rPr>
                    <m:t>a</m:t>
                  </m:r>
                  <m:ctrlPr>
                    <w:rPr>
                      <w:rFonts w:ascii="Cambria Math" w:hAnsi="Cambria Math"/>
                      <w:i/>
                    </w:rPr>
                  </m:ctrlPr>
                </m:sub>
              </m:sSub>
            </m:oMath>
            <w:r>
              <w:t>为锚筋平直段直径，</w:t>
            </w:r>
            <m:oMath>
              <m:sSub>
                <m:sSubPr>
                  <m:ctrlPr>
                    <w:rPr>
                      <w:rFonts w:ascii="Cambria Math" w:hAnsi="Cambria Math"/>
                      <w:i/>
                    </w:rPr>
                  </m:ctrlPr>
                </m:sSubPr>
                <m:e>
                  <m:r>
                    <m:rPr/>
                    <w:rPr>
                      <w:rFonts w:ascii="Cambria Math" w:hAnsi="Cambria Math"/>
                    </w:rPr>
                    <m:t>d</m:t>
                  </m:r>
                  <m:ctrlPr>
                    <w:rPr>
                      <w:rFonts w:ascii="Cambria Math" w:hAnsi="Cambria Math"/>
                      <w:i/>
                    </w:rPr>
                  </m:ctrlPr>
                </m:e>
                <m:sub>
                  <m:r>
                    <m:rPr>
                      <m:sty m:val="p"/>
                    </m:rPr>
                    <w:rPr>
                      <w:rFonts w:ascii="Cambria Math" w:hAnsi="Cambria Math"/>
                    </w:rPr>
                    <m:t>h</m:t>
                  </m:r>
                  <m:ctrlPr>
                    <w:rPr>
                      <w:rFonts w:ascii="Cambria Math" w:hAnsi="Cambria Math"/>
                      <w:i/>
                    </w:rPr>
                  </m:ctrlPr>
                </m:sub>
              </m:sSub>
            </m:oMath>
            <w:r>
              <w:t>为锚筋端部圆头直径，其中</w:t>
            </w:r>
            <m:oMath>
              <m:sSub>
                <m:sSubPr>
                  <m:ctrlPr>
                    <w:rPr>
                      <w:rFonts w:ascii="Cambria Math" w:hAnsi="Cambria Math"/>
                      <w:i/>
                    </w:rPr>
                  </m:ctrlPr>
                </m:sSubPr>
                <m:e>
                  <m:r>
                    <m:rPr/>
                    <w:rPr>
                      <w:rFonts w:ascii="Cambria Math" w:hAnsi="Cambria Math"/>
                    </w:rPr>
                    <m:t>d</m:t>
                  </m:r>
                  <m:ctrlPr>
                    <w:rPr>
                      <w:rFonts w:ascii="Cambria Math" w:hAnsi="Cambria Math"/>
                      <w:i/>
                    </w:rPr>
                  </m:ctrlPr>
                </m:e>
                <m:sub>
                  <m:r>
                    <m:rPr>
                      <m:sty m:val="p"/>
                    </m:rPr>
                    <w:rPr>
                      <w:rFonts w:ascii="Cambria Math" w:hAnsi="Cambria Math"/>
                    </w:rPr>
                    <m:t>h</m:t>
                  </m:r>
                  <m:ctrlPr>
                    <w:rPr>
                      <w:rFonts w:ascii="Cambria Math" w:hAnsi="Cambria Math"/>
                      <w:i/>
                    </w:rPr>
                  </m:ctrlPr>
                </m:sub>
              </m:sSub>
            </m:oMath>
            <w:r>
              <w:t>不应大于(</w:t>
            </w:r>
            <m:oMath>
              <m:sSub>
                <m:sSubPr>
                  <m:ctrlPr>
                    <w:rPr>
                      <w:rFonts w:ascii="Cambria Math" w:hAnsi="Cambria Math"/>
                      <w:i/>
                    </w:rPr>
                  </m:ctrlPr>
                </m:sSubPr>
                <m:e>
                  <m:r>
                    <m:rPr/>
                    <w:rPr>
                      <w:rFonts w:ascii="Cambria Math" w:hAnsi="Cambria Math"/>
                    </w:rPr>
                    <m:t>6t</m:t>
                  </m:r>
                  <m:ctrlPr>
                    <w:rPr>
                      <w:rFonts w:ascii="Cambria Math" w:hAnsi="Cambria Math"/>
                      <w:i/>
                    </w:rPr>
                  </m:ctrlPr>
                </m:e>
                <m:sub>
                  <m:r>
                    <m:rPr>
                      <m:sty m:val="p"/>
                    </m:rPr>
                    <w:rPr>
                      <w:rFonts w:ascii="Cambria Math" w:hAnsi="Cambria Math"/>
                    </w:rPr>
                    <m:t>h</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d</m:t>
                  </m:r>
                  <m:ctrlPr>
                    <w:rPr>
                      <w:rFonts w:ascii="Cambria Math" w:hAnsi="Cambria Math"/>
                      <w:i/>
                    </w:rPr>
                  </m:ctrlPr>
                </m:e>
                <m:sub>
                  <m:r>
                    <m:rPr>
                      <m:sty m:val="p"/>
                    </m:rPr>
                    <w:rPr>
                      <w:rFonts w:ascii="Cambria Math" w:hAnsi="Cambria Math"/>
                    </w:rPr>
                    <m:t>a</m:t>
                  </m:r>
                  <m:ctrlPr>
                    <w:rPr>
                      <w:rFonts w:ascii="Cambria Math" w:hAnsi="Cambria Math"/>
                      <w:i/>
                    </w:rPr>
                  </m:ctrlPr>
                </m:sub>
              </m:sSub>
            </m:oMath>
            <w:r>
              <w:t>），</w:t>
            </w:r>
            <m:oMath>
              <m:sSub>
                <m:sSubPr>
                  <m:ctrlPr>
                    <w:rPr>
                      <w:rFonts w:ascii="Cambria Math" w:hAnsi="Cambria Math"/>
                      <w:i/>
                    </w:rPr>
                  </m:ctrlPr>
                </m:sSubPr>
                <m:e>
                  <m:r>
                    <m:rPr/>
                    <w:rPr>
                      <w:rFonts w:ascii="Cambria Math" w:hAnsi="Cambria Math"/>
                    </w:rPr>
                    <m:t>t</m:t>
                  </m:r>
                  <m:ctrlPr>
                    <w:rPr>
                      <w:rFonts w:ascii="Cambria Math" w:hAnsi="Cambria Math"/>
                      <w:i/>
                    </w:rPr>
                  </m:ctrlPr>
                </m:e>
                <m:sub>
                  <m:r>
                    <m:rPr>
                      <m:sty m:val="p"/>
                    </m:rPr>
                    <w:rPr>
                      <w:rFonts w:ascii="Cambria Math" w:hAnsi="Cambria Math"/>
                    </w:rPr>
                    <m:t>h</m:t>
                  </m:r>
                  <m:ctrlPr>
                    <w:rPr>
                      <w:rFonts w:ascii="Cambria Math" w:hAnsi="Cambria Math"/>
                      <w:i/>
                    </w:rPr>
                  </m:ctrlPr>
                </m:sub>
              </m:sSub>
            </m:oMath>
            <w:r>
              <w:t>为锚筋端部圆头的厚度（参考图D.0.4）；</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cu，k</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混凝土立方体抗压强度标准值 (N/mm</w:t>
            </w:r>
            <w:r>
              <w:rPr>
                <w:vertAlign w:val="superscript"/>
              </w:rPr>
              <w:t>2</w:t>
            </w:r>
            <w:r>
              <w:t>)。</w:t>
            </w:r>
          </w:p>
        </w:tc>
      </w:tr>
    </w:tbl>
    <w:p>
      <w:pPr>
        <w:pStyle w:val="200"/>
      </w:pPr>
      <w:r>
        <w:rPr>
          <w:b/>
        </w:rPr>
        <w:t>D.0.13</w:t>
      </w:r>
      <w:r>
        <w:rPr>
          <w:rFonts w:hint="eastAsia"/>
        </w:rPr>
        <w:t xml:space="preserve"> </w:t>
      </w:r>
      <w:r>
        <w:t>单根锚筋发生混凝土锥体破坏受拉承载力标准值可按下式计算：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Rk，c</m:t>
                    </m:r>
                    <m:ctrlPr>
                      <w:rPr>
                        <w:rFonts w:ascii="Cambria Math" w:hAnsi="Cambria Math" w:cs="Times New Roman"/>
                        <w:i/>
                      </w:rPr>
                    </m:ctrlPr>
                  </m:sub>
                </m:sSub>
                <m:r>
                  <m:rPr/>
                  <w:rPr>
                    <w:rFonts w:ascii="Cambria Math" w:hAnsi="Cambria Math" w:cs="Times New Roman"/>
                  </w:rPr>
                  <m:t>=</m:t>
                </m:r>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Rk，c</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ch，s，N</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ch，e，N</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ch，c，N</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re，N</m:t>
                    </m:r>
                    <m:ctrlPr>
                      <w:rPr>
                        <w:rFonts w:ascii="Cambria Math" w:hAnsi="Cambria Math" w:cs="Times New Roman"/>
                        <w:i/>
                      </w:rPr>
                    </m:ctrlPr>
                  </m:sub>
                </m:sSub>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（D.0.13）</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Rk，c</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单根锚筋受拉时，混凝土理想锥体破坏的受拉承载力标准值（N），可按D.0.14条计算；</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ch，s，N</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相邻锚筋间距影响系数，可按D.0.15条计算；</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ch，e，N</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混凝土基材边缘距离影响系数，可按D.0.16条计算；</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ch，c，N</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混凝土基材边角影响系数，可按D.0.17条计算；</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re，N</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表层混凝土因密集配筋的剥离作用对受拉承载力的影响系数，可按</w:t>
            </w:r>
          </w:p>
          <w:p>
            <w:pPr>
              <w:pStyle w:val="189"/>
              <w:jc w:val="both"/>
            </w:pPr>
            <w:r>
              <w:t>D.0.18条计算。</w:t>
            </w:r>
          </w:p>
        </w:tc>
      </w:tr>
    </w:tbl>
    <w:p>
      <w:pPr>
        <w:pStyle w:val="200"/>
      </w:pPr>
      <w:r>
        <w:rPr>
          <w:b/>
        </w:rPr>
        <w:t xml:space="preserve">D.0.14 </w:t>
      </w:r>
      <w:r>
        <w:t>相邻锚筋间距影响系数</w:t>
      </w:r>
      <m:oMath>
        <m:sSub>
          <m:sSubPr>
            <m:ctrlPr>
              <w:rPr>
                <w:rFonts w:ascii="Cambria Math" w:hAnsi="Cambria Math"/>
                <w:i/>
              </w:rPr>
            </m:ctrlPr>
          </m:sSubPr>
          <m:e>
            <m:r>
              <m:rPr/>
              <w:rPr>
                <w:rFonts w:ascii="Cambria Math" w:hAnsi="Cambria Math"/>
              </w:rPr>
              <m:t>ψ</m:t>
            </m:r>
            <m:ctrlPr>
              <w:rPr>
                <w:rFonts w:ascii="Cambria Math" w:hAnsi="Cambria Math"/>
                <w:i/>
              </w:rPr>
            </m:ctrlPr>
          </m:e>
          <m:sub>
            <m:r>
              <m:rPr>
                <m:sty m:val="p"/>
              </m:rPr>
              <w:rPr>
                <w:rFonts w:ascii="Cambria Math" w:hAnsi="Cambria Math"/>
              </w:rPr>
              <m:t>ch，s，N</m:t>
            </m:r>
            <m:ctrlPr>
              <w:rPr>
                <w:rFonts w:ascii="Cambria Math" w:hAnsi="Cambria Math"/>
                <w:i/>
              </w:rPr>
            </m:ctrlPr>
          </m:sub>
        </m:sSub>
      </m:oMath>
      <w:r>
        <w:t>可按下式计算：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ch，s，N</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1</m:t>
                    </m:r>
                    <m:ctrlPr>
                      <w:rPr>
                        <w:rFonts w:ascii="Cambria Math" w:hAnsi="Cambria Math" w:cs="Times New Roman"/>
                        <w:i/>
                      </w:rPr>
                    </m:ctrlPr>
                  </m:num>
                  <m:den>
                    <m:r>
                      <m:rPr/>
                      <w:rPr>
                        <w:rFonts w:ascii="Cambria Math" w:hAnsi="Cambria Math" w:cs="Times New Roman"/>
                      </w:rPr>
                      <m:t>1+</m:t>
                    </m:r>
                    <m:nary>
                      <m:naryPr>
                        <m:chr m:val="∑"/>
                        <m:limLoc m:val="undOvr"/>
                        <m:ctrlPr>
                          <w:rPr>
                            <w:rFonts w:ascii="Cambria Math" w:hAnsi="Cambria Math" w:cs="Times New Roman"/>
                            <w:i/>
                          </w:rPr>
                        </m:ctrlPr>
                      </m:naryPr>
                      <m:sub>
                        <m:r>
                          <m:rPr/>
                          <w:rPr>
                            <w:rFonts w:ascii="Cambria Math" w:hAnsi="Cambria Math" w:cs="Times New Roman"/>
                          </w:rPr>
                          <m:t>i=1</m:t>
                        </m:r>
                        <m:ctrlPr>
                          <w:rPr>
                            <w:rFonts w:ascii="Cambria Math" w:hAnsi="Cambria Math" w:cs="Times New Roman"/>
                            <w:i/>
                          </w:rPr>
                        </m:ctrlPr>
                      </m:sub>
                      <m:sup>
                        <m:r>
                          <m:rPr/>
                          <w:rPr>
                            <w:rFonts w:ascii="Cambria Math" w:hAnsi="Cambria Math" w:cs="Times New Roman"/>
                          </w:rPr>
                          <m:t>n</m:t>
                        </m:r>
                        <m:ctrlPr>
                          <w:rPr>
                            <w:rFonts w:ascii="Cambria Math" w:hAnsi="Cambria Math" w:cs="Times New Roman"/>
                            <w:i/>
                          </w:rPr>
                        </m:ctrlPr>
                      </m:sup>
                      <m:e>
                        <m:d>
                          <m:dPr>
                            <m:begChr m:val="["/>
                            <m:endChr m:val="]"/>
                            <m:ctrlPr>
                              <w:rPr>
                                <w:rFonts w:ascii="Cambria Math" w:hAnsi="Cambria Math" w:cs="Times New Roman"/>
                                <w:i/>
                              </w:rPr>
                            </m:ctrlPr>
                          </m:dPr>
                          <m:e>
                            <m:sSup>
                              <m:sSupPr>
                                <m:ctrlPr>
                                  <w:rPr>
                                    <w:rFonts w:ascii="Cambria Math" w:hAnsi="Cambria Math" w:cs="Times New Roman"/>
                                    <w:i/>
                                  </w:rPr>
                                </m:ctrlPr>
                              </m:sSupPr>
                              <m:e>
                                <m:r>
                                  <m:rP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cr，N</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ctrlPr>
                                  <w:rPr>
                                    <w:rFonts w:ascii="Cambria Math" w:hAnsi="Cambria Math" w:cs="Times New Roman"/>
                                    <w:i/>
                                  </w:rPr>
                                </m:ctrlPr>
                              </m:e>
                              <m:sup>
                                <m:r>
                                  <m:rPr/>
                                  <w:rPr>
                                    <w:rFonts w:ascii="Cambria Math" w:hAnsi="Cambria Math" w:cs="Times New Roman"/>
                                  </w:rPr>
                                  <m:t>1.5</m:t>
                                </m:r>
                                <m:ctrlPr>
                                  <w:rPr>
                                    <w:rFonts w:ascii="Cambria Math" w:hAnsi="Cambria Math" w:cs="Times New Roman"/>
                                    <w:i/>
                                  </w:rPr>
                                </m:ctrlPr>
                              </m:sup>
                            </m:sSup>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0</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nary>
                    <m:ctrlPr>
                      <w:rPr>
                        <w:rFonts w:ascii="Cambria Math" w:hAnsi="Cambria Math" w:cs="Times New Roman"/>
                        <w:i/>
                      </w:rPr>
                    </m:ctrlPr>
                  </m:den>
                </m:f>
                <m:r>
                  <m:rPr/>
                  <w:rPr>
                    <w:rFonts w:ascii="Cambria Math" w:hAnsi="Cambria Math" w:cs="Times New Roman"/>
                  </w:rPr>
                  <m:t>≤1.0</m:t>
                </m:r>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（D.0.14）</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相邻锚筋间的距离</w:t>
            </w:r>
            <w:r>
              <w:rPr>
                <w:rFonts w:hint="eastAsia"/>
                <w:lang w:eastAsia="zh-CN"/>
              </w:rPr>
              <w:t>（</w:t>
            </w:r>
            <w:r>
              <w:t>mm)，不应大于锚筋的临界间距</w:t>
            </w:r>
            <m:oMath>
              <m:sSub>
                <m:sSubPr>
                  <m:ctrlPr>
                    <w:rPr>
                      <w:rFonts w:ascii="Cambria Math" w:hAnsi="Cambria Math"/>
                      <w:bCs w:val="0"/>
                      <w:i/>
                      <w:szCs w:val="24"/>
                    </w:rPr>
                  </m:ctrlPr>
                </m:sSubPr>
                <m:e>
                  <m:r>
                    <m:rPr/>
                    <w:rPr>
                      <w:rFonts w:ascii="Cambria Math" w:hAnsi="Cambria Math"/>
                    </w:rPr>
                    <m:t>s</m:t>
                  </m:r>
                  <m:ctrlPr>
                    <w:rPr>
                      <w:rFonts w:ascii="Cambria Math" w:hAnsi="Cambria Math"/>
                      <w:bCs w:val="0"/>
                      <w:i/>
                      <w:szCs w:val="24"/>
                    </w:rPr>
                  </m:ctrlPr>
                </m:e>
                <m:sub>
                  <m:r>
                    <m:rPr/>
                    <w:rPr>
                      <w:rFonts w:ascii="Cambria Math" w:hAnsi="Cambria Math"/>
                    </w:rPr>
                    <m:t>cr，N</m:t>
                  </m:r>
                  <m:ctrlPr>
                    <w:rPr>
                      <w:rFonts w:ascii="Cambria Math" w:hAnsi="Cambria Math"/>
                      <w:bCs w:val="0"/>
                      <w:i/>
                      <w:szCs w:val="24"/>
                    </w:rPr>
                  </m:ctrlPr>
                </m:sub>
              </m:sSub>
            </m:oMath>
            <w:r>
              <w:t>；</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cr，N</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临界间距；可取</w:t>
            </w:r>
            <m:oMath>
              <m:sSub>
                <m:sSubPr>
                  <m:ctrlPr>
                    <w:rPr>
                      <w:rFonts w:ascii="Cambria Math" w:hAnsi="Cambria Math"/>
                      <w:bCs w:val="0"/>
                      <w:i/>
                      <w:szCs w:val="24"/>
                    </w:rPr>
                  </m:ctrlPr>
                </m:sSubPr>
                <m:e>
                  <m:r>
                    <m:rPr/>
                    <w:rPr>
                      <w:rFonts w:ascii="Cambria Math" w:hAnsi="Cambria Math"/>
                    </w:rPr>
                    <m:t>s</m:t>
                  </m:r>
                  <m:ctrlPr>
                    <w:rPr>
                      <w:rFonts w:ascii="Cambria Math" w:hAnsi="Cambria Math"/>
                      <w:bCs w:val="0"/>
                      <w:i/>
                      <w:szCs w:val="24"/>
                    </w:rPr>
                  </m:ctrlPr>
                </m:e>
                <m:sub>
                  <m:r>
                    <m:rPr/>
                    <w:rPr>
                      <w:rFonts w:ascii="Cambria Math" w:hAnsi="Cambria Math"/>
                    </w:rPr>
                    <m:t>cr，N</m:t>
                  </m:r>
                  <m:ctrlPr>
                    <w:rPr>
                      <w:rFonts w:ascii="Cambria Math" w:hAnsi="Cambria Math"/>
                      <w:bCs w:val="0"/>
                      <w:i/>
                      <w:szCs w:val="24"/>
                    </w:rPr>
                  </m:ctrlPr>
                </m:sub>
              </m:sSub>
              <m:r>
                <m:rPr/>
                <w:rPr>
                  <w:rFonts w:ascii="Cambria Math" w:hAnsi="Cambria Math"/>
                  <w:szCs w:val="24"/>
                </w:rPr>
                <m:t>=2·</m:t>
              </m:r>
              <m:d>
                <m:dPr>
                  <m:ctrlPr>
                    <w:rPr>
                      <w:rFonts w:ascii="Cambria Math" w:hAnsi="Cambria Math"/>
                      <w:bCs w:val="0"/>
                      <w:i/>
                      <w:szCs w:val="24"/>
                    </w:rPr>
                  </m:ctrlPr>
                </m:dPr>
                <m:e>
                  <m:r>
                    <m:rPr/>
                    <w:rPr>
                      <w:rFonts w:ascii="Cambria Math" w:hAnsi="Cambria Math"/>
                      <w:szCs w:val="24"/>
                    </w:rPr>
                    <m:t>2.8−1.3·</m:t>
                  </m:r>
                  <m:f>
                    <m:fPr>
                      <m:ctrlPr>
                        <w:rPr>
                          <w:rFonts w:ascii="Cambria Math" w:hAnsi="Cambria Math"/>
                          <w:bCs w:val="0"/>
                          <w:i/>
                          <w:szCs w:val="24"/>
                        </w:rPr>
                      </m:ctrlPr>
                    </m:fPr>
                    <m:num>
                      <m:sSub>
                        <m:sSubPr>
                          <m:ctrlPr>
                            <w:rPr>
                              <w:rFonts w:ascii="Cambria Math" w:hAnsi="Cambria Math"/>
                              <w:bCs w:val="0"/>
                              <w:i/>
                              <w:szCs w:val="24"/>
                            </w:rPr>
                          </m:ctrlPr>
                        </m:sSubPr>
                        <m:e>
                          <m:r>
                            <m:rPr/>
                            <w:rPr>
                              <w:rFonts w:ascii="Cambria Math" w:hAnsi="Cambria Math"/>
                            </w:rPr>
                            <m:t>ℎ</m:t>
                          </m:r>
                          <m:ctrlPr>
                            <w:rPr>
                              <w:rFonts w:ascii="Cambria Math" w:hAnsi="Cambria Math"/>
                              <w:bCs w:val="0"/>
                              <w:i/>
                              <w:szCs w:val="24"/>
                            </w:rPr>
                          </m:ctrlPr>
                        </m:e>
                        <m:sub>
                          <m:r>
                            <m:rPr>
                              <m:sty m:val="p"/>
                            </m:rPr>
                            <w:rPr>
                              <w:rFonts w:ascii="Cambria Math" w:hAnsi="Cambria Math"/>
                            </w:rPr>
                            <m:t>ef</m:t>
                          </m:r>
                          <m:ctrlPr>
                            <w:rPr>
                              <w:rFonts w:ascii="Cambria Math" w:hAnsi="Cambria Math"/>
                              <w:bCs w:val="0"/>
                              <w:i/>
                              <w:szCs w:val="24"/>
                            </w:rPr>
                          </m:ctrlPr>
                        </m:sub>
                      </m:sSub>
                      <m:ctrlPr>
                        <w:rPr>
                          <w:rFonts w:ascii="Cambria Math" w:hAnsi="Cambria Math"/>
                          <w:bCs w:val="0"/>
                          <w:i/>
                          <w:szCs w:val="24"/>
                        </w:rPr>
                      </m:ctrlPr>
                    </m:num>
                    <m:den>
                      <m:r>
                        <m:rPr/>
                        <w:rPr>
                          <w:rFonts w:ascii="Cambria Math" w:hAnsi="Cambria Math"/>
                          <w:szCs w:val="24"/>
                        </w:rPr>
                        <m:t>180</m:t>
                      </m:r>
                      <m:ctrlPr>
                        <w:rPr>
                          <w:rFonts w:ascii="Cambria Math" w:hAnsi="Cambria Math"/>
                          <w:bCs w:val="0"/>
                          <w:i/>
                          <w:szCs w:val="24"/>
                        </w:rPr>
                      </m:ctrlPr>
                    </m:den>
                  </m:f>
                  <m:ctrlPr>
                    <w:rPr>
                      <w:rFonts w:ascii="Cambria Math" w:hAnsi="Cambria Math"/>
                      <w:bCs w:val="0"/>
                      <w:i/>
                      <w:szCs w:val="24"/>
                    </w:rPr>
                  </m:ctrlPr>
                </m:e>
              </m:d>
              <m:r>
                <m:rPr/>
                <w:rPr>
                  <w:rFonts w:ascii="Cambria Math" w:hAnsi="Cambria Math"/>
                  <w:szCs w:val="24"/>
                </w:rPr>
                <m:t>·</m:t>
              </m:r>
              <m:sSub>
                <m:sSubPr>
                  <m:ctrlPr>
                    <w:rPr>
                      <w:rFonts w:ascii="Cambria Math" w:hAnsi="Cambria Math"/>
                      <w:bCs w:val="0"/>
                      <w:i/>
                      <w:szCs w:val="24"/>
                    </w:rPr>
                  </m:ctrlPr>
                </m:sSubPr>
                <m:e>
                  <m:r>
                    <m:rPr/>
                    <w:rPr>
                      <w:rFonts w:ascii="Cambria Math" w:hAnsi="Cambria Math"/>
                    </w:rPr>
                    <m:t>ℎ</m:t>
                  </m:r>
                  <m:ctrlPr>
                    <w:rPr>
                      <w:rFonts w:ascii="Cambria Math" w:hAnsi="Cambria Math"/>
                      <w:bCs w:val="0"/>
                      <w:i/>
                      <w:szCs w:val="24"/>
                    </w:rPr>
                  </m:ctrlPr>
                </m:e>
                <m:sub>
                  <m:r>
                    <m:rPr>
                      <m:sty m:val="p"/>
                    </m:rPr>
                    <w:rPr>
                      <w:rFonts w:ascii="Cambria Math" w:hAnsi="Cambria Math"/>
                    </w:rPr>
                    <m:t>ef</m:t>
                  </m:r>
                  <m:ctrlPr>
                    <w:rPr>
                      <w:rFonts w:ascii="Cambria Math" w:hAnsi="Cambria Math"/>
                      <w:bCs w:val="0"/>
                      <w:i/>
                      <w:szCs w:val="24"/>
                    </w:rPr>
                  </m:ctrlPr>
                </m:sub>
              </m:sSub>
              <m:r>
                <m:rPr/>
                <w:rPr>
                  <w:rFonts w:ascii="Cambria Math" w:hAnsi="Cambria Math"/>
                  <w:szCs w:val="24"/>
                </w:rPr>
                <m:t>≥3</m:t>
              </m:r>
              <m:sSub>
                <m:sSubPr>
                  <m:ctrlPr>
                    <w:rPr>
                      <w:rFonts w:ascii="Cambria Math" w:hAnsi="Cambria Math"/>
                      <w:bCs w:val="0"/>
                      <w:i/>
                      <w:szCs w:val="24"/>
                    </w:rPr>
                  </m:ctrlPr>
                </m:sSubPr>
                <m:e>
                  <m:r>
                    <m:rPr/>
                    <w:rPr>
                      <w:rFonts w:ascii="Cambria Math" w:hAnsi="Cambria Math"/>
                    </w:rPr>
                    <m:t>ℎ</m:t>
                  </m:r>
                  <m:ctrlPr>
                    <w:rPr>
                      <w:rFonts w:ascii="Cambria Math" w:hAnsi="Cambria Math"/>
                      <w:bCs w:val="0"/>
                      <w:i/>
                      <w:szCs w:val="24"/>
                    </w:rPr>
                  </m:ctrlPr>
                </m:e>
                <m:sub>
                  <m:r>
                    <m:rPr>
                      <m:sty m:val="p"/>
                    </m:rPr>
                    <w:rPr>
                      <w:rFonts w:ascii="Cambria Math" w:hAnsi="Cambria Math"/>
                    </w:rPr>
                    <m:t>ef</m:t>
                  </m:r>
                  <m:ctrlPr>
                    <w:rPr>
                      <w:rFonts w:ascii="Cambria Math" w:hAnsi="Cambria Math"/>
                      <w:bCs w:val="0"/>
                      <w:i/>
                      <w:szCs w:val="24"/>
                    </w:rPr>
                  </m:ctrlPr>
                </m:sub>
              </m:sSub>
            </m:oMath>
            <w:r>
              <w:t>；</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0</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0号锚筋（进行验算的锚筋）所承受的拉力荷载</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对0号锚筋有影响的单个锚筋所承受的拉力荷载</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r>
                  <m:rPr/>
                  <w:rPr>
                    <w:rFonts w:ascii="Cambria Math" w:hAnsi="Cambria Math" w:cs="Times New Roman"/>
                  </w:rPr>
                  <m:t>n</m:t>
                </m:r>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指定锚筋两侧临界距离</w:t>
            </w:r>
            <w:r>
              <w:rPr>
                <w:rFonts w:hint="eastAsia"/>
                <w:lang w:eastAsia="zh-CN"/>
              </w:rPr>
              <w:t>（</w:t>
            </w:r>
            <m:oMath>
              <m:sSub>
                <m:sSubPr>
                  <m:ctrlPr>
                    <w:rPr>
                      <w:rFonts w:ascii="Cambria Math" w:hAnsi="Cambria Math"/>
                      <w:bCs w:val="0"/>
                      <w:i/>
                      <w:szCs w:val="24"/>
                    </w:rPr>
                  </m:ctrlPr>
                </m:sSubPr>
                <m:e>
                  <m:r>
                    <m:rPr/>
                    <w:rPr>
                      <w:rFonts w:ascii="Cambria Math" w:hAnsi="Cambria Math"/>
                    </w:rPr>
                    <m:t>s</m:t>
                  </m:r>
                  <m:ctrlPr>
                    <w:rPr>
                      <w:rFonts w:ascii="Cambria Math" w:hAnsi="Cambria Math"/>
                      <w:bCs w:val="0"/>
                      <w:i/>
                      <w:szCs w:val="24"/>
                    </w:rPr>
                  </m:ctrlPr>
                </m:e>
                <m:sub>
                  <m:r>
                    <m:rPr/>
                    <w:rPr>
                      <w:rFonts w:ascii="Cambria Math" w:hAnsi="Cambria Math"/>
                    </w:rPr>
                    <m:t>cr，N</m:t>
                  </m:r>
                  <m:ctrlPr>
                    <w:rPr>
                      <w:rFonts w:ascii="Cambria Math" w:hAnsi="Cambria Math"/>
                      <w:bCs w:val="0"/>
                      <w:i/>
                      <w:szCs w:val="24"/>
                    </w:rPr>
                  </m:ctrlPr>
                </m:sub>
              </m:sSub>
            </m:oMath>
            <w:r>
              <w:rPr>
                <w:rFonts w:hint="eastAsia" w:hAnsi="Cambria Math"/>
                <w:bCs w:val="0"/>
                <w:i w:val="0"/>
                <w:szCs w:val="24"/>
                <w:lang w:eastAsia="zh-CN"/>
              </w:rPr>
              <w:t>）</w:t>
            </w:r>
            <w:r>
              <w:t>内的锚筋数量。</w:t>
            </w:r>
          </w:p>
        </w:tc>
      </w:tr>
    </w:tbl>
    <w:p>
      <w:pPr>
        <w:pStyle w:val="202"/>
        <w:rPr>
          <w:rFonts w:cs="Times New Roman"/>
        </w:rPr>
      </w:pPr>
      <w:r>
        <w:rPr>
          <w:rFonts w:cs="Times New Roman"/>
        </w:rPr>
        <w:drawing>
          <wp:inline distT="0" distB="0" distL="0" distR="0">
            <wp:extent cx="1898650" cy="1100455"/>
            <wp:effectExtent l="0" t="0" r="6350" b="444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09"/>
                    <a:stretch>
                      <a:fillRect/>
                    </a:stretch>
                  </pic:blipFill>
                  <pic:spPr>
                    <a:xfrm>
                      <a:off x="0" y="0"/>
                      <a:ext cx="1911757" cy="1108333"/>
                    </a:xfrm>
                    <a:prstGeom prst="rect">
                      <a:avLst/>
                    </a:prstGeom>
                  </pic:spPr>
                </pic:pic>
              </a:graphicData>
            </a:graphic>
          </wp:inline>
        </w:drawing>
      </w:r>
    </w:p>
    <w:p>
      <w:pPr>
        <w:pStyle w:val="202"/>
        <w:rPr>
          <w:rFonts w:cs="Times New Roman"/>
        </w:rPr>
      </w:pPr>
      <w:r>
        <w:rPr>
          <w:rFonts w:cs="Times New Roman"/>
        </w:rPr>
        <w:t>图D.0.14槽式预埋件受拉示意</w:t>
      </w:r>
    </w:p>
    <w:p>
      <w:pPr>
        <w:pStyle w:val="200"/>
      </w:pPr>
      <w:r>
        <w:rPr>
          <w:b/>
        </w:rPr>
        <w:t xml:space="preserve">D.0.15 </w:t>
      </w:r>
      <w:r>
        <w:t>混凝土基材边缘距离影响系数</w:t>
      </w:r>
      <m:oMath>
        <m:sSub>
          <m:sSubPr>
            <m:ctrlPr>
              <w:rPr>
                <w:rFonts w:ascii="Cambria Math" w:hAnsi="Cambria Math"/>
                <w:i/>
              </w:rPr>
            </m:ctrlPr>
          </m:sSubPr>
          <m:e>
            <m:r>
              <m:rPr/>
              <w:rPr>
                <w:rFonts w:ascii="Cambria Math" w:hAnsi="Cambria Math"/>
              </w:rPr>
              <m:t>ψ</m:t>
            </m:r>
            <m:ctrlPr>
              <w:rPr>
                <w:rFonts w:ascii="Cambria Math" w:hAnsi="Cambria Math"/>
                <w:i/>
              </w:rPr>
            </m:ctrlPr>
          </m:e>
          <m:sub>
            <m:r>
              <m:rPr>
                <m:sty m:val="p"/>
              </m:rPr>
              <w:rPr>
                <w:rFonts w:ascii="Cambria Math" w:hAnsi="Cambria Math"/>
              </w:rPr>
              <m:t>ch，e，N</m:t>
            </m:r>
            <m:ctrlPr>
              <w:rPr>
                <w:rFonts w:ascii="Cambria Math" w:hAnsi="Cambria Math"/>
                <w:i/>
              </w:rPr>
            </m:ctrlPr>
          </m:sub>
        </m:sSub>
      </m:oMath>
      <w:r>
        <w:t>可按下式计算：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ch，e，N</m:t>
                    </m:r>
                    <m:ctrlPr>
                      <w:rPr>
                        <w:rFonts w:ascii="Cambria Math" w:hAnsi="Cambria Math" w:cs="Times New Roman"/>
                        <w:i/>
                      </w:rPr>
                    </m:ctrlPr>
                  </m:sub>
                </m:sSub>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1</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cr，N</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ctrlPr>
                      <w:rPr>
                        <w:rFonts w:ascii="Cambria Math" w:hAnsi="Cambria Math" w:cs="Times New Roman"/>
                        <w:i/>
                      </w:rPr>
                    </m:ctrlPr>
                  </m:e>
                  <m:sup>
                    <m:r>
                      <m:rPr/>
                      <w:rPr>
                        <w:rFonts w:ascii="Cambria Math" w:hAnsi="Cambria Math" w:cs="Times New Roman"/>
                      </w:rPr>
                      <m:t>0.5</m:t>
                    </m:r>
                    <m:ctrlPr>
                      <w:rPr>
                        <w:rFonts w:ascii="Cambria Math" w:hAnsi="Cambria Math" w:cs="Times New Roman"/>
                        <w:i/>
                      </w:rPr>
                    </m:ctrlPr>
                  </m:sup>
                </m:sSup>
                <m:r>
                  <m:rPr/>
                  <w:rPr>
                    <w:rFonts w:ascii="Cambria Math" w:hAnsi="Cambria Math" w:cs="Times New Roman"/>
                  </w:rPr>
                  <m:t>≤1.0</m:t>
                </m:r>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（D.0.15）</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1</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槽式预埋件的边距，见图D.0.15，基材构件为狭窄构件时，取</w:t>
            </w:r>
            <m:oMath>
              <m:sSub>
                <m:sSubPr>
                  <m:ctrlPr>
                    <w:rPr>
                      <w:rFonts w:ascii="Cambria Math" w:hAnsi="Cambria Math"/>
                      <w:i/>
                    </w:rPr>
                  </m:ctrlPr>
                </m:sSubPr>
                <m:e>
                  <m:r>
                    <m:rPr/>
                    <w:rPr>
                      <w:rFonts w:ascii="Cambria Math" w:hAnsi="Cambria Math"/>
                    </w:rPr>
                    <m:t>c</m:t>
                  </m:r>
                  <m:ctrlPr>
                    <w:rPr>
                      <w:rFonts w:ascii="Cambria Math" w:hAnsi="Cambria Math"/>
                      <w:i/>
                    </w:rPr>
                  </m:ctrlPr>
                </m:e>
                <m:sub>
                  <m:r>
                    <m:rPr>
                      <m:sty m:val="p"/>
                    </m:rPr>
                    <w:rPr>
                      <w:rFonts w:ascii="Cambria Math" w:hAnsi="Cambria Math"/>
                    </w:rPr>
                    <m:t>1，1</m:t>
                  </m:r>
                  <m:ctrlPr>
                    <w:rPr>
                      <w:rFonts w:ascii="Cambria Math" w:hAnsi="Cambria Math"/>
                      <w:i/>
                    </w:rPr>
                  </m:ctrlPr>
                </m:sub>
              </m:sSub>
            </m:oMath>
            <w:r>
              <w:t>和</w:t>
            </w:r>
            <m:oMath>
              <m:sSub>
                <m:sSubPr>
                  <m:ctrlPr>
                    <w:rPr>
                      <w:rFonts w:ascii="Cambria Math" w:hAnsi="Cambria Math"/>
                      <w:i/>
                    </w:rPr>
                  </m:ctrlPr>
                </m:sSubPr>
                <m:e>
                  <m:r>
                    <m:rPr/>
                    <w:rPr>
                      <w:rFonts w:ascii="Cambria Math" w:hAnsi="Cambria Math"/>
                    </w:rPr>
                    <m:t>c</m:t>
                  </m:r>
                  <m:ctrlPr>
                    <w:rPr>
                      <w:rFonts w:ascii="Cambria Math" w:hAnsi="Cambria Math"/>
                      <w:i/>
                    </w:rPr>
                  </m:ctrlPr>
                </m:e>
                <m:sub>
                  <m:r>
                    <m:rPr>
                      <m:sty m:val="p"/>
                    </m:rPr>
                    <w:rPr>
                      <w:rFonts w:ascii="Cambria Math" w:hAnsi="Cambria Math"/>
                    </w:rPr>
                    <m:t>1，2</m:t>
                  </m:r>
                  <m:ctrlPr>
                    <w:rPr>
                      <w:rFonts w:ascii="Cambria Math" w:hAnsi="Cambria Math"/>
                      <w:i/>
                    </w:rPr>
                  </m:ctrlPr>
                </m:sub>
              </m:sSub>
            </m:oMath>
            <w:r>
              <w:t>的较小值；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cr，N</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临界边距，</w:t>
            </w:r>
            <m:oMath>
              <m:sSub>
                <m:sSubPr>
                  <m:ctrlPr>
                    <w:rPr>
                      <w:rFonts w:ascii="Cambria Math" w:hAnsi="Cambria Math"/>
                      <w:i/>
                    </w:rPr>
                  </m:ctrlPr>
                </m:sSubPr>
                <m:e>
                  <m:r>
                    <m:rPr/>
                    <w:rPr>
                      <w:rFonts w:ascii="Cambria Math" w:hAnsi="Cambria Math"/>
                    </w:rPr>
                    <m:t>c</m:t>
                  </m:r>
                  <m:ctrlPr>
                    <w:rPr>
                      <w:rFonts w:ascii="Cambria Math" w:hAnsi="Cambria Math"/>
                      <w:i/>
                    </w:rPr>
                  </m:ctrlPr>
                </m:e>
                <m:sub>
                  <m:r>
                    <m:rPr>
                      <m:sty m:val="p"/>
                    </m:rPr>
                    <w:rPr>
                      <w:rFonts w:ascii="Cambria Math" w:hAnsi="Cambria Math"/>
                    </w:rPr>
                    <m:t>cr，N</m:t>
                  </m:r>
                  <m:ctrlPr>
                    <w:rPr>
                      <w:rFonts w:ascii="Cambria Math" w:hAnsi="Cambria Math"/>
                      <w:i/>
                    </w:rPr>
                  </m:ctrlPr>
                </m:sub>
              </m:sSub>
              <m:r>
                <m:rPr/>
                <w:rPr>
                  <w:rFonts w:ascii="Cambria Math" w:hAnsi="Cambria Math"/>
                </w:rPr>
                <m:t>=0.5</m:t>
              </m:r>
              <m:sSub>
                <m:sSubPr>
                  <m:ctrlPr>
                    <w:rPr>
                      <w:rFonts w:ascii="Cambria Math" w:hAnsi="Cambria Math"/>
                      <w:i/>
                    </w:rPr>
                  </m:ctrlPr>
                </m:sSubPr>
                <m:e>
                  <m:r>
                    <m:rPr/>
                    <w:rPr>
                      <w:rFonts w:ascii="Cambria Math" w:hAnsi="Cambria Math"/>
                    </w:rPr>
                    <m:t>s</m:t>
                  </m:r>
                  <m:ctrlPr>
                    <w:rPr>
                      <w:rFonts w:ascii="Cambria Math" w:hAnsi="Cambria Math"/>
                      <w:i/>
                    </w:rPr>
                  </m:ctrlPr>
                </m:e>
                <m:sub>
                  <m:r>
                    <m:rPr>
                      <m:sty m:val="p"/>
                    </m:rPr>
                    <w:rPr>
                      <w:rFonts w:ascii="Cambria Math" w:hAnsi="Cambria Math"/>
                    </w:rPr>
                    <m:t>cr，N</m:t>
                  </m:r>
                  <m:ctrlPr>
                    <w:rPr>
                      <w:rFonts w:ascii="Cambria Math" w:hAnsi="Cambria Math"/>
                      <w:i/>
                    </w:rPr>
                  </m:ctrlPr>
                </m:sub>
              </m:sSub>
            </m:oMath>
            <w:r>
              <w:t>，</w:t>
            </w:r>
            <m:oMath>
              <m:sSub>
                <m:sSubPr>
                  <m:ctrlPr>
                    <w:rPr>
                      <w:rFonts w:ascii="Cambria Math" w:hAnsi="Cambria Math"/>
                      <w:i/>
                    </w:rPr>
                  </m:ctrlPr>
                </m:sSubPr>
                <m:e>
                  <m:r>
                    <m:rPr/>
                    <w:rPr>
                      <w:rFonts w:ascii="Cambria Math" w:hAnsi="Cambria Math"/>
                    </w:rPr>
                    <m:t>s</m:t>
                  </m:r>
                  <m:ctrlPr>
                    <w:rPr>
                      <w:rFonts w:ascii="Cambria Math" w:hAnsi="Cambria Math"/>
                      <w:i/>
                    </w:rPr>
                  </m:ctrlPr>
                </m:e>
                <m:sub>
                  <m:r>
                    <m:rPr>
                      <m:sty m:val="p"/>
                    </m:rPr>
                    <w:rPr>
                      <w:rFonts w:ascii="Cambria Math" w:hAnsi="Cambria Math"/>
                    </w:rPr>
                    <m:t>cr，N</m:t>
                  </m:r>
                  <m:ctrlPr>
                    <w:rPr>
                      <w:rFonts w:ascii="Cambria Math" w:hAnsi="Cambria Math"/>
                      <w:i/>
                    </w:rPr>
                  </m:ctrlPr>
                </m:sub>
              </m:sSub>
            </m:oMath>
            <w:r>
              <w:t>见图D.0.15条。</w:t>
            </w:r>
          </w:p>
        </w:tc>
      </w:tr>
    </w:tbl>
    <w:p>
      <w:pPr>
        <w:pStyle w:val="202"/>
        <w:rPr>
          <w:rFonts w:cs="Times New Roman"/>
        </w:rPr>
      </w:pPr>
      <w:r>
        <w:rPr>
          <w:rFonts w:cs="Times New Roman"/>
        </w:rPr>
        <w:drawing>
          <wp:inline distT="0" distB="0" distL="0" distR="0">
            <wp:extent cx="3465195" cy="1799590"/>
            <wp:effectExtent l="0" t="0" r="190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0"/>
                    <a:stretch>
                      <a:fillRect/>
                    </a:stretch>
                  </pic:blipFill>
                  <pic:spPr>
                    <a:xfrm>
                      <a:off x="0" y="0"/>
                      <a:ext cx="3465241" cy="1800000"/>
                    </a:xfrm>
                    <a:prstGeom prst="rect">
                      <a:avLst/>
                    </a:prstGeom>
                  </pic:spPr>
                </pic:pic>
              </a:graphicData>
            </a:graphic>
          </wp:inline>
        </w:drawing>
      </w:r>
    </w:p>
    <w:p>
      <w:pPr>
        <w:pStyle w:val="202"/>
        <w:rPr>
          <w:rFonts w:cs="Times New Roman"/>
        </w:rPr>
      </w:pPr>
      <w:r>
        <w:rPr>
          <w:rFonts w:cs="Times New Roman"/>
        </w:rPr>
        <w:t>图D.0.15槽式预埋件边距示意</w:t>
      </w:r>
    </w:p>
    <w:p>
      <w:pPr>
        <w:pStyle w:val="202"/>
        <w:rPr>
          <w:rFonts w:cs="Times New Roman"/>
          <w:b w:val="0"/>
        </w:rPr>
      </w:pPr>
      <w:r>
        <w:rPr>
          <w:rFonts w:cs="Times New Roman"/>
          <w:b w:val="0"/>
          <w:i/>
          <w:iCs/>
        </w:rPr>
        <w:t>a</w:t>
      </w:r>
      <w:r>
        <w:rPr>
          <w:rFonts w:hint="eastAsia" w:cs="Times New Roman"/>
          <w:b w:val="0"/>
          <w:i/>
          <w:iCs/>
          <w:lang w:eastAsia="zh-CN"/>
        </w:rPr>
        <w:t>）</w:t>
      </w:r>
      <w:r>
        <w:rPr>
          <w:rFonts w:cs="Times New Roman"/>
          <w:b w:val="0"/>
        </w:rPr>
        <w:t>一侧为边缘；</w:t>
      </w:r>
      <w:r>
        <w:rPr>
          <w:rFonts w:cs="Times New Roman"/>
          <w:b w:val="0"/>
          <w:i/>
          <w:iCs/>
        </w:rPr>
        <w:t>b</w:t>
      </w:r>
      <w:r>
        <w:rPr>
          <w:rFonts w:hint="eastAsia" w:cs="Times New Roman"/>
          <w:b w:val="0"/>
          <w:i/>
          <w:iCs/>
          <w:lang w:eastAsia="zh-CN"/>
        </w:rPr>
        <w:t>）</w:t>
      </w:r>
      <w:r>
        <w:rPr>
          <w:rFonts w:cs="Times New Roman"/>
          <w:b w:val="0"/>
        </w:rPr>
        <w:t>在一个狭窄构件中，两侧均为边缘</w:t>
      </w:r>
    </w:p>
    <w:p>
      <w:pPr>
        <w:pStyle w:val="200"/>
      </w:pPr>
      <w:r>
        <w:rPr>
          <w:b/>
        </w:rPr>
        <w:t xml:space="preserve">D.0.16 </w:t>
      </w:r>
      <w:r>
        <w:t>混凝土基材边角影响系数</w:t>
      </w:r>
      <m:oMath>
        <m:sSub>
          <m:sSubPr>
            <m:ctrlPr>
              <w:rPr>
                <w:rFonts w:ascii="Cambria Math" w:hAnsi="Cambria Math"/>
                <w:i/>
              </w:rPr>
            </m:ctrlPr>
          </m:sSubPr>
          <m:e>
            <m:r>
              <m:rPr/>
              <w:rPr>
                <w:rFonts w:ascii="Cambria Math" w:hAnsi="Cambria Math"/>
              </w:rPr>
              <m:t>ψ</m:t>
            </m:r>
            <m:ctrlPr>
              <w:rPr>
                <w:rFonts w:ascii="Cambria Math" w:hAnsi="Cambria Math"/>
                <w:i/>
              </w:rPr>
            </m:ctrlPr>
          </m:e>
          <m:sub>
            <m:r>
              <m:rPr>
                <m:sty m:val="p"/>
              </m:rPr>
              <w:rPr>
                <w:rFonts w:ascii="Cambria Math" w:hAnsi="Cambria Math"/>
              </w:rPr>
              <m:t>ch，c，N</m:t>
            </m:r>
            <m:ctrlPr>
              <w:rPr>
                <w:rFonts w:ascii="Cambria Math" w:hAnsi="Cambria Math"/>
                <w:i/>
              </w:rPr>
            </m:ctrlPr>
          </m:sub>
        </m:sSub>
      </m:oMath>
      <w:r>
        <w:t>可按下式计算；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ch，c，N</m:t>
                    </m:r>
                    <m:ctrlPr>
                      <w:rPr>
                        <w:rFonts w:ascii="Cambria Math" w:hAnsi="Cambria Math" w:cs="Times New Roman"/>
                        <w:i/>
                      </w:rPr>
                    </m:ctrlPr>
                  </m:sub>
                </m:sSub>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2</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cr，N</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ctrlPr>
                      <w:rPr>
                        <w:rFonts w:ascii="Cambria Math" w:hAnsi="Cambria Math" w:cs="Times New Roman"/>
                        <w:i/>
                      </w:rPr>
                    </m:ctrlPr>
                  </m:e>
                  <m:sup>
                    <m:r>
                      <m:rPr/>
                      <w:rPr>
                        <w:rFonts w:ascii="Cambria Math" w:hAnsi="Cambria Math" w:cs="Times New Roman"/>
                      </w:rPr>
                      <m:t>0.5</m:t>
                    </m:r>
                    <m:ctrlPr>
                      <w:rPr>
                        <w:rFonts w:ascii="Cambria Math" w:hAnsi="Cambria Math" w:cs="Times New Roman"/>
                        <w:i/>
                      </w:rPr>
                    </m:ctrlPr>
                  </m:sup>
                </m:sSup>
                <m:r>
                  <m:rPr/>
                  <w:rPr>
                    <w:rFonts w:ascii="Cambria Math" w:hAnsi="Cambria Math" w:cs="Times New Roman"/>
                  </w:rPr>
                  <m:t>≤1.0</m:t>
                </m:r>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（D.0.16）</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2</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所验算锚筋的边角距离，见图D.0.16；</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cr，N</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临界边距，</w:t>
            </w:r>
            <m:oMath>
              <m:sSub>
                <m:sSubPr>
                  <m:ctrlPr>
                    <w:rPr>
                      <w:rFonts w:ascii="Cambria Math" w:hAnsi="Cambria Math"/>
                      <w:i/>
                    </w:rPr>
                  </m:ctrlPr>
                </m:sSubPr>
                <m:e>
                  <m:r>
                    <m:rPr/>
                    <w:rPr>
                      <w:rFonts w:ascii="Cambria Math" w:hAnsi="Cambria Math"/>
                    </w:rPr>
                    <m:t>c</m:t>
                  </m:r>
                  <m:ctrlPr>
                    <w:rPr>
                      <w:rFonts w:ascii="Cambria Math" w:hAnsi="Cambria Math"/>
                      <w:i/>
                    </w:rPr>
                  </m:ctrlPr>
                </m:e>
                <m:sub>
                  <m:r>
                    <m:rPr>
                      <m:sty m:val="p"/>
                    </m:rPr>
                    <w:rPr>
                      <w:rFonts w:ascii="Cambria Math" w:hAnsi="Cambria Math"/>
                    </w:rPr>
                    <m:t>cr，N</m:t>
                  </m:r>
                  <m:ctrlPr>
                    <w:rPr>
                      <w:rFonts w:ascii="Cambria Math" w:hAnsi="Cambria Math"/>
                      <w:i/>
                    </w:rPr>
                  </m:ctrlPr>
                </m:sub>
              </m:sSub>
              <m:r>
                <m:rPr/>
                <w:rPr>
                  <w:rFonts w:ascii="Cambria Math" w:hAnsi="Cambria Math"/>
                </w:rPr>
                <m:t>=0.5</m:t>
              </m:r>
              <m:sSub>
                <m:sSubPr>
                  <m:ctrlPr>
                    <w:rPr>
                      <w:rFonts w:ascii="Cambria Math" w:hAnsi="Cambria Math"/>
                      <w:i/>
                    </w:rPr>
                  </m:ctrlPr>
                </m:sSubPr>
                <m:e>
                  <m:r>
                    <m:rPr/>
                    <w:rPr>
                      <w:rFonts w:ascii="Cambria Math" w:hAnsi="Cambria Math"/>
                    </w:rPr>
                    <m:t>s</m:t>
                  </m:r>
                  <m:ctrlPr>
                    <w:rPr>
                      <w:rFonts w:ascii="Cambria Math" w:hAnsi="Cambria Math"/>
                      <w:i/>
                    </w:rPr>
                  </m:ctrlPr>
                </m:e>
                <m:sub>
                  <m:r>
                    <m:rPr>
                      <m:sty m:val="p"/>
                    </m:rPr>
                    <w:rPr>
                      <w:rFonts w:ascii="Cambria Math" w:hAnsi="Cambria Math"/>
                    </w:rPr>
                    <m:t>cr，N</m:t>
                  </m:r>
                  <m:ctrlPr>
                    <w:rPr>
                      <w:rFonts w:ascii="Cambria Math" w:hAnsi="Cambria Math"/>
                      <w:i/>
                    </w:rPr>
                  </m:ctrlPr>
                </m:sub>
              </m:sSub>
            </m:oMath>
            <w:r>
              <w:t>，</w:t>
            </w:r>
            <m:oMath>
              <m:sSub>
                <m:sSubPr>
                  <m:ctrlPr>
                    <w:rPr>
                      <w:rFonts w:ascii="Cambria Math" w:hAnsi="Cambria Math"/>
                      <w:i/>
                    </w:rPr>
                  </m:ctrlPr>
                </m:sSubPr>
                <m:e>
                  <m:r>
                    <m:rPr/>
                    <w:rPr>
                      <w:rFonts w:ascii="Cambria Math" w:hAnsi="Cambria Math"/>
                    </w:rPr>
                    <m:t>s</m:t>
                  </m:r>
                  <m:ctrlPr>
                    <w:rPr>
                      <w:rFonts w:ascii="Cambria Math" w:hAnsi="Cambria Math"/>
                      <w:i/>
                    </w:rPr>
                  </m:ctrlPr>
                </m:e>
                <m:sub>
                  <m:r>
                    <m:rPr>
                      <m:sty m:val="p"/>
                    </m:rPr>
                    <w:rPr>
                      <w:rFonts w:ascii="Cambria Math" w:hAnsi="Cambria Math"/>
                    </w:rPr>
                    <m:t>cr，N</m:t>
                  </m:r>
                  <m:ctrlPr>
                    <w:rPr>
                      <w:rFonts w:ascii="Cambria Math" w:hAnsi="Cambria Math"/>
                      <w:i/>
                    </w:rPr>
                  </m:ctrlPr>
                </m:sub>
              </m:sSub>
            </m:oMath>
            <w:r>
              <w:t>见图D.0.14条。</w:t>
            </w:r>
          </w:p>
        </w:tc>
      </w:tr>
    </w:tbl>
    <w:p>
      <w:pPr>
        <w:pStyle w:val="202"/>
        <w:rPr>
          <w:rFonts w:cs="Times New Roman"/>
        </w:rPr>
      </w:pPr>
      <w:r>
        <w:rPr>
          <w:rFonts w:cs="Times New Roman"/>
        </w:rPr>
        <w:drawing>
          <wp:inline distT="0" distB="0" distL="0" distR="0">
            <wp:extent cx="5274310" cy="105092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1"/>
                    <a:stretch>
                      <a:fillRect/>
                    </a:stretch>
                  </pic:blipFill>
                  <pic:spPr>
                    <a:xfrm>
                      <a:off x="0" y="0"/>
                      <a:ext cx="5274310" cy="1051199"/>
                    </a:xfrm>
                    <a:prstGeom prst="rect">
                      <a:avLst/>
                    </a:prstGeom>
                  </pic:spPr>
                </pic:pic>
              </a:graphicData>
            </a:graphic>
          </wp:inline>
        </w:drawing>
      </w:r>
    </w:p>
    <w:p>
      <w:pPr>
        <w:pStyle w:val="202"/>
        <w:rPr>
          <w:rFonts w:cs="Times New Roman"/>
        </w:rPr>
      </w:pPr>
      <w:r>
        <w:rPr>
          <w:rFonts w:cs="Times New Roman"/>
        </w:rPr>
        <w:t>图D.0.16槽式预埋件边角距离</w:t>
      </w:r>
      <m:oMath>
        <m:sSub>
          <m:sSubPr>
            <m:ctrlPr>
              <w:rPr>
                <w:rFonts w:ascii="Cambria Math" w:hAnsi="Cambria Math" w:cs="Times New Roman"/>
                <w:i/>
              </w:rPr>
            </m:ctrlPr>
          </m:sSubPr>
          <m:e>
            <m:r>
              <m:rPr>
                <m:sty m:val="bi"/>
              </m:rPr>
              <w:rPr>
                <w:rFonts w:ascii="Cambria Math" w:hAnsi="Cambria Math" w:cs="Times New Roman"/>
              </w:rPr>
              <m:t>c</m:t>
            </m:r>
            <m:ctrlPr>
              <w:rPr>
                <w:rFonts w:ascii="Cambria Math" w:hAnsi="Cambria Math" w:cs="Times New Roman"/>
                <w:i/>
              </w:rPr>
            </m:ctrlPr>
          </m:e>
          <m:sub>
            <m:r>
              <m:rPr>
                <m:sty m:val="b"/>
              </m:rPr>
              <w:rPr>
                <w:rFonts w:ascii="Cambria Math" w:hAnsi="Cambria Math" w:cs="Times New Roman"/>
              </w:rPr>
              <m:t>2</m:t>
            </m:r>
            <m:ctrlPr>
              <w:rPr>
                <w:rFonts w:ascii="Cambria Math" w:hAnsi="Cambria Math" w:cs="Times New Roman"/>
                <w:i/>
              </w:rPr>
            </m:ctrlPr>
          </m:sub>
        </m:sSub>
      </m:oMath>
      <w:r>
        <w:rPr>
          <w:rFonts w:cs="Times New Roman"/>
        </w:rPr>
        <w:t>取值示意</w:t>
      </w:r>
    </w:p>
    <w:p>
      <w:pPr>
        <w:pStyle w:val="60"/>
        <w:jc w:val="center"/>
        <w:rPr>
          <w:rFonts w:ascii="Times New Roman" w:cs="Times New Roman" w:eastAsiaTheme="minorEastAsia"/>
          <w:kern w:val="2"/>
        </w:rPr>
      </w:pPr>
      <w:r>
        <w:rPr>
          <w:rFonts w:ascii="Times New Roman" w:cs="Times New Roman" w:eastAsiaTheme="minorEastAsia"/>
          <w:i/>
          <w:iCs/>
          <w:kern w:val="2"/>
        </w:rPr>
        <w:t>a</w:t>
      </w:r>
      <w:r>
        <w:rPr>
          <w:rFonts w:hint="eastAsia" w:ascii="Times New Roman" w:cs="Times New Roman" w:eastAsiaTheme="minorEastAsia"/>
          <w:i/>
          <w:iCs/>
          <w:kern w:val="2"/>
          <w:lang w:eastAsia="zh-CN"/>
        </w:rPr>
        <w:t>）</w:t>
      </w:r>
      <w:r>
        <w:rPr>
          <w:rFonts w:ascii="Times New Roman" w:cs="Times New Roman" w:eastAsiaTheme="minorEastAsia"/>
          <w:kern w:val="2"/>
        </w:rPr>
        <w:t>针对锚筋1的计算；</w:t>
      </w:r>
      <w:r>
        <w:rPr>
          <w:rFonts w:ascii="Times New Roman" w:cs="Times New Roman" w:eastAsiaTheme="minorEastAsia"/>
          <w:i/>
          <w:iCs/>
          <w:kern w:val="2"/>
        </w:rPr>
        <w:t>b</w:t>
      </w:r>
      <w:r>
        <w:rPr>
          <w:rFonts w:hint="eastAsia" w:ascii="Times New Roman" w:cs="Times New Roman" w:eastAsiaTheme="minorEastAsia"/>
          <w:i/>
          <w:iCs/>
          <w:kern w:val="2"/>
          <w:lang w:eastAsia="zh-CN"/>
        </w:rPr>
        <w:t>）</w:t>
      </w:r>
      <w:r>
        <w:rPr>
          <w:rFonts w:ascii="Times New Roman" w:cs="Times New Roman" w:eastAsiaTheme="minorEastAsia"/>
          <w:kern w:val="2"/>
        </w:rPr>
        <w:t>针对锚筋2的计算；</w:t>
      </w:r>
      <w:r>
        <w:rPr>
          <w:rFonts w:ascii="Times New Roman" w:cs="Times New Roman" w:eastAsiaTheme="minorEastAsia"/>
          <w:i/>
          <w:iCs/>
          <w:kern w:val="2"/>
        </w:rPr>
        <w:t>c</w:t>
      </w:r>
      <w:r>
        <w:rPr>
          <w:rFonts w:hint="eastAsia" w:ascii="Times New Roman" w:cs="Times New Roman" w:eastAsiaTheme="minorEastAsia"/>
          <w:i/>
          <w:iCs/>
          <w:kern w:val="2"/>
          <w:lang w:eastAsia="zh-CN"/>
        </w:rPr>
        <w:t>）</w:t>
      </w:r>
      <w:r>
        <w:rPr>
          <w:rFonts w:ascii="Times New Roman" w:cs="Times New Roman" w:eastAsiaTheme="minorEastAsia"/>
          <w:kern w:val="2"/>
        </w:rPr>
        <w:t>针对锚筋2的计算；</w:t>
      </w:r>
      <w:r>
        <w:rPr>
          <w:rFonts w:ascii="Times New Roman" w:cs="Times New Roman" w:eastAsiaTheme="minorEastAsia"/>
          <w:i/>
          <w:iCs/>
          <w:kern w:val="2"/>
        </w:rPr>
        <w:t>d</w:t>
      </w:r>
      <w:r>
        <w:rPr>
          <w:rFonts w:hint="eastAsia" w:ascii="Times New Roman" w:cs="Times New Roman" w:eastAsiaTheme="minorEastAsia"/>
          <w:i/>
          <w:iCs/>
          <w:kern w:val="2"/>
          <w:lang w:eastAsia="zh-CN"/>
        </w:rPr>
        <w:t>）</w:t>
      </w:r>
      <w:r>
        <w:rPr>
          <w:rFonts w:ascii="Times New Roman" w:cs="Times New Roman" w:eastAsiaTheme="minorEastAsia"/>
          <w:kern w:val="2"/>
        </w:rPr>
        <w:t>针对锚筋1的计算</w:t>
      </w:r>
    </w:p>
    <w:p>
      <w:pPr>
        <w:pStyle w:val="200"/>
      </w:pPr>
      <w:r>
        <w:rPr>
          <w:b/>
        </w:rPr>
        <w:t xml:space="preserve">D.0.17 </w:t>
      </w:r>
      <w:r>
        <w:t>表层混凝土因密集配筋的剥离作用对受拉承载力的影响系数，可分两种情况考虑：</w:t>
      </w:r>
    </w:p>
    <w:p>
      <w:pPr>
        <w:pStyle w:val="188"/>
        <w:ind w:firstLine="482"/>
        <w:rPr>
          <w:rFonts w:cs="Times New Roman"/>
        </w:rPr>
      </w:pPr>
      <w:r>
        <w:rPr>
          <w:rFonts w:cs="Times New Roman"/>
          <w:b/>
          <w:bCs w:val="0"/>
        </w:rPr>
        <w:t>1</w:t>
      </w:r>
      <w:r>
        <w:rPr>
          <w:rFonts w:cs="Times New Roman"/>
        </w:rPr>
        <w:t>槽式预埋件有效埋深</w:t>
      </w:r>
      <m:oMath>
        <m:sSub>
          <m:sSubPr>
            <m:ctrlPr>
              <w:rPr>
                <w:rFonts w:ascii="Cambria Math" w:hAnsi="Cambria Math" w:cs="Times New Roman"/>
              </w:rPr>
            </m:ctrlPr>
          </m:sSubPr>
          <m:e>
            <m:r>
              <m:rPr/>
              <w:rPr>
                <w:rFonts w:ascii="Cambria Math" w:hAnsi="Cambria Math" w:cs="Times New Roman"/>
              </w:rPr>
              <m:t>ℎ</m:t>
            </m:r>
            <m:ctrlPr>
              <w:rPr>
                <w:rFonts w:ascii="Cambria Math" w:hAnsi="Cambria Math" w:cs="Times New Roman"/>
              </w:rPr>
            </m:ctrlPr>
          </m:e>
          <m:sub>
            <m:r>
              <m:rPr>
                <m:sty m:val="p"/>
              </m:rPr>
              <w:rPr>
                <w:rFonts w:ascii="Cambria Math" w:hAnsi="Cambria Math" w:cs="Times New Roman"/>
              </w:rPr>
              <m:t>ef</m:t>
            </m:r>
            <m:ctrlPr>
              <w:rPr>
                <w:rFonts w:ascii="Cambria Math" w:hAnsi="Cambria Math" w:cs="Times New Roman"/>
              </w:rPr>
            </m:ctrlPr>
          </m:sub>
        </m:sSub>
        <m:r>
          <m:rPr/>
          <w:rPr>
            <w:rFonts w:ascii="Cambria Math" w:hAnsi="Cambria Math" w:cs="Times New Roman"/>
          </w:rPr>
          <m:t>≤100</m:t>
        </m:r>
        <m:r>
          <m:rPr>
            <m:sty m:val="p"/>
          </m:rPr>
          <w:rPr>
            <w:rFonts w:ascii="Cambria Math" w:hAnsi="Cambria Math" w:cs="Times New Roman"/>
          </w:rPr>
          <m:t>mm</m:t>
        </m:r>
      </m:oMath>
      <w:r>
        <w:rPr>
          <w:rFonts w:cs="Times New Roman"/>
        </w:rPr>
        <w:t>时，可按下式计算：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re，N</m:t>
                    </m:r>
                    <m:ctrlPr>
                      <w:rPr>
                        <w:rFonts w:ascii="Cambria Math" w:hAnsi="Cambria Math" w:cs="Times New Roman"/>
                        <w:i/>
                      </w:rPr>
                    </m:ctrlPr>
                  </m:sub>
                </m:sSub>
                <m:r>
                  <m:rPr/>
                  <w:rPr>
                    <w:rFonts w:ascii="Cambria Math" w:hAnsi="Cambria Math" w:cs="Times New Roman"/>
                  </w:rPr>
                  <m:t>=0.5+</m:t>
                </m:r>
                <m:f>
                  <m:fPr>
                    <m:ctrlPr>
                      <w:rPr>
                        <w:rFonts w:ascii="Cambria Math" w:hAnsi="Cambria Math" w:cs="Times New Roman"/>
                        <w:i/>
                      </w:rPr>
                    </m:ctrlPr>
                  </m:fPr>
                  <m:num>
                    <m:sSub>
                      <m:sSubPr>
                        <m:ctrlPr>
                          <w:rPr>
                            <w:rFonts w:ascii="Cambria Math" w:hAnsi="Cambria Math" w:cs="Times New Roman"/>
                            <w:bCs/>
                          </w:rPr>
                        </m:ctrlPr>
                      </m:sSubPr>
                      <m:e>
                        <m:r>
                          <m:rPr/>
                          <w:rPr>
                            <w:rFonts w:ascii="Cambria Math" w:hAnsi="Cambria Math" w:cs="Times New Roman"/>
                          </w:rPr>
                          <m:t>ℎ</m:t>
                        </m:r>
                        <m:ctrlPr>
                          <w:rPr>
                            <w:rFonts w:ascii="Cambria Math" w:hAnsi="Cambria Math" w:cs="Times New Roman"/>
                            <w:bCs/>
                          </w:rPr>
                        </m:ctrlPr>
                      </m:e>
                      <m:sub>
                        <m:r>
                          <m:rPr>
                            <m:sty m:val="p"/>
                          </m:rPr>
                          <w:rPr>
                            <w:rFonts w:ascii="Cambria Math" w:hAnsi="Cambria Math" w:cs="Times New Roman"/>
                          </w:rPr>
                          <m:t>ef</m:t>
                        </m:r>
                        <m:ctrlPr>
                          <w:rPr>
                            <w:rFonts w:ascii="Cambria Math" w:hAnsi="Cambria Math" w:cs="Times New Roman"/>
                            <w:bCs/>
                          </w:rPr>
                        </m:ctrlPr>
                      </m:sub>
                    </m:sSub>
                    <m:ctrlPr>
                      <w:rPr>
                        <w:rFonts w:ascii="Cambria Math" w:hAnsi="Cambria Math" w:cs="Times New Roman"/>
                        <w:i/>
                      </w:rPr>
                    </m:ctrlPr>
                  </m:num>
                  <m:den>
                    <m:r>
                      <m:rPr/>
                      <w:rPr>
                        <w:rFonts w:ascii="Cambria Math" w:hAnsi="Cambria Math" w:cs="Times New Roman"/>
                      </w:rPr>
                      <m:t>200</m:t>
                    </m:r>
                    <m:ctrlPr>
                      <w:rPr>
                        <w:rFonts w:ascii="Cambria Math" w:hAnsi="Cambria Math" w:cs="Times New Roman"/>
                        <w:i/>
                      </w:rPr>
                    </m:ctrlPr>
                  </m:den>
                </m:f>
                <m:r>
                  <m:rPr/>
                  <w:rPr>
                    <w:rFonts w:ascii="Cambria Math" w:hAnsi="Cambria Math" w:cs="Times New Roman"/>
                  </w:rPr>
                  <m:t>≤1.0</m:t>
                </m:r>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（D.0.17）</w:t>
            </w:r>
          </w:p>
        </w:tc>
      </w:tr>
    </w:tbl>
    <w:p>
      <w:pPr>
        <w:pStyle w:val="188"/>
        <w:ind w:firstLine="482"/>
        <w:rPr>
          <w:rFonts w:cs="Times New Roman"/>
        </w:rPr>
      </w:pPr>
      <w:r>
        <w:rPr>
          <w:rFonts w:hint="eastAsia" w:cs="Times New Roman"/>
          <w:b/>
          <w:bCs w:val="0"/>
        </w:rPr>
        <w:t>2</w:t>
      </w:r>
      <w:r>
        <w:rPr>
          <w:rFonts w:cs="Times New Roman"/>
        </w:rPr>
        <w:t xml:space="preserve"> 下列情况下</w:t>
      </w: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re，N</m:t>
            </m:r>
            <m:ctrlPr>
              <w:rPr>
                <w:rFonts w:ascii="Cambria Math" w:hAnsi="Cambria Math" w:cs="Times New Roman"/>
                <w:i/>
              </w:rPr>
            </m:ctrlPr>
          </m:sub>
        </m:sSub>
      </m:oMath>
      <w:r>
        <w:rPr>
          <w:rFonts w:cs="Times New Roman"/>
        </w:rPr>
        <w:t>可直接取1.0：</w:t>
      </w:r>
    </w:p>
    <w:p>
      <w:pPr>
        <w:pStyle w:val="188"/>
        <w:ind w:firstLine="720" w:firstLineChars="300"/>
        <w:rPr>
          <w:rFonts w:cs="Times New Roman"/>
        </w:rPr>
      </w:pPr>
      <w:r>
        <w:rPr>
          <w:rFonts w:cs="Times New Roman"/>
        </w:rPr>
        <w:t>1) 混凝土内箍筋间距大于150mm；</w:t>
      </w:r>
    </w:p>
    <w:p>
      <w:pPr>
        <w:pStyle w:val="188"/>
        <w:ind w:firstLine="720" w:firstLineChars="300"/>
        <w:rPr>
          <w:rFonts w:cs="Times New Roman"/>
        </w:rPr>
      </w:pPr>
      <w:r>
        <w:rPr>
          <w:rFonts w:cs="Times New Roman"/>
        </w:rPr>
        <w:t>2) 箍筋的直径不大于10mm且间距大于100mm。</w:t>
      </w:r>
    </w:p>
    <w:p>
      <w:pPr>
        <w:pStyle w:val="188"/>
        <w:ind w:firstLine="441" w:firstLineChars="183"/>
        <w:rPr>
          <w:rFonts w:cs="Times New Roman"/>
        </w:rPr>
      </w:pPr>
      <w:r>
        <w:rPr>
          <w:rFonts w:cs="Times New Roman"/>
          <w:b/>
          <w:bCs w:val="0"/>
        </w:rPr>
        <w:t>3</w:t>
      </w:r>
      <w:r>
        <w:rPr>
          <w:rFonts w:cs="Times New Roman"/>
        </w:rPr>
        <w:t>槽式预埋件有效埋深</w:t>
      </w:r>
      <m:oMath>
        <m:sSub>
          <m:sSubPr>
            <m:ctrlPr>
              <w:rPr>
                <w:rFonts w:ascii="Cambria Math" w:hAnsi="Cambria Math" w:cs="Times New Roman"/>
              </w:rPr>
            </m:ctrlPr>
          </m:sSubPr>
          <m:e>
            <m:r>
              <m:rPr/>
              <w:rPr>
                <w:rFonts w:ascii="Cambria Math" w:hAnsi="Cambria Math" w:cs="Times New Roman"/>
              </w:rPr>
              <m:t>ℎ</m:t>
            </m:r>
            <m:ctrlPr>
              <w:rPr>
                <w:rFonts w:ascii="Cambria Math" w:hAnsi="Cambria Math" w:cs="Times New Roman"/>
              </w:rPr>
            </m:ctrlPr>
          </m:e>
          <m:sub>
            <m:r>
              <m:rPr>
                <m:sty m:val="p"/>
              </m:rPr>
              <w:rPr>
                <w:rFonts w:ascii="Cambria Math" w:hAnsi="Cambria Math" w:cs="Times New Roman"/>
              </w:rPr>
              <m:t>ef</m:t>
            </m:r>
            <m:ctrlPr>
              <w:rPr>
                <w:rFonts w:ascii="Cambria Math" w:hAnsi="Cambria Math" w:cs="Times New Roman"/>
              </w:rPr>
            </m:ctrlPr>
          </m:sub>
        </m:sSub>
        <m:r>
          <m:rPr/>
          <w:rPr>
            <w:rFonts w:ascii="Cambria Math" w:hAnsi="Cambria Math" w:cs="Times New Roman"/>
          </w:rPr>
          <m:t>≥100</m:t>
        </m:r>
        <m:r>
          <m:rPr>
            <m:sty m:val="p"/>
          </m:rPr>
          <w:rPr>
            <w:rFonts w:ascii="Cambria Math" w:hAnsi="Cambria Math" w:cs="Times New Roman"/>
          </w:rPr>
          <m:t>mm</m:t>
        </m:r>
      </m:oMath>
      <w:r>
        <w:rPr>
          <w:rFonts w:cs="Times New Roman"/>
        </w:rPr>
        <w:t>时，取</w:t>
      </w: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re，N</m:t>
            </m:r>
            <m:ctrlPr>
              <w:rPr>
                <w:rFonts w:ascii="Cambria Math" w:hAnsi="Cambria Math" w:cs="Times New Roman"/>
                <w:i/>
              </w:rPr>
            </m:ctrlPr>
          </m:sub>
        </m:sSub>
        <m:r>
          <m:rPr/>
          <w:rPr>
            <w:rFonts w:ascii="Cambria Math" w:hAnsi="Cambria Math" w:cs="Times New Roman"/>
          </w:rPr>
          <m:t>=1.0</m:t>
        </m:r>
      </m:oMath>
      <w:r>
        <w:rPr>
          <w:rFonts w:cs="Times New Roman"/>
        </w:rPr>
        <w:t>。</w:t>
      </w:r>
    </w:p>
    <w:p>
      <w:pPr>
        <w:pStyle w:val="200"/>
      </w:pPr>
      <w:r>
        <w:rPr>
          <w:b/>
        </w:rPr>
        <w:t>D.0.18</w:t>
      </w:r>
      <w:r>
        <w:t>混凝土受拉劈裂破坏验算：</w:t>
      </w:r>
    </w:p>
    <w:p>
      <w:pPr>
        <w:pStyle w:val="188"/>
        <w:ind w:firstLine="482"/>
        <w:rPr>
          <w:rFonts w:cs="Times New Roman"/>
        </w:rPr>
      </w:pPr>
      <w:r>
        <w:rPr>
          <w:rFonts w:cs="Times New Roman"/>
          <w:b/>
        </w:rPr>
        <w:t>1</w:t>
      </w:r>
      <w:r>
        <w:rPr>
          <w:rFonts w:cs="Times New Roman"/>
        </w:rPr>
        <w:t>应满足最小边距</w:t>
      </w:r>
      <m:oMath>
        <m:sSub>
          <m:sSubPr>
            <m:ctrlPr>
              <w:rPr>
                <w:rFonts w:ascii="Cambria Math" w:hAnsi="Cambria Math" w:cs="Times New Roman"/>
              </w:rPr>
            </m:ctrlPr>
          </m:sSubPr>
          <m:e>
            <m:r>
              <m:rPr/>
              <w:rPr>
                <w:rFonts w:ascii="Cambria Math" w:hAnsi="Cambria Math" w:cs="Times New Roman"/>
              </w:rPr>
              <m:t>c</m:t>
            </m:r>
            <m:ctrlPr>
              <w:rPr>
                <w:rFonts w:ascii="Cambria Math" w:hAnsi="Cambria Math" w:cs="Times New Roman"/>
              </w:rPr>
            </m:ctrlPr>
          </m:e>
          <m:sub>
            <m:r>
              <m:rPr>
                <m:sty m:val="p"/>
              </m:rPr>
              <w:rPr>
                <w:rFonts w:ascii="Cambria Math" w:hAnsi="Cambria Math" w:cs="Times New Roman"/>
              </w:rPr>
              <m:t>min</m:t>
            </m:r>
            <m:ctrlPr>
              <w:rPr>
                <w:rFonts w:ascii="Cambria Math" w:hAnsi="Cambria Math" w:cs="Times New Roman"/>
              </w:rPr>
            </m:ctrlPr>
          </m:sub>
        </m:sSub>
      </m:oMath>
      <w:r>
        <w:rPr>
          <w:rFonts w:cs="Times New Roman"/>
        </w:rPr>
        <w:t>、最小间距</w:t>
      </w:r>
      <m:oMath>
        <m:sSub>
          <m:sSubPr>
            <m:ctrlPr>
              <w:rPr>
                <w:rFonts w:ascii="Cambria Math" w:hAnsi="Cambria Math" w:cs="Times New Roman"/>
              </w:rPr>
            </m:ctrlPr>
          </m:sSubPr>
          <m:e>
            <m:r>
              <m:rPr/>
              <w:rPr>
                <w:rFonts w:ascii="Cambria Math" w:hAnsi="Cambria Math" w:cs="Times New Roman"/>
              </w:rPr>
              <m:t>s</m:t>
            </m:r>
            <m:ctrlPr>
              <w:rPr>
                <w:rFonts w:ascii="Cambria Math" w:hAnsi="Cambria Math" w:cs="Times New Roman"/>
              </w:rPr>
            </m:ctrlPr>
          </m:e>
          <m:sub>
            <m:r>
              <m:rPr>
                <m:sty m:val="p"/>
              </m:rPr>
              <w:rPr>
                <w:rFonts w:ascii="Cambria Math" w:hAnsi="Cambria Math" w:cs="Times New Roman"/>
              </w:rPr>
              <m:t>min</m:t>
            </m:r>
            <m:ctrlPr>
              <w:rPr>
                <w:rFonts w:ascii="Cambria Math" w:hAnsi="Cambria Math" w:cs="Times New Roman"/>
              </w:rPr>
            </m:ctrlPr>
          </m:sub>
        </m:sSub>
      </m:oMath>
      <w:r>
        <w:rPr>
          <w:rFonts w:cs="Times New Roman"/>
        </w:rPr>
        <w:t>、混凝土基材最小厚度</w:t>
      </w:r>
      <m:oMath>
        <m:sSub>
          <m:sSubPr>
            <m:ctrlPr>
              <w:rPr>
                <w:rFonts w:ascii="Cambria Math" w:hAnsi="Cambria Math" w:cs="Times New Roman"/>
              </w:rPr>
            </m:ctrlPr>
          </m:sSubPr>
          <m:e>
            <m:r>
              <m:rPr/>
              <w:rPr>
                <w:rFonts w:ascii="Cambria Math" w:hAnsi="Cambria Math" w:cs="Times New Roman"/>
              </w:rPr>
              <m:t>ℎ</m:t>
            </m:r>
            <m:ctrlPr>
              <w:rPr>
                <w:rFonts w:ascii="Cambria Math" w:hAnsi="Cambria Math" w:cs="Times New Roman"/>
              </w:rPr>
            </m:ctrlPr>
          </m:e>
          <m:sub>
            <m:r>
              <m:rPr>
                <m:sty m:val="p"/>
              </m:rPr>
              <w:rPr>
                <w:rFonts w:ascii="Cambria Math" w:hAnsi="Cambria Math" w:cs="Times New Roman"/>
              </w:rPr>
              <m:t>min</m:t>
            </m:r>
            <m:ctrlPr>
              <w:rPr>
                <w:rFonts w:ascii="Cambria Math" w:hAnsi="Cambria Math" w:cs="Times New Roman"/>
              </w:rPr>
            </m:ctrlPr>
          </m:sub>
        </m:sSub>
      </m:oMath>
      <w:r>
        <w:rPr>
          <w:rFonts w:cs="Times New Roman"/>
        </w:rPr>
        <w:t>和最小配筋等要求，避免安装过程中的混凝土劈裂破坏。</w:t>
      </w:r>
    </w:p>
    <w:p>
      <w:pPr>
        <w:pStyle w:val="188"/>
        <w:ind w:firstLine="482"/>
        <w:rPr>
          <w:rFonts w:cs="Times New Roman"/>
        </w:rPr>
      </w:pPr>
      <w:r>
        <w:rPr>
          <w:rFonts w:cs="Times New Roman"/>
          <w:b/>
        </w:rPr>
        <w:t>2</w:t>
      </w:r>
      <w:r>
        <w:rPr>
          <w:rFonts w:cs="Times New Roman"/>
        </w:rPr>
        <w:t>为避免荷载条件下的劈裂破坏，设计应满足下列条件之一：</w:t>
      </w:r>
    </w:p>
    <w:p>
      <w:pPr>
        <w:pStyle w:val="188"/>
        <w:ind w:firstLine="480"/>
        <w:rPr>
          <w:rFonts w:cs="Times New Roman"/>
        </w:rPr>
      </w:pPr>
      <w:r>
        <w:rPr>
          <w:rFonts w:cs="Times New Roman"/>
        </w:rPr>
        <w:t>1</w:t>
      </w:r>
      <w:r>
        <w:rPr>
          <w:rFonts w:hint="eastAsia" w:cs="Times New Roman"/>
          <w:lang w:eastAsia="zh-CN"/>
        </w:rPr>
        <w:t>）</w:t>
      </w:r>
      <w:r>
        <w:rPr>
          <w:rFonts w:cs="Times New Roman"/>
        </w:rPr>
        <w:t>任何方向的边距</w:t>
      </w:r>
      <m:oMath>
        <m:r>
          <m:rPr>
            <m:sty m:val="p"/>
          </m:rPr>
          <w:rPr>
            <w:rFonts w:ascii="Cambria Math" w:hAnsi="Cambria Math" w:cs="Times New Roman"/>
          </w:rPr>
          <m:t>c≥1.2</m:t>
        </m:r>
        <m:sSub>
          <m:sSubPr>
            <m:ctrlPr>
              <w:rPr>
                <w:rFonts w:ascii="Cambria Math" w:hAnsi="Cambria Math" w:cs="Times New Roman"/>
              </w:rPr>
            </m:ctrlPr>
          </m:sSubPr>
          <m:e>
            <m:r>
              <m:rPr/>
              <w:rPr>
                <w:rFonts w:ascii="Cambria Math" w:hAnsi="Cambria Math" w:cs="Times New Roman"/>
              </w:rPr>
              <m:t>c</m:t>
            </m:r>
            <m:ctrlPr>
              <w:rPr>
                <w:rFonts w:ascii="Cambria Math" w:hAnsi="Cambria Math" w:cs="Times New Roman"/>
              </w:rPr>
            </m:ctrlPr>
          </m:e>
          <m:sub>
            <m:r>
              <m:rPr>
                <m:sty m:val="p"/>
              </m:rPr>
              <w:rPr>
                <w:rFonts w:ascii="Cambria Math" w:hAnsi="Cambria Math" w:cs="Times New Roman"/>
              </w:rPr>
              <m:t>cr，sp</m:t>
            </m:r>
            <m:ctrlPr>
              <w:rPr>
                <w:rFonts w:ascii="Cambria Math" w:hAnsi="Cambria Math" w:cs="Times New Roman"/>
              </w:rPr>
            </m:ctrlPr>
          </m:sub>
        </m:sSub>
      </m:oMath>
      <w:r>
        <w:rPr>
          <w:rFonts w:cs="Times New Roman"/>
        </w:rPr>
        <w:t>，且基材厚度</w:t>
      </w:r>
      <m:oMath>
        <m:r>
          <m:rPr>
            <m:sty m:val="p"/>
          </m:rPr>
          <w:rPr>
            <w:rFonts w:ascii="Cambria Math" w:hAnsi="Cambria Math" w:cs="Times New Roman"/>
          </w:rPr>
          <m:t>h≥</m:t>
        </m:r>
        <m:sSub>
          <m:sSubPr>
            <m:ctrlPr>
              <w:rPr>
                <w:rFonts w:ascii="Cambria Math" w:hAnsi="Cambria Math" w:cs="Times New Roman"/>
              </w:rPr>
            </m:ctrlPr>
          </m:sSubPr>
          <m:e>
            <m:r>
              <m:rPr/>
              <w:rPr>
                <w:rFonts w:ascii="Cambria Math" w:hAnsi="Cambria Math" w:cs="Times New Roman"/>
              </w:rPr>
              <m:t>ℎ</m:t>
            </m:r>
            <m:ctrlPr>
              <w:rPr>
                <w:rFonts w:ascii="Cambria Math" w:hAnsi="Cambria Math" w:cs="Times New Roman"/>
              </w:rPr>
            </m:ctrlPr>
          </m:e>
          <m:sub>
            <m:r>
              <m:rPr>
                <m:sty m:val="p"/>
              </m:rPr>
              <w:rPr>
                <w:rFonts w:ascii="Cambria Math" w:hAnsi="Cambria Math" w:cs="Times New Roman"/>
              </w:rPr>
              <m:t>min</m:t>
            </m:r>
            <m:ctrlPr>
              <w:rPr>
                <w:rFonts w:ascii="Cambria Math" w:hAnsi="Cambria Math" w:cs="Times New Roman"/>
              </w:rPr>
            </m:ctrlPr>
          </m:sub>
        </m:sSub>
      </m:oMath>
      <w:r>
        <w:rPr>
          <w:rFonts w:cs="Times New Roman"/>
        </w:rPr>
        <w:t>。</w:t>
      </w:r>
      <m:oMath>
        <m:sSub>
          <m:sSubPr>
            <m:ctrlPr>
              <w:rPr>
                <w:rFonts w:ascii="Cambria Math" w:hAnsi="Cambria Math" w:cs="Times New Roman"/>
              </w:rPr>
            </m:ctrlPr>
          </m:sSubPr>
          <m:e>
            <m:r>
              <m:rPr/>
              <w:rPr>
                <w:rFonts w:ascii="Cambria Math" w:hAnsi="Cambria Math" w:cs="Times New Roman"/>
              </w:rPr>
              <m:t>c</m:t>
            </m:r>
            <m:ctrlPr>
              <w:rPr>
                <w:rFonts w:ascii="Cambria Math" w:hAnsi="Cambria Math" w:cs="Times New Roman"/>
              </w:rPr>
            </m:ctrlPr>
          </m:e>
          <m:sub>
            <m:r>
              <m:rPr>
                <m:sty m:val="p"/>
              </m:rPr>
              <w:rPr>
                <w:rFonts w:ascii="Cambria Math" w:hAnsi="Cambria Math" w:cs="Times New Roman"/>
              </w:rPr>
              <m:t>cr，sp</m:t>
            </m:r>
            <m:ctrlPr>
              <w:rPr>
                <w:rFonts w:ascii="Cambria Math" w:hAnsi="Cambria Math" w:cs="Times New Roman"/>
              </w:rPr>
            </m:ctrlPr>
          </m:sub>
        </m:sSub>
      </m:oMath>
      <w:r>
        <w:rPr>
          <w:rFonts w:cs="Times New Roman"/>
        </w:rPr>
        <w:t>为劈裂破坏临界边距，按产品认证报告或测试报告取值，无报告时取3倍有效埋深(</w:t>
      </w:r>
      <m:oMath>
        <m:sSub>
          <m:sSubPr>
            <m:ctrlPr>
              <w:rPr>
                <w:rFonts w:ascii="Cambria Math" w:hAnsi="Cambria Math" w:cs="Times New Roman"/>
              </w:rPr>
            </m:ctrlPr>
          </m:sSubPr>
          <m:e>
            <m:r>
              <m:rPr/>
              <w:rPr>
                <w:rFonts w:ascii="Cambria Math" w:hAnsi="Cambria Math" w:cs="Times New Roman"/>
              </w:rPr>
              <m:t>c</m:t>
            </m:r>
            <m:ctrlPr>
              <w:rPr>
                <w:rFonts w:ascii="Cambria Math" w:hAnsi="Cambria Math" w:cs="Times New Roman"/>
              </w:rPr>
            </m:ctrlPr>
          </m:e>
          <m:sub>
            <m:r>
              <m:rPr>
                <m:sty m:val="p"/>
              </m:rPr>
              <w:rPr>
                <w:rFonts w:ascii="Cambria Math" w:hAnsi="Cambria Math" w:cs="Times New Roman"/>
              </w:rPr>
              <m:t>cr，sp</m:t>
            </m:r>
            <m:ctrlPr>
              <w:rPr>
                <w:rFonts w:ascii="Cambria Math" w:hAnsi="Cambria Math" w:cs="Times New Roman"/>
              </w:rPr>
            </m:ctrlPr>
          </m:sub>
        </m:sSub>
        <m:r>
          <m:rPr/>
          <w:rPr>
            <w:rFonts w:ascii="Cambria Math" w:hAnsi="Cambria Math" w:cs="Times New Roman"/>
          </w:rPr>
          <m:t>=3</m:t>
        </m:r>
        <m:sSub>
          <m:sSubPr>
            <m:ctrlPr>
              <w:rPr>
                <w:rFonts w:ascii="Cambria Math" w:hAnsi="Cambria Math" w:cs="Times New Roman"/>
              </w:rPr>
            </m:ctrlPr>
          </m:sSubPr>
          <m:e>
            <m:r>
              <m:rPr/>
              <w:rPr>
                <w:rFonts w:ascii="Cambria Math" w:hAnsi="Cambria Math" w:cs="Times New Roman"/>
              </w:rPr>
              <m:t>ℎ</m:t>
            </m:r>
            <m:ctrlPr>
              <w:rPr>
                <w:rFonts w:ascii="Cambria Math" w:hAnsi="Cambria Math" w:cs="Times New Roman"/>
              </w:rPr>
            </m:ctrlPr>
          </m:e>
          <m:sub>
            <m:r>
              <m:rPr>
                <m:sty m:val="p"/>
              </m:rPr>
              <w:rPr>
                <w:rFonts w:ascii="Cambria Math" w:hAnsi="Cambria Math" w:cs="Times New Roman"/>
              </w:rPr>
              <m:t>ef</m:t>
            </m:r>
            <m:ctrlPr>
              <w:rPr>
                <w:rFonts w:ascii="Cambria Math" w:hAnsi="Cambria Math" w:cs="Times New Roman"/>
              </w:rPr>
            </m:ctrlPr>
          </m:sub>
        </m:sSub>
      </m:oMath>
      <w:r>
        <w:rPr>
          <w:rFonts w:cs="Times New Roman"/>
        </w:rPr>
        <w:t>)。</w:t>
      </w:r>
    </w:p>
    <w:p>
      <w:pPr>
        <w:pStyle w:val="188"/>
        <w:ind w:firstLine="480"/>
        <w:rPr>
          <w:rFonts w:cs="Times New Roman"/>
        </w:rPr>
      </w:pPr>
      <w:r>
        <w:rPr>
          <w:rFonts w:cs="Times New Roman"/>
        </w:rPr>
        <w:t>2</w:t>
      </w:r>
      <w:r>
        <w:rPr>
          <w:rFonts w:hint="eastAsia" w:cs="Times New Roman"/>
          <w:lang w:eastAsia="zh-CN"/>
        </w:rPr>
        <w:t>）</w:t>
      </w:r>
      <w:r>
        <w:rPr>
          <w:rFonts w:cs="Times New Roman"/>
        </w:rPr>
        <w:t>计算混凝土受拉锥体破坏时，是按照开裂混凝土计算承载力的，且考虑劈裂力时基材裂缝宽度</w:t>
      </w:r>
      <m:oMath>
        <m:sSub>
          <m:sSubPr>
            <m:ctrlPr>
              <w:rPr>
                <w:rFonts w:ascii="Cambria Math" w:hAnsi="Cambria Math" w:cs="Times New Roman"/>
              </w:rPr>
            </m:ctrlPr>
          </m:sSubPr>
          <m:e>
            <m:r>
              <m:rPr/>
              <w:rPr>
                <w:rFonts w:ascii="Cambria Math" w:hAnsi="Cambria Math" w:cs="Times New Roman"/>
              </w:rPr>
              <m:t>w</m:t>
            </m:r>
            <m:ctrlPr>
              <w:rPr>
                <w:rFonts w:ascii="Cambria Math" w:hAnsi="Cambria Math" w:cs="Times New Roman"/>
              </w:rPr>
            </m:ctrlPr>
          </m:e>
          <m:sub>
            <m:r>
              <m:rPr>
                <m:sty m:val="p"/>
              </m:rPr>
              <w:rPr>
                <w:rFonts w:ascii="Cambria Math" w:hAnsi="Cambria Math" w:cs="Times New Roman"/>
              </w:rPr>
              <m:t>k</m:t>
            </m:r>
            <m:ctrlPr>
              <w:rPr>
                <w:rFonts w:ascii="Cambria Math" w:hAnsi="Cambria Math" w:cs="Times New Roman"/>
              </w:rPr>
            </m:ctrlPr>
          </m:sub>
        </m:sSub>
        <m:r>
          <m:rPr/>
          <w:rPr>
            <w:rFonts w:ascii="Cambria Math" w:hAnsi="Cambria Math" w:cs="Times New Roman"/>
          </w:rPr>
          <m:t>≤0.3mm</m:t>
        </m:r>
      </m:oMath>
      <w:r>
        <w:rPr>
          <w:rFonts w:cs="Times New Roman"/>
        </w:rPr>
        <w:t>，并设置有附加钢筋抵抗劈裂力，该附加钢筋应当在靠近每一个锚筋的地方对称设置，附加钢筋的数量可按下式计算：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s，re</m:t>
                    </m:r>
                    <m:ctrlPr>
                      <w:rPr>
                        <w:rFonts w:ascii="Cambria Math" w:hAnsi="Cambria Math" w:cs="Times New Roman"/>
                        <w:i/>
                      </w:rPr>
                    </m:ctrlPr>
                  </m:sub>
                </m:sSub>
                <m:r>
                  <m:rPr/>
                  <w:rPr>
                    <w:rFonts w:ascii="Cambria Math" w:hAnsi="Cambria Math" w:cs="Times New Roman"/>
                  </w:rPr>
                  <m:t>=0.5·</m:t>
                </m:r>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yk</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w:rPr>
                        <w:rFonts w:ascii="Cambria Math" w:hAnsi="Cambria Math" w:cs="Times New Roman"/>
                      </w:rPr>
                      <m:t>Ms，re</m:t>
                    </m:r>
                    <m:ctrlPr>
                      <w:rPr>
                        <w:rFonts w:ascii="Cambria Math" w:hAnsi="Cambria Math" w:cs="Times New Roman"/>
                        <w:i/>
                      </w:rPr>
                    </m:ctrlPr>
                  </m:sub>
                </m:sSub>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（D.0.18-1）</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s，re</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一个锚筋边上抗劈裂附加钢筋的截面积，该槽式预埋件的每一个锚筋附近均应设置同样数量的附加钢筋；</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槽式预埋件中受拉力最大的锚筋所承受的拉力；</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yk</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附加钢筋的屈服强度标准值；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γ</m:t>
                    </m:r>
                    <m:ctrlPr>
                      <w:rPr>
                        <w:rFonts w:ascii="Cambria Math" w:hAnsi="Cambria Math" w:cs="Times New Roman"/>
                        <w:i/>
                      </w:rPr>
                    </m:ctrlPr>
                  </m:e>
                  <m:sub>
                    <m:r>
                      <m:rPr/>
                      <w:rPr>
                        <w:rFonts w:ascii="Cambria Math" w:hAnsi="Cambria Math" w:cs="Times New Roman"/>
                      </w:rPr>
                      <m:t>Ms，re</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分项系数，可取1.15。</w:t>
            </w:r>
          </w:p>
        </w:tc>
      </w:tr>
    </w:tbl>
    <w:p>
      <w:pPr>
        <w:pStyle w:val="200"/>
      </w:pPr>
      <w:r>
        <w:rPr>
          <w:b/>
        </w:rPr>
        <w:t>3</w:t>
      </w:r>
      <w:r>
        <w:t>不满足上述条件时，混凝土劈裂破坏承载力标准值应按下式计算：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Rk，sp</m:t>
                    </m:r>
                    <m:ctrlPr>
                      <w:rPr>
                        <w:rFonts w:ascii="Cambria Math" w:hAnsi="Cambria Math" w:cs="Times New Roman"/>
                        <w:i/>
                      </w:rPr>
                    </m:ctrlPr>
                  </m:sub>
                </m:sSub>
                <m:r>
                  <m:rPr/>
                  <w:rPr>
                    <w:rFonts w:ascii="Cambria Math" w:hAnsi="Cambria Math" w:cs="Times New Roman"/>
                  </w:rPr>
                  <m:t>=</m:t>
                </m:r>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Rk</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ch，s，N</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ch，c，N</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ch，e，N</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re，N</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h，sp</m:t>
                    </m:r>
                    <m:ctrlPr>
                      <w:rPr>
                        <w:rFonts w:ascii="Cambria Math" w:hAnsi="Cambria Math" w:cs="Times New Roman"/>
                        <w:i/>
                      </w:rPr>
                    </m:ctrlPr>
                  </m:sub>
                </m:sSub>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（D.0.18-2）</w:t>
            </w:r>
          </w:p>
        </w:tc>
      </w:tr>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Rk</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r>
                  <m:rPr/>
                  <w:rPr>
                    <w:rFonts w:ascii="Cambria Math" w:hAnsi="Cambria Math" w:cs="Times New Roman"/>
                  </w:rPr>
                  <m:t>=min</m:t>
                </m:r>
                <m:d>
                  <m:dPr>
                    <m:begChr m:val="{"/>
                    <m:endChr m:val="}"/>
                    <m:ctrlPr>
                      <w:rPr>
                        <w:rFonts w:ascii="Cambria Math" w:hAnsi="Cambria Math" w:cs="Times New Roman"/>
                        <w:i/>
                      </w:rPr>
                    </m:ctrlPr>
                  </m:dPr>
                  <m:e>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Rk，p</m:t>
                        </m:r>
                        <m:ctrlPr>
                          <w:rPr>
                            <w:rFonts w:ascii="Cambria Math" w:hAnsi="Cambria Math" w:cs="Times New Roman"/>
                            <w:i/>
                          </w:rPr>
                        </m:ctrlPr>
                      </m:sub>
                    </m:sSub>
                    <m:r>
                      <m:rPr/>
                      <w:rPr>
                        <w:rFonts w:ascii="Cambria Math" w:hAnsi="Cambria Math" w:cs="Times New Roman"/>
                      </w:rPr>
                      <m:t>;</m:t>
                    </m:r>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Rk，c</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ctrlPr>
                      <w:rPr>
                        <w:rFonts w:ascii="Cambria Math" w:hAnsi="Cambria Math" w:cs="Times New Roman"/>
                        <w:i/>
                      </w:rPr>
                    </m:ctrlPr>
                  </m:e>
                </m:d>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（D.0.18-3）</w:t>
            </w:r>
          </w:p>
        </w:tc>
      </w:tr>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h，sp</m:t>
                    </m:r>
                    <m:ctrlPr>
                      <w:rPr>
                        <w:rFonts w:ascii="Cambria Math" w:hAnsi="Cambria Math" w:cs="Times New Roman"/>
                        <w:i/>
                      </w:rPr>
                    </m:ctrlPr>
                  </m:sub>
                </m:sSub>
                <m:r>
                  <m:rP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m:rPr/>
                              <w:rPr>
                                <w:rFonts w:ascii="Cambria Math" w:hAnsi="Cambria Math" w:cs="Times New Roman"/>
                              </w:rPr>
                              <m:t>ℎ</m:t>
                            </m:r>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m:sty m:val="p"/>
                                  </m:rPr>
                                  <w:rPr>
                                    <w:rFonts w:ascii="Cambria Math" w:hAnsi="Cambria Math" w:cs="Times New Roman"/>
                                  </w:rPr>
                                  <m:t>min</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w:rPr>
                        <w:rFonts w:ascii="Cambria Math" w:hAnsi="Cambria Math" w:cs="Times New Roman"/>
                      </w:rPr>
                      <m:t>2/3</m:t>
                    </m:r>
                    <m:ctrlPr>
                      <w:rPr>
                        <w:rFonts w:ascii="Cambria Math" w:hAnsi="Cambria Math" w:cs="Times New Roman"/>
                        <w:i/>
                      </w:rPr>
                    </m:ctrlPr>
                  </m:sup>
                </m:sSup>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（D.0.18-4）</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Rk，p</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拔出破坏承载力标准值，按D.0.12计算；</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Rk，c</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混凝土受拉锥体破坏力标准值，按D.0.14计算；</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h，sp</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基材厚度影响系数，不应大于</w:t>
            </w:r>
            <m:oMath>
              <m:r>
                <m:rPr>
                  <m:sty m:val="p"/>
                </m:rPr>
                <w:rPr>
                  <w:rFonts w:ascii="Cambria Math" w:hAnsi="Cambria Math"/>
                </w:rPr>
                <m:t>max</m:t>
              </m:r>
              <m:d>
                <m:dPr>
                  <m:begChr m:val="{"/>
                  <m:endChr m:val="}"/>
                  <m:ctrlPr>
                    <w:rPr>
                      <w:rFonts w:ascii="Cambria Math" w:hAnsi="Cambria Math"/>
                    </w:rPr>
                  </m:ctrlPr>
                </m:dPr>
                <m:e>
                  <m:r>
                    <m:rPr/>
                    <w:rPr>
                      <w:rFonts w:ascii="Cambria Math" w:hAnsi="Cambria Math"/>
                    </w:rPr>
                    <m:t>1;</m:t>
                  </m:r>
                  <m:sSup>
                    <m:sSupPr>
                      <m:ctrlPr>
                        <w:rPr>
                          <w:rFonts w:ascii="Cambria Math" w:hAnsi="Cambria Math"/>
                          <w:bCs w:val="0"/>
                          <w:i/>
                          <w:szCs w:val="24"/>
                        </w:rPr>
                      </m:ctrlPr>
                    </m:sSupPr>
                    <m:e>
                      <m:d>
                        <m:dPr>
                          <m:ctrlPr>
                            <w:rPr>
                              <w:rFonts w:ascii="Cambria Math" w:hAnsi="Cambria Math"/>
                              <w:bCs w:val="0"/>
                              <w:i/>
                              <w:szCs w:val="24"/>
                            </w:rPr>
                          </m:ctrlPr>
                        </m:dPr>
                        <m:e>
                          <m:f>
                            <m:fPr>
                              <m:ctrlPr>
                                <w:rPr>
                                  <w:rFonts w:ascii="Cambria Math" w:hAnsi="Cambria Math"/>
                                  <w:bCs w:val="0"/>
                                  <w:i/>
                                  <w:szCs w:val="24"/>
                                </w:rPr>
                              </m:ctrlPr>
                            </m:fPr>
                            <m:num>
                              <m:sSub>
                                <m:sSubPr>
                                  <m:ctrlPr>
                                    <w:rPr>
                                      <w:rFonts w:ascii="Cambria Math" w:hAnsi="Cambria Math"/>
                                      <w:i/>
                                    </w:rPr>
                                  </m:ctrlPr>
                                </m:sSubPr>
                                <m:e>
                                  <m:r>
                                    <m:rPr/>
                                    <w:rPr>
                                      <w:rFonts w:ascii="Cambria Math" w:hAnsi="Cambria Math"/>
                                    </w:rPr>
                                    <m:t>ℎ</m:t>
                                  </m:r>
                                  <m:ctrlPr>
                                    <w:rPr>
                                      <w:rFonts w:ascii="Cambria Math" w:hAnsi="Cambria Math"/>
                                      <w:i/>
                                    </w:rPr>
                                  </m:ctrlPr>
                                </m:e>
                                <m:sub>
                                  <m:r>
                                    <m:rPr>
                                      <m:sty m:val="p"/>
                                    </m:rPr>
                                    <w:rPr>
                                      <w:rFonts w:ascii="Cambria Math" w:hAnsi="Cambria Math"/>
                                    </w:rPr>
                                    <m:t>ef</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m:sty m:val="p"/>
                                    </m:rPr>
                                    <w:rPr>
                                      <w:rFonts w:ascii="Cambria Math" w:hAnsi="Cambria Math"/>
                                    </w:rPr>
                                    <m:t>cr，N</m:t>
                                  </m:r>
                                  <m:ctrlPr>
                                    <w:rPr>
                                      <w:rFonts w:ascii="Cambria Math" w:hAnsi="Cambria Math"/>
                                      <w:i/>
                                    </w:rPr>
                                  </m:ctrlPr>
                                </m:sub>
                              </m:sSub>
                              <m:ctrlPr>
                                <w:rPr>
                                  <w:rFonts w:ascii="Cambria Math" w:hAnsi="Cambria Math"/>
                                  <w:bCs w:val="0"/>
                                  <w:i/>
                                  <w:szCs w:val="24"/>
                                </w:rPr>
                              </m:ctrlPr>
                            </m:num>
                            <m:den>
                              <m:sSub>
                                <m:sSubPr>
                                  <m:ctrlPr>
                                    <w:rPr>
                                      <w:rFonts w:ascii="Cambria Math" w:hAnsi="Cambria Math"/>
                                      <w:i/>
                                    </w:rPr>
                                  </m:ctrlPr>
                                </m:sSubPr>
                                <m:e>
                                  <m:r>
                                    <m:rPr/>
                                    <w:rPr>
                                      <w:rFonts w:ascii="Cambria Math" w:hAnsi="Cambria Math"/>
                                    </w:rPr>
                                    <m:t>ℎ</m:t>
                                  </m:r>
                                  <m:ctrlPr>
                                    <w:rPr>
                                      <w:rFonts w:ascii="Cambria Math" w:hAnsi="Cambria Math"/>
                                      <w:i/>
                                    </w:rPr>
                                  </m:ctrlPr>
                                </m:e>
                                <m:sub>
                                  <m:r>
                                    <m:rPr>
                                      <m:sty m:val="p"/>
                                    </m:rPr>
                                    <w:rPr>
                                      <w:rFonts w:ascii="Cambria Math" w:hAnsi="Cambria Math"/>
                                    </w:rPr>
                                    <m:t>min</m:t>
                                  </m:r>
                                  <m:ctrlPr>
                                    <w:rPr>
                                      <w:rFonts w:ascii="Cambria Math" w:hAnsi="Cambria Math"/>
                                      <w:i/>
                                    </w:rPr>
                                  </m:ctrlPr>
                                </m:sub>
                              </m:sSub>
                              <m:ctrlPr>
                                <w:rPr>
                                  <w:rFonts w:ascii="Cambria Math" w:hAnsi="Cambria Math"/>
                                  <w:bCs w:val="0"/>
                                  <w:i/>
                                  <w:szCs w:val="24"/>
                                </w:rPr>
                              </m:ctrlPr>
                            </m:den>
                          </m:f>
                          <m:ctrlPr>
                            <w:rPr>
                              <w:rFonts w:ascii="Cambria Math" w:hAnsi="Cambria Math"/>
                              <w:bCs w:val="0"/>
                              <w:i/>
                              <w:szCs w:val="24"/>
                            </w:rPr>
                          </m:ctrlPr>
                        </m:e>
                      </m:d>
                      <m:ctrlPr>
                        <w:rPr>
                          <w:rFonts w:ascii="Cambria Math" w:hAnsi="Cambria Math"/>
                          <w:bCs w:val="0"/>
                          <w:i/>
                          <w:szCs w:val="24"/>
                        </w:rPr>
                      </m:ctrlPr>
                    </m:e>
                    <m:sup>
                      <m:r>
                        <m:rPr/>
                        <w:rPr>
                          <w:rFonts w:ascii="Cambria Math" w:hAnsi="Cambria Math"/>
                        </w:rPr>
                        <m:t>2/3</m:t>
                      </m:r>
                      <m:ctrlPr>
                        <w:rPr>
                          <w:rFonts w:ascii="Cambria Math" w:hAnsi="Cambria Math"/>
                          <w:bCs w:val="0"/>
                          <w:i/>
                          <w:szCs w:val="24"/>
                        </w:rPr>
                      </m:ctrlPr>
                    </m:sup>
                  </m:sSup>
                  <m:ctrlPr>
                    <w:rPr>
                      <w:rFonts w:ascii="Cambria Math" w:hAnsi="Cambria Math"/>
                    </w:rPr>
                  </m:ctrlPr>
                </m:e>
              </m:d>
            </m:oMath>
            <w:r>
              <w:t>，且不大于2.0；</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ℎ</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混凝土基材厚度；</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m:sty m:val="p"/>
                      </m:rPr>
                      <w:rPr>
                        <w:rFonts w:ascii="Cambria Math" w:hAnsi="Cambria Math" w:cs="Times New Roman"/>
                      </w:rPr>
                      <m:t>min</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混凝土基材最小厚度，本条验算取</w:t>
            </w:r>
            <m:oMath>
              <m:sSub>
                <m:sSubPr>
                  <m:ctrlPr>
                    <w:rPr>
                      <w:rFonts w:ascii="Cambria Math" w:hAnsi="Cambria Math"/>
                      <w:i/>
                    </w:rPr>
                  </m:ctrlPr>
                </m:sSubPr>
                <m:e>
                  <m:r>
                    <m:rPr/>
                    <w:rPr>
                      <w:rFonts w:ascii="Cambria Math" w:hAnsi="Cambria Math"/>
                    </w:rPr>
                    <m:t>ℎ</m:t>
                  </m:r>
                  <m:ctrlPr>
                    <w:rPr>
                      <w:rFonts w:ascii="Cambria Math" w:hAnsi="Cambria Math"/>
                      <w:i/>
                    </w:rPr>
                  </m:ctrlPr>
                </m:e>
                <m:sub>
                  <m:r>
                    <m:rPr>
                      <m:sty m:val="p"/>
                    </m:rPr>
                    <w:rPr>
                      <w:rFonts w:ascii="Cambria Math" w:hAnsi="Cambria Math"/>
                    </w:rPr>
                    <m:t>min</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m:sty m:val="p"/>
                    </m:rPr>
                    <w:rPr>
                      <w:rFonts w:ascii="Cambria Math" w:hAnsi="Cambria Math"/>
                    </w:rPr>
                    <m:t>ef</m:t>
                  </m:r>
                  <m:ctrlPr>
                    <w:rPr>
                      <w:rFonts w:ascii="Cambria Math" w:hAnsi="Cambria Math"/>
                      <w:i/>
                    </w:rPr>
                  </m:ctrlPr>
                </m:sub>
              </m:sSub>
              <m:r>
                <m:rPr/>
                <w:rPr>
                  <w:rFonts w:ascii="Cambria Math" w:hAnsi="Cambria Math"/>
                </w:rPr>
                <m:t>+30mm</m:t>
              </m:r>
            </m:oMath>
            <w:r>
              <w:t>或相关认证、测试报告中的</w:t>
            </w:r>
            <m:oMath>
              <m:sSub>
                <m:sSubPr>
                  <m:ctrlPr>
                    <w:rPr>
                      <w:rFonts w:ascii="Cambria Math" w:hAnsi="Cambria Math"/>
                      <w:i/>
                    </w:rPr>
                  </m:ctrlPr>
                </m:sSubPr>
                <m:e>
                  <m:r>
                    <m:rPr/>
                    <w:rPr>
                      <w:rFonts w:ascii="Cambria Math" w:hAnsi="Cambria Math"/>
                    </w:rPr>
                    <m:t>ℎ</m:t>
                  </m:r>
                  <m:ctrlPr>
                    <w:rPr>
                      <w:rFonts w:ascii="Cambria Math" w:hAnsi="Cambria Math"/>
                      <w:i/>
                    </w:rPr>
                  </m:ctrlPr>
                </m:e>
                <m:sub>
                  <m:r>
                    <m:rPr>
                      <m:sty m:val="p"/>
                    </m:rPr>
                    <w:rPr>
                      <w:rFonts w:ascii="Cambria Math" w:hAnsi="Cambria Math"/>
                    </w:rPr>
                    <m:t>min</m:t>
                  </m:r>
                  <m:ctrlPr>
                    <w:rPr>
                      <w:rFonts w:ascii="Cambria Math" w:hAnsi="Cambria Math"/>
                      <w:i/>
                    </w:rPr>
                  </m:ctrlPr>
                </m:sub>
              </m:sSub>
            </m:oMath>
            <w:r>
              <w:t>值。</w:t>
            </w:r>
          </w:p>
        </w:tc>
      </w:tr>
    </w:tbl>
    <w:p>
      <w:pPr>
        <w:pStyle w:val="188"/>
        <w:ind w:firstLine="480"/>
        <w:rPr>
          <w:rFonts w:cs="Times New Roman"/>
        </w:rPr>
      </w:pPr>
      <w:r>
        <w:rPr>
          <w:rFonts w:cs="Times New Roman"/>
        </w:rPr>
        <w:t>另外，</w:t>
      </w: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ch，s，N</m:t>
            </m:r>
            <m:ctrlPr>
              <w:rPr>
                <w:rFonts w:ascii="Cambria Math" w:hAnsi="Cambria Math" w:cs="Times New Roman"/>
                <w:i/>
              </w:rPr>
            </m:ctrlPr>
          </m:sub>
        </m:sSub>
      </m:oMath>
      <w:r>
        <w:rPr>
          <w:rFonts w:cs="Times New Roman"/>
        </w:rPr>
        <w:t>、</w:t>
      </w: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ch，c，N</m:t>
            </m:r>
            <m:ctrlPr>
              <w:rPr>
                <w:rFonts w:ascii="Cambria Math" w:hAnsi="Cambria Math" w:cs="Times New Roman"/>
                <w:i/>
              </w:rPr>
            </m:ctrlPr>
          </m:sub>
        </m:sSub>
      </m:oMath>
      <w:r>
        <w:rPr>
          <w:rFonts w:cs="Times New Roman"/>
        </w:rPr>
        <w:t>、</w:t>
      </w: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ch，e，N</m:t>
            </m:r>
            <m:ctrlPr>
              <w:rPr>
                <w:rFonts w:ascii="Cambria Math" w:hAnsi="Cambria Math" w:cs="Times New Roman"/>
                <w:i/>
              </w:rPr>
            </m:ctrlPr>
          </m:sub>
        </m:sSub>
      </m:oMath>
      <w:r>
        <w:rPr>
          <w:rFonts w:cs="Times New Roman"/>
        </w:rPr>
        <w:t>、</w:t>
      </w: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re，N</m:t>
            </m:r>
            <m:ctrlPr>
              <w:rPr>
                <w:rFonts w:ascii="Cambria Math" w:hAnsi="Cambria Math" w:cs="Times New Roman"/>
                <w:i/>
              </w:rPr>
            </m:ctrlPr>
          </m:sub>
        </m:sSub>
      </m:oMath>
      <w:r>
        <w:rPr>
          <w:rFonts w:cs="Times New Roman"/>
        </w:rPr>
        <w:t>均按照D.0.13的相关公式计算，式中的临界边距</w:t>
      </w: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cr，N</m:t>
            </m:r>
            <m:ctrlPr>
              <w:rPr>
                <w:rFonts w:ascii="Cambria Math" w:hAnsi="Cambria Math" w:cs="Times New Roman"/>
                <w:i/>
              </w:rPr>
            </m:ctrlPr>
          </m:sub>
        </m:sSub>
      </m:oMath>
      <w:r>
        <w:rPr>
          <w:rFonts w:cs="Times New Roman"/>
        </w:rPr>
        <w:t>和临界间距</w:t>
      </w:r>
      <m:oMath>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m:sty m:val="p"/>
              </m:rPr>
              <w:rPr>
                <w:rFonts w:ascii="Cambria Math" w:hAnsi="Cambria Math" w:cs="Times New Roman"/>
              </w:rPr>
              <m:t>cr，N</m:t>
            </m:r>
            <m:ctrlPr>
              <w:rPr>
                <w:rFonts w:ascii="Cambria Math" w:hAnsi="Cambria Math" w:cs="Times New Roman"/>
                <w:i/>
              </w:rPr>
            </m:ctrlPr>
          </m:sub>
        </m:sSub>
      </m:oMath>
      <w:r>
        <w:rPr>
          <w:rFonts w:cs="Times New Roman"/>
        </w:rPr>
        <w:t>，应分别用</w:t>
      </w: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cr，sp</m:t>
            </m:r>
            <m:ctrlPr>
              <w:rPr>
                <w:rFonts w:ascii="Cambria Math" w:hAnsi="Cambria Math" w:cs="Times New Roman"/>
                <w:i/>
              </w:rPr>
            </m:ctrlPr>
          </m:sub>
        </m:sSub>
      </m:oMath>
      <w:r>
        <w:rPr>
          <w:rFonts w:cs="Times New Roman"/>
        </w:rPr>
        <w:t>和</w:t>
      </w:r>
      <m:oMath>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m:sty m:val="p"/>
              </m:rPr>
              <w:rPr>
                <w:rFonts w:ascii="Cambria Math" w:hAnsi="Cambria Math" w:cs="Times New Roman"/>
              </w:rPr>
              <m:t>cr，sp</m:t>
            </m:r>
            <m:ctrlPr>
              <w:rPr>
                <w:rFonts w:ascii="Cambria Math" w:hAnsi="Cambria Math" w:cs="Times New Roman"/>
                <w:i/>
              </w:rPr>
            </m:ctrlPr>
          </m:sub>
        </m:sSub>
      </m:oMath>
      <w:r>
        <w:rPr>
          <w:rFonts w:cs="Times New Roman"/>
        </w:rPr>
        <w:t>替代，其中劈裂破坏临界间距</w:t>
      </w:r>
      <m:oMath>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m:sty m:val="p"/>
              </m:rPr>
              <w:rPr>
                <w:rFonts w:ascii="Cambria Math" w:hAnsi="Cambria Math" w:cs="Times New Roman"/>
              </w:rPr>
              <m:t>cr，sp</m:t>
            </m:r>
            <m:ctrlPr>
              <w:rPr>
                <w:rFonts w:ascii="Cambria Math" w:hAnsi="Cambria Math" w:cs="Times New Roman"/>
                <w:i/>
              </w:rPr>
            </m:ctrlPr>
          </m:sub>
        </m:sSub>
        <m:r>
          <m:rPr/>
          <w:rPr>
            <w:rFonts w:ascii="Cambria Math" w:hAnsi="Cambria Math" w:cs="Times New Roman"/>
          </w:rPr>
          <m:t>=2</m:t>
        </m:r>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cr，sp</m:t>
            </m:r>
            <m:ctrlPr>
              <w:rPr>
                <w:rFonts w:ascii="Cambria Math" w:hAnsi="Cambria Math" w:cs="Times New Roman"/>
                <w:i/>
              </w:rPr>
            </m:ctrlPr>
          </m:sub>
        </m:sSub>
      </m:oMath>
      <w:r>
        <w:rPr>
          <w:rFonts w:cs="Times New Roman"/>
        </w:rPr>
        <w:t>。</w:t>
      </w:r>
    </w:p>
    <w:p>
      <w:pPr>
        <w:pStyle w:val="200"/>
      </w:pPr>
      <w:r>
        <w:rPr>
          <w:b/>
        </w:rPr>
        <w:t>D.0.19</w:t>
      </w:r>
      <w:r>
        <w:t>混凝土受拉边缘剥落破坏验算：</w:t>
      </w:r>
    </w:p>
    <w:p>
      <w:pPr>
        <w:pStyle w:val="188"/>
        <w:ind w:firstLine="482"/>
        <w:rPr>
          <w:rFonts w:cs="Times New Roman"/>
        </w:rPr>
      </w:pPr>
      <w:r>
        <w:rPr>
          <w:rFonts w:cs="Times New Roman"/>
          <w:b/>
          <w:bCs w:val="0"/>
        </w:rPr>
        <w:t>1</w:t>
      </w:r>
      <w:r>
        <w:rPr>
          <w:rFonts w:cs="Times New Roman"/>
        </w:rPr>
        <w:t xml:space="preserve"> 槽式预埋件任一锚筋的任一边距不小于</w:t>
      </w:r>
      <m:oMath>
        <m:r>
          <m:rPr>
            <m:sty m:val="p"/>
          </m:rPr>
          <w:rPr>
            <w:rFonts w:ascii="Cambria Math" w:hAnsi="Cambria Math" w:cs="Times New Roman"/>
          </w:rPr>
          <m:t>0.5</m:t>
        </m:r>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m:sty m:val="p"/>
              </m:rPr>
              <w:rPr>
                <w:rFonts w:ascii="Cambria Math" w:hAnsi="Cambria Math" w:cs="Times New Roman"/>
              </w:rPr>
              <m:t>ef</m:t>
            </m:r>
            <m:ctrlPr>
              <w:rPr>
                <w:rFonts w:ascii="Cambria Math" w:hAnsi="Cambria Math" w:cs="Times New Roman"/>
                <w:i/>
              </w:rPr>
            </m:ctrlPr>
          </m:sub>
        </m:sSub>
      </m:oMath>
      <w:r>
        <w:rPr>
          <w:rFonts w:cs="Times New Roman"/>
        </w:rPr>
        <w:t>时，该破坏模式无需验算。</w:t>
      </w:r>
    </w:p>
    <w:p>
      <w:pPr>
        <w:pStyle w:val="188"/>
        <w:ind w:firstLine="482"/>
        <w:rPr>
          <w:rFonts w:cs="Times New Roman"/>
        </w:rPr>
      </w:pPr>
      <w:r>
        <w:rPr>
          <w:rFonts w:cs="Times New Roman"/>
          <w:b/>
          <w:bCs w:val="0"/>
        </w:rPr>
        <w:t>2</w:t>
      </w:r>
      <w:r>
        <w:rPr>
          <w:rFonts w:cs="Times New Roman"/>
        </w:rPr>
        <w:t xml:space="preserve"> 不满足上款要求时应作混凝土受拉边缘剥落破坏验算。混凝土受拉边缘剥落破坏承载力标准值</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Rk，cb</m:t>
            </m:r>
            <m:ctrlPr>
              <w:rPr>
                <w:rFonts w:ascii="Cambria Math" w:hAnsi="Cambria Math" w:cs="Times New Roman"/>
                <w:i/>
              </w:rPr>
            </m:ctrlPr>
          </m:sub>
        </m:sSub>
      </m:oMath>
      <w:r>
        <w:rPr>
          <w:rFonts w:cs="Times New Roman"/>
        </w:rPr>
        <w:t>，可按下式计算</w:t>
      </w:r>
      <w:r>
        <w:rPr>
          <w:rFonts w:hint="eastAsia" w:cs="Times New Roman"/>
          <w:lang w:eastAsia="zh-CN"/>
        </w:rPr>
        <w:t>（</w:t>
      </w:r>
      <w:r>
        <w:rPr>
          <w:rFonts w:cs="Times New Roman"/>
        </w:rPr>
        <w:t>当槽体垂直于混凝土基材边缘时，只需验算最靠近边缘的单个锚筋</w:t>
      </w:r>
      <w:r>
        <w:rPr>
          <w:rFonts w:hint="eastAsia" w:cs="Times New Roman"/>
          <w:lang w:eastAsia="zh-CN"/>
        </w:rPr>
        <w:t>）</w:t>
      </w:r>
      <w:r>
        <w:rPr>
          <w:rFonts w:cs="Times New Roman"/>
        </w:rPr>
        <w:t>：</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Rk，cb</m:t>
                    </m:r>
                    <m:ctrlPr>
                      <w:rPr>
                        <w:rFonts w:ascii="Cambria Math" w:hAnsi="Cambria Math" w:cs="Times New Roman"/>
                        <w:i/>
                      </w:rPr>
                    </m:ctrlPr>
                  </m:sub>
                </m:sSub>
                <m:r>
                  <m:rPr/>
                  <w:rPr>
                    <w:rFonts w:ascii="Cambria Math" w:hAnsi="Cambria Math" w:cs="Times New Roman"/>
                  </w:rPr>
                  <m:t>=</m:t>
                </m:r>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Rk，cb</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ch，s，Nb</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ch，c，Nb</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ch，h，Nb</m:t>
                    </m:r>
                    <m:ctrlPr>
                      <w:rPr>
                        <w:rFonts w:ascii="Cambria Math" w:hAnsi="Cambria Math" w:cs="Times New Roman"/>
                        <w:i/>
                      </w:rPr>
                    </m:ctrlPr>
                  </m:sub>
                </m:sSub>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（D.0.19-1）</w:t>
            </w:r>
          </w:p>
        </w:tc>
      </w:tr>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Rk，cb</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m:sty m:val="p"/>
                      </m:rPr>
                      <w:rPr>
                        <w:rFonts w:ascii="Cambria Math" w:hAnsi="Cambria Math" w:cs="Times New Roman"/>
                      </w:rPr>
                      <m:t>5</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m:t>
                </m:r>
                <m:rad>
                  <m:radPr>
                    <m:degHide m:val="1"/>
                    <m:ctrlPr>
                      <w:rPr>
                        <w:rFonts w:ascii="Cambria Math" w:hAnsi="Cambria Math" w:cs="Times New Roman"/>
                        <w:i/>
                      </w:rPr>
                    </m:ctrlPr>
                  </m:radPr>
                  <m:deg>
                    <m:ctrlPr>
                      <w:rPr>
                        <w:rFonts w:ascii="Cambria Math" w:hAnsi="Cambria Math" w:cs="Times New Roman"/>
                        <w:i/>
                      </w:rPr>
                    </m:ctrlPr>
                  </m:deg>
                  <m:e>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cu，k</m:t>
                        </m:r>
                        <m:ctrlPr>
                          <w:rPr>
                            <w:rFonts w:ascii="Cambria Math" w:hAnsi="Cambria Math" w:cs="Times New Roman"/>
                            <w:i/>
                          </w:rPr>
                        </m:ctrlPr>
                      </m:sub>
                    </m:sSub>
                    <m:ctrlPr>
                      <w:rPr>
                        <w:rFonts w:ascii="Cambria Math" w:hAnsi="Cambria Math" w:cs="Times New Roman"/>
                        <w:i/>
                      </w:rPr>
                    </m:ctrlPr>
                  </m:e>
                </m:rad>
                <m:r>
                  <m:rPr/>
                  <w:rPr>
                    <w:rFonts w:ascii="Cambria Math" w:hAnsi="Cambria Math" w:cs="Times New Roman"/>
                  </w:rPr>
                  <m:t>·</m:t>
                </m:r>
                <m:rad>
                  <m:radPr>
                    <m:degHide m:val="1"/>
                    <m:ctrlPr>
                      <w:rPr>
                        <w:rFonts w:ascii="Cambria Math" w:hAnsi="Cambria Math" w:cs="Times New Roman"/>
                        <w:i/>
                      </w:rPr>
                    </m:ctrlPr>
                  </m:radPr>
                  <m:deg>
                    <m:ctrlPr>
                      <w:rPr>
                        <w:rFonts w:ascii="Cambria Math" w:hAnsi="Cambria Math" w:cs="Times New Roman"/>
                        <w:i/>
                      </w:rPr>
                    </m:ctrlPr>
                  </m:deg>
                  <m:e>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h</m:t>
                        </m:r>
                        <m:ctrlPr>
                          <w:rPr>
                            <w:rFonts w:ascii="Cambria Math" w:hAnsi="Cambria Math" w:cs="Times New Roman"/>
                            <w:i/>
                          </w:rPr>
                        </m:ctrlPr>
                      </m:sub>
                    </m:sSub>
                    <m:ctrlPr>
                      <w:rPr>
                        <w:rFonts w:ascii="Cambria Math" w:hAnsi="Cambria Math" w:cs="Times New Roman"/>
                        <w:i/>
                      </w:rPr>
                    </m:ctrlPr>
                  </m:e>
                </m:rad>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（D.0.19-2）</w:t>
            </w:r>
          </w:p>
        </w:tc>
      </w:tr>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ch，c，Nb</m:t>
                    </m:r>
                    <m:ctrlPr>
                      <w:rPr>
                        <w:rFonts w:ascii="Cambria Math" w:hAnsi="Cambria Math" w:cs="Times New Roman"/>
                        <w:i/>
                      </w:rPr>
                    </m:ctrlPr>
                  </m:sub>
                </m:sSub>
                <m:r>
                  <m:rP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2</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cr，Nb</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w:rPr>
                        <w:rFonts w:ascii="Cambria Math" w:hAnsi="Cambria Math" w:cs="Times New Roman"/>
                      </w:rPr>
                      <m:t>0.5</m:t>
                    </m:r>
                    <m:ctrlPr>
                      <w:rPr>
                        <w:rFonts w:ascii="Cambria Math" w:hAnsi="Cambria Math" w:cs="Times New Roman"/>
                        <w:i/>
                      </w:rPr>
                    </m:ctrlPr>
                  </m:sup>
                </m:sSup>
                <m:r>
                  <m:rPr/>
                  <w:rPr>
                    <w:rFonts w:ascii="Cambria Math" w:hAnsi="Cambria Math" w:cs="Times New Roman"/>
                  </w:rPr>
                  <m:t>≤1.0</m:t>
                </m:r>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（D.0.19-3）</w:t>
            </w:r>
          </w:p>
        </w:tc>
      </w:tr>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ch，h，Nb</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m:sty m:val="p"/>
                          </m:rPr>
                          <w:rPr>
                            <w:rFonts w:ascii="Cambria Math" w:hAnsi="Cambria Math" w:cs="Times New Roman"/>
                          </w:rPr>
                          <m:t>ef</m:t>
                        </m:r>
                        <m:ctrlPr>
                          <w:rPr>
                            <w:rFonts w:ascii="Cambria Math" w:hAnsi="Cambria Math" w:cs="Times New Roman"/>
                            <w:i/>
                          </w:rPr>
                        </m:ctrlPr>
                      </m:sub>
                    </m:sSub>
                    <m:r>
                      <m:rPr/>
                      <w:rPr>
                        <w:rFonts w:ascii="Cambria Math" w:hAnsi="Cambria Math" w:cs="Times New Roman"/>
                      </w:rPr>
                      <m:t>+f</m:t>
                    </m:r>
                    <m:ctrlPr>
                      <w:rPr>
                        <w:rFonts w:ascii="Cambria Math" w:hAnsi="Cambria Math" w:cs="Times New Roman"/>
                        <w:i/>
                      </w:rPr>
                    </m:ctrlPr>
                  </m:num>
                  <m:den>
                    <m:r>
                      <m:rPr/>
                      <w:rPr>
                        <w:rFonts w:ascii="Cambria Math" w:hAnsi="Cambria Math" w:cs="Times New Roman"/>
                      </w:rPr>
                      <m:t>4</m:t>
                    </m:r>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1</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2</m:t>
                    </m:r>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+f</m:t>
                    </m:r>
                    <m:ctrlPr>
                      <w:rPr>
                        <w:rFonts w:ascii="Cambria Math" w:hAnsi="Cambria Math" w:cs="Times New Roman"/>
                        <w:i/>
                      </w:rPr>
                    </m:ctrlPr>
                  </m:num>
                  <m:den>
                    <m:r>
                      <m:rPr/>
                      <w:rPr>
                        <w:rFonts w:ascii="Cambria Math" w:hAnsi="Cambria Math" w:cs="Times New Roman"/>
                      </w:rPr>
                      <m:t>4</m:t>
                    </m:r>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1</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≤1.0</m:t>
                </m:r>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（D.0.19-4）</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Rk，cb</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单一锚筋的理想混凝土受拉边缘剥落破坏承载力标准值；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ch，s，Nb</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相邻锚筋间距影响系数，按D.0.14条公式计算，式中的</w:t>
            </w:r>
            <m:oMath>
              <m:sSub>
                <m:sSubPr>
                  <m:ctrlPr>
                    <w:rPr>
                      <w:rFonts w:ascii="Cambria Math" w:hAnsi="Cambria Math"/>
                      <w:i/>
                    </w:rPr>
                  </m:ctrlPr>
                </m:sSubPr>
                <m:e>
                  <m:r>
                    <m:rPr/>
                    <w:rPr>
                      <w:rFonts w:ascii="Cambria Math" w:hAnsi="Cambria Math"/>
                    </w:rPr>
                    <m:t>s</m:t>
                  </m:r>
                  <m:ctrlPr>
                    <w:rPr>
                      <w:rFonts w:ascii="Cambria Math" w:hAnsi="Cambria Math"/>
                      <w:i/>
                    </w:rPr>
                  </m:ctrlPr>
                </m:e>
                <m:sub>
                  <m:r>
                    <m:rPr>
                      <m:sty m:val="p"/>
                    </m:rPr>
                    <w:rPr>
                      <w:rFonts w:ascii="Cambria Math" w:hAnsi="Cambria Math"/>
                    </w:rPr>
                    <m:t>cr，N</m:t>
                  </m:r>
                  <m:ctrlPr>
                    <w:rPr>
                      <w:rFonts w:ascii="Cambria Math" w:hAnsi="Cambria Math"/>
                      <w:i/>
                    </w:rPr>
                  </m:ctrlPr>
                </m:sub>
              </m:sSub>
            </m:oMath>
            <w:r>
              <w:t>用</w:t>
            </w:r>
            <m:oMath>
              <m:sSub>
                <m:sSubPr>
                  <m:ctrlPr>
                    <w:rPr>
                      <w:rFonts w:ascii="Cambria Math" w:hAnsi="Cambria Math"/>
                      <w:i/>
                    </w:rPr>
                  </m:ctrlPr>
                </m:sSubPr>
                <m:e>
                  <m:r>
                    <m:rPr/>
                    <w:rPr>
                      <w:rFonts w:ascii="Cambria Math" w:hAnsi="Cambria Math"/>
                    </w:rPr>
                    <m:t>s</m:t>
                  </m:r>
                  <m:ctrlPr>
                    <w:rPr>
                      <w:rFonts w:ascii="Cambria Math" w:hAnsi="Cambria Math"/>
                      <w:i/>
                    </w:rPr>
                  </m:ctrlPr>
                </m:e>
                <m:sub>
                  <m:r>
                    <m:rPr>
                      <m:sty m:val="p"/>
                    </m:rPr>
                    <w:rPr>
                      <w:rFonts w:ascii="Cambria Math" w:hAnsi="Cambria Math"/>
                    </w:rPr>
                    <m:t>cr，N</m:t>
                  </m:r>
                  <m:ctrlPr>
                    <w:rPr>
                      <w:rFonts w:ascii="Cambria Math" w:hAnsi="Cambria Math"/>
                      <w:i/>
                    </w:rPr>
                  </m:ctrlPr>
                </m:sub>
              </m:sSub>
              <m:r>
                <m:rPr/>
                <w:rPr>
                  <w:rFonts w:ascii="Cambria Math" w:hAnsi="Cambria Math"/>
                </w:rPr>
                <m:t>=4</m:t>
              </m:r>
              <m:sSub>
                <m:sSubPr>
                  <m:ctrlPr>
                    <w:rPr>
                      <w:rFonts w:ascii="Cambria Math" w:hAnsi="Cambria Math"/>
                      <w:i/>
                    </w:rPr>
                  </m:ctrlPr>
                </m:sSubPr>
                <m:e>
                  <m:r>
                    <m:rPr/>
                    <w:rPr>
                      <w:rFonts w:ascii="Cambria Math" w:hAnsi="Cambria Math"/>
                    </w:rPr>
                    <m:t>c</m:t>
                  </m:r>
                  <m:ctrlPr>
                    <w:rPr>
                      <w:rFonts w:ascii="Cambria Math" w:hAnsi="Cambria Math"/>
                      <w:i/>
                    </w:rPr>
                  </m:ctrlPr>
                </m:e>
                <m:sub>
                  <m:r>
                    <m:rPr>
                      <m:sty m:val="p"/>
                    </m:rPr>
                    <w:rPr>
                      <w:rFonts w:ascii="Cambria Math" w:hAnsi="Cambria Math"/>
                    </w:rPr>
                    <m:t>1</m:t>
                  </m:r>
                  <m:ctrlPr>
                    <w:rPr>
                      <w:rFonts w:ascii="Cambria Math" w:hAnsi="Cambria Math"/>
                      <w:i/>
                    </w:rPr>
                  </m:ctrlPr>
                </m:sub>
              </m:sSub>
            </m:oMath>
            <w:r>
              <w:t>替换；</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ch，c，Nb</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混凝土基材边角影响系数；如果一个锚筋同时受到基材两个边角的影响，见图D.0.16的c，应同时采用</w:t>
            </w:r>
            <m:oMath>
              <m:sSub>
                <m:sSubPr>
                  <m:ctrlPr>
                    <w:rPr>
                      <w:rFonts w:ascii="Cambria Math" w:hAnsi="Cambria Math"/>
                      <w:i/>
                    </w:rPr>
                  </m:ctrlPr>
                </m:sSubPr>
                <m:e>
                  <m:r>
                    <m:rPr/>
                    <w:rPr>
                      <w:rFonts w:ascii="Cambria Math" w:hAnsi="Cambria Math"/>
                    </w:rPr>
                    <m:t>c</m:t>
                  </m:r>
                  <m:ctrlPr>
                    <w:rPr>
                      <w:rFonts w:ascii="Cambria Math" w:hAnsi="Cambria Math"/>
                      <w:i/>
                    </w:rPr>
                  </m:ctrlPr>
                </m:e>
                <m:sub>
                  <m:r>
                    <m:rPr>
                      <m:sty m:val="p"/>
                    </m:rPr>
                    <w:rPr>
                      <w:rFonts w:ascii="Cambria Math" w:hAnsi="Cambria Math"/>
                    </w:rPr>
                    <m:t>2，1</m:t>
                  </m:r>
                  <m:ctrlPr>
                    <w:rPr>
                      <w:rFonts w:ascii="Cambria Math" w:hAnsi="Cambria Math"/>
                      <w:i/>
                    </w:rPr>
                  </m:ctrlPr>
                </m:sub>
              </m:sSub>
            </m:oMath>
            <w:r>
              <w:t>和</w:t>
            </w:r>
            <m:oMath>
              <m:sSub>
                <m:sSubPr>
                  <m:ctrlPr>
                    <w:rPr>
                      <w:rFonts w:ascii="Cambria Math" w:hAnsi="Cambria Math"/>
                      <w:i/>
                    </w:rPr>
                  </m:ctrlPr>
                </m:sSubPr>
                <m:e>
                  <m:r>
                    <m:rPr/>
                    <w:rPr>
                      <w:rFonts w:ascii="Cambria Math" w:hAnsi="Cambria Math"/>
                    </w:rPr>
                    <m:t>c</m:t>
                  </m:r>
                  <m:ctrlPr>
                    <w:rPr>
                      <w:rFonts w:ascii="Cambria Math" w:hAnsi="Cambria Math"/>
                      <w:i/>
                    </w:rPr>
                  </m:ctrlPr>
                </m:e>
                <m:sub>
                  <m:r>
                    <m:rPr>
                      <m:sty m:val="p"/>
                    </m:rPr>
                    <w:rPr>
                      <w:rFonts w:ascii="Cambria Math" w:hAnsi="Cambria Math"/>
                    </w:rPr>
                    <m:t>2，2</m:t>
                  </m:r>
                  <m:ctrlPr>
                    <w:rPr>
                      <w:rFonts w:ascii="Cambria Math" w:hAnsi="Cambria Math"/>
                      <w:i/>
                    </w:rPr>
                  </m:ctrlPr>
                </m:sub>
              </m:sSub>
            </m:oMath>
            <w:r>
              <w:t>来计算边角影响系数</w:t>
            </w:r>
            <m:oMath>
              <m:sSub>
                <m:sSubPr>
                  <m:ctrlPr>
                    <w:rPr>
                      <w:rFonts w:ascii="Cambria Math" w:hAnsi="Cambria Math"/>
                      <w:i/>
                    </w:rPr>
                  </m:ctrlPr>
                </m:sSubPr>
                <m:e>
                  <m:r>
                    <m:rPr/>
                    <w:rPr>
                      <w:rFonts w:ascii="Cambria Math" w:hAnsi="Cambria Math"/>
                    </w:rPr>
                    <m:t>ψ</m:t>
                  </m:r>
                  <m:ctrlPr>
                    <w:rPr>
                      <w:rFonts w:ascii="Cambria Math" w:hAnsi="Cambria Math"/>
                      <w:i/>
                    </w:rPr>
                  </m:ctrlPr>
                </m:e>
                <m:sub>
                  <m:r>
                    <m:rPr>
                      <m:sty m:val="p"/>
                    </m:rPr>
                    <w:rPr>
                      <w:rFonts w:ascii="Cambria Math" w:hAnsi="Cambria Math"/>
                    </w:rPr>
                    <m:t>ch，c，Nb</m:t>
                  </m:r>
                  <m:ctrlPr>
                    <w:rPr>
                      <w:rFonts w:ascii="Cambria Math" w:hAnsi="Cambria Math"/>
                      <w:i/>
                    </w:rPr>
                  </m:ctrlPr>
                </m:sub>
              </m:sSub>
            </m:oMath>
            <w:r>
              <w:t>，取较小值；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ch，h，Nb</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基材厚度影响系数；锚筋顶端基材厚度</w:t>
            </w:r>
            <m:oMath>
              <m:r>
                <m:rPr/>
                <w:rPr>
                  <w:rFonts w:ascii="Cambria Math" w:hAnsi="Cambria Math"/>
                </w:rPr>
                <m:t>f≤2</m:t>
              </m:r>
              <m:sSub>
                <m:sSubPr>
                  <m:ctrlPr>
                    <w:rPr>
                      <w:rFonts w:ascii="Cambria Math" w:hAnsi="Cambria Math"/>
                      <w:i/>
                    </w:rPr>
                  </m:ctrlPr>
                </m:sSubPr>
                <m:e>
                  <m:r>
                    <m:rPr/>
                    <w:rPr>
                      <w:rFonts w:ascii="Cambria Math" w:hAnsi="Cambria Math"/>
                    </w:rPr>
                    <m:t>c</m:t>
                  </m:r>
                  <m:ctrlPr>
                    <w:rPr>
                      <w:rFonts w:ascii="Cambria Math" w:hAnsi="Cambria Math"/>
                      <w:i/>
                    </w:rPr>
                  </m:ctrlPr>
                </m:e>
                <m:sub>
                  <m:r>
                    <m:rPr>
                      <m:sty m:val="p"/>
                    </m:rPr>
                    <w:rPr>
                      <w:rFonts w:ascii="Cambria Math" w:hAnsi="Cambria Math"/>
                    </w:rPr>
                    <m:t>1</m:t>
                  </m:r>
                  <m:ctrlPr>
                    <w:rPr>
                      <w:rFonts w:ascii="Cambria Math" w:hAnsi="Cambria Math"/>
                      <w:i/>
                    </w:rPr>
                  </m:ctrlPr>
                </m:sub>
              </m:sSub>
            </m:oMath>
            <w:r>
              <w:t>时</w:t>
            </w:r>
            <w:r>
              <w:rPr>
                <w:rFonts w:hint="eastAsia"/>
                <w:lang w:eastAsia="zh-CN"/>
              </w:rPr>
              <w:t>（</w:t>
            </w:r>
            <w:r>
              <w:t>见图D.0.19)，应考虑基材厚度影响系数；</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1</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边距</w:t>
            </w:r>
            <w:r>
              <w:rPr>
                <w:rFonts w:hint="eastAsia"/>
                <w:lang w:eastAsia="zh-CN"/>
              </w:rPr>
              <w:t>（</w:t>
            </w:r>
            <w:r>
              <w:t>mm)，见图D.0.15；</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cu，k</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混凝土立方体抗压强度标准值 (N/mm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h</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锚筋端部的受力面积</w:t>
            </w:r>
            <w:r>
              <w:rPr>
                <w:rFonts w:hint="eastAsia"/>
                <w:lang w:eastAsia="zh-CN"/>
              </w:rPr>
              <w:t>（</w:t>
            </w:r>
            <w:r>
              <w:t>mm</w:t>
            </w:r>
            <w:r>
              <w:rPr>
                <w:vertAlign w:val="superscript"/>
              </w:rPr>
              <w:t>2</w:t>
            </w:r>
            <w:r>
              <w:t>)，见D.0.11条，也可按认证报告取值；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m:sty m:val="p"/>
                      </m:rPr>
                      <w:rPr>
                        <w:rFonts w:ascii="Cambria Math" w:hAnsi="Cambria Math" w:cs="Times New Roman"/>
                      </w:rPr>
                      <m:t>5</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取7.8</w:t>
            </w:r>
            <w:r>
              <w:rPr>
                <w:rFonts w:hint="eastAsia"/>
                <w:lang w:eastAsia="zh-CN"/>
              </w:rPr>
              <w:t>（</w:t>
            </w:r>
            <w:r>
              <w:t>开裂混凝土</w:t>
            </w:r>
            <w:r>
              <w:rPr>
                <w:rFonts w:hint="eastAsia"/>
                <w:lang w:eastAsia="zh-CN"/>
              </w:rPr>
              <w:t>）</w:t>
            </w:r>
            <w:r>
              <w:t>，或取11.0</w:t>
            </w:r>
            <w:r>
              <w:rPr>
                <w:rFonts w:hint="eastAsia"/>
                <w:lang w:eastAsia="zh-CN"/>
              </w:rPr>
              <w:t>（</w:t>
            </w:r>
            <w:r>
              <w:t>非开裂混凝土</w:t>
            </w:r>
            <w:r>
              <w:rPr>
                <w:rFonts w:hint="eastAsia"/>
                <w:lang w:eastAsia="zh-CN"/>
              </w:rPr>
              <w:t>）</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2</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所验算锚筋的边角距离</w:t>
            </w:r>
            <w:r>
              <w:rPr>
                <w:rFonts w:hint="eastAsia"/>
                <w:lang w:eastAsia="zh-CN"/>
              </w:rPr>
              <w:t>（</w:t>
            </w:r>
            <w:r>
              <w:t>mm)，见图D.0.16；</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m:sty m:val="p"/>
                      </m:rPr>
                      <w:rPr>
                        <w:rFonts w:ascii="Cambria Math" w:hAnsi="Cambria Math" w:cs="Times New Roman"/>
                      </w:rPr>
                      <m:t>cr，Nb</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临界边距</w:t>
            </w:r>
            <w:r>
              <w:rPr>
                <w:rFonts w:hint="eastAsia"/>
                <w:lang w:eastAsia="zh-CN"/>
              </w:rPr>
              <w:t>（</w:t>
            </w:r>
            <w:r>
              <w:t>mm)，取</w:t>
            </w:r>
            <m:oMath>
              <m:sSub>
                <m:sSubPr>
                  <m:ctrlPr>
                    <w:rPr>
                      <w:rFonts w:ascii="Cambria Math" w:hAnsi="Cambria Math"/>
                      <w:i/>
                    </w:rPr>
                  </m:ctrlPr>
                </m:sSubPr>
                <m:e>
                  <m:r>
                    <m:rPr/>
                    <w:rPr>
                      <w:rFonts w:ascii="Cambria Math" w:hAnsi="Cambria Math"/>
                    </w:rPr>
                    <m:t>2c</m:t>
                  </m:r>
                  <m:ctrlPr>
                    <w:rPr>
                      <w:rFonts w:ascii="Cambria Math" w:hAnsi="Cambria Math"/>
                      <w:i/>
                    </w:rPr>
                  </m:ctrlPr>
                </m:e>
                <m:sub>
                  <m:r>
                    <m:rPr>
                      <m:sty m:val="p"/>
                    </m:rPr>
                    <w:rPr>
                      <w:rFonts w:ascii="Cambria Math" w:hAnsi="Cambria Math"/>
                    </w:rPr>
                    <m:t>1</m:t>
                  </m:r>
                  <m:ctrlPr>
                    <w:rPr>
                      <w:rFonts w:ascii="Cambria Math" w:hAnsi="Cambria Math"/>
                      <w:i/>
                    </w:rPr>
                  </m:ctrlPr>
                </m:sub>
              </m:sSub>
            </m:oMath>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m:sty m:val="p"/>
                      </m:rPr>
                      <w:rPr>
                        <w:rFonts w:ascii="Cambria Math" w:hAnsi="Cambria Math" w:cs="Times New Roman"/>
                      </w:rPr>
                      <m:t>ef</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有效埋深</w:t>
            </w:r>
            <w:r>
              <w:rPr>
                <w:rFonts w:hint="eastAsia"/>
                <w:lang w:eastAsia="zh-CN"/>
              </w:rPr>
              <w:t>（</w:t>
            </w:r>
            <w:r>
              <w:t>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
                <m:r>
                  <m:rPr/>
                  <w:rPr>
                    <w:rFonts w:ascii="Cambria Math" w:hAnsi="Cambria Math" w:cs="Times New Roman"/>
                  </w:rPr>
                  <m:t>f</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锚筋顶端基材厚度</w:t>
            </w:r>
            <w:r>
              <w:rPr>
                <w:rFonts w:hint="eastAsia"/>
                <w:lang w:eastAsia="zh-CN"/>
              </w:rPr>
              <w:t>（</w:t>
            </w:r>
            <w:r>
              <w:t>mm)。</w:t>
            </w:r>
          </w:p>
        </w:tc>
      </w:tr>
    </w:tbl>
    <w:p>
      <w:pPr>
        <w:pStyle w:val="202"/>
        <w:rPr>
          <w:rFonts w:cs="Times New Roman"/>
        </w:rPr>
      </w:pPr>
      <w:r>
        <w:rPr>
          <w:rFonts w:cs="Times New Roman"/>
        </w:rPr>
        <w:drawing>
          <wp:inline distT="0" distB="0" distL="0" distR="0">
            <wp:extent cx="2209800" cy="15906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2"/>
                    <a:stretch>
                      <a:fillRect/>
                    </a:stretch>
                  </pic:blipFill>
                  <pic:spPr>
                    <a:xfrm>
                      <a:off x="0" y="0"/>
                      <a:ext cx="2209800" cy="1590675"/>
                    </a:xfrm>
                    <a:prstGeom prst="rect">
                      <a:avLst/>
                    </a:prstGeom>
                  </pic:spPr>
                </pic:pic>
              </a:graphicData>
            </a:graphic>
          </wp:inline>
        </w:drawing>
      </w:r>
    </w:p>
    <w:p>
      <w:pPr>
        <w:pStyle w:val="202"/>
        <w:rPr>
          <w:rFonts w:cs="Times New Roman"/>
        </w:rPr>
      </w:pPr>
      <w:r>
        <w:rPr>
          <w:rFonts w:cs="Times New Roman"/>
        </w:rPr>
        <w:t>图D.0.19槽式埋件在较薄的混凝土基材中</w:t>
      </w:r>
    </w:p>
    <w:p>
      <w:pPr>
        <w:pStyle w:val="200"/>
      </w:pPr>
      <w:r>
        <w:rPr>
          <w:b/>
        </w:rPr>
        <w:t xml:space="preserve">D.0.20 </w:t>
      </w:r>
      <w:r>
        <w:t>槽式预埋件受剪钢材破坏</w:t>
      </w:r>
      <w:r>
        <w:rPr>
          <w:rFonts w:hint="eastAsia"/>
          <w:lang w:eastAsia="zh-CN"/>
        </w:rPr>
        <w:t>（</w:t>
      </w:r>
      <w:r>
        <w:t>垂直于槽体剪力</w:t>
      </w:r>
      <m:oMath>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Rk，y</m:t>
            </m:r>
            <m:ctrlPr>
              <w:rPr>
                <w:rFonts w:ascii="Cambria Math" w:hAnsi="Cambria Math"/>
              </w:rPr>
            </m:ctrlPr>
          </m:sub>
        </m:sSub>
      </m:oMath>
      <w:r>
        <w:t>和平行于槽体剪力</w:t>
      </w:r>
      <m:oMath>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Rk，x</m:t>
            </m:r>
            <m:ctrlPr>
              <w:rPr>
                <w:rFonts w:ascii="Cambria Math" w:hAnsi="Cambria Math"/>
              </w:rPr>
            </m:ctrlPr>
          </m:sub>
        </m:sSub>
      </m:oMath>
      <w:r>
        <w:t>)：</w:t>
      </w:r>
    </w:p>
    <w:p>
      <w:pPr>
        <w:pStyle w:val="188"/>
        <w:ind w:firstLine="482"/>
        <w:rPr>
          <w:rFonts w:cs="Times New Roman"/>
        </w:rPr>
      </w:pPr>
      <w:r>
        <w:rPr>
          <w:rFonts w:cs="Times New Roman"/>
          <w:b/>
          <w:bCs w:val="0"/>
        </w:rPr>
        <w:t xml:space="preserve">1 </w:t>
      </w:r>
      <w:r>
        <w:rPr>
          <w:rFonts w:cs="Times New Roman"/>
        </w:rPr>
        <w:t>垂直于钢槽长度方向剪力作用下，锚筋的钢材破坏受剪承载力标准值</w:t>
      </w: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Rk，s，a，y</m:t>
            </m:r>
            <m:ctrlPr>
              <w:rPr>
                <w:rFonts w:ascii="Cambria Math" w:hAnsi="Cambria Math" w:cs="Times New Roman"/>
                <w:szCs w:val="21"/>
              </w:rPr>
            </m:ctrlPr>
          </m:sub>
        </m:sSub>
      </m:oMath>
      <w:r>
        <w:rPr>
          <w:rFonts w:cs="Times New Roman"/>
        </w:rPr>
        <w:t>应按产品认证报告取值；若无认证报告，可经检测确定。平行于钢槽长度方向剪力作用下，锚筋的钢材破坏受剪承载力标准值</w:t>
      </w: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Rk，s，a，x</m:t>
            </m:r>
            <m:ctrlPr>
              <w:rPr>
                <w:rFonts w:ascii="Cambria Math" w:hAnsi="Cambria Math" w:cs="Times New Roman"/>
                <w:szCs w:val="21"/>
              </w:rPr>
            </m:ctrlPr>
          </m:sub>
        </m:sSub>
      </m:oMath>
      <w:r>
        <w:rPr>
          <w:rFonts w:cs="Times New Roman"/>
        </w:rPr>
        <w:t>，应按产品认证报告或测试报告取值。以上2项，若无相关报告，可根据《混凝土结构后锚固技术规程》JGJ 145-2013取</w:t>
      </w:r>
      <m:oMath>
        <m:sSub>
          <m:sSubPr>
            <m:ctrlPr>
              <w:rPr>
                <w:rFonts w:ascii="Cambria Math" w:hAnsi="Cambria Math" w:cs="Times New Roman"/>
                <w:szCs w:val="21"/>
              </w:rPr>
            </m:ctrlPr>
          </m:sSubPr>
          <m:e>
            <m:r>
              <m:rPr/>
              <w:rPr>
                <w:rFonts w:ascii="Cambria Math" w:hAnsi="Cambria Math" w:cs="Times New Roman"/>
              </w:rPr>
              <m:t>0.5A</m:t>
            </m:r>
            <m:ctrlPr>
              <w:rPr>
                <w:rFonts w:ascii="Cambria Math" w:hAnsi="Cambria Math" w:cs="Times New Roman"/>
                <w:szCs w:val="21"/>
              </w:rPr>
            </m:ctrlPr>
          </m:e>
          <m:sub>
            <m:r>
              <m:rPr/>
              <w:rPr>
                <w:rFonts w:ascii="Cambria Math" w:hAnsi="Cambria Math" w:cs="Times New Roman"/>
              </w:rPr>
              <m:t>s</m:t>
            </m:r>
            <m:ctrlPr>
              <w:rPr>
                <w:rFonts w:ascii="Cambria Math" w:hAnsi="Cambria Math" w:cs="Times New Roman"/>
                <w:szCs w:val="21"/>
              </w:rPr>
            </m:ctrlPr>
          </m:sub>
        </m:sSub>
        <m:r>
          <m:rPr/>
          <w:rPr>
            <w:rFonts w:ascii="Cambria Math" w:hAnsi="Cambria Math" w:cs="Times New Roman"/>
            <w:szCs w:val="21"/>
          </w:rPr>
          <m:t>·</m:t>
        </m:r>
        <m:sSub>
          <m:sSubPr>
            <m:ctrlPr>
              <w:rPr>
                <w:rFonts w:ascii="Cambria Math" w:hAnsi="Cambria Math" w:cs="Times New Roman"/>
                <w:szCs w:val="21"/>
              </w:rPr>
            </m:ctrlPr>
          </m:sSubPr>
          <m:e>
            <m:r>
              <m:rPr/>
              <w:rPr>
                <w:rFonts w:ascii="Cambria Math" w:hAnsi="Cambria Math" w:cs="Times New Roman"/>
              </w:rPr>
              <m:t>f</m:t>
            </m:r>
            <m:ctrlPr>
              <w:rPr>
                <w:rFonts w:ascii="Cambria Math" w:hAnsi="Cambria Math" w:cs="Times New Roman"/>
                <w:szCs w:val="21"/>
              </w:rPr>
            </m:ctrlPr>
          </m:e>
          <m:sub>
            <m:r>
              <m:rPr/>
              <w:rPr>
                <w:rFonts w:ascii="Cambria Math" w:hAnsi="Cambria Math" w:cs="Times New Roman"/>
              </w:rPr>
              <m:t>yk</m:t>
            </m:r>
            <m:ctrlPr>
              <w:rPr>
                <w:rFonts w:ascii="Cambria Math" w:hAnsi="Cambria Math" w:cs="Times New Roman"/>
                <w:szCs w:val="21"/>
              </w:rPr>
            </m:ctrlPr>
          </m:sub>
        </m:sSub>
      </m:oMath>
      <w:r>
        <w:rPr>
          <w:rFonts w:cs="Times New Roman"/>
        </w:rPr>
        <w:t>，其中</w:t>
      </w:r>
      <m:oMath>
        <m:sSub>
          <m:sSubPr>
            <m:ctrlPr>
              <w:rPr>
                <w:rFonts w:ascii="Cambria Math" w:hAnsi="Cambria Math" w:cs="Times New Roman"/>
                <w:szCs w:val="21"/>
              </w:rPr>
            </m:ctrlPr>
          </m:sSubPr>
          <m:e>
            <m:r>
              <m:rPr/>
              <w:rPr>
                <w:rFonts w:ascii="Cambria Math" w:hAnsi="Cambria Math" w:cs="Times New Roman"/>
              </w:rPr>
              <m:t>A</m:t>
            </m:r>
            <m:ctrlPr>
              <w:rPr>
                <w:rFonts w:ascii="Cambria Math" w:hAnsi="Cambria Math" w:cs="Times New Roman"/>
                <w:szCs w:val="21"/>
              </w:rPr>
            </m:ctrlPr>
          </m:e>
          <m:sub>
            <m:r>
              <m:rPr/>
              <w:rPr>
                <w:rFonts w:ascii="Cambria Math" w:hAnsi="Cambria Math" w:cs="Times New Roman"/>
              </w:rPr>
              <m:t>s</m:t>
            </m:r>
            <m:ctrlPr>
              <w:rPr>
                <w:rFonts w:ascii="Cambria Math" w:hAnsi="Cambria Math" w:cs="Times New Roman"/>
                <w:szCs w:val="21"/>
              </w:rPr>
            </m:ctrlPr>
          </m:sub>
        </m:sSub>
      </m:oMath>
      <w:r>
        <w:rPr>
          <w:rFonts w:cs="Times New Roman"/>
        </w:rPr>
        <w:t>为锚筋受拉应力截面面积，</w:t>
      </w:r>
      <m:oMath>
        <m:sSub>
          <m:sSubPr>
            <m:ctrlPr>
              <w:rPr>
                <w:rFonts w:ascii="Cambria Math" w:hAnsi="Cambria Math" w:cs="Times New Roman"/>
                <w:szCs w:val="21"/>
              </w:rPr>
            </m:ctrlPr>
          </m:sSubPr>
          <m:e>
            <m:r>
              <m:rPr/>
              <w:rPr>
                <w:rFonts w:ascii="Cambria Math" w:hAnsi="Cambria Math" w:cs="Times New Roman"/>
              </w:rPr>
              <m:t>f</m:t>
            </m:r>
            <m:ctrlPr>
              <w:rPr>
                <w:rFonts w:ascii="Cambria Math" w:hAnsi="Cambria Math" w:cs="Times New Roman"/>
                <w:szCs w:val="21"/>
              </w:rPr>
            </m:ctrlPr>
          </m:e>
          <m:sub>
            <m:r>
              <m:rPr/>
              <w:rPr>
                <w:rFonts w:ascii="Cambria Math" w:hAnsi="Cambria Math" w:cs="Times New Roman"/>
              </w:rPr>
              <m:t>yk</m:t>
            </m:r>
            <m:ctrlPr>
              <w:rPr>
                <w:rFonts w:ascii="Cambria Math" w:hAnsi="Cambria Math" w:cs="Times New Roman"/>
                <w:szCs w:val="21"/>
              </w:rPr>
            </m:ctrlPr>
          </m:sub>
        </m:sSub>
      </m:oMath>
      <w:r>
        <w:rPr>
          <w:rFonts w:cs="Times New Roman"/>
        </w:rPr>
        <w:t>为锚筋屈服强度标准值。</w:t>
      </w:r>
    </w:p>
    <w:p>
      <w:pPr>
        <w:pStyle w:val="188"/>
        <w:ind w:firstLine="482"/>
        <w:rPr>
          <w:rFonts w:cs="Times New Roman"/>
        </w:rPr>
      </w:pPr>
      <w:r>
        <w:rPr>
          <w:rFonts w:cs="Times New Roman"/>
          <w:b/>
          <w:bCs w:val="0"/>
        </w:rPr>
        <w:t xml:space="preserve">2 </w:t>
      </w:r>
      <w:r>
        <w:rPr>
          <w:rFonts w:cs="Times New Roman"/>
        </w:rPr>
        <w:t>垂直于钢槽剪力作用下，锚筋与钢槽连接处钢材破坏受剪承载力标准值</w:t>
      </w: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Rk，s，c，y</m:t>
            </m:r>
            <m:ctrlPr>
              <w:rPr>
                <w:rFonts w:ascii="Cambria Math" w:hAnsi="Cambria Math" w:cs="Times New Roman"/>
                <w:szCs w:val="21"/>
              </w:rPr>
            </m:ctrlPr>
          </m:sub>
        </m:sSub>
      </m:oMath>
      <w:r>
        <w:rPr>
          <w:rFonts w:cs="Times New Roman"/>
        </w:rPr>
        <w:t>，应取认证报告或相关标准中的垂直于槽式预埋件的剪切测试给出的承载力标准值。平行于钢槽剪力作用下，锚筋与钢槽连接处的钢材破坏受剪承载力标准值</w:t>
      </w: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Rk，s，c，x</m:t>
            </m:r>
            <m:ctrlPr>
              <w:rPr>
                <w:rFonts w:ascii="Cambria Math" w:hAnsi="Cambria Math" w:cs="Times New Roman"/>
                <w:szCs w:val="21"/>
              </w:rPr>
            </m:ctrlPr>
          </m:sub>
        </m:sSub>
      </m:oMath>
      <w:r>
        <w:rPr>
          <w:rFonts w:cs="Times New Roman"/>
        </w:rPr>
        <w:t>，应按产品认证报告取值。若无相关报告，可按下式计算：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Rk，s，c，x</m:t>
                    </m:r>
                    <m:ctrlPr>
                      <w:rPr>
                        <w:rFonts w:ascii="Cambria Math" w:hAnsi="Cambria Math" w:cs="Times New Roman"/>
                        <w:szCs w:val="21"/>
                      </w:rPr>
                    </m:ctrlPr>
                  </m:sub>
                </m:sSub>
                <m:r>
                  <m:rPr/>
                  <w:rPr>
                    <w:rFonts w:ascii="Cambria Math" w:hAnsi="Cambria Math" w:cs="Times New Roman"/>
                  </w:rPr>
                  <m:t>=</m:t>
                </m:r>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Rk，s，a，x</m:t>
                    </m:r>
                    <m:ctrlPr>
                      <w:rPr>
                        <w:rFonts w:ascii="Cambria Math" w:hAnsi="Cambria Math" w:cs="Times New Roman"/>
                        <w:szCs w:val="21"/>
                      </w:rPr>
                    </m:ctrlPr>
                  </m:sub>
                </m:sSub>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szCs w:val="21"/>
                          </w:rPr>
                        </m:ctrlPr>
                      </m:sSubPr>
                      <m:e>
                        <m:r>
                          <m:rPr/>
                          <w:rPr>
                            <w:rFonts w:ascii="Cambria Math" w:hAnsi="Cambria Math" w:cs="Times New Roman"/>
                          </w:rPr>
                          <m:t>N</m:t>
                        </m:r>
                        <m:ctrlPr>
                          <w:rPr>
                            <w:rFonts w:ascii="Cambria Math" w:hAnsi="Cambria Math" w:cs="Times New Roman"/>
                            <w:szCs w:val="21"/>
                          </w:rPr>
                        </m:ctrlPr>
                      </m:e>
                      <m:sub>
                        <m:r>
                          <m:rPr/>
                          <w:rPr>
                            <w:rFonts w:ascii="Cambria Math" w:hAnsi="Cambria Math" w:cs="Times New Roman"/>
                          </w:rPr>
                          <m:t>Rk，s，c</m:t>
                        </m:r>
                        <m:ctrlPr>
                          <w:rPr>
                            <w:rFonts w:ascii="Cambria Math" w:hAnsi="Cambria Math" w:cs="Times New Roman"/>
                            <w:szCs w:val="21"/>
                          </w:rPr>
                        </m:ctrlPr>
                      </m:sub>
                    </m:sSub>
                    <m:ctrlPr>
                      <w:rPr>
                        <w:rFonts w:ascii="Cambria Math" w:hAnsi="Cambria Math" w:cs="Times New Roman"/>
                        <w:i/>
                      </w:rPr>
                    </m:ctrlPr>
                  </m:num>
                  <m:den>
                    <m:sSub>
                      <m:sSubPr>
                        <m:ctrlPr>
                          <w:rPr>
                            <w:rFonts w:ascii="Cambria Math" w:hAnsi="Cambria Math" w:cs="Times New Roman"/>
                            <w:szCs w:val="21"/>
                          </w:rPr>
                        </m:ctrlPr>
                      </m:sSubPr>
                      <m:e>
                        <m:r>
                          <m:rPr/>
                          <w:rPr>
                            <w:rFonts w:ascii="Cambria Math" w:hAnsi="Cambria Math" w:cs="Times New Roman"/>
                          </w:rPr>
                          <m:t>N</m:t>
                        </m:r>
                        <m:ctrlPr>
                          <w:rPr>
                            <w:rFonts w:ascii="Cambria Math" w:hAnsi="Cambria Math" w:cs="Times New Roman"/>
                            <w:szCs w:val="21"/>
                          </w:rPr>
                        </m:ctrlPr>
                      </m:e>
                      <m:sub>
                        <m:r>
                          <m:rPr/>
                          <w:rPr>
                            <w:rFonts w:ascii="Cambria Math" w:hAnsi="Cambria Math" w:cs="Times New Roman"/>
                          </w:rPr>
                          <m:t>Rk，s，a</m:t>
                        </m:r>
                        <m:ctrlPr>
                          <w:rPr>
                            <w:rFonts w:ascii="Cambria Math" w:hAnsi="Cambria Math" w:cs="Times New Roman"/>
                            <w:szCs w:val="21"/>
                          </w:rPr>
                        </m:ctrlPr>
                      </m:sub>
                    </m:sSub>
                    <m:ctrlPr>
                      <w:rPr>
                        <w:rFonts w:ascii="Cambria Math" w:hAnsi="Cambria Math" w:cs="Times New Roman"/>
                        <w:i/>
                      </w:rPr>
                    </m:ctrlPr>
                  </m:den>
                </m:f>
                <m:r>
                  <m:rPr/>
                  <w:rPr>
                    <w:rFonts w:ascii="Cambria Math" w:hAnsi="Cambria Math" w:cs="Times New Roman"/>
                  </w:rPr>
                  <m:t>≤</m:t>
                </m:r>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Rk，s，a，x</m:t>
                    </m:r>
                    <m:ctrlPr>
                      <w:rPr>
                        <w:rFonts w:ascii="Cambria Math" w:hAnsi="Cambria Math" w:cs="Times New Roman"/>
                        <w:szCs w:val="21"/>
                      </w:rPr>
                    </m:ctrlPr>
                  </m:sub>
                </m:sSub>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（D.0.20-1）</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Rk，s，a，x</m:t>
                    </m:r>
                    <m:ctrlPr>
                      <w:rPr>
                        <w:rFonts w:ascii="Cambria Math" w:hAnsi="Cambria Math" w:cs="Times New Roman"/>
                        <w:szCs w:val="21"/>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锚筋的钢材破坏受剪承载力标准值，按本条第1款取值；</w:t>
            </w:r>
          </w:p>
        </w:tc>
      </w:tr>
      <w:tr>
        <w:tblPrEx>
          <w:tblCellMar>
            <w:top w:w="0" w:type="dxa"/>
            <w:left w:w="108" w:type="dxa"/>
            <w:bottom w:w="0" w:type="dxa"/>
            <w:right w:w="108" w:type="dxa"/>
          </w:tblCellMar>
        </w:tblPrEx>
        <w:tc>
          <w:tcPr>
            <w:tcW w:w="1134" w:type="dxa"/>
            <w:shd w:val="clear" w:color="auto" w:fill="auto"/>
          </w:tcPr>
          <w:p>
            <w:pPr>
              <w:jc w:val="right"/>
              <w:rPr>
                <w:rFonts w:ascii="Cambria Math" w:hAnsi="Cambria Math" w:cs="Times New Roman"/>
                <w:szCs w:val="21"/>
                <w:oMath/>
              </w:rPr>
            </w:pPr>
            <m:oMathPara>
              <m:oMath>
                <m:sSub>
                  <m:sSubPr>
                    <m:ctrlPr>
                      <w:rPr>
                        <w:rFonts w:ascii="Cambria Math" w:hAnsi="Cambria Math" w:cs="Times New Roman"/>
                        <w:szCs w:val="21"/>
                      </w:rPr>
                    </m:ctrlPr>
                  </m:sSubPr>
                  <m:e>
                    <m:r>
                      <m:rPr/>
                      <w:rPr>
                        <w:rFonts w:ascii="Cambria Math" w:hAnsi="Cambria Math" w:cs="Times New Roman"/>
                      </w:rPr>
                      <m:t>N</m:t>
                    </m:r>
                    <m:ctrlPr>
                      <w:rPr>
                        <w:rFonts w:ascii="Cambria Math" w:hAnsi="Cambria Math" w:cs="Times New Roman"/>
                        <w:szCs w:val="21"/>
                      </w:rPr>
                    </m:ctrlPr>
                  </m:e>
                  <m:sub>
                    <m:r>
                      <m:rPr/>
                      <w:rPr>
                        <w:rFonts w:ascii="Cambria Math" w:hAnsi="Cambria Math" w:cs="Times New Roman"/>
                      </w:rPr>
                      <m:t>Rk，s，c</m:t>
                    </m:r>
                    <m:ctrlPr>
                      <w:rPr>
                        <w:rFonts w:ascii="Cambria Math" w:hAnsi="Cambria Math" w:cs="Times New Roman"/>
                        <w:szCs w:val="21"/>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锚筋与钢槽连接处钢材破坏受拉承载力标准值，按D.0.10条取值；</w:t>
            </w:r>
          </w:p>
        </w:tc>
      </w:tr>
      <w:tr>
        <w:tblPrEx>
          <w:tblCellMar>
            <w:top w:w="0" w:type="dxa"/>
            <w:left w:w="108" w:type="dxa"/>
            <w:bottom w:w="0" w:type="dxa"/>
            <w:right w:w="108" w:type="dxa"/>
          </w:tblCellMar>
        </w:tblPrEx>
        <w:tc>
          <w:tcPr>
            <w:tcW w:w="1134" w:type="dxa"/>
            <w:shd w:val="clear" w:color="auto" w:fill="auto"/>
          </w:tcPr>
          <w:p>
            <w:pPr>
              <w:jc w:val="right"/>
              <w:rPr>
                <w:rFonts w:ascii="Cambria Math" w:hAnsi="Cambria Math" w:cs="Times New Roman"/>
                <w:szCs w:val="21"/>
                <w:oMath/>
              </w:rPr>
            </w:pPr>
            <m:oMathPara>
              <m:oMath>
                <m:sSub>
                  <m:sSubPr>
                    <m:ctrlPr>
                      <w:rPr>
                        <w:rFonts w:ascii="Cambria Math" w:hAnsi="Cambria Math" w:cs="Times New Roman"/>
                        <w:szCs w:val="21"/>
                      </w:rPr>
                    </m:ctrlPr>
                  </m:sSubPr>
                  <m:e>
                    <m:r>
                      <m:rPr/>
                      <w:rPr>
                        <w:rFonts w:ascii="Cambria Math" w:hAnsi="Cambria Math" w:cs="Times New Roman"/>
                      </w:rPr>
                      <m:t>N</m:t>
                    </m:r>
                    <m:ctrlPr>
                      <w:rPr>
                        <w:rFonts w:ascii="Cambria Math" w:hAnsi="Cambria Math" w:cs="Times New Roman"/>
                        <w:szCs w:val="21"/>
                      </w:rPr>
                    </m:ctrlPr>
                  </m:e>
                  <m:sub>
                    <m:r>
                      <m:rPr/>
                      <w:rPr>
                        <w:rFonts w:ascii="Cambria Math" w:hAnsi="Cambria Math" w:cs="Times New Roman"/>
                      </w:rPr>
                      <m:t>Rk，s，a</m:t>
                    </m:r>
                    <m:ctrlPr>
                      <w:rPr>
                        <w:rFonts w:ascii="Cambria Math" w:hAnsi="Cambria Math" w:cs="Times New Roman"/>
                        <w:szCs w:val="21"/>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锚筋的钢材破坏受拉承载力标准值，按D.0.10条取值。</w:t>
            </w:r>
          </w:p>
        </w:tc>
      </w:tr>
    </w:tbl>
    <w:p>
      <w:pPr>
        <w:pStyle w:val="188"/>
        <w:ind w:firstLine="482"/>
        <w:rPr>
          <w:rFonts w:cs="Times New Roman"/>
        </w:rPr>
      </w:pPr>
      <w:r>
        <w:rPr>
          <w:rFonts w:cs="Times New Roman"/>
          <w:b/>
          <w:bCs w:val="0"/>
        </w:rPr>
        <w:t xml:space="preserve">3 </w:t>
      </w:r>
      <w:r>
        <w:rPr>
          <w:rFonts w:cs="Times New Roman"/>
        </w:rPr>
        <w:t>垂直于钢槽剪力作用下，钢槽卷边钢材破坏受剪承载力标准值</w:t>
      </w: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Rk，s，l，y</m:t>
            </m:r>
            <m:ctrlPr>
              <w:rPr>
                <w:rFonts w:ascii="Cambria Math" w:hAnsi="Cambria Math" w:cs="Times New Roman"/>
                <w:szCs w:val="21"/>
              </w:rPr>
            </m:ctrlPr>
          </m:sub>
        </m:sSub>
      </m:oMath>
      <w:r>
        <w:rPr>
          <w:rFonts w:cs="Times New Roman"/>
        </w:rPr>
        <w:t>，应取认证报告或相关标准中的垂直于钢槽的剪切测试给出的承载力标准值，设计时应保证相邻T型螺栓的轴心间距</w:t>
      </w:r>
      <m:oMath>
        <m:sSub>
          <m:sSubPr>
            <m:ctrlPr>
              <w:rPr>
                <w:rFonts w:ascii="Cambria Math" w:hAnsi="Cambria Math" w:cs="Times New Roman"/>
                <w:szCs w:val="21"/>
              </w:rPr>
            </m:ctrlPr>
          </m:sSubPr>
          <m:e>
            <m:r>
              <m:rPr/>
              <w:rPr>
                <w:rFonts w:ascii="Cambria Math" w:hAnsi="Cambria Math" w:cs="Times New Roman"/>
              </w:rPr>
              <m:t>s</m:t>
            </m:r>
            <m:ctrlPr>
              <w:rPr>
                <w:rFonts w:ascii="Cambria Math" w:hAnsi="Cambria Math" w:cs="Times New Roman"/>
                <w:szCs w:val="21"/>
              </w:rPr>
            </m:ctrlPr>
          </m:e>
          <m:sub>
            <m:r>
              <m:rPr/>
              <w:rPr>
                <w:rFonts w:ascii="Cambria Math" w:hAnsi="Cambria Math" w:cs="Times New Roman"/>
              </w:rPr>
              <m:t>cℎb</m:t>
            </m:r>
            <m:ctrlPr>
              <w:rPr>
                <w:rFonts w:ascii="Cambria Math" w:hAnsi="Cambria Math" w:cs="Times New Roman"/>
                <w:szCs w:val="21"/>
              </w:rPr>
            </m:ctrlPr>
          </m:sub>
        </m:sSub>
        <m:r>
          <m:rPr/>
          <w:rPr>
            <w:rFonts w:ascii="Cambria Math" w:hAnsi="Cambria Math" w:cs="Times New Roman"/>
            <w:szCs w:val="21"/>
          </w:rPr>
          <m:t>≥2</m:t>
        </m:r>
        <m:sSub>
          <m:sSubPr>
            <m:ctrlPr>
              <w:rPr>
                <w:rFonts w:ascii="Cambria Math" w:hAnsi="Cambria Math" w:cs="Times New Roman"/>
                <w:szCs w:val="21"/>
              </w:rPr>
            </m:ctrlPr>
          </m:sSubPr>
          <m:e>
            <m:r>
              <m:rPr/>
              <w:rPr>
                <w:rFonts w:ascii="Cambria Math" w:hAnsi="Cambria Math" w:cs="Times New Roman"/>
              </w:rPr>
              <m:t>b</m:t>
            </m:r>
            <m:ctrlPr>
              <w:rPr>
                <w:rFonts w:ascii="Cambria Math" w:hAnsi="Cambria Math" w:cs="Times New Roman"/>
                <w:szCs w:val="21"/>
              </w:rPr>
            </m:ctrlPr>
          </m:e>
          <m:sub>
            <m:r>
              <m:rPr/>
              <w:rPr>
                <w:rFonts w:ascii="Cambria Math" w:hAnsi="Cambria Math" w:cs="Times New Roman"/>
              </w:rPr>
              <m:t>cℎ</m:t>
            </m:r>
            <m:ctrlPr>
              <w:rPr>
                <w:rFonts w:ascii="Cambria Math" w:hAnsi="Cambria Math" w:cs="Times New Roman"/>
                <w:szCs w:val="21"/>
              </w:rPr>
            </m:ctrlPr>
          </m:sub>
        </m:sSub>
      </m:oMath>
      <w:r>
        <w:rPr>
          <w:rFonts w:cs="Times New Roman"/>
        </w:rPr>
        <w:t>，</w:t>
      </w:r>
      <w:r>
        <w:rPr>
          <w:rFonts w:hint="eastAsia" w:cs="Times New Roman"/>
          <w:lang w:eastAsia="zh-CN"/>
        </w:rPr>
        <w:t>（</w:t>
      </w:r>
      <m:oMath>
        <m:sSub>
          <m:sSubPr>
            <m:ctrlPr>
              <w:rPr>
                <w:rFonts w:ascii="Cambria Math" w:hAnsi="Cambria Math" w:cs="Times New Roman"/>
                <w:szCs w:val="21"/>
              </w:rPr>
            </m:ctrlPr>
          </m:sSubPr>
          <m:e>
            <m:r>
              <m:rPr/>
              <w:rPr>
                <w:rFonts w:ascii="Cambria Math" w:hAnsi="Cambria Math" w:cs="Times New Roman"/>
              </w:rPr>
              <m:t>b</m:t>
            </m:r>
            <m:ctrlPr>
              <w:rPr>
                <w:rFonts w:ascii="Cambria Math" w:hAnsi="Cambria Math" w:cs="Times New Roman"/>
                <w:szCs w:val="21"/>
              </w:rPr>
            </m:ctrlPr>
          </m:e>
          <m:sub>
            <m:r>
              <m:rPr/>
              <w:rPr>
                <w:rFonts w:ascii="Cambria Math" w:hAnsi="Cambria Math" w:cs="Times New Roman"/>
              </w:rPr>
              <m:t>cℎ</m:t>
            </m:r>
            <m:ctrlPr>
              <w:rPr>
                <w:rFonts w:ascii="Cambria Math" w:hAnsi="Cambria Math" w:cs="Times New Roman"/>
                <w:szCs w:val="21"/>
              </w:rPr>
            </m:ctrlPr>
          </m:sub>
        </m:sSub>
      </m:oMath>
      <w:r>
        <w:rPr>
          <w:rFonts w:cs="Times New Roman"/>
        </w:rPr>
        <w:t>为槽式预埋件宽度</w:t>
      </w:r>
      <w:r>
        <w:rPr>
          <w:rFonts w:hint="eastAsia" w:cs="Times New Roman"/>
          <w:lang w:eastAsia="zh-CN"/>
        </w:rPr>
        <w:t>）</w:t>
      </w:r>
      <w:r>
        <w:rPr>
          <w:rFonts w:cs="Times New Roman"/>
        </w:rPr>
        <w:t>，否则该承载力标准值应乘以折减系数</w:t>
      </w:r>
      <m:oMath>
        <m:r>
          <m:rPr>
            <m:sty m:val="p"/>
          </m:rPr>
          <w:rPr>
            <w:rFonts w:ascii="Cambria Math" w:hAnsi="Cambria Math" w:cs="Times New Roman"/>
          </w:rPr>
          <m:t>0.5·</m:t>
        </m:r>
        <m:d>
          <m:dPr>
            <m:ctrlPr>
              <w:rPr>
                <w:rFonts w:ascii="Cambria Math" w:hAnsi="Cambria Math" w:cs="Times New Roman"/>
              </w:rPr>
            </m:ctrlPr>
          </m:dPr>
          <m:e>
            <m:r>
              <m:rPr/>
              <w:rPr>
                <w:rFonts w:ascii="Cambria Math" w:hAnsi="Cambria Math" w:cs="Times New Roman"/>
              </w:rPr>
              <m:t>1+</m:t>
            </m:r>
            <m:f>
              <m:fPr>
                <m:ctrlPr>
                  <w:rPr>
                    <w:rFonts w:ascii="Cambria Math" w:hAnsi="Cambria Math" w:cs="Times New Roman"/>
                    <w:bCs w:val="0"/>
                    <w:i/>
                  </w:rPr>
                </m:ctrlPr>
              </m:fPr>
              <m:num>
                <m:sSub>
                  <m:sSubPr>
                    <m:ctrlPr>
                      <w:rPr>
                        <w:rFonts w:ascii="Cambria Math" w:hAnsi="Cambria Math" w:cs="Times New Roman"/>
                        <w:szCs w:val="21"/>
                      </w:rPr>
                    </m:ctrlPr>
                  </m:sSubPr>
                  <m:e>
                    <m:r>
                      <m:rPr/>
                      <w:rPr>
                        <w:rFonts w:ascii="Cambria Math" w:hAnsi="Cambria Math" w:cs="Times New Roman"/>
                      </w:rPr>
                      <m:t>s</m:t>
                    </m:r>
                    <m:ctrlPr>
                      <w:rPr>
                        <w:rFonts w:ascii="Cambria Math" w:hAnsi="Cambria Math" w:cs="Times New Roman"/>
                        <w:szCs w:val="21"/>
                      </w:rPr>
                    </m:ctrlPr>
                  </m:e>
                  <m:sub>
                    <m:r>
                      <m:rPr/>
                      <w:rPr>
                        <w:rFonts w:ascii="Cambria Math" w:hAnsi="Cambria Math" w:cs="Times New Roman"/>
                      </w:rPr>
                      <m:t>cℎb</m:t>
                    </m:r>
                    <m:ctrlPr>
                      <w:rPr>
                        <w:rFonts w:ascii="Cambria Math" w:hAnsi="Cambria Math" w:cs="Times New Roman"/>
                        <w:szCs w:val="21"/>
                      </w:rPr>
                    </m:ctrlPr>
                  </m:sub>
                </m:sSub>
                <m:ctrlPr>
                  <w:rPr>
                    <w:rFonts w:ascii="Cambria Math" w:hAnsi="Cambria Math" w:cs="Times New Roman"/>
                    <w:bCs w:val="0"/>
                    <w:i/>
                  </w:rPr>
                </m:ctrlPr>
              </m:num>
              <m:den>
                <m:r>
                  <m:rPr/>
                  <w:rPr>
                    <w:rFonts w:ascii="Cambria Math" w:hAnsi="Cambria Math" w:cs="Times New Roman"/>
                    <w:szCs w:val="21"/>
                  </w:rPr>
                  <m:t>2</m:t>
                </m:r>
                <m:sSub>
                  <m:sSubPr>
                    <m:ctrlPr>
                      <w:rPr>
                        <w:rFonts w:ascii="Cambria Math" w:hAnsi="Cambria Math" w:cs="Times New Roman"/>
                        <w:szCs w:val="21"/>
                      </w:rPr>
                    </m:ctrlPr>
                  </m:sSubPr>
                  <m:e>
                    <m:r>
                      <m:rPr/>
                      <w:rPr>
                        <w:rFonts w:ascii="Cambria Math" w:hAnsi="Cambria Math" w:cs="Times New Roman"/>
                      </w:rPr>
                      <m:t>b</m:t>
                    </m:r>
                    <m:ctrlPr>
                      <w:rPr>
                        <w:rFonts w:ascii="Cambria Math" w:hAnsi="Cambria Math" w:cs="Times New Roman"/>
                        <w:szCs w:val="21"/>
                      </w:rPr>
                    </m:ctrlPr>
                  </m:e>
                  <m:sub>
                    <m:r>
                      <m:rPr/>
                      <w:rPr>
                        <w:rFonts w:ascii="Cambria Math" w:hAnsi="Cambria Math" w:cs="Times New Roman"/>
                      </w:rPr>
                      <m:t>cℎ</m:t>
                    </m:r>
                    <m:ctrlPr>
                      <w:rPr>
                        <w:rFonts w:ascii="Cambria Math" w:hAnsi="Cambria Math" w:cs="Times New Roman"/>
                        <w:szCs w:val="21"/>
                      </w:rPr>
                    </m:ctrlPr>
                  </m:sub>
                </m:sSub>
                <m:ctrlPr>
                  <w:rPr>
                    <w:rFonts w:ascii="Cambria Math" w:hAnsi="Cambria Math" w:cs="Times New Roman"/>
                    <w:bCs w:val="0"/>
                    <w:i/>
                  </w:rPr>
                </m:ctrlPr>
              </m:den>
            </m:f>
            <m:ctrlPr>
              <w:rPr>
                <w:rFonts w:ascii="Cambria Math" w:hAnsi="Cambria Math" w:cs="Times New Roman"/>
              </w:rPr>
            </m:ctrlPr>
          </m:e>
        </m:d>
        <m:r>
          <m:rPr/>
          <w:rPr>
            <w:rFonts w:ascii="Cambria Math" w:hAnsi="Cambria Math" w:cs="Times New Roman"/>
          </w:rPr>
          <m:t>≤1.0</m:t>
        </m:r>
      </m:oMath>
      <w:r>
        <w:rPr>
          <w:rFonts w:cs="Times New Roman"/>
        </w:rPr>
        <w:t>。平行于钢槽剪力作用下，钢槽卷边钢材破坏受剪承载力标准值</w:t>
      </w: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Rk，s，l，x</m:t>
            </m:r>
            <m:ctrlPr>
              <w:rPr>
                <w:rFonts w:ascii="Cambria Math" w:hAnsi="Cambria Math" w:cs="Times New Roman"/>
                <w:szCs w:val="21"/>
              </w:rPr>
            </m:ctrlPr>
          </m:sub>
        </m:sSub>
      </m:oMath>
      <w:r>
        <w:rPr>
          <w:rFonts w:cs="Times New Roman"/>
        </w:rPr>
        <w:t>，应取相关认证报告或相关标准中的平行于钢槽的剪切测试给出的承载力标准值。分项系数按表D.0.10-3或按相关认证/测试报告取值。</w:t>
      </w:r>
    </w:p>
    <w:p>
      <w:pPr>
        <w:pStyle w:val="188"/>
        <w:ind w:firstLine="482"/>
        <w:rPr>
          <w:rFonts w:cs="Times New Roman"/>
        </w:rPr>
      </w:pPr>
      <w:r>
        <w:rPr>
          <w:rFonts w:cs="Times New Roman"/>
          <w:b/>
          <w:bCs w:val="0"/>
        </w:rPr>
        <w:t xml:space="preserve">4 </w:t>
      </w:r>
      <w:r>
        <w:rPr>
          <w:rFonts w:cs="Times New Roman"/>
        </w:rPr>
        <w:t>无杠杆臂的纯剪切状态，垂直或平行于钢槽剪力作用下，T型螺栓的钢材破坏受剪承载力标准值</w:t>
      </w: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Rk，s，y</m:t>
            </m:r>
            <m:ctrlPr>
              <w:rPr>
                <w:rFonts w:ascii="Cambria Math" w:hAnsi="Cambria Math" w:cs="Times New Roman"/>
                <w:szCs w:val="21"/>
              </w:rPr>
            </m:ctrlPr>
          </m:sub>
        </m:sSub>
        <m:r>
          <m:rPr/>
          <w:rPr>
            <w:rFonts w:ascii="Cambria Math" w:hAnsi="Cambria Math" w:cs="Times New Roman"/>
            <w:szCs w:val="21"/>
          </w:rPr>
          <m:t>、</m:t>
        </m:r>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Rk，s，x</m:t>
            </m:r>
            <m:ctrlPr>
              <w:rPr>
                <w:rFonts w:ascii="Cambria Math" w:hAnsi="Cambria Math" w:cs="Times New Roman"/>
                <w:szCs w:val="21"/>
              </w:rPr>
            </m:ctrlPr>
          </m:sub>
        </m:sSub>
      </m:oMath>
      <w:r>
        <w:rPr>
          <w:rFonts w:cs="Times New Roman"/>
        </w:rPr>
        <w:t>，应按认证报告取值。若无认证报告，可取相关标准中的受剪承载力标准值，或根据《混凝土结构后锚固技术规程》JGJ 145-2013取</w:t>
      </w:r>
      <m:oMath>
        <m:sSub>
          <m:sSubPr>
            <m:ctrlPr>
              <w:rPr>
                <w:rFonts w:ascii="Cambria Math" w:hAnsi="Cambria Math" w:cs="Times New Roman"/>
                <w:szCs w:val="21"/>
              </w:rPr>
            </m:ctrlPr>
          </m:sSubPr>
          <m:e>
            <m:r>
              <m:rPr/>
              <w:rPr>
                <w:rFonts w:ascii="Cambria Math" w:hAnsi="Cambria Math" w:cs="Times New Roman"/>
              </w:rPr>
              <m:t>0.5A</m:t>
            </m:r>
            <m:ctrlPr>
              <w:rPr>
                <w:rFonts w:ascii="Cambria Math" w:hAnsi="Cambria Math" w:cs="Times New Roman"/>
                <w:szCs w:val="21"/>
              </w:rPr>
            </m:ctrlPr>
          </m:e>
          <m:sub>
            <m:r>
              <m:rPr/>
              <w:rPr>
                <w:rFonts w:ascii="Cambria Math" w:hAnsi="Cambria Math" w:cs="Times New Roman"/>
              </w:rPr>
              <m:t>s</m:t>
            </m:r>
            <m:ctrlPr>
              <w:rPr>
                <w:rFonts w:ascii="Cambria Math" w:hAnsi="Cambria Math" w:cs="Times New Roman"/>
                <w:szCs w:val="21"/>
              </w:rPr>
            </m:ctrlPr>
          </m:sub>
        </m:sSub>
        <m:r>
          <m:rPr/>
          <w:rPr>
            <w:rFonts w:ascii="Cambria Math" w:hAnsi="Cambria Math" w:cs="Times New Roman"/>
            <w:szCs w:val="21"/>
          </w:rPr>
          <m:t>·</m:t>
        </m:r>
        <m:sSub>
          <m:sSubPr>
            <m:ctrlPr>
              <w:rPr>
                <w:rFonts w:ascii="Cambria Math" w:hAnsi="Cambria Math" w:cs="Times New Roman"/>
                <w:szCs w:val="21"/>
              </w:rPr>
            </m:ctrlPr>
          </m:sSubPr>
          <m:e>
            <m:r>
              <m:rPr/>
              <w:rPr>
                <w:rFonts w:ascii="Cambria Math" w:hAnsi="Cambria Math" w:cs="Times New Roman"/>
              </w:rPr>
              <m:t>f</m:t>
            </m:r>
            <m:ctrlPr>
              <w:rPr>
                <w:rFonts w:ascii="Cambria Math" w:hAnsi="Cambria Math" w:cs="Times New Roman"/>
                <w:szCs w:val="21"/>
              </w:rPr>
            </m:ctrlPr>
          </m:e>
          <m:sub>
            <m:r>
              <m:rPr/>
              <w:rPr>
                <w:rFonts w:ascii="Cambria Math" w:hAnsi="Cambria Math" w:cs="Times New Roman"/>
              </w:rPr>
              <m:t>yk</m:t>
            </m:r>
            <m:ctrlPr>
              <w:rPr>
                <w:rFonts w:ascii="Cambria Math" w:hAnsi="Cambria Math" w:cs="Times New Roman"/>
                <w:szCs w:val="21"/>
              </w:rPr>
            </m:ctrlPr>
          </m:sub>
        </m:sSub>
      </m:oMath>
      <w:r>
        <w:rPr>
          <w:rFonts w:cs="Times New Roman"/>
        </w:rPr>
        <w:t>，其中</w:t>
      </w:r>
      <m:oMath>
        <m:sSub>
          <m:sSubPr>
            <m:ctrlPr>
              <w:rPr>
                <w:rFonts w:ascii="Cambria Math" w:hAnsi="Cambria Math" w:cs="Times New Roman"/>
                <w:szCs w:val="21"/>
              </w:rPr>
            </m:ctrlPr>
          </m:sSubPr>
          <m:e>
            <m:r>
              <m:rPr/>
              <w:rPr>
                <w:rFonts w:ascii="Cambria Math" w:hAnsi="Cambria Math" w:cs="Times New Roman"/>
              </w:rPr>
              <m:t>A</m:t>
            </m:r>
            <m:ctrlPr>
              <w:rPr>
                <w:rFonts w:ascii="Cambria Math" w:hAnsi="Cambria Math" w:cs="Times New Roman"/>
                <w:szCs w:val="21"/>
              </w:rPr>
            </m:ctrlPr>
          </m:e>
          <m:sub>
            <m:r>
              <m:rPr/>
              <w:rPr>
                <w:rFonts w:ascii="Cambria Math" w:hAnsi="Cambria Math" w:cs="Times New Roman"/>
              </w:rPr>
              <m:t>s</m:t>
            </m:r>
            <m:ctrlPr>
              <w:rPr>
                <w:rFonts w:ascii="Cambria Math" w:hAnsi="Cambria Math" w:cs="Times New Roman"/>
                <w:szCs w:val="21"/>
              </w:rPr>
            </m:ctrlPr>
          </m:sub>
        </m:sSub>
      </m:oMath>
      <w:r>
        <w:rPr>
          <w:rFonts w:cs="Times New Roman"/>
        </w:rPr>
        <w:t>为螺栓受拉应力截面面积，</w:t>
      </w:r>
      <m:oMath>
        <m:sSub>
          <m:sSubPr>
            <m:ctrlPr>
              <w:rPr>
                <w:rFonts w:ascii="Cambria Math" w:hAnsi="Cambria Math" w:cs="Times New Roman"/>
                <w:szCs w:val="21"/>
              </w:rPr>
            </m:ctrlPr>
          </m:sSubPr>
          <m:e>
            <m:r>
              <m:rPr/>
              <w:rPr>
                <w:rFonts w:ascii="Cambria Math" w:hAnsi="Cambria Math" w:cs="Times New Roman"/>
              </w:rPr>
              <m:t>f</m:t>
            </m:r>
            <m:ctrlPr>
              <w:rPr>
                <w:rFonts w:ascii="Cambria Math" w:hAnsi="Cambria Math" w:cs="Times New Roman"/>
                <w:szCs w:val="21"/>
              </w:rPr>
            </m:ctrlPr>
          </m:e>
          <m:sub>
            <m:r>
              <m:rPr/>
              <w:rPr>
                <w:rFonts w:ascii="Cambria Math" w:hAnsi="Cambria Math" w:cs="Times New Roman"/>
              </w:rPr>
              <m:t>yk</m:t>
            </m:r>
            <m:ctrlPr>
              <w:rPr>
                <w:rFonts w:ascii="Cambria Math" w:hAnsi="Cambria Math" w:cs="Times New Roman"/>
                <w:szCs w:val="21"/>
              </w:rPr>
            </m:ctrlPr>
          </m:sub>
        </m:sSub>
      </m:oMath>
      <w:r>
        <w:rPr>
          <w:rFonts w:cs="Times New Roman"/>
        </w:rPr>
        <w:t>为螺栓屈服强度标准值。</w:t>
      </w:r>
    </w:p>
    <w:p>
      <w:pPr>
        <w:pStyle w:val="188"/>
        <w:ind w:firstLine="482"/>
        <w:rPr>
          <w:rFonts w:cs="Times New Roman"/>
        </w:rPr>
      </w:pPr>
      <w:r>
        <w:rPr>
          <w:rFonts w:cs="Times New Roman"/>
          <w:b/>
          <w:bCs w:val="0"/>
        </w:rPr>
        <w:t xml:space="preserve">5 </w:t>
      </w:r>
      <w:r>
        <w:rPr>
          <w:rFonts w:cs="Times New Roman"/>
        </w:rPr>
        <w:t>有杠杆臂的弯剪复合受力</w:t>
      </w:r>
      <w:r>
        <w:rPr>
          <w:rFonts w:hint="eastAsia" w:cs="Times New Roman"/>
          <w:lang w:eastAsia="zh-CN"/>
        </w:rPr>
        <w:t>（</w:t>
      </w:r>
      <w:r>
        <w:rPr>
          <w:rFonts w:cs="Times New Roman"/>
        </w:rPr>
        <w:t>图D.0.9)，平行于钢槽剪力作用下，T型螺栓的钢材破坏受剪承载力标准值</w:t>
      </w: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Rk，s，M，x</m:t>
            </m:r>
            <m:ctrlPr>
              <w:rPr>
                <w:rFonts w:ascii="Cambria Math" w:hAnsi="Cambria Math" w:cs="Times New Roman"/>
                <w:szCs w:val="21"/>
              </w:rPr>
            </m:ctrlPr>
          </m:sub>
        </m:sSub>
      </m:oMath>
      <w:r>
        <w:rPr>
          <w:rFonts w:cs="Times New Roman"/>
        </w:rPr>
        <w:t>，应按测试报告取值。垂直于钢槽剪力作用下，T型螺栓的受剪承载力标准值可按下式计算（</w:t>
      </w:r>
      <m:oMath>
        <m:sSub>
          <m:sSubPr>
            <m:ctrlPr>
              <w:rPr>
                <w:rFonts w:ascii="Cambria Math" w:hAnsi="Cambria Math" w:cs="Times New Roman"/>
                <w:szCs w:val="21"/>
              </w:rPr>
            </m:ctrlPr>
          </m:sSubPr>
          <m:e>
            <m:r>
              <m:rPr/>
              <w:rPr>
                <w:rFonts w:ascii="Cambria Math" w:hAnsi="Cambria Math" w:cs="Times New Roman"/>
              </w:rPr>
              <m:t>l</m:t>
            </m:r>
            <m:ctrlPr>
              <w:rPr>
                <w:rFonts w:ascii="Cambria Math" w:hAnsi="Cambria Math" w:cs="Times New Roman"/>
                <w:szCs w:val="21"/>
              </w:rPr>
            </m:ctrlPr>
          </m:e>
          <m:sub>
            <m:r>
              <m:rPr/>
              <w:rPr>
                <w:rFonts w:ascii="Cambria Math" w:hAnsi="Cambria Math" w:cs="Times New Roman"/>
              </w:rPr>
              <m:t>a</m:t>
            </m:r>
            <m:ctrlPr>
              <w:rPr>
                <w:rFonts w:ascii="Cambria Math" w:hAnsi="Cambria Math" w:cs="Times New Roman"/>
                <w:szCs w:val="21"/>
              </w:rPr>
            </m:ctrlPr>
          </m:sub>
        </m:sSub>
      </m:oMath>
      <w:r>
        <w:rPr>
          <w:rFonts w:cs="Times New Roman"/>
        </w:rPr>
        <w:t>见图D.0.9）：</w:t>
      </w:r>
    </w:p>
    <w:tbl>
      <w:tblPr>
        <w:tblStyle w:val="37"/>
        <w:tblW w:w="4750" w:type="pct"/>
        <w:jc w:val="right"/>
        <w:tblLayout w:type="fixed"/>
        <w:tblCellMar>
          <w:top w:w="0" w:type="dxa"/>
          <w:left w:w="108" w:type="dxa"/>
          <w:bottom w:w="0" w:type="dxa"/>
          <w:right w:w="108" w:type="dxa"/>
        </w:tblCellMar>
      </w:tblPr>
      <w:tblGrid>
        <w:gridCol w:w="7499"/>
        <w:gridCol w:w="1862"/>
      </w:tblGrid>
      <w:tr>
        <w:tblPrEx>
          <w:tblCellMar>
            <w:top w:w="0" w:type="dxa"/>
            <w:left w:w="108" w:type="dxa"/>
            <w:bottom w:w="0" w:type="dxa"/>
            <w:right w:w="108" w:type="dxa"/>
          </w:tblCellMar>
        </w:tblPrEx>
        <w:trPr>
          <w:jc w:val="right"/>
        </w:trPr>
        <w:tc>
          <w:tcPr>
            <w:tcW w:w="6486"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Rk，s，M，y</m:t>
                    </m:r>
                    <m:ctrlPr>
                      <w:rPr>
                        <w:rFonts w:ascii="Cambria Math" w:hAnsi="Cambria Math" w:cs="Times New Roman"/>
                        <w:szCs w:val="21"/>
                      </w:rPr>
                    </m:ctrlPr>
                  </m:sub>
                </m:sSub>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szCs w:val="21"/>
                          </w:rPr>
                        </m:ctrlPr>
                      </m:sSubPr>
                      <m:e>
                        <m:r>
                          <m:rPr/>
                          <w:rPr>
                            <w:rFonts w:ascii="Cambria Math" w:hAnsi="Cambria Math" w:cs="Times New Roman"/>
                          </w:rPr>
                          <m:t>α</m:t>
                        </m:r>
                        <m:ctrlPr>
                          <w:rPr>
                            <w:rFonts w:ascii="Cambria Math" w:hAnsi="Cambria Math" w:cs="Times New Roman"/>
                            <w:szCs w:val="21"/>
                          </w:rPr>
                        </m:ctrlPr>
                      </m:e>
                      <m:sub>
                        <m:r>
                          <m:rPr/>
                          <w:rPr>
                            <w:rFonts w:ascii="Cambria Math" w:hAnsi="Cambria Math" w:cs="Times New Roman"/>
                          </w:rPr>
                          <m:t>M</m:t>
                        </m:r>
                        <m:ctrlPr>
                          <w:rPr>
                            <w:rFonts w:ascii="Cambria Math" w:hAnsi="Cambria Math" w:cs="Times New Roman"/>
                            <w:szCs w:val="21"/>
                          </w:rPr>
                        </m:ctrlPr>
                      </m:sub>
                    </m:sSub>
                    <m:r>
                      <m:rPr/>
                      <w:rPr>
                        <w:rFonts w:ascii="Cambria Math" w:hAnsi="Cambria Math" w:cs="Times New Roman"/>
                        <w:szCs w:val="21"/>
                      </w:rPr>
                      <m:t>·</m:t>
                    </m:r>
                    <m:sSub>
                      <m:sSubPr>
                        <m:ctrlPr>
                          <w:rPr>
                            <w:rFonts w:ascii="Cambria Math" w:hAnsi="Cambria Math" w:cs="Times New Roman"/>
                            <w:szCs w:val="21"/>
                          </w:rPr>
                        </m:ctrlPr>
                      </m:sSubPr>
                      <m:e>
                        <m:r>
                          <m:rPr/>
                          <w:rPr>
                            <w:rFonts w:ascii="Cambria Math" w:hAnsi="Cambria Math" w:cs="Times New Roman"/>
                          </w:rPr>
                          <m:t>M</m:t>
                        </m:r>
                        <m:ctrlPr>
                          <w:rPr>
                            <w:rFonts w:ascii="Cambria Math" w:hAnsi="Cambria Math" w:cs="Times New Roman"/>
                            <w:szCs w:val="21"/>
                          </w:rPr>
                        </m:ctrlPr>
                      </m:e>
                      <m:sub>
                        <m:r>
                          <m:rPr/>
                          <w:rPr>
                            <w:rFonts w:ascii="Cambria Math" w:hAnsi="Cambria Math" w:cs="Times New Roman"/>
                          </w:rPr>
                          <m:t>Rk，s</m:t>
                        </m:r>
                        <m:ctrlPr>
                          <w:rPr>
                            <w:rFonts w:ascii="Cambria Math" w:hAnsi="Cambria Math" w:cs="Times New Roman"/>
                            <w:szCs w:val="21"/>
                          </w:rPr>
                        </m:ctrlPr>
                      </m:sub>
                    </m:sSub>
                    <m:ctrlPr>
                      <w:rPr>
                        <w:rFonts w:ascii="Cambria Math" w:hAnsi="Cambria Math" w:cs="Times New Roman"/>
                        <w:i/>
                      </w:rPr>
                    </m:ctrlPr>
                  </m:num>
                  <m:den>
                    <m:sSub>
                      <m:sSubPr>
                        <m:ctrlPr>
                          <w:rPr>
                            <w:rFonts w:ascii="Cambria Math" w:hAnsi="Cambria Math" w:cs="Times New Roman"/>
                            <w:szCs w:val="21"/>
                          </w:rPr>
                        </m:ctrlPr>
                      </m:sSubPr>
                      <m:e>
                        <m:r>
                          <m:rPr/>
                          <w:rPr>
                            <w:rFonts w:ascii="Cambria Math" w:hAnsi="Cambria Math" w:cs="Times New Roman"/>
                          </w:rPr>
                          <m:t>l</m:t>
                        </m:r>
                        <m:ctrlPr>
                          <w:rPr>
                            <w:rFonts w:ascii="Cambria Math" w:hAnsi="Cambria Math" w:cs="Times New Roman"/>
                            <w:szCs w:val="21"/>
                          </w:rPr>
                        </m:ctrlPr>
                      </m:e>
                      <m:sub>
                        <m:r>
                          <m:rPr/>
                          <w:rPr>
                            <w:rFonts w:ascii="Cambria Math" w:hAnsi="Cambria Math" w:cs="Times New Roman"/>
                          </w:rPr>
                          <m:t>a</m:t>
                        </m:r>
                        <m:ctrlPr>
                          <w:rPr>
                            <w:rFonts w:ascii="Cambria Math" w:hAnsi="Cambria Math" w:cs="Times New Roman"/>
                            <w:szCs w:val="21"/>
                          </w:rPr>
                        </m:ctrlPr>
                      </m:sub>
                    </m:sSub>
                    <m:ctrlPr>
                      <w:rPr>
                        <w:rFonts w:ascii="Cambria Math" w:hAnsi="Cambria Math" w:cs="Times New Roman"/>
                        <w:i/>
                      </w:rPr>
                    </m:ctrlPr>
                  </m:den>
                </m:f>
              </m:oMath>
            </m:oMathPara>
          </w:p>
        </w:tc>
        <w:tc>
          <w:tcPr>
            <w:tcW w:w="1610"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（D.0.20-2）</w:t>
            </w:r>
          </w:p>
        </w:tc>
      </w:tr>
      <w:tr>
        <w:tblPrEx>
          <w:tblCellMar>
            <w:top w:w="0" w:type="dxa"/>
            <w:left w:w="108" w:type="dxa"/>
            <w:bottom w:w="0" w:type="dxa"/>
            <w:right w:w="108" w:type="dxa"/>
          </w:tblCellMar>
        </w:tblPrEx>
        <w:trPr>
          <w:jc w:val="right"/>
        </w:trPr>
        <w:tc>
          <w:tcPr>
            <w:tcW w:w="6486"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szCs w:val="21"/>
                      </w:rPr>
                    </m:ctrlPr>
                  </m:sSubPr>
                  <m:e>
                    <m:r>
                      <m:rPr/>
                      <w:rPr>
                        <w:rFonts w:ascii="Cambria Math" w:hAnsi="Cambria Math" w:cs="Times New Roman"/>
                      </w:rPr>
                      <m:t>M</m:t>
                    </m:r>
                    <m:ctrlPr>
                      <w:rPr>
                        <w:rFonts w:ascii="Cambria Math" w:hAnsi="Cambria Math" w:cs="Times New Roman"/>
                        <w:szCs w:val="21"/>
                      </w:rPr>
                    </m:ctrlPr>
                  </m:e>
                  <m:sub>
                    <m:r>
                      <m:rPr/>
                      <w:rPr>
                        <w:rFonts w:ascii="Cambria Math" w:hAnsi="Cambria Math" w:cs="Times New Roman"/>
                      </w:rPr>
                      <m:t>Rk，s</m:t>
                    </m:r>
                    <m:ctrlPr>
                      <w:rPr>
                        <w:rFonts w:ascii="Cambria Math" w:hAnsi="Cambria Math" w:cs="Times New Roman"/>
                        <w:szCs w:val="21"/>
                      </w:rPr>
                    </m:ctrlPr>
                  </m:sub>
                </m:sSub>
                <m:r>
                  <m:rPr/>
                  <w:rPr>
                    <w:rFonts w:ascii="Cambria Math" w:hAnsi="Cambria Math" w:cs="Times New Roman"/>
                  </w:rPr>
                  <m:t>=</m:t>
                </m:r>
                <m:sSubSup>
                  <m:sSubSupPr>
                    <m:ctrlPr>
                      <w:rPr>
                        <w:rFonts w:ascii="Cambria Math" w:hAnsi="Cambria Math" w:cs="Times New Roman"/>
                        <w:i/>
                      </w:rPr>
                    </m:ctrlPr>
                  </m:sSubSup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Rk，s</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r>
                  <m:rPr/>
                  <w:rPr>
                    <w:rFonts w:ascii="Cambria Math" w:hAnsi="Cambria Math" w:cs="Times New Roman"/>
                  </w:rPr>
                  <m:t>·(1−</m:t>
                </m:r>
                <m:f>
                  <m:fPr>
                    <m:ctrlPr>
                      <w:rPr>
                        <w:rFonts w:ascii="Cambria Math" w:hAnsi="Cambria Math" w:cs="Times New Roman"/>
                        <w:i/>
                      </w:rPr>
                    </m:ctrlPr>
                  </m:fPr>
                  <m:num>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Ed</m:t>
                        </m:r>
                        <m:ctrlPr>
                          <w:rPr>
                            <w:rFonts w:ascii="Cambria Math" w:hAnsi="Cambria Math" w:cs="Times New Roman"/>
                            <w:i/>
                          </w:rPr>
                        </m:ctrlPr>
                      </m:sub>
                      <m:sup>
                        <m:r>
                          <m:rPr/>
                          <w:rPr>
                            <w:rFonts w:ascii="Cambria Math" w:hAnsi="Cambria Math" w:cs="Times New Roman"/>
                          </w:rPr>
                          <m:t>cb</m:t>
                        </m:r>
                        <m:ctrlPr>
                          <w:rPr>
                            <w:rFonts w:ascii="Cambria Math" w:hAnsi="Cambria Math" w:cs="Times New Roman"/>
                            <w:i/>
                          </w:rPr>
                        </m:ctrlPr>
                      </m:sup>
                    </m:sSubSup>
                    <m:ctrlPr>
                      <w:rPr>
                        <w:rFonts w:ascii="Cambria Math" w:hAnsi="Cambria Math" w:cs="Times New Roman"/>
                        <w:i/>
                      </w:rPr>
                    </m:ctrlPr>
                  </m:num>
                  <m:den>
                    <m:sSub>
                      <m:sSubPr>
                        <m:ctrlPr>
                          <w:rPr>
                            <w:rFonts w:ascii="Cambria Math" w:hAnsi="Cambria Math" w:cs="Times New Roman"/>
                            <w:szCs w:val="21"/>
                          </w:rPr>
                        </m:ctrlPr>
                      </m:sSubPr>
                      <m:e>
                        <m:r>
                          <m:rPr/>
                          <w:rPr>
                            <w:rFonts w:ascii="Cambria Math" w:hAnsi="Cambria Math" w:cs="Times New Roman"/>
                          </w:rPr>
                          <m:t>N</m:t>
                        </m:r>
                        <m:ctrlPr>
                          <w:rPr>
                            <w:rFonts w:ascii="Cambria Math" w:hAnsi="Cambria Math" w:cs="Times New Roman"/>
                            <w:szCs w:val="21"/>
                          </w:rPr>
                        </m:ctrlPr>
                      </m:e>
                      <m:sub>
                        <m:r>
                          <m:rPr/>
                          <w:rPr>
                            <w:rFonts w:ascii="Cambria Math" w:hAnsi="Cambria Math" w:cs="Times New Roman"/>
                          </w:rPr>
                          <m:t>Rd，s</m:t>
                        </m:r>
                        <m:ctrlPr>
                          <w:rPr>
                            <w:rFonts w:ascii="Cambria Math" w:hAnsi="Cambria Math" w:cs="Times New Roman"/>
                            <w:szCs w:val="21"/>
                          </w:rPr>
                        </m:ctrlPr>
                      </m:sub>
                    </m:sSub>
                    <m:ctrlPr>
                      <w:rPr>
                        <w:rFonts w:ascii="Cambria Math" w:hAnsi="Cambria Math" w:cs="Times New Roman"/>
                        <w:i/>
                      </w:rPr>
                    </m:ctrlPr>
                  </m:den>
                </m:f>
                <m:r>
                  <m:rPr/>
                  <w:rPr>
                    <w:rFonts w:ascii="Cambria Math" w:hAnsi="Cambria Math" w:cs="Times New Roman"/>
                  </w:rPr>
                  <m:t>)</m:t>
                </m:r>
              </m:oMath>
            </m:oMathPara>
          </w:p>
        </w:tc>
        <w:tc>
          <w:tcPr>
            <w:tcW w:w="1610"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（D.0.20-3）</w:t>
            </w:r>
          </w:p>
        </w:tc>
      </w:tr>
      <w:tr>
        <w:tblPrEx>
          <w:tblCellMar>
            <w:top w:w="0" w:type="dxa"/>
            <w:left w:w="108" w:type="dxa"/>
            <w:bottom w:w="0" w:type="dxa"/>
            <w:right w:w="108" w:type="dxa"/>
          </w:tblCellMar>
        </w:tblPrEx>
        <w:trPr>
          <w:jc w:val="right"/>
        </w:trPr>
        <w:tc>
          <w:tcPr>
            <w:tcW w:w="6486"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szCs w:val="21"/>
                      </w:rPr>
                    </m:ctrlPr>
                  </m:sSubPr>
                  <m:e>
                    <m:r>
                      <m:rPr/>
                      <w:rPr>
                        <w:rFonts w:ascii="Cambria Math" w:hAnsi="Cambria Math" w:cs="Times New Roman"/>
                      </w:rPr>
                      <m:t>N</m:t>
                    </m:r>
                    <m:ctrlPr>
                      <w:rPr>
                        <w:rFonts w:ascii="Cambria Math" w:hAnsi="Cambria Math" w:cs="Times New Roman"/>
                        <w:szCs w:val="21"/>
                      </w:rPr>
                    </m:ctrlPr>
                  </m:e>
                  <m:sub>
                    <m:r>
                      <m:rPr/>
                      <w:rPr>
                        <w:rFonts w:ascii="Cambria Math" w:hAnsi="Cambria Math" w:cs="Times New Roman"/>
                      </w:rPr>
                      <m:t>Rd，s</m:t>
                    </m:r>
                    <m:ctrlPr>
                      <w:rPr>
                        <w:rFonts w:ascii="Cambria Math" w:hAnsi="Cambria Math" w:cs="Times New Roman"/>
                        <w:szCs w:val="21"/>
                      </w:rPr>
                    </m:ctrlPr>
                  </m:sub>
                </m:sSub>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szCs w:val="21"/>
                          </w:rPr>
                        </m:ctrlPr>
                      </m:sSubPr>
                      <m:e>
                        <m:r>
                          <m:rPr/>
                          <w:rPr>
                            <w:rFonts w:ascii="Cambria Math" w:hAnsi="Cambria Math" w:cs="Times New Roman"/>
                          </w:rPr>
                          <m:t>N</m:t>
                        </m:r>
                        <m:ctrlPr>
                          <w:rPr>
                            <w:rFonts w:ascii="Cambria Math" w:hAnsi="Cambria Math" w:cs="Times New Roman"/>
                            <w:szCs w:val="21"/>
                          </w:rPr>
                        </m:ctrlPr>
                      </m:e>
                      <m:sub>
                        <m:r>
                          <m:rPr/>
                          <w:rPr>
                            <w:rFonts w:ascii="Cambria Math" w:hAnsi="Cambria Math" w:cs="Times New Roman"/>
                          </w:rPr>
                          <m:t>Rk，s</m:t>
                        </m:r>
                        <m:ctrlPr>
                          <w:rPr>
                            <w:rFonts w:ascii="Cambria Math" w:hAnsi="Cambria Math" w:cs="Times New Roman"/>
                            <w:szCs w:val="21"/>
                          </w:rPr>
                        </m:ctrlPr>
                      </m:sub>
                    </m:sSub>
                    <m:ctrlPr>
                      <w:rPr>
                        <w:rFonts w:ascii="Cambria Math" w:hAnsi="Cambria Math" w:cs="Times New Roman"/>
                        <w:i/>
                      </w:rPr>
                    </m:ctrlPr>
                  </m:num>
                  <m:den>
                    <m:sSub>
                      <m:sSubPr>
                        <m:ctrlPr>
                          <w:rPr>
                            <w:rFonts w:ascii="Cambria Math" w:hAnsi="Cambria Math" w:cs="Times New Roman"/>
                            <w:szCs w:val="21"/>
                          </w:rPr>
                        </m:ctrlPr>
                      </m:sSubPr>
                      <m:e>
                        <m:r>
                          <m:rPr/>
                          <w:rPr>
                            <w:rFonts w:ascii="Cambria Math" w:hAnsi="Cambria Math" w:cs="Times New Roman"/>
                            <w:szCs w:val="21"/>
                          </w:rPr>
                          <m:t>γ</m:t>
                        </m:r>
                        <m:ctrlPr>
                          <w:rPr>
                            <w:rFonts w:ascii="Cambria Math" w:hAnsi="Cambria Math" w:cs="Times New Roman"/>
                            <w:szCs w:val="21"/>
                          </w:rPr>
                        </m:ctrlPr>
                      </m:e>
                      <m:sub>
                        <m:r>
                          <m:rPr/>
                          <w:rPr>
                            <w:rFonts w:ascii="Cambria Math" w:hAnsi="Cambria Math" w:cs="Times New Roman"/>
                          </w:rPr>
                          <m:t>Ms</m:t>
                        </m:r>
                        <m:ctrlPr>
                          <w:rPr>
                            <w:rFonts w:ascii="Cambria Math" w:hAnsi="Cambria Math" w:cs="Times New Roman"/>
                            <w:szCs w:val="21"/>
                          </w:rPr>
                        </m:ctrlPr>
                      </m:sub>
                    </m:sSub>
                    <m:ctrlPr>
                      <w:rPr>
                        <w:rFonts w:ascii="Cambria Math" w:hAnsi="Cambria Math" w:cs="Times New Roman"/>
                        <w:i/>
                      </w:rPr>
                    </m:ctrlPr>
                  </m:den>
                </m:f>
              </m:oMath>
            </m:oMathPara>
          </w:p>
        </w:tc>
        <w:tc>
          <w:tcPr>
            <w:tcW w:w="1610"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（D.0.20-4）</w:t>
            </w:r>
          </w:p>
        </w:tc>
      </w:tr>
    </w:tbl>
    <w:p>
      <w:pPr>
        <w:pStyle w:val="202"/>
        <w:rPr>
          <w:rFonts w:cs="Times New Roman"/>
        </w:rPr>
      </w:pPr>
      <w:r>
        <w:rPr>
          <w:rFonts w:cs="Times New Roman"/>
        </w:rPr>
        <w:drawing>
          <wp:inline distT="0" distB="0" distL="0" distR="0">
            <wp:extent cx="2633980" cy="179959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13"/>
                    <a:stretch>
                      <a:fillRect/>
                    </a:stretch>
                  </pic:blipFill>
                  <pic:spPr>
                    <a:xfrm>
                      <a:off x="0" y="0"/>
                      <a:ext cx="2634307" cy="1800000"/>
                    </a:xfrm>
                    <a:prstGeom prst="rect">
                      <a:avLst/>
                    </a:prstGeom>
                  </pic:spPr>
                </pic:pic>
              </a:graphicData>
            </a:graphic>
          </wp:inline>
        </w:drawing>
      </w:r>
    </w:p>
    <w:p>
      <w:pPr>
        <w:pStyle w:val="202"/>
        <w:rPr>
          <w:rFonts w:cs="Times New Roman"/>
        </w:rPr>
      </w:pPr>
      <w:r>
        <w:rPr>
          <w:rFonts w:cs="Times New Roman"/>
        </w:rPr>
        <w:t>图D.0.20 T型螺栓受剪时的内力臂长度示意图</w:t>
      </w:r>
    </w:p>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szCs w:val="21"/>
                      </w:rPr>
                    </m:ctrlPr>
                  </m:sSubPr>
                  <m:e>
                    <m:r>
                      <m:rPr/>
                      <w:rPr>
                        <w:rFonts w:ascii="Cambria Math" w:hAnsi="Cambria Math" w:cs="Times New Roman"/>
                      </w:rPr>
                      <m:t>α</m:t>
                    </m:r>
                    <m:ctrlPr>
                      <w:rPr>
                        <w:rFonts w:ascii="Cambria Math" w:hAnsi="Cambria Math" w:cs="Times New Roman"/>
                        <w:szCs w:val="21"/>
                      </w:rPr>
                    </m:ctrlPr>
                  </m:e>
                  <m:sub>
                    <m:r>
                      <m:rPr/>
                      <w:rPr>
                        <w:rFonts w:ascii="Cambria Math" w:hAnsi="Cambria Math" w:cs="Times New Roman"/>
                      </w:rPr>
                      <m:t>M</m:t>
                    </m:r>
                    <m:ctrlPr>
                      <w:rPr>
                        <w:rFonts w:ascii="Cambria Math" w:hAnsi="Cambria Math" w:cs="Times New Roman"/>
                        <w:szCs w:val="21"/>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被连接件约束系数，幕墙工程可取值1.0；</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szCs w:val="21"/>
                      </w:rPr>
                    </m:ctrlPr>
                  </m:sSubPr>
                  <m:e>
                    <m:r>
                      <m:rPr/>
                      <w:rPr>
                        <w:rFonts w:ascii="Cambria Math" w:hAnsi="Cambria Math" w:cs="Times New Roman"/>
                      </w:rPr>
                      <m:t>M</m:t>
                    </m:r>
                    <m:ctrlPr>
                      <w:rPr>
                        <w:rFonts w:ascii="Cambria Math" w:hAnsi="Cambria Math" w:cs="Times New Roman"/>
                        <w:szCs w:val="21"/>
                      </w:rPr>
                    </m:ctrlPr>
                  </m:e>
                  <m:sub>
                    <m:r>
                      <m:rPr/>
                      <w:rPr>
                        <w:rFonts w:ascii="Cambria Math" w:hAnsi="Cambria Math" w:cs="Times New Roman"/>
                      </w:rPr>
                      <m:t>Rk，s</m:t>
                    </m:r>
                    <m:ctrlPr>
                      <w:rPr>
                        <w:rFonts w:ascii="Cambria Math" w:hAnsi="Cambria Math" w:cs="Times New Roman"/>
                        <w:szCs w:val="21"/>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抗弯承载力标准值；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i/>
                      </w:rPr>
                    </m:ctrlPr>
                  </m:sSubSup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Rk，s</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槽式预埋件螺栓的理想抗弯承载力标准值，由认证报告提供；无相关认证报告时，可按JGJ 145-2013的公式</w:t>
            </w:r>
            <m:oMath>
              <m:sSubSup>
                <m:sSubSupPr>
                  <m:ctrlPr>
                    <w:rPr>
                      <w:rFonts w:ascii="Cambria Math" w:hAnsi="Cambria Math"/>
                      <w:bCs w:val="0"/>
                      <w:i/>
                      <w:szCs w:val="24"/>
                    </w:rPr>
                  </m:ctrlPr>
                </m:sSubSupPr>
                <m:e>
                  <m:r>
                    <m:rPr/>
                    <w:rPr>
                      <w:rFonts w:ascii="Cambria Math" w:hAnsi="Cambria Math"/>
                    </w:rPr>
                    <m:t>M</m:t>
                  </m:r>
                  <m:ctrlPr>
                    <w:rPr>
                      <w:rFonts w:ascii="Cambria Math" w:hAnsi="Cambria Math"/>
                      <w:bCs w:val="0"/>
                      <w:i/>
                      <w:szCs w:val="24"/>
                    </w:rPr>
                  </m:ctrlPr>
                </m:e>
                <m:sub>
                  <m:r>
                    <m:rPr/>
                    <w:rPr>
                      <w:rFonts w:ascii="Cambria Math" w:hAnsi="Cambria Math"/>
                    </w:rPr>
                    <m:t>Rk，s</m:t>
                  </m:r>
                  <m:ctrlPr>
                    <w:rPr>
                      <w:rFonts w:ascii="Cambria Math" w:hAnsi="Cambria Math"/>
                      <w:bCs w:val="0"/>
                      <w:i/>
                      <w:szCs w:val="24"/>
                    </w:rPr>
                  </m:ctrlPr>
                </m:sub>
                <m:sup>
                  <m:r>
                    <m:rPr/>
                    <w:rPr>
                      <w:rFonts w:ascii="Cambria Math" w:hAnsi="Cambria Math"/>
                    </w:rPr>
                    <m:t>0</m:t>
                  </m:r>
                  <m:ctrlPr>
                    <w:rPr>
                      <w:rFonts w:ascii="Cambria Math" w:hAnsi="Cambria Math"/>
                      <w:bCs w:val="0"/>
                      <w:i/>
                      <w:szCs w:val="24"/>
                    </w:rPr>
                  </m:ctrlPr>
                </m:sup>
              </m:sSubSup>
              <m:r>
                <m:rPr>
                  <m:sty m:val="p"/>
                </m:rPr>
                <w:rPr>
                  <w:rFonts w:ascii="Cambria Math" w:hAnsi="Cambria Math"/>
                  <w:szCs w:val="24"/>
                </w:rPr>
                <m:t>=1.2</m:t>
              </m:r>
              <m:sSub>
                <m:sSubPr>
                  <m:ctrlPr>
                    <w:rPr>
                      <w:rFonts w:ascii="Cambria Math" w:hAnsi="Cambria Math"/>
                      <w:bCs w:val="0"/>
                      <w:szCs w:val="24"/>
                    </w:rPr>
                  </m:ctrlPr>
                </m:sSubPr>
                <m:e>
                  <m:r>
                    <m:rPr/>
                    <w:rPr>
                      <w:rFonts w:ascii="Cambria Math" w:hAnsi="Cambria Math"/>
                      <w:szCs w:val="24"/>
                    </w:rPr>
                    <m:t>W</m:t>
                  </m:r>
                  <m:ctrlPr>
                    <w:rPr>
                      <w:rFonts w:ascii="Cambria Math" w:hAnsi="Cambria Math"/>
                      <w:bCs w:val="0"/>
                      <w:szCs w:val="24"/>
                    </w:rPr>
                  </m:ctrlPr>
                </m:e>
                <m:sub>
                  <m:r>
                    <m:rPr/>
                    <w:rPr>
                      <w:rFonts w:ascii="Cambria Math" w:hAnsi="Cambria Math"/>
                      <w:szCs w:val="24"/>
                    </w:rPr>
                    <m:t>e1</m:t>
                  </m:r>
                  <m:ctrlPr>
                    <w:rPr>
                      <w:rFonts w:ascii="Cambria Math" w:hAnsi="Cambria Math"/>
                      <w:bCs w:val="0"/>
                      <w:szCs w:val="24"/>
                    </w:rPr>
                  </m:ctrlPr>
                </m:sub>
              </m:sSub>
              <m:sSub>
                <m:sSubPr>
                  <m:ctrlPr>
                    <w:rPr>
                      <w:rFonts w:ascii="Cambria Math" w:hAnsi="Cambria Math"/>
                      <w:bCs w:val="0"/>
                      <w:szCs w:val="24"/>
                    </w:rPr>
                  </m:ctrlPr>
                </m:sSubPr>
                <m:e>
                  <m:r>
                    <m:rPr/>
                    <w:rPr>
                      <w:rFonts w:ascii="Cambria Math" w:hAnsi="Cambria Math"/>
                      <w:szCs w:val="24"/>
                    </w:rPr>
                    <m:t>f</m:t>
                  </m:r>
                  <m:ctrlPr>
                    <w:rPr>
                      <w:rFonts w:ascii="Cambria Math" w:hAnsi="Cambria Math"/>
                      <w:bCs w:val="0"/>
                      <w:szCs w:val="24"/>
                    </w:rPr>
                  </m:ctrlPr>
                </m:e>
                <m:sub>
                  <m:r>
                    <m:rPr/>
                    <w:rPr>
                      <w:rFonts w:ascii="Cambria Math" w:hAnsi="Cambria Math"/>
                      <w:szCs w:val="24"/>
                    </w:rPr>
                    <m:t>yk</m:t>
                  </m:r>
                  <m:ctrlPr>
                    <w:rPr>
                      <w:rFonts w:ascii="Cambria Math" w:hAnsi="Cambria Math"/>
                      <w:bCs w:val="0"/>
                      <w:szCs w:val="24"/>
                    </w:rPr>
                  </m:ctrlPr>
                </m:sub>
              </m:sSub>
            </m:oMath>
            <w:r>
              <w:t>计算，且不应大于</w:t>
            </w:r>
            <m:oMath>
              <m:r>
                <m:rPr>
                  <m:sty m:val="p"/>
                </m:rPr>
                <w:rPr>
                  <w:rFonts w:ascii="Cambria Math" w:hAnsi="Cambria Math"/>
                  <w:szCs w:val="24"/>
                </w:rPr>
                <m:t>0.5·</m:t>
              </m:r>
              <m:sSub>
                <m:sSubPr>
                  <m:ctrlPr>
                    <w:rPr>
                      <w:rFonts w:ascii="Cambria Math" w:hAnsi="Cambria Math"/>
                      <w:bCs w:val="0"/>
                      <w:szCs w:val="24"/>
                    </w:rPr>
                  </m:ctrlPr>
                </m:sSubPr>
                <m:e>
                  <m:r>
                    <m:rPr/>
                    <w:rPr>
                      <w:rFonts w:ascii="Cambria Math" w:hAnsi="Cambria Math"/>
                      <w:szCs w:val="24"/>
                    </w:rPr>
                    <m:t>N</m:t>
                  </m:r>
                  <m:ctrlPr>
                    <w:rPr>
                      <w:rFonts w:ascii="Cambria Math" w:hAnsi="Cambria Math"/>
                      <w:bCs w:val="0"/>
                      <w:szCs w:val="24"/>
                    </w:rPr>
                  </m:ctrlPr>
                </m:e>
                <m:sub>
                  <m:r>
                    <m:rPr/>
                    <w:rPr>
                      <w:rFonts w:ascii="Cambria Math" w:hAnsi="Cambria Math"/>
                      <w:szCs w:val="24"/>
                    </w:rPr>
                    <m:t>Rk，s，l</m:t>
                  </m:r>
                  <m:ctrlPr>
                    <w:rPr>
                      <w:rFonts w:ascii="Cambria Math" w:hAnsi="Cambria Math"/>
                      <w:bCs w:val="0"/>
                      <w:szCs w:val="24"/>
                    </w:rPr>
                  </m:ctrlPr>
                </m:sub>
              </m:sSub>
              <m:r>
                <m:rPr>
                  <m:sty m:val="p"/>
                </m:rPr>
                <w:rPr>
                  <w:rFonts w:ascii="Cambria Math" w:hAnsi="Cambria Math"/>
                  <w:szCs w:val="24"/>
                </w:rPr>
                <m:t>·a</m:t>
              </m:r>
            </m:oMath>
            <w:r>
              <w:t>，其中</w:t>
            </w:r>
            <m:oMath>
              <m:sSub>
                <m:sSubPr>
                  <m:ctrlPr>
                    <w:rPr>
                      <w:rFonts w:ascii="Cambria Math" w:hAnsi="Cambria Math"/>
                      <w:bCs w:val="0"/>
                      <w:szCs w:val="24"/>
                    </w:rPr>
                  </m:ctrlPr>
                </m:sSubPr>
                <m:e>
                  <m:r>
                    <m:rPr/>
                    <w:rPr>
                      <w:rFonts w:ascii="Cambria Math" w:hAnsi="Cambria Math"/>
                      <w:szCs w:val="24"/>
                    </w:rPr>
                    <m:t>N</m:t>
                  </m:r>
                  <m:ctrlPr>
                    <w:rPr>
                      <w:rFonts w:ascii="Cambria Math" w:hAnsi="Cambria Math"/>
                      <w:bCs w:val="0"/>
                      <w:szCs w:val="24"/>
                    </w:rPr>
                  </m:ctrlPr>
                </m:e>
                <m:sub>
                  <m:r>
                    <m:rPr/>
                    <w:rPr>
                      <w:rFonts w:ascii="Cambria Math" w:hAnsi="Cambria Math"/>
                      <w:szCs w:val="24"/>
                    </w:rPr>
                    <m:t>Rk，s，l</m:t>
                  </m:r>
                  <m:ctrlPr>
                    <w:rPr>
                      <w:rFonts w:ascii="Cambria Math" w:hAnsi="Cambria Math"/>
                      <w:bCs w:val="0"/>
                      <w:szCs w:val="24"/>
                    </w:rPr>
                  </m:ctrlPr>
                </m:sub>
              </m:sSub>
            </m:oMath>
            <w:r>
              <w:t>见D.0.11条，a为T型螺栓受剪时的内力臂长度（图D.0.20）</w:t>
            </w:r>
          </w:p>
        </w:tc>
      </w:tr>
    </w:tbl>
    <w:p>
      <w:pPr>
        <w:pStyle w:val="200"/>
      </w:pPr>
      <w:r>
        <w:rPr>
          <w:b/>
        </w:rPr>
        <w:t>D.0.21</w:t>
      </w:r>
      <w:r>
        <w:t>混凝土剪撬破坏承载力标准值，应选取槽式预埋件中的最不利锚筋按下式进行计算：</w:t>
      </w:r>
    </w:p>
    <w:tbl>
      <w:tblPr>
        <w:tblStyle w:val="37"/>
        <w:tblW w:w="5000" w:type="pct"/>
        <w:jc w:val="right"/>
        <w:tblLayout w:type="autofit"/>
        <w:tblCellMar>
          <w:top w:w="0" w:type="dxa"/>
          <w:left w:w="108" w:type="dxa"/>
          <w:bottom w:w="0" w:type="dxa"/>
          <w:right w:w="108" w:type="dxa"/>
        </w:tblCellMar>
      </w:tblPr>
      <w:tblGrid>
        <w:gridCol w:w="7830"/>
        <w:gridCol w:w="2024"/>
      </w:tblGrid>
      <w:tr>
        <w:trPr>
          <w:jc w:val="right"/>
        </w:trPr>
        <w:tc>
          <w:tcPr>
            <w:tcW w:w="3973" w:type="pct"/>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Rk，cp，y</m:t>
                    </m:r>
                    <m:ctrlPr>
                      <w:rPr>
                        <w:rFonts w:ascii="Cambria Math" w:hAnsi="Cambria Math" w:cs="Times New Roman"/>
                        <w:szCs w:val="21"/>
                      </w:rPr>
                    </m:ctrlPr>
                  </m:sub>
                </m:sSub>
                <m:r>
                  <m:rPr/>
                  <w:rPr>
                    <w:rFonts w:ascii="Cambria Math" w:hAnsi="Cambria Math" w:cs="Times New Roman"/>
                  </w:rPr>
                  <m:t>=</m:t>
                </m:r>
                <m:sSub>
                  <m:sSubPr>
                    <m:ctrlPr>
                      <w:rPr>
                        <w:rFonts w:ascii="Cambria Math" w:hAnsi="Cambria Math" w:cs="Times New Roman"/>
                        <w:szCs w:val="21"/>
                      </w:rPr>
                    </m:ctrlPr>
                  </m:sSubPr>
                  <m:e>
                    <m:r>
                      <m:rPr/>
                      <w:rPr>
                        <w:rFonts w:ascii="Cambria Math" w:hAnsi="Cambria Math" w:cs="Times New Roman"/>
                      </w:rPr>
                      <m:t>k</m:t>
                    </m:r>
                    <m:ctrlPr>
                      <w:rPr>
                        <w:rFonts w:ascii="Cambria Math" w:hAnsi="Cambria Math" w:cs="Times New Roman"/>
                        <w:szCs w:val="21"/>
                      </w:rPr>
                    </m:ctrlPr>
                  </m:e>
                  <m:sub>
                    <m:r>
                      <m:rPr/>
                      <w:rPr>
                        <w:rFonts w:ascii="Cambria Math" w:hAnsi="Cambria Math" w:cs="Times New Roman"/>
                      </w:rPr>
                      <m:t>8</m:t>
                    </m:r>
                    <m:ctrlPr>
                      <w:rPr>
                        <w:rFonts w:ascii="Cambria Math" w:hAnsi="Cambria Math" w:cs="Times New Roman"/>
                        <w:szCs w:val="21"/>
                      </w:rPr>
                    </m:ctrlPr>
                  </m:sub>
                </m:sSub>
                <m:r>
                  <m:rPr/>
                  <w:rPr>
                    <w:rFonts w:ascii="Cambria Math" w:hAnsi="Cambria Math" w:cs="Times New Roman"/>
                    <w:szCs w:val="21"/>
                  </w:rPr>
                  <m:t>·</m:t>
                </m:r>
                <m:sSub>
                  <m:sSubPr>
                    <m:ctrlPr>
                      <w:rPr>
                        <w:rFonts w:ascii="Cambria Math" w:hAnsi="Cambria Math" w:cs="Times New Roman"/>
                        <w:szCs w:val="21"/>
                      </w:rPr>
                    </m:ctrlPr>
                  </m:sSubPr>
                  <m:e>
                    <m:r>
                      <m:rPr/>
                      <w:rPr>
                        <w:rFonts w:ascii="Cambria Math" w:hAnsi="Cambria Math" w:cs="Times New Roman"/>
                      </w:rPr>
                      <m:t>N</m:t>
                    </m:r>
                    <m:ctrlPr>
                      <w:rPr>
                        <w:rFonts w:ascii="Cambria Math" w:hAnsi="Cambria Math" w:cs="Times New Roman"/>
                        <w:szCs w:val="21"/>
                      </w:rPr>
                    </m:ctrlPr>
                  </m:e>
                  <m:sub>
                    <m:r>
                      <m:rPr/>
                      <w:rPr>
                        <w:rFonts w:ascii="Cambria Math" w:hAnsi="Cambria Math" w:cs="Times New Roman"/>
                      </w:rPr>
                      <m:t>Rk，c</m:t>
                    </m:r>
                    <m:ctrlPr>
                      <w:rPr>
                        <w:rFonts w:ascii="Cambria Math" w:hAnsi="Cambria Math" w:cs="Times New Roman"/>
                        <w:szCs w:val="21"/>
                      </w:rPr>
                    </m:ctrlPr>
                  </m:sub>
                </m:sSub>
                <m:r>
                  <m:rPr>
                    <m:sty m:val="p"/>
                  </m:rPr>
                  <w:rPr>
                    <w:rFonts w:ascii="Cambria Math" w:hAnsi="Cambria Math" w:cs="Times New Roman"/>
                    <w:szCs w:val="21"/>
                  </w:rPr>
                  <m:t xml:space="preserve">    (剪力垂直于钢槽时)</m:t>
                </m:r>
              </m:oMath>
            </m:oMathPara>
          </w:p>
        </w:tc>
        <w:tc>
          <w:tcPr>
            <w:tcW w:w="1027" w:type="pct"/>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（D.0.21-1）</w:t>
            </w:r>
          </w:p>
        </w:tc>
      </w:tr>
      <w:tr>
        <w:tblPrEx>
          <w:tblCellMar>
            <w:top w:w="0" w:type="dxa"/>
            <w:left w:w="108" w:type="dxa"/>
            <w:bottom w:w="0" w:type="dxa"/>
            <w:right w:w="108" w:type="dxa"/>
          </w:tblCellMar>
        </w:tblPrEx>
        <w:trPr>
          <w:jc w:val="right"/>
        </w:trPr>
        <w:tc>
          <w:tcPr>
            <w:tcW w:w="3973" w:type="pct"/>
            <w:shd w:val="clear" w:color="auto" w:fill="auto"/>
            <w:vAlign w:val="center"/>
          </w:tcPr>
          <w:p>
            <w:pPr>
              <w:spacing w:line="360" w:lineRule="auto"/>
              <w:jc w:val="center"/>
              <w:rPr>
                <w:rFonts w:ascii="Times New Roman" w:hAnsi="Times New Roman" w:cs="Times New Roman"/>
              </w:rPr>
            </w:pPr>
            <m:oMathPara>
              <m:oMathParaPr>
                <m:jc m:val="center"/>
              </m:oMathParaPr>
              <m:oMath>
                <m:sSub>
                  <m:sSubPr>
                    <m:ctrlPr>
                      <w:rPr>
                        <w:rFonts w:ascii="Cambria Math" w:hAnsi="Cambria Math" w:cs="Times New Roman"/>
                        <w:szCs w:val="21"/>
                      </w:rPr>
                    </m:ctrlPr>
                  </m:sSubPr>
                  <m:e>
                    <m:r>
                      <m:rPr/>
                      <w:rPr>
                        <w:rFonts w:ascii="Cambria Math" w:hAnsi="Cambria Math" w:cs="Times New Roman"/>
                      </w:rPr>
                      <m:t>V</m:t>
                    </m:r>
                    <m:ctrlPr>
                      <w:rPr>
                        <w:rFonts w:ascii="Cambria Math" w:hAnsi="Cambria Math" w:cs="Times New Roman"/>
                        <w:szCs w:val="21"/>
                      </w:rPr>
                    </m:ctrlPr>
                  </m:e>
                  <m:sub>
                    <m:r>
                      <m:rPr/>
                      <w:rPr>
                        <w:rFonts w:ascii="Cambria Math" w:hAnsi="Cambria Math" w:cs="Times New Roman"/>
                      </w:rPr>
                      <m:t>Rk，cp，x</m:t>
                    </m:r>
                    <m:ctrlPr>
                      <w:rPr>
                        <w:rFonts w:ascii="Cambria Math" w:hAnsi="Cambria Math" w:cs="Times New Roman"/>
                        <w:szCs w:val="21"/>
                      </w:rPr>
                    </m:ctrlPr>
                  </m:sub>
                </m:sSub>
                <m:r>
                  <m:rPr/>
                  <w:rPr>
                    <w:rFonts w:ascii="Cambria Math" w:hAnsi="Cambria Math" w:cs="Times New Roman"/>
                  </w:rPr>
                  <m:t>=</m:t>
                </m:r>
                <m:sSub>
                  <m:sSubPr>
                    <m:ctrlPr>
                      <w:rPr>
                        <w:rFonts w:ascii="Cambria Math" w:hAnsi="Cambria Math" w:cs="Times New Roman"/>
                        <w:szCs w:val="21"/>
                      </w:rPr>
                    </m:ctrlPr>
                  </m:sSubPr>
                  <m:e>
                    <m:r>
                      <m:rPr/>
                      <w:rPr>
                        <w:rFonts w:ascii="Cambria Math" w:hAnsi="Cambria Math" w:cs="Times New Roman"/>
                      </w:rPr>
                      <m:t>k</m:t>
                    </m:r>
                    <m:ctrlPr>
                      <w:rPr>
                        <w:rFonts w:ascii="Cambria Math" w:hAnsi="Cambria Math" w:cs="Times New Roman"/>
                        <w:szCs w:val="21"/>
                      </w:rPr>
                    </m:ctrlPr>
                  </m:e>
                  <m:sub>
                    <m:r>
                      <m:rPr/>
                      <w:rPr>
                        <w:rFonts w:ascii="Cambria Math" w:hAnsi="Cambria Math" w:cs="Times New Roman"/>
                      </w:rPr>
                      <m:t>8</m:t>
                    </m:r>
                    <m:ctrlPr>
                      <w:rPr>
                        <w:rFonts w:ascii="Cambria Math" w:hAnsi="Cambria Math" w:cs="Times New Roman"/>
                        <w:szCs w:val="21"/>
                      </w:rPr>
                    </m:ctrlPr>
                  </m:sub>
                </m:sSub>
                <m:r>
                  <m:rPr/>
                  <w:rPr>
                    <w:rFonts w:ascii="Cambria Math" w:hAnsi="Cambria Math" w:cs="Times New Roman"/>
                    <w:szCs w:val="21"/>
                  </w:rPr>
                  <m:t>·</m:t>
                </m:r>
                <m:sSub>
                  <m:sSubPr>
                    <m:ctrlPr>
                      <w:rPr>
                        <w:rFonts w:ascii="Cambria Math" w:hAnsi="Cambria Math" w:cs="Times New Roman"/>
                        <w:szCs w:val="21"/>
                      </w:rPr>
                    </m:ctrlPr>
                  </m:sSubPr>
                  <m:e>
                    <m:r>
                      <m:rPr/>
                      <w:rPr>
                        <w:rFonts w:ascii="Cambria Math" w:hAnsi="Cambria Math" w:cs="Times New Roman"/>
                      </w:rPr>
                      <m:t>N</m:t>
                    </m:r>
                    <m:ctrlPr>
                      <w:rPr>
                        <w:rFonts w:ascii="Cambria Math" w:hAnsi="Cambria Math" w:cs="Times New Roman"/>
                        <w:szCs w:val="21"/>
                      </w:rPr>
                    </m:ctrlPr>
                  </m:e>
                  <m:sub>
                    <m:r>
                      <m:rPr/>
                      <w:rPr>
                        <w:rFonts w:ascii="Cambria Math" w:hAnsi="Cambria Math" w:cs="Times New Roman"/>
                      </w:rPr>
                      <m:t>Rk，c</m:t>
                    </m:r>
                    <m:ctrlPr>
                      <w:rPr>
                        <w:rFonts w:ascii="Cambria Math" w:hAnsi="Cambria Math" w:cs="Times New Roman"/>
                        <w:szCs w:val="21"/>
                      </w:rPr>
                    </m:ctrlPr>
                  </m:sub>
                </m:sSub>
                <m:r>
                  <m:rPr>
                    <m:sty m:val="p"/>
                  </m:rPr>
                  <w:rPr>
                    <w:rFonts w:ascii="Cambria Math" w:hAnsi="Cambria Math" w:cs="Times New Roman"/>
                    <w:szCs w:val="21"/>
                  </w:rPr>
                  <m:t xml:space="preserve">    (剪力平等于钢槽时)</m:t>
                </m:r>
              </m:oMath>
            </m:oMathPara>
          </w:p>
        </w:tc>
        <w:tc>
          <w:tcPr>
            <w:tcW w:w="1027" w:type="pct"/>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（D.0.21-2）</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szCs w:val="21"/>
                      </w:rPr>
                    </m:ctrlPr>
                  </m:sSubPr>
                  <m:e>
                    <m:r>
                      <m:rPr/>
                      <w:rPr>
                        <w:rFonts w:ascii="Cambria Math" w:hAnsi="Cambria Math" w:cs="Times New Roman"/>
                      </w:rPr>
                      <m:t>k</m:t>
                    </m:r>
                    <m:ctrlPr>
                      <w:rPr>
                        <w:rFonts w:ascii="Cambria Math" w:hAnsi="Cambria Math" w:cs="Times New Roman"/>
                        <w:szCs w:val="21"/>
                      </w:rPr>
                    </m:ctrlPr>
                  </m:e>
                  <m:sub>
                    <m:r>
                      <m:rPr/>
                      <w:rPr>
                        <w:rFonts w:ascii="Cambria Math" w:hAnsi="Cambria Math" w:cs="Times New Roman"/>
                      </w:rPr>
                      <m:t>8</m:t>
                    </m:r>
                    <m:ctrlPr>
                      <w:rPr>
                        <w:rFonts w:ascii="Cambria Math" w:hAnsi="Cambria Math" w:cs="Times New Roman"/>
                        <w:szCs w:val="21"/>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 xml:space="preserve">影响系数，由相关认证报告提供；没有认证报告时，可按JGJ 145-2013规定取2.0 </w:t>
            </w:r>
            <w:r>
              <w:rPr>
                <w:rFonts w:hint="eastAsia"/>
                <w:lang w:eastAsia="zh-CN"/>
              </w:rPr>
              <w:t>（</w:t>
            </w:r>
            <w:r>
              <w:t>幕墙工程中有效埋深不小于90mm)；</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szCs w:val="21"/>
                      </w:rPr>
                    </m:ctrlPr>
                  </m:sSubPr>
                  <m:e>
                    <m:r>
                      <m:rPr/>
                      <w:rPr>
                        <w:rFonts w:ascii="Cambria Math" w:hAnsi="Cambria Math" w:cs="Times New Roman"/>
                      </w:rPr>
                      <m:t>N</m:t>
                    </m:r>
                    <m:ctrlPr>
                      <w:rPr>
                        <w:rFonts w:ascii="Cambria Math" w:hAnsi="Cambria Math" w:cs="Times New Roman"/>
                        <w:szCs w:val="21"/>
                      </w:rPr>
                    </m:ctrlPr>
                  </m:e>
                  <m:sub>
                    <m:r>
                      <m:rPr/>
                      <w:rPr>
                        <w:rFonts w:ascii="Cambria Math" w:hAnsi="Cambria Math" w:cs="Times New Roman"/>
                      </w:rPr>
                      <m:t>Rk，c</m:t>
                    </m:r>
                    <m:ctrlPr>
                      <w:rPr>
                        <w:rFonts w:ascii="Cambria Math" w:hAnsi="Cambria Math" w:cs="Times New Roman"/>
                        <w:szCs w:val="21"/>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混凝土锥体破坏受拉承载力标准值，按D.0.13条计算。</w:t>
            </w:r>
          </w:p>
        </w:tc>
      </w:tr>
    </w:tbl>
    <w:p>
      <w:pPr>
        <w:pStyle w:val="200"/>
      </w:pPr>
      <w:r>
        <w:rPr>
          <w:b/>
        </w:rPr>
        <w:t xml:space="preserve">D.0.22 </w:t>
      </w:r>
      <w:r>
        <w:t>垂直于钢槽长度方向剪力作用下，混凝土边缘破坏受剪承载力标准值，按下式计算：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Rk，c，y</m:t>
                    </m:r>
                    <m:ctrlPr>
                      <w:rPr>
                        <w:rFonts w:ascii="Cambria Math" w:hAnsi="Cambria Math" w:cs="Times New Roman"/>
                        <w:i/>
                      </w:rPr>
                    </m:ctrlPr>
                  </m:sub>
                </m:sSub>
                <m:r>
                  <m:rPr/>
                  <w:rPr>
                    <w:rFonts w:ascii="Cambria Math" w:hAnsi="Cambria Math" w:cs="Times New Roman"/>
                  </w:rPr>
                  <m:t>=</m:t>
                </m:r>
                <m:sSubSup>
                  <m:sSubSupPr>
                    <m:ctrlPr>
                      <w:rPr>
                        <w:rFonts w:ascii="Cambria Math" w:hAnsi="Cambria Math" w:cs="Times New Roman"/>
                        <w:i/>
                      </w:rPr>
                    </m:ctrlPr>
                  </m:sSubSup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Rk，c</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ch，s，V</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ch，c，V</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ch，h，V</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m:t>
                    </m:r>
                    <m:sSup>
                      <m:sSupPr>
                        <m:ctrlPr>
                          <w:rPr>
                            <w:rFonts w:ascii="Cambria Math" w:hAnsi="Cambria Math" w:cs="Times New Roman"/>
                          </w:rPr>
                        </m:ctrlPr>
                      </m:sSupPr>
                      <m:e>
                        <m:r>
                          <m:rPr/>
                          <w:rPr>
                            <w:rFonts w:ascii="Cambria Math" w:hAnsi="Cambria Math" w:cs="Times New Roman"/>
                          </w:rPr>
                          <m:t>90</m:t>
                        </m:r>
                        <m:ctrlPr>
                          <w:rPr>
                            <w:rFonts w:ascii="Cambria Math" w:hAnsi="Cambria Math" w:cs="Times New Roman"/>
                          </w:rPr>
                        </m:ctrlPr>
                      </m:e>
                      <m:sup>
                        <m:r>
                          <m:rPr>
                            <m:sty m:val="p"/>
                          </m:rPr>
                          <w:rPr>
                            <w:rFonts w:ascii="Cambria Math" w:hAnsi="Cambria Math" w:cs="Times New Roman"/>
                          </w:rPr>
                          <m:t>o</m:t>
                        </m:r>
                        <m:ctrlPr>
                          <w:rPr>
                            <w:rFonts w:ascii="Cambria Math" w:hAnsi="Cambria Math" w:cs="Times New Roman"/>
                          </w:rPr>
                        </m:ctrlPr>
                      </m:sup>
                    </m:sSup>
                    <m:r>
                      <m:rPr>
                        <m:sty m:val="p"/>
                      </m:rPr>
                      <w:rPr>
                        <w:rFonts w:ascii="Cambria Math" w:hAnsi="Cambria Math" w:cs="Times New Roman"/>
                      </w:rPr>
                      <m:t>，V</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re，V</m:t>
                    </m:r>
                    <m:ctrlPr>
                      <w:rPr>
                        <w:rFonts w:ascii="Cambria Math" w:hAnsi="Cambria Math" w:cs="Times New Roman"/>
                        <w:i/>
                      </w:rPr>
                    </m:ctrlPr>
                  </m:sub>
                </m:sSub>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（D.0.22）</w:t>
            </w:r>
          </w:p>
        </w:tc>
      </w:tr>
    </w:tbl>
    <w:p>
      <w:pPr>
        <w:pStyle w:val="202"/>
        <w:rPr>
          <w:rFonts w:cs="Times New Roman"/>
        </w:rPr>
      </w:pPr>
      <w:r>
        <w:rPr>
          <w:rFonts w:cs="Times New Roman"/>
        </w:rPr>
        <w:drawing>
          <wp:inline distT="0" distB="0" distL="0" distR="0">
            <wp:extent cx="1407795" cy="1439545"/>
            <wp:effectExtent l="0" t="0" r="1905"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14"/>
                    <a:stretch>
                      <a:fillRect/>
                    </a:stretch>
                  </pic:blipFill>
                  <pic:spPr>
                    <a:xfrm>
                      <a:off x="0" y="0"/>
                      <a:ext cx="1408000" cy="1440000"/>
                    </a:xfrm>
                    <a:prstGeom prst="rect">
                      <a:avLst/>
                    </a:prstGeom>
                  </pic:spPr>
                </pic:pic>
              </a:graphicData>
            </a:graphic>
          </wp:inline>
        </w:drawing>
      </w:r>
    </w:p>
    <w:p>
      <w:pPr>
        <w:pStyle w:val="202"/>
        <w:rPr>
          <w:rFonts w:cs="Times New Roman"/>
        </w:rPr>
      </w:pPr>
      <w:r>
        <w:rPr>
          <w:rFonts w:cs="Times New Roman"/>
        </w:rPr>
        <w:t>图D.0.22 剪力方向与混凝土基材边缘平行示意图</w:t>
      </w:r>
    </w:p>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i/>
                      </w:rPr>
                    </m:ctrlPr>
                  </m:sSubSup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Rk，c</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单根锚筋承受垂直于钢槽剪力时，混凝土理想边缘破坏承载力标准值</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ch，s，V</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相邻锚筋间的影响系数，按D.0.24计算；</w:t>
            </w:r>
          </w:p>
        </w:tc>
      </w:tr>
      <w:tr>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ch，c，V</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混凝土基材边角影响系数，按D.0.25计算；</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ch，h，V</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混凝土基材厚度影响系数，按D.0.26计算；</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m:t>
                    </m:r>
                    <m:sSup>
                      <m:sSupPr>
                        <m:ctrlPr>
                          <w:rPr>
                            <w:rFonts w:ascii="Cambria Math" w:hAnsi="Cambria Math" w:cs="Times New Roman"/>
                          </w:rPr>
                        </m:ctrlPr>
                      </m:sSupPr>
                      <m:e>
                        <m:r>
                          <m:rPr/>
                          <w:rPr>
                            <w:rFonts w:ascii="Cambria Math" w:hAnsi="Cambria Math" w:cs="Times New Roman"/>
                          </w:rPr>
                          <m:t>90</m:t>
                        </m:r>
                        <m:ctrlPr>
                          <w:rPr>
                            <w:rFonts w:ascii="Cambria Math" w:hAnsi="Cambria Math" w:cs="Times New Roman"/>
                          </w:rPr>
                        </m:ctrlPr>
                      </m:e>
                      <m:sup>
                        <m:r>
                          <m:rPr>
                            <m:sty m:val="p"/>
                          </m:rPr>
                          <w:rPr>
                            <w:rFonts w:ascii="Cambria Math" w:hAnsi="Cambria Math" w:cs="Times New Roman"/>
                          </w:rPr>
                          <m:t>o</m:t>
                        </m:r>
                        <m:ctrlPr>
                          <w:rPr>
                            <w:rFonts w:ascii="Cambria Math" w:hAnsi="Cambria Math" w:cs="Times New Roman"/>
                          </w:rPr>
                        </m:ctrlPr>
                      </m:sup>
                    </m:sSup>
                    <m:r>
                      <m:rPr>
                        <m:sty m:val="p"/>
                      </m:rPr>
                      <w:rPr>
                        <w:rFonts w:ascii="Cambria Math" w:hAnsi="Cambria Math" w:cs="Times New Roman"/>
                      </w:rPr>
                      <m:t>，V</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考虑剪力与边缘平行时对受剪承载力的影响系数，如图D.0.22时取2.5，其它条件下</w:t>
            </w:r>
            <w:r>
              <w:rPr>
                <w:rFonts w:hint="eastAsia"/>
                <w:lang w:eastAsia="zh-CN"/>
              </w:rPr>
              <w:t>（</w:t>
            </w:r>
            <w:r>
              <w:t>不平行时</w:t>
            </w:r>
            <w:r>
              <w:rPr>
                <w:rFonts w:hint="eastAsia"/>
                <w:lang w:eastAsia="zh-CN"/>
              </w:rPr>
              <w:t>）</w:t>
            </w:r>
            <w:r>
              <w:t>取1.0；</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re，V</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混凝土边缘有无配筋或所处位置对承载力的影响系数：</w:t>
            </w:r>
          </w:p>
          <w:p>
            <w:pPr>
              <w:pStyle w:val="189"/>
              <w:jc w:val="both"/>
            </w:pPr>
            <w:r>
              <w:t>a</w:t>
            </w:r>
            <w:r>
              <w:rPr>
                <w:rFonts w:hint="eastAsia"/>
                <w:lang w:eastAsia="zh-CN"/>
              </w:rPr>
              <w:t>）</w:t>
            </w:r>
            <w:r>
              <w:t>构件为开裂混凝土，且边缘无纵向钢筋或箍筋时取1.0；</w:t>
            </w:r>
          </w:p>
          <w:p>
            <w:pPr>
              <w:pStyle w:val="189"/>
              <w:jc w:val="both"/>
            </w:pPr>
            <w:r>
              <w:t>b</w:t>
            </w:r>
            <w:r>
              <w:rPr>
                <w:rFonts w:hint="eastAsia"/>
                <w:lang w:eastAsia="zh-CN"/>
              </w:rPr>
              <w:t>）</w:t>
            </w:r>
            <w:r>
              <w:t>构件为开裂混凝土，在槽式预埋件和构件边缘之间有纵向钢筋，且直径不小于12mm时取1.2；</w:t>
            </w:r>
          </w:p>
          <w:p>
            <w:pPr>
              <w:pStyle w:val="189"/>
              <w:jc w:val="both"/>
            </w:pPr>
            <w:r>
              <w:t>c</w:t>
            </w:r>
            <w:r>
              <w:rPr>
                <w:rFonts w:hint="eastAsia"/>
                <w:lang w:eastAsia="zh-CN"/>
              </w:rPr>
              <w:t>）</w:t>
            </w:r>
            <w:r>
              <w:t>构件为开裂混凝土，边缘有纵向钢筋和箍筋，且纵筋直径不小于12mm、箍筋间距不大于100mm时取1.4；</w:t>
            </w:r>
          </w:p>
          <w:p>
            <w:pPr>
              <w:pStyle w:val="189"/>
              <w:jc w:val="both"/>
            </w:pPr>
            <w:r>
              <w:t>d</w:t>
            </w:r>
            <w:r>
              <w:rPr>
                <w:rFonts w:hint="eastAsia"/>
                <w:lang w:eastAsia="zh-CN"/>
              </w:rPr>
              <w:t>）</w:t>
            </w:r>
            <w:r>
              <w:t>构件为非开裂混凝土时取1.0。</w:t>
            </w:r>
          </w:p>
        </w:tc>
      </w:tr>
    </w:tbl>
    <w:p>
      <w:pPr>
        <w:pStyle w:val="200"/>
      </w:pPr>
      <w:r>
        <w:rPr>
          <w:b/>
        </w:rPr>
        <w:t xml:space="preserve">D.0.23 </w:t>
      </w:r>
      <w:r>
        <w:t>单根锚筋承受垂直于钢槽剪力时，土理想边缘破坏承载力标准值按下式计算：</w:t>
      </w:r>
    </w:p>
    <w:tbl>
      <w:tblPr>
        <w:tblStyle w:val="37"/>
        <w:tblW w:w="4750" w:type="pct"/>
        <w:jc w:val="right"/>
        <w:tblLayout w:type="fixed"/>
        <w:tblCellMar>
          <w:top w:w="0" w:type="dxa"/>
          <w:left w:w="108" w:type="dxa"/>
          <w:bottom w:w="0" w:type="dxa"/>
          <w:right w:w="108" w:type="dxa"/>
        </w:tblCellMar>
      </w:tblPr>
      <w:tblGrid>
        <w:gridCol w:w="6676"/>
        <w:gridCol w:w="2685"/>
      </w:tblGrid>
      <w:tr>
        <w:tblPrEx>
          <w:tblCellMar>
            <w:top w:w="0" w:type="dxa"/>
            <w:left w:w="108" w:type="dxa"/>
            <w:bottom w:w="0" w:type="dxa"/>
            <w:right w:w="108" w:type="dxa"/>
          </w:tblCellMar>
        </w:tblPrEx>
        <w:trPr>
          <w:jc w:val="right"/>
        </w:trPr>
        <w:tc>
          <w:tcPr>
            <w:tcW w:w="5774" w:type="dxa"/>
            <w:shd w:val="clear" w:color="auto" w:fill="auto"/>
            <w:vAlign w:val="center"/>
          </w:tcPr>
          <w:p>
            <w:pPr>
              <w:spacing w:line="360" w:lineRule="auto"/>
              <w:jc w:val="center"/>
              <w:rPr>
                <w:rFonts w:ascii="Times New Roman" w:hAnsi="Times New Roman" w:cs="Times New Roman"/>
              </w:rPr>
            </w:pPr>
            <m:oMathPara>
              <m:oMath>
                <m:sSubSup>
                  <m:sSubSupPr>
                    <m:ctrlPr>
                      <w:rPr>
                        <w:rFonts w:ascii="Cambria Math" w:hAnsi="Cambria Math" w:cs="Times New Roman"/>
                        <w:i/>
                      </w:rPr>
                    </m:ctrlPr>
                  </m:sSubSup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Rk，c</m:t>
                    </m:r>
                    <m:ctrlPr>
                      <w:rPr>
                        <w:rFonts w:ascii="Cambria Math" w:hAnsi="Cambria Math" w:cs="Times New Roman"/>
                        <w:i/>
                      </w:rPr>
                    </m:ctrlPr>
                  </m:sub>
                  <m:sup>
                    <m:r>
                      <m:rPr/>
                      <w:rPr>
                        <w:rFonts w:ascii="Cambria Math" w:hAnsi="Cambria Math" w:cs="Times New Roman"/>
                      </w:rPr>
                      <m:t>0</m:t>
                    </m:r>
                    <m:ctrlPr>
                      <w:rPr>
                        <w:rFonts w:ascii="Cambria Math" w:hAnsi="Cambria Math" w:cs="Times New Roman"/>
                        <w:i/>
                      </w:rPr>
                    </m:ctrlPr>
                  </m:sup>
                </m:sSub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12</m:t>
                    </m:r>
                    <m:ctrlPr>
                      <w:rPr>
                        <w:rFonts w:ascii="Cambria Math" w:hAnsi="Cambria Math" w:cs="Times New Roman"/>
                        <w:i/>
                      </w:rPr>
                    </m:ctrlPr>
                  </m:sub>
                </m:sSub>
                <m:r>
                  <m:rPr/>
                  <w:rPr>
                    <w:rFonts w:ascii="Cambria Math" w:hAnsi="Cambria Math" w:cs="Times New Roman"/>
                  </w:rPr>
                  <m:t>·</m:t>
                </m:r>
                <m:rad>
                  <m:radPr>
                    <m:degHide m:val="1"/>
                    <m:ctrlPr>
                      <w:rPr>
                        <w:rFonts w:ascii="Cambria Math" w:hAnsi="Cambria Math" w:cs="Times New Roman"/>
                        <w:i/>
                      </w:rPr>
                    </m:ctrlPr>
                  </m:radPr>
                  <m:deg>
                    <m:ctrlPr>
                      <w:rPr>
                        <w:rFonts w:ascii="Cambria Math" w:hAnsi="Cambria Math" w:cs="Times New Roman"/>
                        <w:i/>
                      </w:rPr>
                    </m:ctrlPr>
                  </m:deg>
                  <m:e>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cu，k</m:t>
                        </m:r>
                        <m:ctrlPr>
                          <w:rPr>
                            <w:rFonts w:ascii="Cambria Math" w:hAnsi="Cambria Math" w:cs="Times New Roman"/>
                            <w:i/>
                          </w:rPr>
                        </m:ctrlPr>
                      </m:sub>
                    </m:sSub>
                    <m:ctrlPr>
                      <w:rPr>
                        <w:rFonts w:ascii="Cambria Math" w:hAnsi="Cambria Math" w:cs="Times New Roman"/>
                        <w:i/>
                      </w:rPr>
                    </m:ctrlPr>
                  </m:e>
                </m:rad>
                <m:r>
                  <m:rPr/>
                  <w:rPr>
                    <w:rFonts w:ascii="Cambria Math" w:hAnsi="Cambria Math" w:cs="Times New Roman"/>
                  </w:rPr>
                  <m:t>·</m:t>
                </m:r>
                <m:sSubSup>
                  <m:sSubSupPr>
                    <m:ctrlPr>
                      <w:rPr>
                        <w:rFonts w:ascii="Cambria Math" w:hAnsi="Cambria Math" w:cs="Times New Roman"/>
                        <w:i/>
                      </w:rPr>
                    </m:ctrlPr>
                  </m:sSubSup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up>
                    <m:r>
                      <m:rPr/>
                      <w:rPr>
                        <w:rFonts w:ascii="Cambria Math" w:hAnsi="Cambria Math" w:cs="Times New Roman"/>
                      </w:rPr>
                      <m:t>4/3</m:t>
                    </m:r>
                    <m:ctrlPr>
                      <w:rPr>
                        <w:rFonts w:ascii="Cambria Math" w:hAnsi="Cambria Math" w:cs="Times New Roman"/>
                        <w:i/>
                      </w:rPr>
                    </m:ctrlPr>
                  </m:sup>
                </m:sSubSup>
              </m:oMath>
            </m:oMathPara>
          </w:p>
        </w:tc>
        <w:tc>
          <w:tcPr>
            <w:tcW w:w="2322"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（D.0.23）</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12</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系数，按相关认证报告中开裂或非开裂混凝土的取值；如无认证报告，开裂混凝土取4.1，非开裂混凝土取5.7；</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cu，k</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混凝土立方体抗压强度标准值</w:t>
            </w:r>
            <w:r>
              <w:rPr>
                <w:rFonts w:hint="eastAsia"/>
                <w:lang w:eastAsia="zh-CN"/>
              </w:rPr>
              <w:t>（</w:t>
            </w:r>
            <w:r>
              <w:t>N/mm</w:t>
            </w:r>
            <w:r>
              <w:rPr>
                <w:vertAlign w:val="superscript"/>
              </w:rPr>
              <w:t>2</w:t>
            </w:r>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沿剪力方向的边距</w:t>
            </w:r>
            <w:r>
              <w:rPr>
                <w:rFonts w:hint="eastAsia"/>
                <w:lang w:eastAsia="zh-CN"/>
              </w:rPr>
              <w:t>（</w:t>
            </w:r>
            <w:r>
              <w:t>mm)。</w:t>
            </w:r>
          </w:p>
        </w:tc>
      </w:tr>
    </w:tbl>
    <w:p>
      <w:pPr>
        <w:pStyle w:val="200"/>
      </w:pPr>
      <w:r>
        <w:rPr>
          <w:b/>
        </w:rPr>
        <w:t xml:space="preserve">D.0.24 </w:t>
      </w:r>
      <w:r>
        <w:t>相邻锚筋间的影响系数可按下式计算：</w:t>
      </w:r>
    </w:p>
    <w:tbl>
      <w:tblPr>
        <w:tblStyle w:val="37"/>
        <w:tblW w:w="4750" w:type="pct"/>
        <w:jc w:val="right"/>
        <w:tblLayout w:type="fixed"/>
        <w:tblCellMar>
          <w:top w:w="0" w:type="dxa"/>
          <w:left w:w="108" w:type="dxa"/>
          <w:bottom w:w="0" w:type="dxa"/>
          <w:right w:w="108" w:type="dxa"/>
        </w:tblCellMar>
      </w:tblPr>
      <w:tblGrid>
        <w:gridCol w:w="7827"/>
        <w:gridCol w:w="1534"/>
      </w:tblGrid>
      <w:tr>
        <w:tblPrEx>
          <w:tblCellMar>
            <w:top w:w="0" w:type="dxa"/>
            <w:left w:w="108" w:type="dxa"/>
            <w:bottom w:w="0" w:type="dxa"/>
            <w:right w:w="108" w:type="dxa"/>
          </w:tblCellMar>
        </w:tblPrEx>
        <w:trPr>
          <w:jc w:val="right"/>
        </w:trPr>
        <w:tc>
          <w:tcPr>
            <w:tcW w:w="6770"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ch，s，V</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1</m:t>
                    </m:r>
                    <m:ctrlPr>
                      <w:rPr>
                        <w:rFonts w:ascii="Cambria Math" w:hAnsi="Cambria Math" w:cs="Times New Roman"/>
                        <w:i/>
                      </w:rPr>
                    </m:ctrlPr>
                  </m:num>
                  <m:den>
                    <m:r>
                      <m:rPr/>
                      <w:rPr>
                        <w:rFonts w:ascii="Cambria Math" w:hAnsi="Cambria Math" w:cs="Times New Roman"/>
                      </w:rPr>
                      <m:t>1+</m:t>
                    </m:r>
                    <m:nary>
                      <m:naryPr>
                        <m:chr m:val="∑"/>
                        <m:limLoc m:val="undOvr"/>
                        <m:ctrlPr>
                          <w:rPr>
                            <w:rFonts w:ascii="Cambria Math" w:hAnsi="Cambria Math" w:cs="Times New Roman"/>
                            <w:i/>
                          </w:rPr>
                        </m:ctrlPr>
                      </m:naryPr>
                      <m:sub>
                        <m:r>
                          <m:rPr/>
                          <w:rPr>
                            <w:rFonts w:ascii="Cambria Math" w:hAnsi="Cambria Math" w:cs="Times New Roman"/>
                          </w:rPr>
                          <m:t>i=1</m:t>
                        </m:r>
                        <m:ctrlPr>
                          <w:rPr>
                            <w:rFonts w:ascii="Cambria Math" w:hAnsi="Cambria Math" w:cs="Times New Roman"/>
                            <w:i/>
                          </w:rPr>
                        </m:ctrlPr>
                      </m:sub>
                      <m:sup>
                        <m:r>
                          <m:rPr/>
                          <w:rPr>
                            <w:rFonts w:ascii="Cambria Math" w:hAnsi="Cambria Math" w:cs="Times New Roman"/>
                          </w:rPr>
                          <m:t>n</m:t>
                        </m:r>
                        <m:ctrlPr>
                          <w:rPr>
                            <w:rFonts w:ascii="Cambria Math" w:hAnsi="Cambria Math" w:cs="Times New Roman"/>
                            <w:i/>
                          </w:rPr>
                        </m:ctrlPr>
                      </m:sup>
                      <m:e>
                        <m:d>
                          <m:dPr>
                            <m:begChr m:val="["/>
                            <m:endChr m:val="]"/>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r>
                                      <m:rP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cr，V</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w:rPr>
                                    <w:rFonts w:ascii="Cambria Math" w:hAnsi="Cambria Math" w:cs="Times New Roman"/>
                                  </w:rPr>
                                  <m:t>1.5</m:t>
                                </m:r>
                                <m:ctrlPr>
                                  <w:rPr>
                                    <w:rFonts w:ascii="Cambria Math" w:hAnsi="Cambria Math" w:cs="Times New Roman"/>
                                    <w:i/>
                                  </w:rPr>
                                </m:ctrlPr>
                              </m:sup>
                            </m:sSup>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0</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nary>
                    <m:ctrlPr>
                      <w:rPr>
                        <w:rFonts w:ascii="Cambria Math" w:hAnsi="Cambria Math" w:cs="Times New Roman"/>
                        <w:i/>
                      </w:rPr>
                    </m:ctrlPr>
                  </m:den>
                </m:f>
                <m:r>
                  <m:rPr/>
                  <w:rPr>
                    <w:rFonts w:ascii="Cambria Math" w:hAnsi="Cambria Math" w:cs="Times New Roman"/>
                  </w:rPr>
                  <m:t>≤1.0</m:t>
                </m:r>
              </m:oMath>
            </m:oMathPara>
          </w:p>
        </w:tc>
        <w:tc>
          <w:tcPr>
            <w:tcW w:w="1326"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（D.0.24）</w:t>
            </w:r>
          </w:p>
        </w:tc>
      </w:tr>
    </w:tbl>
    <w:p>
      <w:pPr>
        <w:pStyle w:val="202"/>
        <w:rPr>
          <w:rFonts w:cs="Times New Roman"/>
        </w:rPr>
      </w:pPr>
      <w:r>
        <w:rPr>
          <w:rFonts w:cs="Times New Roman"/>
        </w:rPr>
        <w:drawing>
          <wp:inline distT="0" distB="0" distL="0" distR="0">
            <wp:extent cx="2768600" cy="161988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15"/>
                    <a:stretch>
                      <a:fillRect/>
                    </a:stretch>
                  </pic:blipFill>
                  <pic:spPr>
                    <a:xfrm>
                      <a:off x="0" y="0"/>
                      <a:ext cx="2768728" cy="1620000"/>
                    </a:xfrm>
                    <a:prstGeom prst="rect">
                      <a:avLst/>
                    </a:prstGeom>
                  </pic:spPr>
                </pic:pic>
              </a:graphicData>
            </a:graphic>
          </wp:inline>
        </w:drawing>
      </w:r>
    </w:p>
    <w:p>
      <w:pPr>
        <w:pStyle w:val="202"/>
        <w:rPr>
          <w:rFonts w:cs="Times New Roman"/>
        </w:rPr>
      </w:pPr>
      <w:r>
        <w:rPr>
          <w:rFonts w:cs="Times New Roman"/>
        </w:rPr>
        <w:t>图D.0.24 垂直钢槽剪力作用下混凝土边缘破坏示意图（1为进行验算的0号锚筋）</w:t>
      </w:r>
    </w:p>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相邻锚筋与0号锚筋的间距</w:t>
            </w:r>
            <w:r>
              <w:rPr>
                <w:rFonts w:hint="eastAsia"/>
                <w:lang w:eastAsia="zh-CN"/>
              </w:rPr>
              <w:t>（</w:t>
            </w:r>
            <w:r>
              <w:t>mm)，</w:t>
            </w:r>
            <m:oMath>
              <m:sSub>
                <m:sSubPr>
                  <m:ctrlPr>
                    <w:rPr>
                      <w:rFonts w:ascii="Cambria Math" w:hAnsi="Cambria Math"/>
                      <w:bCs w:val="0"/>
                      <w:i/>
                      <w:szCs w:val="24"/>
                    </w:rPr>
                  </m:ctrlPr>
                </m:sSubPr>
                <m:e>
                  <m:r>
                    <m:rPr/>
                    <w:rPr>
                      <w:rFonts w:ascii="Cambria Math" w:hAnsi="Cambria Math"/>
                    </w:rPr>
                    <m:t>s</m:t>
                  </m:r>
                  <m:ctrlPr>
                    <w:rPr>
                      <w:rFonts w:ascii="Cambria Math" w:hAnsi="Cambria Math"/>
                      <w:bCs w:val="0"/>
                      <w:i/>
                      <w:szCs w:val="24"/>
                    </w:rPr>
                  </m:ctrlPr>
                </m:e>
                <m:sub>
                  <m:r>
                    <m:rPr/>
                    <w:rPr>
                      <w:rFonts w:ascii="Cambria Math" w:hAnsi="Cambria Math"/>
                    </w:rPr>
                    <m:t>i</m:t>
                  </m:r>
                  <m:ctrlPr>
                    <w:rPr>
                      <w:rFonts w:ascii="Cambria Math" w:hAnsi="Cambria Math"/>
                      <w:bCs w:val="0"/>
                      <w:i/>
                      <w:szCs w:val="24"/>
                    </w:rPr>
                  </m:ctrlPr>
                </m:sub>
              </m:sSub>
              <m:r>
                <m:rPr/>
                <w:rPr>
                  <w:rFonts w:ascii="Cambria Math" w:hAnsi="Cambria Math"/>
                </w:rPr>
                <m:t>≤</m:t>
              </m:r>
              <m:sSub>
                <m:sSubPr>
                  <m:ctrlPr>
                    <w:rPr>
                      <w:rFonts w:ascii="Cambria Math" w:hAnsi="Cambria Math"/>
                      <w:bCs w:val="0"/>
                      <w:i/>
                      <w:szCs w:val="24"/>
                    </w:rPr>
                  </m:ctrlPr>
                </m:sSubPr>
                <m:e>
                  <m:r>
                    <m:rPr/>
                    <w:rPr>
                      <w:rFonts w:ascii="Cambria Math" w:hAnsi="Cambria Math"/>
                    </w:rPr>
                    <m:t>s</m:t>
                  </m:r>
                  <m:ctrlPr>
                    <w:rPr>
                      <w:rFonts w:ascii="Cambria Math" w:hAnsi="Cambria Math"/>
                      <w:bCs w:val="0"/>
                      <w:i/>
                      <w:szCs w:val="24"/>
                    </w:rPr>
                  </m:ctrlPr>
                </m:e>
                <m:sub>
                  <m:r>
                    <m:rPr/>
                    <w:rPr>
                      <w:rFonts w:ascii="Cambria Math" w:hAnsi="Cambria Math"/>
                    </w:rPr>
                    <m:t>cr，v</m:t>
                  </m:r>
                  <m:ctrlPr>
                    <w:rPr>
                      <w:rFonts w:ascii="Cambria Math" w:hAnsi="Cambria Math"/>
                      <w:bCs w:val="0"/>
                      <w:i/>
                      <w:szCs w:val="24"/>
                    </w:rPr>
                  </m:ctrlPr>
                </m:sub>
              </m:sSub>
            </m:oMath>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cr，V</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锚筋的临界间距(mm)，当</w:t>
            </w:r>
            <m:oMath>
              <m:sSub>
                <m:sSubPr>
                  <m:ctrlPr>
                    <w:rPr>
                      <w:rFonts w:ascii="Cambria Math" w:hAnsi="Cambria Math"/>
                      <w:i/>
                    </w:rPr>
                  </m:ctrlPr>
                </m:sSubPr>
                <m:e>
                  <m:r>
                    <m:rPr/>
                    <w:rPr>
                      <w:rFonts w:ascii="Cambria Math" w:hAnsi="Cambria Math"/>
                    </w:rPr>
                    <m:t>ℎ</m:t>
                  </m:r>
                  <m:ctrlPr>
                    <w:rPr>
                      <w:rFonts w:ascii="Cambria Math" w:hAnsi="Cambria Math"/>
                      <w:i/>
                    </w:rPr>
                  </m:ctrlPr>
                </m:e>
                <m:sub>
                  <m:r>
                    <m:rPr>
                      <m:sty m:val="p"/>
                    </m:rPr>
                    <w:rPr>
                      <w:rFonts w:ascii="Cambria Math" w:hAnsi="Cambria Math"/>
                    </w:rPr>
                    <m:t>ch</m:t>
                  </m:r>
                  <m:ctrlPr>
                    <w:rPr>
                      <w:rFonts w:ascii="Cambria Math" w:hAnsi="Cambria Math"/>
                      <w:i/>
                    </w:rPr>
                  </m:ctrlPr>
                </m:sub>
              </m:sSub>
            </m:oMath>
            <w:r>
              <w:t>/</w:t>
            </w:r>
            <m:oMath>
              <m:sSub>
                <m:sSubPr>
                  <m:ctrlPr>
                    <w:rPr>
                      <w:rFonts w:ascii="Cambria Math" w:hAnsi="Cambria Math"/>
                      <w:i/>
                    </w:rPr>
                  </m:ctrlPr>
                </m:sSubPr>
                <m:e>
                  <m:r>
                    <m:rPr/>
                    <w:rPr>
                      <w:rFonts w:ascii="Cambria Math" w:hAnsi="Cambria Math"/>
                    </w:rPr>
                    <m:t>ℎ</m:t>
                  </m:r>
                  <m:ctrlPr>
                    <w:rPr>
                      <w:rFonts w:ascii="Cambria Math" w:hAnsi="Cambria Math"/>
                      <w:i/>
                    </w:rPr>
                  </m:ctrlPr>
                </m:e>
                <m:sub>
                  <m:r>
                    <m:rPr>
                      <m:sty m:val="p"/>
                    </m:rPr>
                    <w:rPr>
                      <w:rFonts w:ascii="Cambria Math" w:hAnsi="Cambria Math"/>
                    </w:rPr>
                    <m:t>ef</m:t>
                  </m:r>
                  <m:ctrlPr>
                    <w:rPr>
                      <w:rFonts w:ascii="Cambria Math" w:hAnsi="Cambria Math"/>
                      <w:i/>
                    </w:rPr>
                  </m:ctrlPr>
                </m:sub>
              </m:sSub>
            </m:oMath>
            <w:r>
              <w:t>≤0.4且</w:t>
            </w:r>
            <m:oMath>
              <m:sSub>
                <m:sSubPr>
                  <m:ctrlPr>
                    <w:rPr>
                      <w:rFonts w:ascii="Cambria Math" w:hAnsi="Cambria Math"/>
                      <w:i/>
                    </w:rPr>
                  </m:ctrlPr>
                </m:sSubPr>
                <m:e>
                  <m:r>
                    <m:rPr/>
                    <w:rPr>
                      <w:rFonts w:ascii="Cambria Math" w:hAnsi="Cambria Math"/>
                    </w:rPr>
                    <m:t>b</m:t>
                  </m:r>
                  <m:ctrlPr>
                    <w:rPr>
                      <w:rFonts w:ascii="Cambria Math" w:hAnsi="Cambria Math"/>
                      <w:i/>
                    </w:rPr>
                  </m:ctrlPr>
                </m:e>
                <m:sub>
                  <m:r>
                    <m:rPr>
                      <m:sty m:val="p"/>
                    </m:rPr>
                    <w:rPr>
                      <w:rFonts w:ascii="Cambria Math" w:hAnsi="Cambria Math"/>
                    </w:rPr>
                    <m:t>ch</m:t>
                  </m:r>
                  <m:ctrlPr>
                    <w:rPr>
                      <w:rFonts w:ascii="Cambria Math" w:hAnsi="Cambria Math"/>
                      <w:i/>
                    </w:rPr>
                  </m:ctrlPr>
                </m:sub>
              </m:sSub>
            </m:oMath>
            <w:r>
              <w:t>/</w:t>
            </w:r>
            <m:oMath>
              <m:sSub>
                <m:sSubPr>
                  <m:ctrlPr>
                    <w:rPr>
                      <w:rFonts w:ascii="Cambria Math" w:hAnsi="Cambria Math"/>
                      <w:i/>
                    </w:rPr>
                  </m:ctrlPr>
                </m:sSubPr>
                <m:e>
                  <m:r>
                    <m:rPr/>
                    <w:rPr>
                      <w:rFonts w:ascii="Cambria Math" w:hAnsi="Cambria Math"/>
                    </w:rPr>
                    <m:t>ℎ</m:t>
                  </m:r>
                  <m:ctrlPr>
                    <w:rPr>
                      <w:rFonts w:ascii="Cambria Math" w:hAnsi="Cambria Math"/>
                      <w:i/>
                    </w:rPr>
                  </m:ctrlPr>
                </m:e>
                <m:sub>
                  <m:r>
                    <m:rPr>
                      <m:sty m:val="p"/>
                    </m:rPr>
                    <w:rPr>
                      <w:rFonts w:ascii="Cambria Math" w:hAnsi="Cambria Math"/>
                    </w:rPr>
                    <m:t>ef</m:t>
                  </m:r>
                  <m:ctrlPr>
                    <w:rPr>
                      <w:rFonts w:ascii="Cambria Math" w:hAnsi="Cambria Math"/>
                      <w:i/>
                    </w:rPr>
                  </m:ctrlPr>
                </m:sub>
              </m:sSub>
            </m:oMath>
            <w:r>
              <w:t>≤0.7时，取</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cr，V</m:t>
                  </m:r>
                  <m:ctrlPr>
                    <w:rPr>
                      <w:rFonts w:ascii="Cambria Math" w:hAnsi="Cambria Math"/>
                      <w:i/>
                    </w:rPr>
                  </m:ctrlPr>
                </m:sub>
              </m:sSub>
              <m:r>
                <m:rPr/>
                <w:rPr>
                  <w:rFonts w:ascii="Cambria Math" w:hAnsi="Cambria Math"/>
                </w:rPr>
                <m:t>=4</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+2</m:t>
              </m:r>
              <m:sSub>
                <m:sSubPr>
                  <m:ctrlPr>
                    <w:rPr>
                      <w:rFonts w:ascii="Cambria Math" w:hAnsi="Cambria Math"/>
                      <w:i/>
                    </w:rPr>
                  </m:ctrlPr>
                </m:sSubPr>
                <m:e>
                  <m:r>
                    <m:rPr/>
                    <w:rPr>
                      <w:rFonts w:ascii="Cambria Math" w:hAnsi="Cambria Math"/>
                    </w:rPr>
                    <m:t>b</m:t>
                  </m:r>
                  <m:ctrlPr>
                    <w:rPr>
                      <w:rFonts w:ascii="Cambria Math" w:hAnsi="Cambria Math"/>
                      <w:i/>
                    </w:rPr>
                  </m:ctrlPr>
                </m:e>
                <m:sub>
                  <m:r>
                    <m:rPr>
                      <m:sty m:val="p"/>
                    </m:rPr>
                    <w:rPr>
                      <w:rFonts w:ascii="Cambria Math" w:hAnsi="Cambria Math"/>
                    </w:rPr>
                    <m:t>ch</m:t>
                  </m:r>
                  <m:ctrlPr>
                    <w:rPr>
                      <w:rFonts w:ascii="Cambria Math" w:hAnsi="Cambria Math"/>
                      <w:i/>
                    </w:rPr>
                  </m:ctrlPr>
                </m:sub>
              </m:sSub>
            </m:oMath>
            <w:r>
              <w:t>；当上述条件不满足时，</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cr，V</m:t>
                  </m:r>
                  <m:ctrlPr>
                    <w:rPr>
                      <w:rFonts w:ascii="Cambria Math" w:hAnsi="Cambria Math"/>
                      <w:i/>
                    </w:rPr>
                  </m:ctrlPr>
                </m:sub>
              </m:sSub>
            </m:oMath>
            <w:r>
              <w:t>应由相关认证报告或测试报告提供，且不小于(</w:t>
            </w:r>
            <m:oMath>
              <m:r>
                <m:rPr/>
                <w:rPr>
                  <w:rFonts w:ascii="Cambria Math" w:hAnsi="Cambria Math"/>
                </w:rPr>
                <m:t>4</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+2</m:t>
              </m:r>
              <m:sSub>
                <m:sSubPr>
                  <m:ctrlPr>
                    <w:rPr>
                      <w:rFonts w:ascii="Cambria Math" w:hAnsi="Cambria Math"/>
                      <w:i/>
                    </w:rPr>
                  </m:ctrlPr>
                </m:sSubPr>
                <m:e>
                  <m:r>
                    <m:rPr/>
                    <w:rPr>
                      <w:rFonts w:ascii="Cambria Math" w:hAnsi="Cambria Math"/>
                    </w:rPr>
                    <m:t>b</m:t>
                  </m:r>
                  <m:ctrlPr>
                    <w:rPr>
                      <w:rFonts w:ascii="Cambria Math" w:hAnsi="Cambria Math"/>
                      <w:i/>
                    </w:rPr>
                  </m:ctrlPr>
                </m:e>
                <m:sub>
                  <m:r>
                    <m:rPr>
                      <m:sty m:val="p"/>
                    </m:rPr>
                    <w:rPr>
                      <w:rFonts w:ascii="Cambria Math" w:hAnsi="Cambria Math"/>
                    </w:rPr>
                    <m:t>ch</m:t>
                  </m:r>
                  <m:ctrlPr>
                    <w:rPr>
                      <w:rFonts w:ascii="Cambria Math" w:hAnsi="Cambria Math"/>
                      <w:i/>
                    </w:rPr>
                  </m:ctrlPr>
                </m:sub>
              </m:sSub>
            </m:oMath>
            <w:r>
              <w:t>)；</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临界距离</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cr，N</m:t>
                  </m:r>
                  <m:ctrlPr>
                    <w:rPr>
                      <w:rFonts w:ascii="Cambria Math" w:hAnsi="Cambria Math"/>
                      <w:i/>
                    </w:rPr>
                  </m:ctrlPr>
                </m:sub>
              </m:sSub>
            </m:oMath>
            <w:r>
              <w:t>内某个相邻锚筋所承受的剪力</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0</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指定锚筋所承受的剪力荷载</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r>
                  <m:rPr/>
                  <w:rPr>
                    <w:rFonts w:ascii="Cambria Math" w:hAnsi="Cambria Math" w:cs="Times New Roman"/>
                  </w:rPr>
                  <m:t>n</m:t>
                </m:r>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指定锚筋两侧临界距离</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cr，N</m:t>
                  </m:r>
                  <m:ctrlPr>
                    <w:rPr>
                      <w:rFonts w:ascii="Cambria Math" w:hAnsi="Cambria Math"/>
                      <w:i/>
                    </w:rPr>
                  </m:ctrlPr>
                </m:sub>
              </m:sSub>
            </m:oMath>
            <w:r>
              <w:t>内的锚筋数量。</w:t>
            </w:r>
          </w:p>
        </w:tc>
      </w:tr>
    </w:tbl>
    <w:p>
      <w:pPr>
        <w:pStyle w:val="200"/>
      </w:pPr>
      <w:r>
        <w:rPr>
          <w:b/>
        </w:rPr>
        <w:t xml:space="preserve">D.0.25 </w:t>
      </w:r>
      <w:r>
        <w:t>混凝土基材边角影响系数可按下式计算：</w:t>
      </w:r>
    </w:p>
    <w:tbl>
      <w:tblPr>
        <w:tblStyle w:val="37"/>
        <w:tblW w:w="4750" w:type="pct"/>
        <w:jc w:val="right"/>
        <w:tblLayout w:type="fixed"/>
        <w:tblCellMar>
          <w:top w:w="0" w:type="dxa"/>
          <w:left w:w="108" w:type="dxa"/>
          <w:bottom w:w="0" w:type="dxa"/>
          <w:right w:w="108" w:type="dxa"/>
        </w:tblCellMar>
      </w:tblPr>
      <w:tblGrid>
        <w:gridCol w:w="7827"/>
        <w:gridCol w:w="1534"/>
      </w:tblGrid>
      <w:tr>
        <w:tblPrEx>
          <w:tblCellMar>
            <w:top w:w="0" w:type="dxa"/>
            <w:left w:w="108" w:type="dxa"/>
            <w:bottom w:w="0" w:type="dxa"/>
            <w:right w:w="108" w:type="dxa"/>
          </w:tblCellMar>
        </w:tblPrEx>
        <w:trPr>
          <w:jc w:val="right"/>
        </w:trPr>
        <w:tc>
          <w:tcPr>
            <w:tcW w:w="6770"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ch，c，V</m:t>
                    </m:r>
                    <m:ctrlPr>
                      <w:rPr>
                        <w:rFonts w:ascii="Cambria Math" w:hAnsi="Cambria Math" w:cs="Times New Roman"/>
                        <w:i/>
                      </w:rPr>
                    </m:ctrlPr>
                  </m:sub>
                </m:sSub>
                <m:r>
                  <m:rP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cr，V</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w:rPr>
                        <w:rFonts w:ascii="Cambria Math" w:hAnsi="Cambria Math" w:cs="Times New Roman"/>
                      </w:rPr>
                      <m:t>0.5</m:t>
                    </m:r>
                    <m:ctrlPr>
                      <w:rPr>
                        <w:rFonts w:ascii="Cambria Math" w:hAnsi="Cambria Math" w:cs="Times New Roman"/>
                        <w:i/>
                      </w:rPr>
                    </m:ctrlPr>
                  </m:sup>
                </m:sSup>
                <m:r>
                  <m:rPr/>
                  <w:rPr>
                    <w:rFonts w:ascii="Cambria Math" w:hAnsi="Cambria Math" w:cs="Times New Roman"/>
                  </w:rPr>
                  <m:t>≤1.0</m:t>
                </m:r>
              </m:oMath>
            </m:oMathPara>
          </w:p>
        </w:tc>
        <w:tc>
          <w:tcPr>
            <w:tcW w:w="1326"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（D.0.25）</w:t>
            </w:r>
          </w:p>
        </w:tc>
      </w:tr>
    </w:tbl>
    <w:p>
      <w:pPr>
        <w:pStyle w:val="202"/>
        <w:rPr>
          <w:rFonts w:cs="Times New Roman"/>
        </w:rPr>
      </w:pPr>
      <w:r>
        <w:rPr>
          <w:rFonts w:cs="Times New Roman"/>
        </w:rPr>
        <w:drawing>
          <wp:inline distT="0" distB="0" distL="0" distR="0">
            <wp:extent cx="3890645" cy="1439545"/>
            <wp:effectExtent l="0" t="0" r="0"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16"/>
                    <a:stretch>
                      <a:fillRect/>
                    </a:stretch>
                  </pic:blipFill>
                  <pic:spPr>
                    <a:xfrm>
                      <a:off x="0" y="0"/>
                      <a:ext cx="3891236" cy="1440000"/>
                    </a:xfrm>
                    <a:prstGeom prst="rect">
                      <a:avLst/>
                    </a:prstGeom>
                  </pic:spPr>
                </pic:pic>
              </a:graphicData>
            </a:graphic>
          </wp:inline>
        </w:drawing>
      </w:r>
    </w:p>
    <w:p>
      <w:pPr>
        <w:pStyle w:val="202"/>
        <w:rPr>
          <w:rFonts w:cs="Times New Roman"/>
          <w:b w:val="0"/>
        </w:rPr>
      </w:pPr>
      <w:r>
        <w:rPr>
          <w:rFonts w:cs="Times New Roman"/>
          <w:b w:val="0"/>
        </w:rPr>
        <w:t>a</w:t>
      </w:r>
      <w:r>
        <w:rPr>
          <w:rFonts w:hint="eastAsia" w:cs="Times New Roman"/>
          <w:b w:val="0"/>
          <w:lang w:eastAsia="zh-CN"/>
        </w:rPr>
        <w:t>）</w:t>
      </w:r>
      <w:r>
        <w:rPr>
          <w:rFonts w:cs="Times New Roman"/>
          <w:b w:val="0"/>
        </w:rPr>
        <w:t>受一个角影响； b</w:t>
      </w:r>
      <w:r>
        <w:rPr>
          <w:rFonts w:hint="eastAsia" w:cs="Times New Roman"/>
          <w:b w:val="0"/>
          <w:lang w:eastAsia="zh-CN"/>
        </w:rPr>
        <w:t>）</w:t>
      </w:r>
      <w:r>
        <w:rPr>
          <w:rFonts w:cs="Times New Roman"/>
          <w:b w:val="0"/>
        </w:rPr>
        <w:t>受2个角影响</w:t>
      </w:r>
    </w:p>
    <w:p>
      <w:pPr>
        <w:pStyle w:val="202"/>
        <w:rPr>
          <w:rFonts w:cs="Times New Roman"/>
        </w:rPr>
      </w:pPr>
      <w:r>
        <w:rPr>
          <w:rFonts w:cs="Times New Roman"/>
        </w:rPr>
        <w:t>图D.0.25槽式预埋件锚筋受边角影响示意图</w:t>
      </w:r>
    </w:p>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cr，V</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临界边距(mm)，</w:t>
            </w:r>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cr，V</m:t>
                  </m:r>
                  <m:ctrlPr>
                    <w:rPr>
                      <w:rFonts w:ascii="Cambria Math" w:hAnsi="Cambria Math"/>
                      <w:i/>
                    </w:rPr>
                  </m:ctrlPr>
                </m:sub>
              </m:sSub>
              <m:r>
                <m:rPr/>
                <w:rPr>
                  <w:rFonts w:ascii="Cambria Math" w:hAnsi="Cambria Math"/>
                </w:rPr>
                <m:t>=0.5</m:t>
              </m:r>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cr，V</m:t>
                  </m:r>
                  <m:ctrlPr>
                    <w:rPr>
                      <w:rFonts w:ascii="Cambria Math" w:hAnsi="Cambria Math"/>
                      <w:i/>
                    </w:rPr>
                  </m:ctrlPr>
                </m:sub>
              </m:sSub>
            </m:oMath>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为垂直剪力方向的边距</w:t>
            </w:r>
            <w:r>
              <w:rPr>
                <w:rFonts w:hint="eastAsia"/>
                <w:lang w:eastAsia="zh-CN"/>
              </w:rPr>
              <w:t>（</w:t>
            </w:r>
            <w:r>
              <w:t>mm)，如果一个锚筋同时受到基材两个边角的影响</w:t>
            </w:r>
            <w:r>
              <w:rPr>
                <w:rFonts w:hint="eastAsia"/>
                <w:lang w:eastAsia="zh-CN"/>
              </w:rPr>
              <w:t>（</w:t>
            </w:r>
            <w:r>
              <w:t>图D.0.25的b)，应同时采用</w:t>
            </w:r>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2，2</m:t>
                  </m:r>
                  <m:ctrlPr>
                    <w:rPr>
                      <w:rFonts w:ascii="Cambria Math" w:hAnsi="Cambria Math"/>
                      <w:i/>
                    </w:rPr>
                  </m:ctrlPr>
                </m:sub>
              </m:sSub>
            </m:oMath>
            <w:r>
              <w:t>来计算边角影响系数</w:t>
            </w:r>
            <m:oMath>
              <m:sSub>
                <m:sSubPr>
                  <m:ctrlPr>
                    <w:rPr>
                      <w:rFonts w:ascii="Cambria Math" w:hAnsi="Cambria Math"/>
                      <w:i/>
                    </w:rPr>
                  </m:ctrlPr>
                </m:sSubPr>
                <m:e>
                  <m:r>
                    <m:rPr/>
                    <w:rPr>
                      <w:rFonts w:ascii="Cambria Math" w:hAnsi="Cambria Math"/>
                    </w:rPr>
                    <m:t>ψ</m:t>
                  </m:r>
                  <m:ctrlPr>
                    <w:rPr>
                      <w:rFonts w:ascii="Cambria Math" w:hAnsi="Cambria Math"/>
                      <w:i/>
                    </w:rPr>
                  </m:ctrlPr>
                </m:e>
                <m:sub>
                  <m:r>
                    <m:rPr>
                      <m:sty m:val="p"/>
                    </m:rPr>
                    <w:rPr>
                      <w:rFonts w:ascii="Cambria Math" w:hAnsi="Cambria Math"/>
                    </w:rPr>
                    <m:t>ch，c，V</m:t>
                  </m:r>
                  <m:ctrlPr>
                    <w:rPr>
                      <w:rFonts w:ascii="Cambria Math" w:hAnsi="Cambria Math"/>
                      <w:i/>
                    </w:rPr>
                  </m:ctrlPr>
                </m:sub>
              </m:sSub>
            </m:oMath>
            <w:r>
              <w:t>，并代入到公式D.0.22中，最后取较小值。</w:t>
            </w:r>
          </w:p>
        </w:tc>
      </w:tr>
    </w:tbl>
    <w:p>
      <w:pPr>
        <w:pStyle w:val="200"/>
      </w:pPr>
      <w:r>
        <w:rPr>
          <w:b/>
        </w:rPr>
        <w:t xml:space="preserve">D.0.26 </w:t>
      </w:r>
      <w:r>
        <w:t>混凝土基材厚度影响系数的计算</w:t>
      </w:r>
      <w:r>
        <w:rPr>
          <w:rFonts w:hint="eastAsia"/>
        </w:rPr>
        <w:t>，</w:t>
      </w:r>
      <w:r>
        <w:t>构件厚度</w:t>
      </w:r>
      <m:oMath>
        <m:sSub>
          <m:sSubPr>
            <m:ctrlPr>
              <w:rPr>
                <w:rFonts w:ascii="Cambria Math" w:hAnsi="Cambria Math"/>
                <w:i/>
              </w:rPr>
            </m:ctrlPr>
          </m:sSubPr>
          <m:e>
            <m:r>
              <m:rPr/>
              <w:rPr>
                <w:rFonts w:ascii="Cambria Math" w:hAnsi="Cambria Math"/>
              </w:rPr>
              <m:t>ℎ≥ℎ</m:t>
            </m:r>
            <m:ctrlPr>
              <w:rPr>
                <w:rFonts w:ascii="Cambria Math" w:hAnsi="Cambria Math"/>
                <w:i/>
              </w:rPr>
            </m:ctrlPr>
          </m:e>
          <m:sub>
            <m:r>
              <m:rPr>
                <m:sty m:val="p"/>
              </m:rPr>
              <w:rPr>
                <w:rFonts w:ascii="Cambria Math" w:hAnsi="Cambria Math"/>
              </w:rPr>
              <m:t>cr，V</m:t>
            </m:r>
            <m:ctrlPr>
              <w:rPr>
                <w:rFonts w:ascii="Cambria Math" w:hAnsi="Cambria Math"/>
                <w:i/>
              </w:rPr>
            </m:ctrlPr>
          </m:sub>
        </m:sSub>
      </m:oMath>
      <w:r>
        <w:t>时</w:t>
      </w:r>
      <m:oMath>
        <m:sSub>
          <m:sSubPr>
            <m:ctrlPr>
              <w:rPr>
                <w:rFonts w:ascii="Cambria Math" w:hAnsi="Cambria Math"/>
                <w:i/>
              </w:rPr>
            </m:ctrlPr>
          </m:sSubPr>
          <m:e>
            <m:r>
              <m:rPr/>
              <w:rPr>
                <w:rFonts w:ascii="Cambria Math" w:hAnsi="Cambria Math"/>
              </w:rPr>
              <m:t>ψ</m:t>
            </m:r>
            <m:ctrlPr>
              <w:rPr>
                <w:rFonts w:ascii="Cambria Math" w:hAnsi="Cambria Math"/>
                <w:i/>
              </w:rPr>
            </m:ctrlPr>
          </m:e>
          <m:sub>
            <m:r>
              <m:rPr>
                <m:sty m:val="p"/>
              </m:rPr>
              <w:rPr>
                <w:rFonts w:ascii="Cambria Math" w:hAnsi="Cambria Math"/>
              </w:rPr>
              <m:t>ch，h，V</m:t>
            </m:r>
            <m:ctrlPr>
              <w:rPr>
                <w:rFonts w:ascii="Cambria Math" w:hAnsi="Cambria Math"/>
                <w:i/>
              </w:rPr>
            </m:ctrlPr>
          </m:sub>
        </m:sSub>
      </m:oMath>
      <w:r>
        <w:t>可直接取1.0；</w:t>
      </w:r>
      <m:oMath>
        <m:sSub>
          <m:sSubPr>
            <m:ctrlPr>
              <w:rPr>
                <w:rFonts w:ascii="Cambria Math" w:hAnsi="Cambria Math"/>
                <w:i/>
              </w:rPr>
            </m:ctrlPr>
          </m:sSubPr>
          <m:e>
            <m:r>
              <m:rPr/>
              <w:rPr>
                <w:rFonts w:ascii="Cambria Math" w:hAnsi="Cambria Math"/>
              </w:rPr>
              <m:t>ℎ&lt;ℎ</m:t>
            </m:r>
            <m:ctrlPr>
              <w:rPr>
                <w:rFonts w:ascii="Cambria Math" w:hAnsi="Cambria Math"/>
                <w:i/>
              </w:rPr>
            </m:ctrlPr>
          </m:e>
          <m:sub>
            <m:r>
              <m:rPr>
                <m:sty m:val="p"/>
              </m:rPr>
              <w:rPr>
                <w:rFonts w:ascii="Cambria Math" w:hAnsi="Cambria Math"/>
              </w:rPr>
              <m:t>cr，V</m:t>
            </m:r>
            <m:ctrlPr>
              <w:rPr>
                <w:rFonts w:ascii="Cambria Math" w:hAnsi="Cambria Math"/>
                <w:i/>
              </w:rPr>
            </m:ctrlPr>
          </m:sub>
        </m:sSub>
      </m:oMath>
      <w:r>
        <w:t>时按下式计算：</w:t>
      </w:r>
    </w:p>
    <w:tbl>
      <w:tblPr>
        <w:tblStyle w:val="37"/>
        <w:tblW w:w="4750" w:type="pct"/>
        <w:jc w:val="right"/>
        <w:tblLayout w:type="fixed"/>
        <w:tblCellMar>
          <w:top w:w="0" w:type="dxa"/>
          <w:left w:w="108" w:type="dxa"/>
          <w:bottom w:w="0" w:type="dxa"/>
          <w:right w:w="108" w:type="dxa"/>
        </w:tblCellMar>
      </w:tblPr>
      <w:tblGrid>
        <w:gridCol w:w="7827"/>
        <w:gridCol w:w="1534"/>
      </w:tblGrid>
      <w:tr>
        <w:tblPrEx>
          <w:tblCellMar>
            <w:top w:w="0" w:type="dxa"/>
            <w:left w:w="108" w:type="dxa"/>
            <w:bottom w:w="0" w:type="dxa"/>
            <w:right w:w="108" w:type="dxa"/>
          </w:tblCellMar>
        </w:tblPrEx>
        <w:trPr>
          <w:jc w:val="right"/>
        </w:trPr>
        <w:tc>
          <w:tcPr>
            <w:tcW w:w="6770"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ch，h，V</m:t>
                    </m:r>
                    <m:ctrlPr>
                      <w:rPr>
                        <w:rFonts w:ascii="Cambria Math" w:hAnsi="Cambria Math" w:cs="Times New Roman"/>
                        <w:i/>
                      </w:rPr>
                    </m:ctrlPr>
                  </m:sub>
                </m:sSub>
                <m:r>
                  <m:rP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m:rPr/>
                              <w:rPr>
                                <w:rFonts w:ascii="Cambria Math" w:hAnsi="Cambria Math" w:cs="Times New Roman"/>
                              </w:rPr>
                              <m:t>ℎ</m:t>
                            </m:r>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w:rPr>
                                    <w:rFonts w:ascii="Cambria Math" w:hAnsi="Cambria Math" w:cs="Times New Roman"/>
                                  </w:rPr>
                                  <m:t>cr，V</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w:rPr>
                        <w:rFonts w:ascii="Cambria Math" w:hAnsi="Cambria Math" w:cs="Times New Roman"/>
                      </w:rPr>
                      <m:t>0.5</m:t>
                    </m:r>
                    <m:ctrlPr>
                      <w:rPr>
                        <w:rFonts w:ascii="Cambria Math" w:hAnsi="Cambria Math" w:cs="Times New Roman"/>
                        <w:i/>
                      </w:rPr>
                    </m:ctrlPr>
                  </m:sup>
                </m:sSup>
                <m:r>
                  <m:rPr/>
                  <w:rPr>
                    <w:rFonts w:ascii="Cambria Math" w:hAnsi="Cambria Math" w:cs="Times New Roman"/>
                  </w:rPr>
                  <m:t>≤1.0</m:t>
                </m:r>
              </m:oMath>
            </m:oMathPara>
          </w:p>
        </w:tc>
        <w:tc>
          <w:tcPr>
            <w:tcW w:w="1326"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（D.0.26）</w:t>
            </w:r>
          </w:p>
        </w:tc>
      </w:tr>
    </w:tbl>
    <w:p>
      <w:pPr>
        <w:pStyle w:val="202"/>
        <w:rPr>
          <w:rFonts w:cs="Times New Roman"/>
        </w:rPr>
      </w:pPr>
      <w:r>
        <w:rPr>
          <w:rFonts w:cs="Times New Roman"/>
        </w:rPr>
        <w:drawing>
          <wp:inline distT="0" distB="0" distL="0" distR="0">
            <wp:extent cx="2385695" cy="1439545"/>
            <wp:effectExtent l="0" t="0" r="0" b="825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17"/>
                    <a:stretch>
                      <a:fillRect/>
                    </a:stretch>
                  </pic:blipFill>
                  <pic:spPr>
                    <a:xfrm>
                      <a:off x="0" y="0"/>
                      <a:ext cx="2385799" cy="1440000"/>
                    </a:xfrm>
                    <a:prstGeom prst="rect">
                      <a:avLst/>
                    </a:prstGeom>
                  </pic:spPr>
                </pic:pic>
              </a:graphicData>
            </a:graphic>
          </wp:inline>
        </w:drawing>
      </w:r>
    </w:p>
    <w:p>
      <w:pPr>
        <w:pStyle w:val="202"/>
        <w:rPr>
          <w:rFonts w:cs="Times New Roman"/>
        </w:rPr>
      </w:pPr>
      <w:r>
        <w:rPr>
          <w:rFonts w:cs="Times New Roman"/>
        </w:rPr>
        <w:t>图D.0.26 槽式预埋件锚筋受构件厚度影响示意图</w:t>
      </w:r>
    </w:p>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ℎ</m:t>
                    </m:r>
                    <m:ctrlPr>
                      <w:rPr>
                        <w:rFonts w:ascii="Cambria Math" w:hAnsi="Cambria Math" w:cs="Times New Roman"/>
                        <w:i/>
                      </w:rPr>
                    </m:ctrlPr>
                  </m:e>
                  <m:sub>
                    <m:r>
                      <m:rPr/>
                      <w:rPr>
                        <w:rFonts w:ascii="Cambria Math" w:hAnsi="Cambria Math" w:cs="Times New Roman"/>
                      </w:rPr>
                      <m:t>cr，V</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adjustRightInd w:val="0"/>
              <w:snapToGrid w:val="0"/>
              <w:spacing w:line="240" w:lineRule="auto"/>
              <w:jc w:val="both"/>
            </w:pPr>
            <w:r>
              <w:t>基材临界厚度(mm)；当槽式预埋件</w:t>
            </w:r>
            <m:oMath>
              <m:sSub>
                <m:sSubPr>
                  <m:ctrlPr>
                    <w:rPr>
                      <w:rFonts w:ascii="Cambria Math" w:hAnsi="Cambria Math"/>
                      <w:i/>
                    </w:rPr>
                  </m:ctrlPr>
                </m:sSubPr>
                <m:e>
                  <m:r>
                    <m:rPr/>
                    <w:rPr>
                      <w:rFonts w:ascii="Cambria Math" w:hAnsi="Cambria Math"/>
                    </w:rPr>
                    <m:t>ℎ</m:t>
                  </m:r>
                  <m:ctrlPr>
                    <w:rPr>
                      <w:rFonts w:ascii="Cambria Math" w:hAnsi="Cambria Math"/>
                      <w:i/>
                    </w:rPr>
                  </m:ctrlPr>
                </m:e>
                <m:sub>
                  <m:r>
                    <m:rPr>
                      <m:sty m:val="p"/>
                    </m:rPr>
                    <w:rPr>
                      <w:rFonts w:ascii="Cambria Math" w:hAnsi="Cambria Math"/>
                    </w:rPr>
                    <m:t>ch</m:t>
                  </m:r>
                  <m:ctrlPr>
                    <w:rPr>
                      <w:rFonts w:ascii="Cambria Math" w:hAnsi="Cambria Math"/>
                      <w:i/>
                    </w:rPr>
                  </m:ctrlPr>
                </m:sub>
              </m:sSub>
            </m:oMath>
            <w:r>
              <w:t>/</w:t>
            </w:r>
            <m:oMath>
              <m:sSub>
                <m:sSubPr>
                  <m:ctrlPr>
                    <w:rPr>
                      <w:rFonts w:ascii="Cambria Math" w:hAnsi="Cambria Math"/>
                      <w:i/>
                    </w:rPr>
                  </m:ctrlPr>
                </m:sSubPr>
                <m:e>
                  <m:r>
                    <m:rPr/>
                    <w:rPr>
                      <w:rFonts w:ascii="Cambria Math" w:hAnsi="Cambria Math"/>
                    </w:rPr>
                    <m:t>ℎ</m:t>
                  </m:r>
                  <m:ctrlPr>
                    <w:rPr>
                      <w:rFonts w:ascii="Cambria Math" w:hAnsi="Cambria Math"/>
                      <w:i/>
                    </w:rPr>
                  </m:ctrlPr>
                </m:e>
                <m:sub>
                  <m:r>
                    <m:rPr>
                      <m:sty m:val="p"/>
                    </m:rPr>
                    <w:rPr>
                      <w:rFonts w:ascii="Cambria Math" w:hAnsi="Cambria Math"/>
                    </w:rPr>
                    <m:t>ef</m:t>
                  </m:r>
                  <m:ctrlPr>
                    <w:rPr>
                      <w:rFonts w:ascii="Cambria Math" w:hAnsi="Cambria Math"/>
                      <w:i/>
                    </w:rPr>
                  </m:ctrlPr>
                </m:sub>
              </m:sSub>
            </m:oMath>
            <w:r>
              <w:t>≤0.4且</w:t>
            </w:r>
            <m:oMath>
              <m:sSub>
                <m:sSubPr>
                  <m:ctrlPr>
                    <w:rPr>
                      <w:rFonts w:ascii="Cambria Math" w:hAnsi="Cambria Math"/>
                      <w:i/>
                    </w:rPr>
                  </m:ctrlPr>
                </m:sSubPr>
                <m:e>
                  <m:r>
                    <m:rPr/>
                    <w:rPr>
                      <w:rFonts w:ascii="Cambria Math" w:hAnsi="Cambria Math"/>
                    </w:rPr>
                    <m:t>b</m:t>
                  </m:r>
                  <m:ctrlPr>
                    <w:rPr>
                      <w:rFonts w:ascii="Cambria Math" w:hAnsi="Cambria Math"/>
                      <w:i/>
                    </w:rPr>
                  </m:ctrlPr>
                </m:e>
                <m:sub>
                  <m:r>
                    <m:rPr>
                      <m:sty m:val="p"/>
                    </m:rPr>
                    <w:rPr>
                      <w:rFonts w:ascii="Cambria Math" w:hAnsi="Cambria Math"/>
                    </w:rPr>
                    <m:t>ch</m:t>
                  </m:r>
                  <m:ctrlPr>
                    <w:rPr>
                      <w:rFonts w:ascii="Cambria Math" w:hAnsi="Cambria Math"/>
                      <w:i/>
                    </w:rPr>
                  </m:ctrlPr>
                </m:sub>
              </m:sSub>
            </m:oMath>
            <w:r>
              <w:t>/</w:t>
            </w:r>
            <m:oMath>
              <m:sSub>
                <m:sSubPr>
                  <m:ctrlPr>
                    <w:rPr>
                      <w:rFonts w:ascii="Cambria Math" w:hAnsi="Cambria Math"/>
                      <w:i/>
                    </w:rPr>
                  </m:ctrlPr>
                </m:sSubPr>
                <m:e>
                  <m:r>
                    <m:rPr/>
                    <w:rPr>
                      <w:rFonts w:ascii="Cambria Math" w:hAnsi="Cambria Math"/>
                    </w:rPr>
                    <m:t>ℎ</m:t>
                  </m:r>
                  <m:ctrlPr>
                    <w:rPr>
                      <w:rFonts w:ascii="Cambria Math" w:hAnsi="Cambria Math"/>
                      <w:i/>
                    </w:rPr>
                  </m:ctrlPr>
                </m:e>
                <m:sub>
                  <m:r>
                    <m:rPr>
                      <m:sty m:val="p"/>
                    </m:rPr>
                    <w:rPr>
                      <w:rFonts w:ascii="Cambria Math" w:hAnsi="Cambria Math"/>
                    </w:rPr>
                    <m:t>ef</m:t>
                  </m:r>
                  <m:ctrlPr>
                    <w:rPr>
                      <w:rFonts w:ascii="Cambria Math" w:hAnsi="Cambria Math"/>
                      <w:i/>
                    </w:rPr>
                  </m:ctrlPr>
                </m:sub>
              </m:sSub>
            </m:oMath>
            <w:r>
              <w:t>≤0.7时，取</w:t>
            </w:r>
            <m:oMath>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cr，V</m:t>
                  </m:r>
                  <m:ctrlPr>
                    <w:rPr>
                      <w:rFonts w:ascii="Cambria Math" w:hAnsi="Cambria Math"/>
                      <w:i/>
                    </w:rPr>
                  </m:ctrlPr>
                </m:sub>
              </m:sSub>
              <m:r>
                <m:rPr/>
                <w:rPr>
                  <w:rFonts w:ascii="Cambria Math" w:hAnsi="Cambria Math"/>
                </w:rPr>
                <m:t>=2</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+2</m:t>
              </m:r>
              <m:sSub>
                <m:sSubPr>
                  <m:ctrlPr>
                    <w:rPr>
                      <w:rFonts w:ascii="Cambria Math" w:hAnsi="Cambria Math"/>
                      <w:i/>
                    </w:rPr>
                  </m:ctrlPr>
                </m:sSubPr>
                <m:e>
                  <m:r>
                    <m:rPr/>
                    <w:rPr>
                      <w:rFonts w:ascii="Cambria Math" w:hAnsi="Cambria Math"/>
                    </w:rPr>
                    <m:t>ℎ</m:t>
                  </m:r>
                  <m:ctrlPr>
                    <w:rPr>
                      <w:rFonts w:ascii="Cambria Math" w:hAnsi="Cambria Math"/>
                      <w:i/>
                    </w:rPr>
                  </m:ctrlPr>
                </m:e>
                <m:sub>
                  <m:r>
                    <m:rPr>
                      <m:sty m:val="p"/>
                    </m:rPr>
                    <w:rPr>
                      <w:rFonts w:ascii="Cambria Math" w:hAnsi="Cambria Math"/>
                    </w:rPr>
                    <m:t>ch</m:t>
                  </m:r>
                  <m:ctrlPr>
                    <w:rPr>
                      <w:rFonts w:ascii="Cambria Math" w:hAnsi="Cambria Math"/>
                      <w:i/>
                    </w:rPr>
                  </m:ctrlPr>
                </m:sub>
              </m:sSub>
            </m:oMath>
            <w:r>
              <w:t>；当上述条件不满足时，</w:t>
            </w:r>
            <m:oMath>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cr，V</m:t>
                  </m:r>
                  <m:ctrlPr>
                    <w:rPr>
                      <w:rFonts w:ascii="Cambria Math" w:hAnsi="Cambria Math"/>
                      <w:i/>
                    </w:rPr>
                  </m:ctrlPr>
                </m:sub>
              </m:sSub>
            </m:oMath>
            <w:r>
              <w:t>应由相关认证报告或测试报告提供，且不小于(</w:t>
            </w:r>
            <m:oMath>
              <m:r>
                <m:rPr/>
                <w:rPr>
                  <w:rFonts w:ascii="Cambria Math" w:hAnsi="Cambria Math"/>
                </w:rPr>
                <m:t>2</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+2</m:t>
              </m:r>
              <m:sSub>
                <m:sSubPr>
                  <m:ctrlPr>
                    <w:rPr>
                      <w:rFonts w:ascii="Cambria Math" w:hAnsi="Cambria Math"/>
                      <w:i/>
                    </w:rPr>
                  </m:ctrlPr>
                </m:sSubPr>
                <m:e>
                  <m:r>
                    <m:rPr/>
                    <w:rPr>
                      <w:rFonts w:ascii="Cambria Math" w:hAnsi="Cambria Math"/>
                    </w:rPr>
                    <m:t>ℎ</m:t>
                  </m:r>
                  <m:ctrlPr>
                    <w:rPr>
                      <w:rFonts w:ascii="Cambria Math" w:hAnsi="Cambria Math"/>
                      <w:i/>
                    </w:rPr>
                  </m:ctrlPr>
                </m:e>
                <m:sub>
                  <m:r>
                    <m:rPr>
                      <m:sty m:val="p"/>
                    </m:rPr>
                    <w:rPr>
                      <w:rFonts w:ascii="Cambria Math" w:hAnsi="Cambria Math"/>
                    </w:rPr>
                    <m:t>ch</m:t>
                  </m:r>
                  <m:ctrlPr>
                    <w:rPr>
                      <w:rFonts w:ascii="Cambria Math" w:hAnsi="Cambria Math"/>
                      <w:i/>
                    </w:rPr>
                  </m:ctrlPr>
                </m:sub>
              </m:sSub>
            </m:oMath>
            <w:r>
              <w:t>)；</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w:rPr>
                    <w:rFonts w:ascii="Cambria Math" w:hAnsi="Cambria Math" w:cs="Times New Roman"/>
                  </w:rPr>
                  <m:t>ℎ</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混凝土构件厚度</w:t>
            </w:r>
            <w:r>
              <w:rPr>
                <w:rFonts w:hint="eastAsia"/>
                <w:lang w:eastAsia="zh-CN"/>
              </w:rPr>
              <w:t>（</w:t>
            </w:r>
            <w:r>
              <w:t>mm)。</w:t>
            </w:r>
          </w:p>
        </w:tc>
      </w:tr>
    </w:tbl>
    <w:p>
      <w:pPr>
        <w:pStyle w:val="200"/>
      </w:pPr>
      <w:r>
        <w:rPr>
          <w:b/>
        </w:rPr>
        <w:t>D.0.27</w:t>
      </w:r>
      <w:r>
        <w:t>在平行于钢槽长度方向的剪力作用下，最不利单根锚筋混凝土边缘破坏受剪承载力标准值，取算式D.0.27-1和算式D.0.27-2的较小值。</w:t>
      </w:r>
    </w:p>
    <w:tbl>
      <w:tblPr>
        <w:tblStyle w:val="37"/>
        <w:tblW w:w="4750" w:type="pct"/>
        <w:jc w:val="right"/>
        <w:tblLayout w:type="fixed"/>
        <w:tblCellMar>
          <w:top w:w="0" w:type="dxa"/>
          <w:left w:w="108" w:type="dxa"/>
          <w:bottom w:w="0" w:type="dxa"/>
          <w:right w:w="108" w:type="dxa"/>
        </w:tblCellMar>
      </w:tblPr>
      <w:tblGrid>
        <w:gridCol w:w="7664"/>
        <w:gridCol w:w="1697"/>
      </w:tblGrid>
      <w:tr>
        <w:trPr>
          <w:jc w:val="right"/>
        </w:trPr>
        <w:tc>
          <w:tcPr>
            <w:tcW w:w="6628"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Rk，c，x</m:t>
                    </m:r>
                    <m:ctrlPr>
                      <w:rPr>
                        <w:rFonts w:ascii="Cambria Math" w:hAnsi="Cambria Math" w:cs="Times New Roman"/>
                        <w:i/>
                      </w:rPr>
                    </m:ctrlPr>
                  </m:sub>
                </m:sSub>
                <m:r>
                  <m:rPr/>
                  <w:rPr>
                    <w:rFonts w:ascii="Cambria Math" w:hAnsi="Cambria Math" w:cs="Times New Roman"/>
                  </w:rPr>
                  <m:t>=</m:t>
                </m:r>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Rk，c，x</m:t>
                    </m:r>
                    <m:ctrlPr>
                      <w:rPr>
                        <w:rFonts w:ascii="Cambria Math" w:hAnsi="Cambria Math" w:cs="Times New Roman"/>
                      </w:rPr>
                    </m:ctrlPr>
                  </m:sub>
                  <m:sup>
                    <m:r>
                      <m:rPr>
                        <m:sty m:val="p"/>
                      </m:rPr>
                      <w:rPr>
                        <w:rFonts w:ascii="Cambria Math" w:hAnsi="Cambria Math" w:cs="Times New Roman"/>
                      </w:rPr>
                      <m:t>0</m:t>
                    </m:r>
                    <m:ctrlPr>
                      <w:rPr>
                        <w:rFonts w:ascii="Cambria Math" w:hAnsi="Cambria Math" w:cs="Times New Roman"/>
                      </w:rPr>
                    </m:ctrlPr>
                  </m:sup>
                </m:sSubSup>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c，V</m:t>
                        </m:r>
                        <m:ctrlPr>
                          <w:rPr>
                            <w:rFonts w:ascii="Cambria Math" w:hAnsi="Cambria Math" w:cs="Times New Roman"/>
                            <w:i/>
                          </w:rPr>
                        </m:ctrlPr>
                      </m:sub>
                    </m:sSub>
                    <m:ctrlPr>
                      <w:rPr>
                        <w:rFonts w:ascii="Cambria Math" w:hAnsi="Cambria Math" w:cs="Times New Roman"/>
                        <w:i/>
                      </w:rPr>
                    </m:ctrlPr>
                  </m:num>
                  <m:den>
                    <m:sSubSup>
                      <m:sSubSupPr>
                        <m:ctrlPr>
                          <w:rPr>
                            <w:rFonts w:ascii="Cambria Math" w:hAnsi="Cambria Math" w:cs="Times New Roman"/>
                          </w:rPr>
                        </m:ctrlPr>
                      </m:sSubSupPr>
                      <m:e>
                        <m:r>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c，V</m:t>
                        </m:r>
                        <m:ctrlPr>
                          <w:rPr>
                            <w:rFonts w:ascii="Cambria Math" w:hAnsi="Cambria Math" w:cs="Times New Roman"/>
                          </w:rPr>
                        </m:ctrlPr>
                      </m:sub>
                      <m:sup>
                        <m:r>
                          <m:rPr>
                            <m:sty m:val="p"/>
                          </m:rPr>
                          <w:rPr>
                            <w:rFonts w:ascii="Cambria Math" w:hAnsi="Cambria Math" w:cs="Times New Roman"/>
                          </w:rPr>
                          <m:t>0</m:t>
                        </m:r>
                        <m:ctrlPr>
                          <w:rPr>
                            <w:rFonts w:ascii="Cambria Math" w:hAnsi="Cambria Math" w:cs="Times New Roman"/>
                          </w:rPr>
                        </m:ctrlPr>
                      </m:sup>
                    </m:sSubSup>
                    <m:ctrlPr>
                      <w:rPr>
                        <w:rFonts w:ascii="Cambria Math" w:hAnsi="Cambria Math" w:cs="Times New Roman"/>
                        <w:i/>
                      </w:rPr>
                    </m:ctrlPr>
                  </m:den>
                </m:f>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s，V</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h，V</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re，V</m:t>
                    </m:r>
                    <m:ctrlPr>
                      <w:rPr>
                        <w:rFonts w:ascii="Cambria Math" w:hAnsi="Cambria Math" w:cs="Times New Roman"/>
                        <w:i/>
                      </w:rPr>
                    </m:ctrlPr>
                  </m:sub>
                </m:sSub>
              </m:oMath>
            </m:oMathPara>
          </w:p>
        </w:tc>
        <w:tc>
          <w:tcPr>
            <w:tcW w:w="1468"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（D.0.27-1）</w:t>
            </w:r>
          </w:p>
        </w:tc>
      </w:tr>
      <w:tr>
        <w:tblPrEx>
          <w:tblCellMar>
            <w:top w:w="0" w:type="dxa"/>
            <w:left w:w="108" w:type="dxa"/>
            <w:bottom w:w="0" w:type="dxa"/>
            <w:right w:w="108" w:type="dxa"/>
          </w:tblCellMar>
        </w:tblPrEx>
        <w:trPr>
          <w:jc w:val="right"/>
        </w:trPr>
        <w:tc>
          <w:tcPr>
            <w:tcW w:w="6628" w:type="dxa"/>
            <w:shd w:val="clear" w:color="auto" w:fill="auto"/>
            <w:vAlign w:val="center"/>
          </w:tcPr>
          <w:p>
            <w:pPr>
              <w:spacing w:line="360" w:lineRule="auto"/>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Rk，c，x</m:t>
                    </m:r>
                    <m:ctrlPr>
                      <w:rPr>
                        <w:rFonts w:ascii="Cambria Math" w:hAnsi="Cambria Math" w:cs="Times New Roman"/>
                        <w:i/>
                      </w:rPr>
                    </m:ctrlPr>
                  </m:sub>
                </m:sSub>
                <m:r>
                  <m:rPr/>
                  <w:rPr>
                    <w:rFonts w:ascii="Cambria Math" w:hAnsi="Cambria Math" w:cs="Times New Roman"/>
                  </w:rPr>
                  <m:t>=2·</m:t>
                </m:r>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Rk，c，x</m:t>
                    </m:r>
                    <m:ctrlPr>
                      <w:rPr>
                        <w:rFonts w:ascii="Cambria Math" w:hAnsi="Cambria Math" w:cs="Times New Roman"/>
                      </w:rPr>
                    </m:ctrlPr>
                  </m:sub>
                  <m:sup>
                    <m:r>
                      <m:rPr>
                        <m:sty m:val="p"/>
                      </m:rPr>
                      <w:rPr>
                        <w:rFonts w:ascii="Cambria Math" w:hAnsi="Cambria Math" w:cs="Times New Roman"/>
                      </w:rPr>
                      <m:t>0</m:t>
                    </m:r>
                    <m:ctrlPr>
                      <w:rPr>
                        <w:rFonts w:ascii="Cambria Math" w:hAnsi="Cambria Math" w:cs="Times New Roman"/>
                      </w:rPr>
                    </m:ctrlPr>
                  </m:sup>
                </m:sSubSup>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c，V</m:t>
                        </m:r>
                        <m:ctrlPr>
                          <w:rPr>
                            <w:rFonts w:ascii="Cambria Math" w:hAnsi="Cambria Math" w:cs="Times New Roman"/>
                            <w:i/>
                          </w:rPr>
                        </m:ctrlPr>
                      </m:sub>
                    </m:sSub>
                    <m:ctrlPr>
                      <w:rPr>
                        <w:rFonts w:ascii="Cambria Math" w:hAnsi="Cambria Math" w:cs="Times New Roman"/>
                        <w:i/>
                      </w:rPr>
                    </m:ctrlPr>
                  </m:num>
                  <m:den>
                    <m:sSubSup>
                      <m:sSubSupPr>
                        <m:ctrlPr>
                          <w:rPr>
                            <w:rFonts w:ascii="Cambria Math" w:hAnsi="Cambria Math" w:cs="Times New Roman"/>
                          </w:rPr>
                        </m:ctrlPr>
                      </m:sSubSupPr>
                      <m:e>
                        <m:r>
                          <m:rPr/>
                          <w:rPr>
                            <w:rFonts w:ascii="Cambria Math" w:hAnsi="Cambria Math" w:cs="Times New Roman"/>
                          </w:rPr>
                          <m:t>A</m:t>
                        </m:r>
                        <m:ctrlPr>
                          <w:rPr>
                            <w:rFonts w:ascii="Cambria Math" w:hAnsi="Cambria Math" w:cs="Times New Roman"/>
                          </w:rPr>
                        </m:ctrlPr>
                      </m:e>
                      <m:sub>
                        <m:r>
                          <m:rPr>
                            <m:sty m:val="p"/>
                          </m:rPr>
                          <w:rPr>
                            <w:rFonts w:ascii="Cambria Math" w:hAnsi="Cambria Math" w:cs="Times New Roman"/>
                          </w:rPr>
                          <m:t>c，V</m:t>
                        </m:r>
                        <m:ctrlPr>
                          <w:rPr>
                            <w:rFonts w:ascii="Cambria Math" w:hAnsi="Cambria Math" w:cs="Times New Roman"/>
                          </w:rPr>
                        </m:ctrlPr>
                      </m:sub>
                      <m:sup>
                        <m:r>
                          <m:rPr>
                            <m:sty m:val="p"/>
                          </m:rPr>
                          <w:rPr>
                            <w:rFonts w:ascii="Cambria Math" w:hAnsi="Cambria Math" w:cs="Times New Roman"/>
                          </w:rPr>
                          <m:t>0</m:t>
                        </m:r>
                        <m:ctrlPr>
                          <w:rPr>
                            <w:rFonts w:ascii="Cambria Math" w:hAnsi="Cambria Math" w:cs="Times New Roman"/>
                          </w:rPr>
                        </m:ctrlPr>
                      </m:sup>
                    </m:sSubSup>
                    <m:ctrlPr>
                      <w:rPr>
                        <w:rFonts w:ascii="Cambria Math" w:hAnsi="Cambria Math" w:cs="Times New Roman"/>
                        <w:i/>
                      </w:rPr>
                    </m:ctrlPr>
                  </m:den>
                </m:f>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s，V</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h，V</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m:sty m:val="p"/>
                      </m:rPr>
                      <w:rPr>
                        <w:rFonts w:ascii="Cambria Math" w:hAnsi="Cambria Math" w:cs="Times New Roman"/>
                      </w:rPr>
                      <m:t>re，V</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a</m:t>
                    </m:r>
                    <m:ctrlPr>
                      <w:rPr>
                        <w:rFonts w:ascii="Cambria Math" w:hAnsi="Cambria Math" w:cs="Times New Roman"/>
                        <w:i/>
                      </w:rPr>
                    </m:ctrlPr>
                  </m:sub>
                </m:sSub>
              </m:oMath>
            </m:oMathPara>
          </w:p>
        </w:tc>
        <w:tc>
          <w:tcPr>
            <w:tcW w:w="1468"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（D.0.27-2）</w:t>
            </w:r>
          </w:p>
        </w:tc>
      </w:tr>
    </w:tbl>
    <w:p>
      <w:pPr>
        <w:pStyle w:val="202"/>
        <w:rPr>
          <w:rFonts w:cs="Times New Roman"/>
        </w:rPr>
      </w:pPr>
      <w:r>
        <w:rPr>
          <w:rFonts w:cs="Times New Roman"/>
        </w:rPr>
        <w:drawing>
          <wp:inline distT="0" distB="0" distL="0" distR="0">
            <wp:extent cx="5274310" cy="1715135"/>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18"/>
                    <a:stretch>
                      <a:fillRect/>
                    </a:stretch>
                  </pic:blipFill>
                  <pic:spPr>
                    <a:xfrm>
                      <a:off x="0" y="0"/>
                      <a:ext cx="5274310" cy="1715372"/>
                    </a:xfrm>
                    <a:prstGeom prst="rect">
                      <a:avLst/>
                    </a:prstGeom>
                  </pic:spPr>
                </pic:pic>
              </a:graphicData>
            </a:graphic>
          </wp:inline>
        </w:drawing>
      </w:r>
    </w:p>
    <w:p>
      <w:pPr>
        <w:pStyle w:val="202"/>
        <w:rPr>
          <w:rFonts w:cs="Times New Roman"/>
        </w:rPr>
      </w:pPr>
      <w:r>
        <w:rPr>
          <w:rFonts w:cs="Times New Roman"/>
        </w:rPr>
        <w:t>图D.0.27a 端部混凝土的边缘破坏           图D.0.27b 侧面混凝土的边缘破坏</w:t>
      </w:r>
    </w:p>
    <w:p>
      <w:pPr>
        <w:pStyle w:val="189"/>
      </w:pPr>
      <w:r>
        <w:t>式中：</w:t>
      </w:r>
      <m:oMath>
        <m:sSub>
          <m:sSubPr>
            <m:ctrlPr>
              <w:rPr>
                <w:rFonts w:ascii="Cambria Math" w:hAnsi="Cambria Math"/>
                <w:bCs w:val="0"/>
                <w:i/>
                <w:szCs w:val="24"/>
              </w:rPr>
            </m:ctrlPr>
          </m:sSubPr>
          <m:e>
            <m:r>
              <m:rPr/>
              <w:rPr>
                <w:rFonts w:ascii="Cambria Math" w:hAnsi="Cambria Math"/>
              </w:rPr>
              <m:t>n</m:t>
            </m:r>
            <m:ctrlPr>
              <w:rPr>
                <w:rFonts w:ascii="Cambria Math" w:hAnsi="Cambria Math"/>
                <w:bCs w:val="0"/>
                <w:i/>
                <w:szCs w:val="24"/>
              </w:rPr>
            </m:ctrlPr>
          </m:e>
          <m:sub>
            <m:r>
              <m:rPr/>
              <w:rPr>
                <w:rFonts w:ascii="Cambria Math" w:hAnsi="Cambria Math"/>
              </w:rPr>
              <m:t>a</m:t>
            </m:r>
            <m:ctrlPr>
              <w:rPr>
                <w:rFonts w:ascii="Cambria Math" w:hAnsi="Cambria Math"/>
                <w:bCs w:val="0"/>
                <w:i/>
                <w:szCs w:val="24"/>
              </w:rPr>
            </m:ctrlPr>
          </m:sub>
        </m:sSub>
      </m:oMath>
      <w:r>
        <w:t>为预埋槽的锚筋数量，当锚筋数量大于3时取3；其它参数均按JGJ 145-2013第6.1.15条计算。</w:t>
      </w:r>
    </w:p>
    <w:p>
      <w:pPr>
        <w:pStyle w:val="200"/>
      </w:pPr>
      <w:r>
        <w:rPr>
          <w:b/>
        </w:rPr>
        <w:t xml:space="preserve">D.0.28 </w:t>
      </w:r>
      <w:r>
        <w:t>槽式预埋件承受拉剪复合力时，应分别对T型螺栓钢材破坏、卷边破坏和钢槽受弯破坏、锚筋破坏和锚筋与钢槽连接破坏、混凝土破坏进行验算，并满足本条相关要求。</w:t>
      </w:r>
    </w:p>
    <w:p>
      <w:pPr>
        <w:pStyle w:val="188"/>
        <w:ind w:firstLine="482"/>
        <w:rPr>
          <w:rFonts w:cs="Times New Roman"/>
        </w:rPr>
      </w:pPr>
      <w:r>
        <w:rPr>
          <w:rFonts w:cs="Times New Roman"/>
          <w:b/>
          <w:bCs w:val="0"/>
        </w:rPr>
        <w:t>1</w:t>
      </w:r>
      <w:r>
        <w:rPr>
          <w:rFonts w:cs="Times New Roman"/>
        </w:rPr>
        <w:t>槽式预埋件承受拉剪复合力时，T型螺栓的钢材破坏模式验算应满足公式D.0.28-1。螺栓承受的剪力存在有杠杆力臂情况时无需进行本验算。</w:t>
      </w:r>
    </w:p>
    <w:tbl>
      <w:tblPr>
        <w:tblStyle w:val="37"/>
        <w:tblW w:w="4750" w:type="pct"/>
        <w:jc w:val="right"/>
        <w:tblLayout w:type="fixed"/>
        <w:tblCellMar>
          <w:top w:w="0" w:type="dxa"/>
          <w:left w:w="108" w:type="dxa"/>
          <w:bottom w:w="0" w:type="dxa"/>
          <w:right w:w="108" w:type="dxa"/>
        </w:tblCellMar>
      </w:tblPr>
      <w:tblGrid>
        <w:gridCol w:w="7664"/>
        <w:gridCol w:w="1697"/>
      </w:tblGrid>
      <w:tr>
        <w:tblPrEx>
          <w:tblCellMar>
            <w:top w:w="0" w:type="dxa"/>
            <w:left w:w="108" w:type="dxa"/>
            <w:bottom w:w="0" w:type="dxa"/>
            <w:right w:w="108" w:type="dxa"/>
          </w:tblCellMar>
        </w:tblPrEx>
        <w:trPr>
          <w:jc w:val="right"/>
        </w:trPr>
        <w:tc>
          <w:tcPr>
            <w:tcW w:w="6628" w:type="dxa"/>
            <w:shd w:val="clear" w:color="auto" w:fill="auto"/>
            <w:vAlign w:val="center"/>
          </w:tcPr>
          <w:p>
            <w:pPr>
              <w:spacing w:line="360" w:lineRule="auto"/>
              <w:jc w:val="center"/>
              <w:rPr>
                <w:rFonts w:ascii="Times New Roman" w:hAnsi="Times New Roman" w:cs="Times New Roman"/>
              </w:rPr>
            </w:pPr>
            <m:oMathPara>
              <m:oMath>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cb</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Rd，s</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cb</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Rd，s</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≤1.0</m:t>
                </m:r>
              </m:oMath>
            </m:oMathPara>
          </w:p>
        </w:tc>
        <w:tc>
          <w:tcPr>
            <w:tcW w:w="1468"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（D.0.28-1）</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cb</m:t>
                    </m:r>
                    <m:ctrlPr>
                      <w:rPr>
                        <w:rFonts w:ascii="Cambria Math" w:hAnsi="Cambria Math" w:cs="Times New Roman"/>
                      </w:rPr>
                    </m:ctrlPr>
                  </m:sup>
                </m:sSubSup>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分配到槽式预埋件T型螺栓的拉力</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Rd，s</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槽式预埋件T型螺栓受拉破坏承载力设计值</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cb</m:t>
                    </m:r>
                    <m:ctrlPr>
                      <w:rPr>
                        <w:rFonts w:ascii="Cambria Math" w:hAnsi="Cambria Math" w:cs="Times New Roman"/>
                      </w:rPr>
                    </m:ctrlPr>
                  </m:sup>
                </m:sSubSup>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槽式预埋件T型螺栓上所分配到的剪切力</w:t>
            </w:r>
            <w:r>
              <w:rPr>
                <w:rFonts w:hint="eastAsia"/>
                <w:lang w:eastAsia="zh-CN"/>
              </w:rPr>
              <w:t>（</w:t>
            </w:r>
            <w:r>
              <w:t>N)，即T型螺栓上</w:t>
            </w:r>
          </w:p>
          <w:p>
            <w:pPr>
              <w:pStyle w:val="189"/>
              <w:jc w:val="both"/>
            </w:pPr>
            <w:r>
              <w:t>所受垂直于钢槽轴向剪切力和平行于钢槽轴向剪切力的合力；</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Rd，s</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槽式预埋件T型螺栓受剪破坏承载力设计值</w:t>
            </w:r>
            <w:r>
              <w:rPr>
                <w:rFonts w:hint="eastAsia"/>
                <w:lang w:eastAsia="zh-CN"/>
              </w:rPr>
              <w:t>（</w:t>
            </w:r>
            <w:r>
              <w:t>N)。</w:t>
            </w:r>
          </w:p>
        </w:tc>
      </w:tr>
    </w:tbl>
    <w:p>
      <w:pPr>
        <w:pStyle w:val="188"/>
        <w:ind w:firstLine="482"/>
        <w:rPr>
          <w:rFonts w:cs="Times New Roman"/>
        </w:rPr>
      </w:pPr>
      <w:r>
        <w:rPr>
          <w:rFonts w:cs="Times New Roman"/>
          <w:b/>
          <w:bCs w:val="0"/>
        </w:rPr>
        <w:t>2</w:t>
      </w:r>
      <w:r>
        <w:rPr>
          <w:rFonts w:cs="Times New Roman"/>
        </w:rPr>
        <w:t>槽式预埋件承受拉剪复合力时，其卷边破坏、钢槽受弯破坏模式的验算，应满足下列公式：</w:t>
      </w:r>
    </w:p>
    <w:tbl>
      <w:tblPr>
        <w:tblStyle w:val="37"/>
        <w:tblW w:w="4937" w:type="pct"/>
        <w:jc w:val="right"/>
        <w:tblLayout w:type="fixed"/>
        <w:tblCellMar>
          <w:top w:w="0" w:type="dxa"/>
          <w:left w:w="108" w:type="dxa"/>
          <w:bottom w:w="0" w:type="dxa"/>
          <w:right w:w="108" w:type="dxa"/>
        </w:tblCellMar>
      </w:tblPr>
      <w:tblGrid>
        <w:gridCol w:w="8033"/>
        <w:gridCol w:w="1697"/>
      </w:tblGrid>
      <w:tr>
        <w:tblPrEx>
          <w:tblCellMar>
            <w:top w:w="0" w:type="dxa"/>
            <w:left w:w="108" w:type="dxa"/>
            <w:bottom w:w="0" w:type="dxa"/>
            <w:right w:w="108" w:type="dxa"/>
          </w:tblCellMar>
        </w:tblPrEx>
        <w:trPr>
          <w:jc w:val="right"/>
        </w:trPr>
        <w:tc>
          <w:tcPr>
            <w:tcW w:w="6946" w:type="dxa"/>
            <w:shd w:val="clear" w:color="auto" w:fill="auto"/>
            <w:vAlign w:val="center"/>
          </w:tcPr>
          <w:p>
            <w:pPr>
              <w:spacing w:line="360" w:lineRule="auto"/>
              <w:jc w:val="center"/>
              <w:rPr>
                <w:rFonts w:ascii="Times New Roman" w:hAnsi="Times New Roman" w:cs="Times New Roman"/>
              </w:rPr>
            </w:pPr>
            <m:oMathPara>
              <m:oMath>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cb</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Rd，s，1</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m:sty m:val="p"/>
                      </m:rPr>
                      <w:rPr>
                        <w:rFonts w:ascii="Cambria Math" w:hAnsi="Cambria Math" w:cs="Times New Roman"/>
                      </w:rPr>
                      <m:t>k13</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Ed，y</m:t>
                                </m:r>
                                <m:ctrlPr>
                                  <w:rPr>
                                    <w:rFonts w:ascii="Cambria Math" w:hAnsi="Cambria Math" w:cs="Times New Roman"/>
                                  </w:rPr>
                                </m:ctrlPr>
                              </m:sub>
                              <m:sup>
                                <m:r>
                                  <m:rPr>
                                    <m:sty m:val="p"/>
                                  </m:rPr>
                                  <w:rPr>
                                    <w:rFonts w:ascii="Cambria Math" w:hAnsi="Cambria Math" w:cs="Times New Roman"/>
                                  </w:rPr>
                                  <m:t>cb</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Rd，s，1，y</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m:sty m:val="p"/>
                      </m:rPr>
                      <w:rPr>
                        <w:rFonts w:ascii="Cambria Math" w:hAnsi="Cambria Math" w:cs="Times New Roman"/>
                      </w:rPr>
                      <m:t>k13</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r>
                          <m:rPr/>
                          <w:rPr>
                            <w:rFonts w:ascii="Cambria Math" w:hAnsi="Cambria Math" w:cs="Times New Roman"/>
                          </w:rPr>
                          <m:t>1−</m:t>
                        </m:r>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Ed，x</m:t>
                                    </m:r>
                                    <m:ctrlPr>
                                      <w:rPr>
                                        <w:rFonts w:ascii="Cambria Math" w:hAnsi="Cambria Math" w:cs="Times New Roman"/>
                                      </w:rPr>
                                    </m:ctrlPr>
                                  </m:sub>
                                  <m:sup>
                                    <m:r>
                                      <m:rPr>
                                        <m:sty m:val="p"/>
                                      </m:rPr>
                                      <w:rPr>
                                        <w:rFonts w:ascii="Cambria Math" w:hAnsi="Cambria Math" w:cs="Times New Roman"/>
                                      </w:rPr>
                                      <m:t>cb</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Rd，s，1，x</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d>
                    <m:ctrlPr>
                      <w:rPr>
                        <w:rFonts w:ascii="Cambria Math" w:hAnsi="Cambria Math" w:cs="Times New Roman"/>
                        <w:i/>
                      </w:rPr>
                    </m:ctrlPr>
                  </m:e>
                  <m:sup>
                    <m:r>
                      <m:rPr>
                        <m:sty m:val="p"/>
                      </m:rPr>
                      <w:rPr>
                        <w:rFonts w:ascii="Cambria Math" w:hAnsi="Cambria Math" w:cs="Times New Roman"/>
                      </w:rPr>
                      <m:t>k13</m:t>
                    </m:r>
                    <m:ctrlPr>
                      <w:rPr>
                        <w:rFonts w:ascii="Cambria Math" w:hAnsi="Cambria Math" w:cs="Times New Roman"/>
                        <w:i/>
                      </w:rPr>
                    </m:ctrlPr>
                  </m:sup>
                </m:sSup>
                <m:r>
                  <w:rPr>
                    <w:rFonts w:hint="eastAsia" w:hAnsi="Cambria Math" w:cs="Times New Roman"/>
                    <w:i/>
                    <w:lang w:eastAsia="zh-CN"/>
                  </w:rPr>
                  <m:t>（</m:t>
                </m:r>
                <m:r>
                  <m:rPr>
                    <m:sty m:val="p"/>
                  </m:rPr>
                  <w:rPr>
                    <w:rFonts w:ascii="Cambria Math" w:hAnsi="Cambria Math" w:cs="Times New Roman"/>
                  </w:rPr>
                  <m:t>卷边验算</m:t>
                </m:r>
                <m:r>
                  <m:rPr/>
                  <w:rPr>
                    <w:rFonts w:hint="eastAsia" w:hAnsi="Cambria Math" w:cs="Times New Roman"/>
                    <w:b w:val="0"/>
                    <w:i w:val="0"/>
                    <w:lang w:eastAsia="zh-CN"/>
                  </w:rPr>
                  <m:t>）</m:t>
                </m:r>
              </m:oMath>
            </m:oMathPara>
          </w:p>
        </w:tc>
        <w:tc>
          <w:tcPr>
            <w:tcW w:w="1468"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（D.0.28-2）</w:t>
            </w:r>
          </w:p>
        </w:tc>
      </w:tr>
      <w:tr>
        <w:tblPrEx>
          <w:tblCellMar>
            <w:top w:w="0" w:type="dxa"/>
            <w:left w:w="108" w:type="dxa"/>
            <w:bottom w:w="0" w:type="dxa"/>
            <w:right w:w="108" w:type="dxa"/>
          </w:tblCellMar>
        </w:tblPrEx>
        <w:trPr>
          <w:jc w:val="right"/>
        </w:trPr>
        <w:tc>
          <w:tcPr>
            <w:tcW w:w="6946" w:type="dxa"/>
            <w:shd w:val="clear" w:color="auto" w:fill="auto"/>
            <w:vAlign w:val="center"/>
          </w:tcPr>
          <w:p>
            <w:pPr>
              <w:spacing w:line="360" w:lineRule="auto"/>
              <w:jc w:val="center"/>
              <w:rPr>
                <w:rFonts w:ascii="Times New Roman" w:hAnsi="Times New Roman" w:cs="Times New Roman"/>
              </w:rPr>
            </w:pPr>
            <m:oMathPara>
              <m:oMath>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M</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ch</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m:sty m:val="p"/>
                                  </m:rPr>
                                  <w:rPr>
                                    <w:rFonts w:ascii="Cambria Math" w:hAnsi="Cambria Math" w:cs="Times New Roman"/>
                                  </w:rPr>
                                  <m:t>Rd，s，flex</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m:sty m:val="p"/>
                      </m:rPr>
                      <w:rPr>
                        <w:rFonts w:ascii="Cambria Math" w:hAnsi="Cambria Math" w:cs="Times New Roman"/>
                      </w:rPr>
                      <m:t>k13</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Ed，y</m:t>
                                </m:r>
                                <m:ctrlPr>
                                  <w:rPr>
                                    <w:rFonts w:ascii="Cambria Math" w:hAnsi="Cambria Math" w:cs="Times New Roman"/>
                                  </w:rPr>
                                </m:ctrlPr>
                              </m:sub>
                              <m:sup>
                                <m:r>
                                  <m:rPr>
                                    <m:sty m:val="p"/>
                                  </m:rPr>
                                  <w:rPr>
                                    <w:rFonts w:ascii="Cambria Math" w:hAnsi="Cambria Math" w:cs="Times New Roman"/>
                                  </w:rPr>
                                  <m:t>cb</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Rd，s，1，y</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m:sty m:val="p"/>
                      </m:rPr>
                      <w:rPr>
                        <w:rFonts w:ascii="Cambria Math" w:hAnsi="Cambria Math" w:cs="Times New Roman"/>
                      </w:rPr>
                      <m:t>k13</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r>
                          <m:rPr/>
                          <w:rPr>
                            <w:rFonts w:ascii="Cambria Math" w:hAnsi="Cambria Math" w:cs="Times New Roman"/>
                          </w:rPr>
                          <m:t>1−</m:t>
                        </m:r>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Ed，x</m:t>
                                    </m:r>
                                    <m:ctrlPr>
                                      <w:rPr>
                                        <w:rFonts w:ascii="Cambria Math" w:hAnsi="Cambria Math" w:cs="Times New Roman"/>
                                      </w:rPr>
                                    </m:ctrlPr>
                                  </m:sub>
                                  <m:sup>
                                    <m:r>
                                      <m:rPr>
                                        <m:sty m:val="p"/>
                                      </m:rPr>
                                      <w:rPr>
                                        <w:rFonts w:ascii="Cambria Math" w:hAnsi="Cambria Math" w:cs="Times New Roman"/>
                                      </w:rPr>
                                      <m:t>cb</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Rd，s，1，x</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d>
                    <m:ctrlPr>
                      <w:rPr>
                        <w:rFonts w:ascii="Cambria Math" w:hAnsi="Cambria Math" w:cs="Times New Roman"/>
                        <w:i/>
                      </w:rPr>
                    </m:ctrlPr>
                  </m:e>
                  <m:sup>
                    <m:r>
                      <m:rPr>
                        <m:sty m:val="p"/>
                      </m:rPr>
                      <w:rPr>
                        <w:rFonts w:ascii="Cambria Math" w:hAnsi="Cambria Math" w:cs="Times New Roman"/>
                      </w:rPr>
                      <m:t>k13</m:t>
                    </m:r>
                    <m:ctrlPr>
                      <w:rPr>
                        <w:rFonts w:ascii="Cambria Math" w:hAnsi="Cambria Math" w:cs="Times New Roman"/>
                        <w:i/>
                      </w:rPr>
                    </m:ctrlPr>
                  </m:sup>
                </m:sSup>
                <m:r>
                  <w:rPr>
                    <w:rFonts w:hint="eastAsia" w:hAnsi="Cambria Math" w:cs="Times New Roman"/>
                    <w:i/>
                    <w:lang w:eastAsia="zh-CN"/>
                  </w:rPr>
                  <m:t>（</m:t>
                </m:r>
                <m:r>
                  <m:rPr>
                    <m:sty m:val="p"/>
                  </m:rPr>
                  <w:rPr>
                    <w:rFonts w:ascii="Cambria Math" w:hAnsi="Cambria Math" w:cs="Times New Roman"/>
                  </w:rPr>
                  <m:t>受弯验算</m:t>
                </m:r>
                <m:r>
                  <m:rPr/>
                  <w:rPr>
                    <w:rFonts w:hint="eastAsia" w:hAnsi="Cambria Math" w:cs="Times New Roman"/>
                    <w:b w:val="0"/>
                    <w:i w:val="0"/>
                    <w:lang w:eastAsia="zh-CN"/>
                  </w:rPr>
                  <m:t>）</m:t>
                </m:r>
              </m:oMath>
            </m:oMathPara>
          </w:p>
        </w:tc>
        <w:tc>
          <w:tcPr>
            <w:tcW w:w="1468"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（D.0.28-3）</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m:sty m:val="p"/>
                  </m:rPr>
                  <w:rPr>
                    <w:rFonts w:ascii="Cambria Math" w:hAnsi="Cambria Math" w:cs="Times New Roman"/>
                  </w:rPr>
                  <m:t>k13</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指数；</w:t>
            </w:r>
            <m:oMath>
              <m:sSub>
                <m:sSubPr>
                  <m:ctrlPr>
                    <w:rPr>
                      <w:rFonts w:ascii="Cambria Math" w:hAnsi="Cambria Math"/>
                      <w:bCs w:val="0"/>
                      <w:i/>
                      <w:szCs w:val="24"/>
                    </w:rPr>
                  </m:ctrlPr>
                </m:sSubPr>
                <m:e>
                  <m:r>
                    <m:rPr/>
                    <w:rPr>
                      <w:rFonts w:ascii="Cambria Math" w:hAnsi="Cambria Math"/>
                    </w:rPr>
                    <m:t>V</m:t>
                  </m:r>
                  <m:ctrlPr>
                    <w:rPr>
                      <w:rFonts w:ascii="Cambria Math" w:hAnsi="Cambria Math"/>
                      <w:bCs w:val="0"/>
                      <w:i/>
                      <w:szCs w:val="24"/>
                    </w:rPr>
                  </m:ctrlPr>
                </m:e>
                <m:sub>
                  <m:r>
                    <m:rPr>
                      <m:sty m:val="p"/>
                    </m:rPr>
                    <w:rPr>
                      <w:rFonts w:ascii="Cambria Math" w:hAnsi="Cambria Math"/>
                    </w:rPr>
                    <m:t>Rd，s，1，y</m:t>
                  </m:r>
                  <m:ctrlPr>
                    <w:rPr>
                      <w:rFonts w:ascii="Cambria Math" w:hAnsi="Cambria Math"/>
                      <w:bCs w:val="0"/>
                      <w:i/>
                      <w:szCs w:val="24"/>
                    </w:rPr>
                  </m:ctrlPr>
                </m:sub>
              </m:sSub>
              <m:r>
                <m:rPr/>
                <w:rPr>
                  <w:rFonts w:ascii="Cambria Math" w:hAnsi="Cambria Math"/>
                  <w:szCs w:val="24"/>
                </w:rPr>
                <m:t>≤</m:t>
              </m:r>
              <m:sSub>
                <m:sSubPr>
                  <m:ctrlPr>
                    <w:rPr>
                      <w:rFonts w:ascii="Cambria Math" w:hAnsi="Cambria Math"/>
                      <w:bCs w:val="0"/>
                      <w:i/>
                      <w:szCs w:val="24"/>
                    </w:rPr>
                  </m:ctrlPr>
                </m:sSubPr>
                <m:e>
                  <m:r>
                    <m:rPr/>
                    <w:rPr>
                      <w:rFonts w:ascii="Cambria Math" w:hAnsi="Cambria Math"/>
                    </w:rPr>
                    <m:t>N</m:t>
                  </m:r>
                  <m:ctrlPr>
                    <w:rPr>
                      <w:rFonts w:ascii="Cambria Math" w:hAnsi="Cambria Math"/>
                      <w:bCs w:val="0"/>
                      <w:i/>
                      <w:szCs w:val="24"/>
                    </w:rPr>
                  </m:ctrlPr>
                </m:e>
                <m:sub>
                  <m:r>
                    <m:rPr>
                      <m:sty m:val="p"/>
                    </m:rPr>
                    <w:rPr>
                      <w:rFonts w:ascii="Cambria Math" w:hAnsi="Cambria Math"/>
                    </w:rPr>
                    <m:t>Rd，s，1</m:t>
                  </m:r>
                  <m:ctrlPr>
                    <w:rPr>
                      <w:rFonts w:ascii="Cambria Math" w:hAnsi="Cambria Math"/>
                      <w:bCs w:val="0"/>
                      <w:i/>
                      <w:szCs w:val="24"/>
                    </w:rPr>
                  </m:ctrlPr>
                </m:sub>
              </m:sSub>
            </m:oMath>
            <w:r>
              <w:t>时取2.0；</w:t>
            </w:r>
            <m:oMath>
              <m:sSub>
                <m:sSubPr>
                  <m:ctrlPr>
                    <w:rPr>
                      <w:rFonts w:ascii="Cambria Math" w:hAnsi="Cambria Math"/>
                      <w:bCs w:val="0"/>
                      <w:i/>
                      <w:szCs w:val="24"/>
                    </w:rPr>
                  </m:ctrlPr>
                </m:sSubPr>
                <m:e>
                  <m:r>
                    <m:rPr/>
                    <w:rPr>
                      <w:rFonts w:ascii="Cambria Math" w:hAnsi="Cambria Math"/>
                    </w:rPr>
                    <m:t>V</m:t>
                  </m:r>
                  <m:ctrlPr>
                    <w:rPr>
                      <w:rFonts w:ascii="Cambria Math" w:hAnsi="Cambria Math"/>
                      <w:bCs w:val="0"/>
                      <w:i/>
                      <w:szCs w:val="24"/>
                    </w:rPr>
                  </m:ctrlPr>
                </m:e>
                <m:sub>
                  <m:r>
                    <m:rPr>
                      <m:sty m:val="p"/>
                    </m:rPr>
                    <w:rPr>
                      <w:rFonts w:ascii="Cambria Math" w:hAnsi="Cambria Math"/>
                    </w:rPr>
                    <m:t>Rd，s，1，y</m:t>
                  </m:r>
                  <m:ctrlPr>
                    <w:rPr>
                      <w:rFonts w:ascii="Cambria Math" w:hAnsi="Cambria Math"/>
                      <w:bCs w:val="0"/>
                      <w:i/>
                      <w:szCs w:val="24"/>
                    </w:rPr>
                  </m:ctrlPr>
                </m:sub>
              </m:sSub>
              <m:r>
                <m:rPr/>
                <w:rPr>
                  <w:rFonts w:ascii="Cambria Math" w:hAnsi="Cambria Math"/>
                  <w:szCs w:val="24"/>
                </w:rPr>
                <m:t>&gt;</m:t>
              </m:r>
              <m:sSub>
                <m:sSubPr>
                  <m:ctrlPr>
                    <w:rPr>
                      <w:rFonts w:ascii="Cambria Math" w:hAnsi="Cambria Math"/>
                      <w:bCs w:val="0"/>
                      <w:i/>
                      <w:szCs w:val="24"/>
                    </w:rPr>
                  </m:ctrlPr>
                </m:sSubPr>
                <m:e>
                  <m:r>
                    <m:rPr/>
                    <w:rPr>
                      <w:rFonts w:ascii="Cambria Math" w:hAnsi="Cambria Math"/>
                    </w:rPr>
                    <m:t>N</m:t>
                  </m:r>
                  <m:ctrlPr>
                    <w:rPr>
                      <w:rFonts w:ascii="Cambria Math" w:hAnsi="Cambria Math"/>
                      <w:bCs w:val="0"/>
                      <w:i/>
                      <w:szCs w:val="24"/>
                    </w:rPr>
                  </m:ctrlPr>
                </m:e>
                <m:sub>
                  <m:r>
                    <m:rPr>
                      <m:sty m:val="p"/>
                    </m:rPr>
                    <w:rPr>
                      <w:rFonts w:ascii="Cambria Math" w:hAnsi="Cambria Math"/>
                    </w:rPr>
                    <m:t>Rd，s，1</m:t>
                  </m:r>
                  <m:ctrlPr>
                    <w:rPr>
                      <w:rFonts w:ascii="Cambria Math" w:hAnsi="Cambria Math"/>
                      <w:bCs w:val="0"/>
                      <w:i/>
                      <w:szCs w:val="24"/>
                    </w:rPr>
                  </m:ctrlPr>
                </m:sub>
              </m:sSub>
            </m:oMath>
            <w:r>
              <w:t>时按相关认证报告取值，如无认证报告，可取1.0；当考虑了抗震的相关计算时，可取1.0；</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cb</m:t>
                    </m:r>
                    <m:ctrlPr>
                      <w:rPr>
                        <w:rFonts w:ascii="Cambria Math" w:hAnsi="Cambria Math" w:cs="Times New Roman"/>
                      </w:rPr>
                    </m:ctrlPr>
                  </m:sup>
                </m:sSubSup>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分配到槽式预埋件螺栓的拉力</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Rd，s，1</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槽式预埋件钢槽卷边受拉破坏承载力设计值</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Ed，y</m:t>
                    </m:r>
                    <m:ctrlPr>
                      <w:rPr>
                        <w:rFonts w:ascii="Cambria Math" w:hAnsi="Cambria Math" w:cs="Times New Roman"/>
                      </w:rPr>
                    </m:ctrlPr>
                  </m:sub>
                  <m:sup>
                    <m:r>
                      <m:rPr>
                        <m:sty m:val="p"/>
                      </m:rPr>
                      <w:rPr>
                        <w:rFonts w:ascii="Cambria Math" w:hAnsi="Cambria Math" w:cs="Times New Roman"/>
                      </w:rPr>
                      <m:t>cb</m:t>
                    </m:r>
                    <m:ctrlPr>
                      <w:rPr>
                        <w:rFonts w:ascii="Cambria Math" w:hAnsi="Cambria Math" w:cs="Times New Roman"/>
                      </w:rPr>
                    </m:ctrlPr>
                  </m:sup>
                </m:sSubSup>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分配到槽式预埋件螺栓上垂直于槽式预埋件轴向的剪力</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Ed，x</m:t>
                    </m:r>
                    <m:ctrlPr>
                      <w:rPr>
                        <w:rFonts w:ascii="Cambria Math" w:hAnsi="Cambria Math" w:cs="Times New Roman"/>
                      </w:rPr>
                    </m:ctrlPr>
                  </m:sub>
                  <m:sup>
                    <m:r>
                      <m:rPr>
                        <m:sty m:val="p"/>
                      </m:rPr>
                      <w:rPr>
                        <w:rFonts w:ascii="Cambria Math" w:hAnsi="Cambria Math" w:cs="Times New Roman"/>
                      </w:rPr>
                      <m:t>cb</m:t>
                    </m:r>
                    <m:ctrlPr>
                      <w:rPr>
                        <w:rFonts w:ascii="Cambria Math" w:hAnsi="Cambria Math" w:cs="Times New Roman"/>
                      </w:rPr>
                    </m:ctrlPr>
                  </m:sup>
                </m:sSubSup>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分配到槽式预埋件螺栓上平行于槽式预埋件轴向的剪力</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Rd，s，1</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槽式预埋件的钢槽卷边受剪破坏承载力设计值</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M</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ch</m:t>
                    </m:r>
                    <m:ctrlPr>
                      <w:rPr>
                        <w:rFonts w:ascii="Cambria Math" w:hAnsi="Cambria Math" w:cs="Times New Roman"/>
                      </w:rPr>
                    </m:ctrlPr>
                  </m:sup>
                </m:sSubSup>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拉力作用下钢槽整体受弯的弯矩设计值</w:t>
            </w:r>
            <w:r>
              <w:rPr>
                <w:rFonts w:hint="eastAsia"/>
                <w:lang w:eastAsia="zh-CN"/>
              </w:rPr>
              <w:t>（</w:t>
            </w:r>
            <w:r>
              <w:t>N·mm)；</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m:sty m:val="p"/>
                      </m:rPr>
                      <w:rPr>
                        <w:rFonts w:ascii="Cambria Math" w:hAnsi="Cambria Math" w:cs="Times New Roman"/>
                      </w:rPr>
                      <m:t>Rd，s，flex</m:t>
                    </m:r>
                    <m:ctrlPr>
                      <w:rPr>
                        <w:rFonts w:ascii="Cambria Math" w:hAnsi="Cambria Math" w:cs="Times New Roman"/>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钢槽整体受拉弯曲的承载力设计值</w:t>
            </w:r>
            <w:r>
              <w:rPr>
                <w:rFonts w:hint="eastAsia"/>
                <w:lang w:eastAsia="zh-CN"/>
              </w:rPr>
              <w:t>（</w:t>
            </w:r>
            <w:r>
              <w:t>N·mm)。</w:t>
            </w:r>
          </w:p>
        </w:tc>
      </w:tr>
    </w:tbl>
    <w:p>
      <w:pPr>
        <w:pStyle w:val="188"/>
        <w:ind w:firstLine="482"/>
        <w:rPr>
          <w:rFonts w:cs="Times New Roman"/>
        </w:rPr>
      </w:pPr>
      <w:r>
        <w:rPr>
          <w:rFonts w:cs="Times New Roman"/>
          <w:b/>
          <w:bCs w:val="0"/>
        </w:rPr>
        <w:t>3</w:t>
      </w:r>
      <w:r>
        <w:rPr>
          <w:rFonts w:cs="Times New Roman"/>
        </w:rPr>
        <w:t>槽式预埋件承受拉剪复合力时，其锚筋破坏、锚筋与钢槽连接破坏模式的验算，应满足下列公式：</w:t>
      </w:r>
    </w:p>
    <w:tbl>
      <w:tblPr>
        <w:tblStyle w:val="37"/>
        <w:tblW w:w="4937" w:type="pct"/>
        <w:jc w:val="right"/>
        <w:tblLayout w:type="fixed"/>
        <w:tblCellMar>
          <w:top w:w="0" w:type="dxa"/>
          <w:left w:w="108" w:type="dxa"/>
          <w:bottom w:w="0" w:type="dxa"/>
          <w:right w:w="108" w:type="dxa"/>
        </w:tblCellMar>
      </w:tblPr>
      <w:tblGrid>
        <w:gridCol w:w="8033"/>
        <w:gridCol w:w="1697"/>
      </w:tblGrid>
      <w:tr>
        <w:tblPrEx>
          <w:tblCellMar>
            <w:top w:w="0" w:type="dxa"/>
            <w:left w:w="108" w:type="dxa"/>
            <w:bottom w:w="0" w:type="dxa"/>
            <w:right w:w="108" w:type="dxa"/>
          </w:tblCellMar>
        </w:tblPrEx>
        <w:trPr>
          <w:jc w:val="right"/>
        </w:trPr>
        <w:tc>
          <w:tcPr>
            <w:tcW w:w="6947" w:type="dxa"/>
            <w:shd w:val="clear" w:color="auto" w:fill="auto"/>
            <w:vAlign w:val="center"/>
          </w:tcPr>
          <w:p>
            <w:pPr>
              <w:spacing w:line="360" w:lineRule="auto"/>
              <w:jc w:val="center"/>
              <w:rPr>
                <w:rFonts w:ascii="Times New Roman" w:hAnsi="Times New Roman" w:cs="Times New Roman"/>
              </w:rPr>
            </w:pPr>
            <m:oMathPara>
              <m:oMathParaPr>
                <m:jc m:val="center"/>
              </m:oMathParaPr>
              <m:oMath>
                <m:sSup>
                  <m:sSupPr>
                    <m:ctrlPr>
                      <w:rPr>
                        <w:rFonts w:ascii="Cambria Math" w:hAnsi="Cambria Math" w:cs="Times New Roman"/>
                        <w:i/>
                      </w:rPr>
                    </m:ctrlPr>
                  </m:sSupPr>
                  <m:e>
                    <m:r>
                      <m:rPr/>
                      <w:rPr>
                        <w:rFonts w:ascii="Cambria Math" w:hAnsi="Cambria Math" w:cs="Times New Roman"/>
                      </w:rPr>
                      <m:t>max</m:t>
                    </m:r>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Rd，s，a</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Rd，s，c</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m:sty m:val="p"/>
                      </m:rPr>
                      <w:rPr>
                        <w:rFonts w:ascii="Cambria Math" w:hAnsi="Cambria Math" w:cs="Times New Roman"/>
                      </w:rPr>
                      <m:t>k14</m:t>
                    </m:r>
                    <m:ctrlPr>
                      <w:rPr>
                        <w:rFonts w:ascii="Cambria Math" w:hAnsi="Cambria Math" w:cs="Times New Roman"/>
                        <w:i/>
                      </w:rPr>
                    </m:ctrlPr>
                  </m:sup>
                </m:sSup>
                <m:r>
                  <m:rPr/>
                  <w:rPr>
                    <w:rFonts w:ascii="Cambria Math" w:hAnsi="Cambria Math" w:cs="Times New Roman"/>
                  </w:rPr>
                  <m:t>+max</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Ed，y</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Rd，s，a，y</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Ed，y</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Rd，s，c，y</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m:sty m:val="p"/>
                      </m:rPr>
                      <w:rPr>
                        <w:rFonts w:ascii="Cambria Math" w:hAnsi="Cambria Math" w:cs="Times New Roman"/>
                      </w:rPr>
                      <m:t>k14</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r>
                          <m:rPr/>
                          <w:rPr>
                            <w:rFonts w:ascii="Cambria Math" w:hAnsi="Cambria Math" w:cs="Times New Roman"/>
                          </w:rPr>
                          <m:t>1−max</m:t>
                        </m:r>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Ed，x</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Rd，s，a，x</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Ed，x</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Rd，s，c，x</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d>
                    <m:ctrlPr>
                      <w:rPr>
                        <w:rFonts w:ascii="Cambria Math" w:hAnsi="Cambria Math" w:cs="Times New Roman"/>
                        <w:i/>
                      </w:rPr>
                    </m:ctrlPr>
                  </m:e>
                  <m:sup>
                    <m:r>
                      <m:rPr>
                        <m:sty m:val="p"/>
                      </m:rPr>
                      <w:rPr>
                        <w:rFonts w:ascii="Cambria Math" w:hAnsi="Cambria Math" w:cs="Times New Roman"/>
                      </w:rPr>
                      <m:t>k14</m:t>
                    </m:r>
                    <m:ctrlPr>
                      <w:rPr>
                        <w:rFonts w:ascii="Cambria Math" w:hAnsi="Cambria Math" w:cs="Times New Roman"/>
                        <w:i/>
                      </w:rPr>
                    </m:ctrlPr>
                  </m:sup>
                </m:sSup>
              </m:oMath>
            </m:oMathPara>
          </w:p>
        </w:tc>
        <w:tc>
          <w:tcPr>
            <w:tcW w:w="1468"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（D.0.28-4）</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m:sty m:val="p"/>
                  </m:rPr>
                  <w:rPr>
                    <w:rFonts w:ascii="Cambria Math" w:hAnsi="Cambria Math" w:cs="Times New Roman"/>
                  </w:rPr>
                  <m:t>k14</m:t>
                </m:r>
              </m:oMath>
            </m:oMathPara>
          </w:p>
        </w:tc>
        <w:tc>
          <w:tcPr>
            <w:tcW w:w="851" w:type="dxa"/>
            <w:shd w:val="clear" w:color="auto" w:fill="auto"/>
          </w:tcPr>
          <w:p>
            <w:pPr>
              <w:adjustRightInd w:val="0"/>
              <w:snapToGrid w:val="0"/>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adjustRightInd w:val="0"/>
              <w:snapToGrid w:val="0"/>
              <w:spacing w:line="240" w:lineRule="auto"/>
              <w:jc w:val="both"/>
            </w:pPr>
            <w:r>
              <w:t>指数；max(</w:t>
            </w:r>
            <m:oMath>
              <m:sSub>
                <m:sSubPr>
                  <m:ctrlPr>
                    <w:rPr>
                      <w:rFonts w:ascii="Cambria Math" w:hAnsi="Cambria Math"/>
                      <w:bCs w:val="0"/>
                      <w:i/>
                      <w:szCs w:val="24"/>
                    </w:rPr>
                  </m:ctrlPr>
                </m:sSubPr>
                <m:e>
                  <m:r>
                    <m:rPr/>
                    <w:rPr>
                      <w:rFonts w:ascii="Cambria Math" w:hAnsi="Cambria Math"/>
                    </w:rPr>
                    <m:t>V</m:t>
                  </m:r>
                  <m:ctrlPr>
                    <w:rPr>
                      <w:rFonts w:ascii="Cambria Math" w:hAnsi="Cambria Math"/>
                      <w:bCs w:val="0"/>
                      <w:i/>
                      <w:szCs w:val="24"/>
                    </w:rPr>
                  </m:ctrlPr>
                </m:e>
                <m:sub>
                  <m:r>
                    <m:rPr>
                      <m:sty m:val="p"/>
                    </m:rPr>
                    <w:rPr>
                      <w:rFonts w:ascii="Cambria Math" w:hAnsi="Cambria Math"/>
                    </w:rPr>
                    <m:t>Rd，s，a，y</m:t>
                  </m:r>
                  <m:ctrlPr>
                    <w:rPr>
                      <w:rFonts w:ascii="Cambria Math" w:hAnsi="Cambria Math"/>
                      <w:bCs w:val="0"/>
                      <w:i/>
                      <w:szCs w:val="24"/>
                    </w:rPr>
                  </m:ctrlPr>
                </m:sub>
              </m:sSub>
              <m:r>
                <m:rPr/>
                <w:rPr>
                  <w:rFonts w:ascii="Cambria Math" w:hAnsi="Cambria Math"/>
                  <w:szCs w:val="24"/>
                </w:rPr>
                <m:t>;</m:t>
              </m:r>
              <m:sSub>
                <m:sSubPr>
                  <m:ctrlPr>
                    <w:rPr>
                      <w:rFonts w:ascii="Cambria Math" w:hAnsi="Cambria Math"/>
                      <w:bCs w:val="0"/>
                      <w:i/>
                      <w:szCs w:val="24"/>
                    </w:rPr>
                  </m:ctrlPr>
                </m:sSubPr>
                <m:e>
                  <m:r>
                    <m:rPr/>
                    <w:rPr>
                      <w:rFonts w:ascii="Cambria Math" w:hAnsi="Cambria Math"/>
                    </w:rPr>
                    <m:t>V</m:t>
                  </m:r>
                  <m:ctrlPr>
                    <w:rPr>
                      <w:rFonts w:ascii="Cambria Math" w:hAnsi="Cambria Math"/>
                      <w:bCs w:val="0"/>
                      <w:i/>
                      <w:szCs w:val="24"/>
                    </w:rPr>
                  </m:ctrlPr>
                </m:e>
                <m:sub>
                  <m:r>
                    <m:rPr>
                      <m:sty m:val="p"/>
                    </m:rPr>
                    <w:rPr>
                      <w:rFonts w:ascii="Cambria Math" w:hAnsi="Cambria Math"/>
                    </w:rPr>
                    <m:t>Rd，s，c，y</m:t>
                  </m:r>
                  <m:ctrlPr>
                    <w:rPr>
                      <w:rFonts w:ascii="Cambria Math" w:hAnsi="Cambria Math"/>
                      <w:bCs w:val="0"/>
                      <w:i/>
                      <w:szCs w:val="24"/>
                    </w:rPr>
                  </m:ctrlPr>
                </m:sub>
              </m:sSub>
            </m:oMath>
            <w:r>
              <w:t>)</w:t>
            </w:r>
            <m:oMath>
              <m:r>
                <m:rPr/>
                <w:rPr>
                  <w:rFonts w:ascii="Cambria Math" w:hAnsi="Cambria Math"/>
                  <w:szCs w:val="24"/>
                </w:rPr>
                <m:t>≤</m:t>
              </m:r>
              <m:r>
                <m:rPr>
                  <m:sty m:val="p"/>
                </m:rPr>
                <w:rPr>
                  <w:rFonts w:ascii="Cambria Math" w:hAnsi="Cambria Math"/>
                  <w:szCs w:val="24"/>
                </w:rPr>
                <m:t>min⁡</m:t>
              </m:r>
              <m:r>
                <m:rPr/>
                <w:rPr>
                  <w:rFonts w:ascii="Cambria Math" w:hAnsi="Cambria Math"/>
                  <w:szCs w:val="24"/>
                </w:rPr>
                <m:t>(</m:t>
              </m:r>
              <m:sSub>
                <m:sSubPr>
                  <m:ctrlPr>
                    <w:rPr>
                      <w:rFonts w:ascii="Cambria Math" w:hAnsi="Cambria Math"/>
                      <w:bCs w:val="0"/>
                      <w:i/>
                      <w:szCs w:val="24"/>
                    </w:rPr>
                  </m:ctrlPr>
                </m:sSubPr>
                <m:e>
                  <m:r>
                    <m:rPr/>
                    <w:rPr>
                      <w:rFonts w:ascii="Cambria Math" w:hAnsi="Cambria Math"/>
                    </w:rPr>
                    <m:t>N</m:t>
                  </m:r>
                  <m:ctrlPr>
                    <w:rPr>
                      <w:rFonts w:ascii="Cambria Math" w:hAnsi="Cambria Math"/>
                      <w:bCs w:val="0"/>
                      <w:i/>
                      <w:szCs w:val="24"/>
                    </w:rPr>
                  </m:ctrlPr>
                </m:e>
                <m:sub>
                  <m:r>
                    <m:rPr>
                      <m:sty m:val="p"/>
                    </m:rPr>
                    <w:rPr>
                      <w:rFonts w:ascii="Cambria Math" w:hAnsi="Cambria Math"/>
                    </w:rPr>
                    <m:t>Rd，s，a</m:t>
                  </m:r>
                  <m:ctrlPr>
                    <w:rPr>
                      <w:rFonts w:ascii="Cambria Math" w:hAnsi="Cambria Math"/>
                      <w:bCs w:val="0"/>
                      <w:i/>
                      <w:szCs w:val="24"/>
                    </w:rPr>
                  </m:ctrlPr>
                </m:sub>
              </m:sSub>
              <m:r>
                <m:rPr/>
                <w:rPr>
                  <w:rFonts w:ascii="Cambria Math" w:hAnsi="Cambria Math"/>
                  <w:szCs w:val="24"/>
                </w:rPr>
                <m:t>;</m:t>
              </m:r>
              <m:sSub>
                <m:sSubPr>
                  <m:ctrlPr>
                    <w:rPr>
                      <w:rFonts w:ascii="Cambria Math" w:hAnsi="Cambria Math"/>
                      <w:bCs w:val="0"/>
                      <w:i/>
                      <w:szCs w:val="24"/>
                    </w:rPr>
                  </m:ctrlPr>
                </m:sSubPr>
                <m:e>
                  <m:r>
                    <m:rPr/>
                    <w:rPr>
                      <w:rFonts w:ascii="Cambria Math" w:hAnsi="Cambria Math"/>
                    </w:rPr>
                    <m:t>N</m:t>
                  </m:r>
                  <m:ctrlPr>
                    <w:rPr>
                      <w:rFonts w:ascii="Cambria Math" w:hAnsi="Cambria Math"/>
                      <w:bCs w:val="0"/>
                      <w:i/>
                      <w:szCs w:val="24"/>
                    </w:rPr>
                  </m:ctrlPr>
                </m:e>
                <m:sub>
                  <m:r>
                    <m:rPr>
                      <m:sty m:val="p"/>
                    </m:rPr>
                    <w:rPr>
                      <w:rFonts w:ascii="Cambria Math" w:hAnsi="Cambria Math"/>
                    </w:rPr>
                    <m:t>Rd，s，c</m:t>
                  </m:r>
                  <m:ctrlPr>
                    <w:rPr>
                      <w:rFonts w:ascii="Cambria Math" w:hAnsi="Cambria Math"/>
                      <w:bCs w:val="0"/>
                      <w:i/>
                      <w:szCs w:val="24"/>
                    </w:rPr>
                  </m:ctrlPr>
                </m:sub>
              </m:sSub>
              <m:r>
                <w:rPr>
                  <w:rFonts w:hint="eastAsia" w:hAnsi="Cambria Math"/>
                  <w:bCs w:val="0"/>
                  <w:i/>
                  <w:szCs w:val="24"/>
                  <w:lang w:eastAsia="zh-CN"/>
                </w:rPr>
                <m:t>）</m:t>
              </m:r>
            </m:oMath>
            <w:r>
              <w:t>时取2.0；</w:t>
            </w:r>
            <m:oMath>
              <m:r>
                <m:rPr>
                  <m:sty m:val="p"/>
                </m:rPr>
                <w:rPr>
                  <w:rFonts w:ascii="Cambria Math" w:hAnsi="Cambria Math"/>
                  <w:szCs w:val="24"/>
                </w:rPr>
                <m:t>max⁡</m:t>
              </m:r>
              <m:r>
                <m:rPr/>
                <w:rPr>
                  <w:rFonts w:ascii="Cambria Math" w:hAnsi="Cambria Math"/>
                  <w:szCs w:val="24"/>
                </w:rPr>
                <m:t>(</m:t>
              </m:r>
              <m:sSub>
                <m:sSubPr>
                  <m:ctrlPr>
                    <w:rPr>
                      <w:rFonts w:ascii="Cambria Math" w:hAnsi="Cambria Math"/>
                      <w:bCs w:val="0"/>
                      <w:i/>
                      <w:szCs w:val="24"/>
                    </w:rPr>
                  </m:ctrlPr>
                </m:sSubPr>
                <m:e>
                  <m:r>
                    <m:rPr/>
                    <w:rPr>
                      <w:rFonts w:ascii="Cambria Math" w:hAnsi="Cambria Math"/>
                    </w:rPr>
                    <m:t>V</m:t>
                  </m:r>
                  <m:ctrlPr>
                    <w:rPr>
                      <w:rFonts w:ascii="Cambria Math" w:hAnsi="Cambria Math"/>
                      <w:bCs w:val="0"/>
                      <w:i/>
                      <w:szCs w:val="24"/>
                    </w:rPr>
                  </m:ctrlPr>
                </m:e>
                <m:sub>
                  <m:r>
                    <m:rPr>
                      <m:sty m:val="p"/>
                    </m:rPr>
                    <w:rPr>
                      <w:rFonts w:ascii="Cambria Math" w:hAnsi="Cambria Math"/>
                    </w:rPr>
                    <m:t>Rd，s，a，y</m:t>
                  </m:r>
                  <m:ctrlPr>
                    <w:rPr>
                      <w:rFonts w:ascii="Cambria Math" w:hAnsi="Cambria Math"/>
                      <w:bCs w:val="0"/>
                      <w:i/>
                      <w:szCs w:val="24"/>
                    </w:rPr>
                  </m:ctrlPr>
                </m:sub>
              </m:sSub>
              <m:r>
                <m:rPr/>
                <w:rPr>
                  <w:rFonts w:ascii="Cambria Math" w:hAnsi="Cambria Math"/>
                  <w:szCs w:val="24"/>
                </w:rPr>
                <m:t>;</m:t>
              </m:r>
              <m:sSub>
                <m:sSubPr>
                  <m:ctrlPr>
                    <w:rPr>
                      <w:rFonts w:ascii="Cambria Math" w:hAnsi="Cambria Math"/>
                      <w:bCs w:val="0"/>
                      <w:i/>
                      <w:szCs w:val="24"/>
                    </w:rPr>
                  </m:ctrlPr>
                </m:sSubPr>
                <m:e>
                  <m:r>
                    <m:rPr/>
                    <w:rPr>
                      <w:rFonts w:ascii="Cambria Math" w:hAnsi="Cambria Math"/>
                    </w:rPr>
                    <m:t>V</m:t>
                  </m:r>
                  <m:ctrlPr>
                    <w:rPr>
                      <w:rFonts w:ascii="Cambria Math" w:hAnsi="Cambria Math"/>
                      <w:bCs w:val="0"/>
                      <w:i/>
                      <w:szCs w:val="24"/>
                    </w:rPr>
                  </m:ctrlPr>
                </m:e>
                <m:sub>
                  <m:r>
                    <m:rPr>
                      <m:sty m:val="p"/>
                    </m:rPr>
                    <w:rPr>
                      <w:rFonts w:ascii="Cambria Math" w:hAnsi="Cambria Math"/>
                    </w:rPr>
                    <m:t>Rd，s，c，y</m:t>
                  </m:r>
                  <m:ctrlPr>
                    <w:rPr>
                      <w:rFonts w:ascii="Cambria Math" w:hAnsi="Cambria Math"/>
                      <w:bCs w:val="0"/>
                      <w:i/>
                      <w:szCs w:val="24"/>
                    </w:rPr>
                  </m:ctrlPr>
                </m:sub>
              </m:sSub>
              <m:r>
                <m:rPr/>
                <w:rPr>
                  <w:rFonts w:ascii="Cambria Math" w:hAnsi="Cambria Math"/>
                  <w:szCs w:val="24"/>
                </w:rPr>
                <m:t>)&gt;</m:t>
              </m:r>
              <m:r>
                <m:rPr>
                  <m:sty m:val="p"/>
                </m:rPr>
                <w:rPr>
                  <w:rFonts w:ascii="Cambria Math" w:hAnsi="Cambria Math"/>
                  <w:szCs w:val="24"/>
                </w:rPr>
                <m:t>min⁡</m:t>
              </m:r>
              <m:r>
                <m:rPr/>
                <w:rPr>
                  <w:rFonts w:ascii="Cambria Math" w:hAnsi="Cambria Math"/>
                  <w:szCs w:val="24"/>
                </w:rPr>
                <m:t>(</m:t>
              </m:r>
              <m:sSub>
                <m:sSubPr>
                  <m:ctrlPr>
                    <w:rPr>
                      <w:rFonts w:ascii="Cambria Math" w:hAnsi="Cambria Math"/>
                      <w:bCs w:val="0"/>
                      <w:i/>
                      <w:szCs w:val="24"/>
                    </w:rPr>
                  </m:ctrlPr>
                </m:sSubPr>
                <m:e>
                  <m:r>
                    <m:rPr/>
                    <w:rPr>
                      <w:rFonts w:ascii="Cambria Math" w:hAnsi="Cambria Math"/>
                    </w:rPr>
                    <m:t>N</m:t>
                  </m:r>
                  <m:ctrlPr>
                    <w:rPr>
                      <w:rFonts w:ascii="Cambria Math" w:hAnsi="Cambria Math"/>
                      <w:bCs w:val="0"/>
                      <w:i/>
                      <w:szCs w:val="24"/>
                    </w:rPr>
                  </m:ctrlPr>
                </m:e>
                <m:sub>
                  <m:r>
                    <m:rPr>
                      <m:sty m:val="p"/>
                    </m:rPr>
                    <w:rPr>
                      <w:rFonts w:ascii="Cambria Math" w:hAnsi="Cambria Math"/>
                    </w:rPr>
                    <m:t>Rd，s，a</m:t>
                  </m:r>
                  <m:ctrlPr>
                    <w:rPr>
                      <w:rFonts w:ascii="Cambria Math" w:hAnsi="Cambria Math"/>
                      <w:bCs w:val="0"/>
                      <w:i/>
                      <w:szCs w:val="24"/>
                    </w:rPr>
                  </m:ctrlPr>
                </m:sub>
              </m:sSub>
              <m:r>
                <m:rPr/>
                <w:rPr>
                  <w:rFonts w:ascii="Cambria Math" w:hAnsi="Cambria Math"/>
                  <w:szCs w:val="24"/>
                </w:rPr>
                <m:t>;</m:t>
              </m:r>
              <m:sSub>
                <m:sSubPr>
                  <m:ctrlPr>
                    <w:rPr>
                      <w:rFonts w:ascii="Cambria Math" w:hAnsi="Cambria Math"/>
                      <w:bCs w:val="0"/>
                      <w:i/>
                      <w:szCs w:val="24"/>
                    </w:rPr>
                  </m:ctrlPr>
                </m:sSubPr>
                <m:e>
                  <m:r>
                    <m:rPr/>
                    <w:rPr>
                      <w:rFonts w:ascii="Cambria Math" w:hAnsi="Cambria Math"/>
                    </w:rPr>
                    <m:t>N</m:t>
                  </m:r>
                  <m:ctrlPr>
                    <w:rPr>
                      <w:rFonts w:ascii="Cambria Math" w:hAnsi="Cambria Math"/>
                      <w:bCs w:val="0"/>
                      <w:i/>
                      <w:szCs w:val="24"/>
                    </w:rPr>
                  </m:ctrlPr>
                </m:e>
                <m:sub>
                  <m:r>
                    <m:rPr>
                      <m:sty m:val="p"/>
                    </m:rPr>
                    <w:rPr>
                      <w:rFonts w:ascii="Cambria Math" w:hAnsi="Cambria Math"/>
                    </w:rPr>
                    <m:t>Rd，s，c</m:t>
                  </m:r>
                  <m:ctrlPr>
                    <w:rPr>
                      <w:rFonts w:ascii="Cambria Math" w:hAnsi="Cambria Math"/>
                      <w:bCs w:val="0"/>
                      <w:i/>
                      <w:szCs w:val="24"/>
                    </w:rPr>
                  </m:ctrlPr>
                </m:sub>
              </m:sSub>
              <m:r>
                <w:rPr>
                  <w:rFonts w:hint="eastAsia" w:hAnsi="Cambria Math"/>
                  <w:bCs w:val="0"/>
                  <w:i/>
                  <w:szCs w:val="24"/>
                  <w:lang w:eastAsia="zh-CN"/>
                </w:rPr>
                <m:t>）</m:t>
              </m:r>
            </m:oMath>
            <w:r>
              <w:t>时，应按相关认证报告，或取1.0；当考虑了抗震的相关计算时，可取1.0；</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分配到槽式预埋件锚筋的拉力</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bCs/>
                        <w:i/>
                      </w:rPr>
                    </m:ctrlPr>
                  </m:sSubPr>
                  <m:e>
                    <m:r>
                      <m:rPr/>
                      <w:rPr>
                        <w:rFonts w:ascii="Cambria Math" w:hAnsi="Cambria Math" w:cs="Times New Roman"/>
                      </w:rPr>
                      <m:t>N</m:t>
                    </m:r>
                    <m:ctrlPr>
                      <w:rPr>
                        <w:rFonts w:ascii="Cambria Math" w:hAnsi="Cambria Math" w:cs="Times New Roman"/>
                        <w:bCs/>
                        <w:i/>
                      </w:rPr>
                    </m:ctrlPr>
                  </m:e>
                  <m:sub>
                    <m:r>
                      <m:rPr>
                        <m:sty m:val="p"/>
                      </m:rPr>
                      <w:rPr>
                        <w:rFonts w:ascii="Cambria Math" w:hAnsi="Cambria Math" w:cs="Times New Roman"/>
                      </w:rPr>
                      <m:t>Rd，s，a</m:t>
                    </m:r>
                    <m:ctrlPr>
                      <w:rPr>
                        <w:rFonts w:ascii="Cambria Math" w:hAnsi="Cambria Math" w:cs="Times New Roman"/>
                        <w:bCs/>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槽式预埋件锚筋的抗拉承载力设计值</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bCs/>
                        <w:i/>
                      </w:rPr>
                    </m:ctrlPr>
                  </m:sSubPr>
                  <m:e>
                    <m:r>
                      <m:rPr/>
                      <w:rPr>
                        <w:rFonts w:ascii="Cambria Math" w:hAnsi="Cambria Math" w:cs="Times New Roman"/>
                      </w:rPr>
                      <m:t>N</m:t>
                    </m:r>
                    <m:ctrlPr>
                      <w:rPr>
                        <w:rFonts w:ascii="Cambria Math" w:hAnsi="Cambria Math" w:cs="Times New Roman"/>
                        <w:bCs/>
                        <w:i/>
                      </w:rPr>
                    </m:ctrlPr>
                  </m:e>
                  <m:sub>
                    <m:r>
                      <m:rPr>
                        <m:sty m:val="p"/>
                      </m:rPr>
                      <w:rPr>
                        <w:rFonts w:ascii="Cambria Math" w:hAnsi="Cambria Math" w:cs="Times New Roman"/>
                      </w:rPr>
                      <m:t>Rd，s，c</m:t>
                    </m:r>
                    <m:ctrlPr>
                      <w:rPr>
                        <w:rFonts w:ascii="Cambria Math" w:hAnsi="Cambria Math" w:cs="Times New Roman"/>
                        <w:bCs/>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钢槽与锚筋连接处的抗拉承载力设计值</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Ed，y</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分配到锚筋上垂直于槽式预埋件轴向的剪力</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Ed，x</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分配到锚筋上平行于槽式预埋件轴向的剪力</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Ed，x</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分配到锚筋上平行于槽式预埋件轴向的剪力</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bCs/>
                        <w:i/>
                      </w:rPr>
                    </m:ctrlPr>
                  </m:sSubPr>
                  <m:e>
                    <m:r>
                      <m:rPr/>
                      <w:rPr>
                        <w:rFonts w:ascii="Cambria Math" w:hAnsi="Cambria Math" w:cs="Times New Roman"/>
                      </w:rPr>
                      <m:t>V</m:t>
                    </m:r>
                    <m:ctrlPr>
                      <w:rPr>
                        <w:rFonts w:ascii="Cambria Math" w:hAnsi="Cambria Math" w:cs="Times New Roman"/>
                        <w:bCs/>
                        <w:i/>
                      </w:rPr>
                    </m:ctrlPr>
                  </m:e>
                  <m:sub>
                    <m:r>
                      <m:rPr>
                        <m:sty m:val="p"/>
                      </m:rPr>
                      <w:rPr>
                        <w:rFonts w:ascii="Cambria Math" w:hAnsi="Cambria Math" w:cs="Times New Roman"/>
                      </w:rPr>
                      <m:t>Rd，s，a，y</m:t>
                    </m:r>
                    <m:ctrlPr>
                      <w:rPr>
                        <w:rFonts w:ascii="Cambria Math" w:hAnsi="Cambria Math" w:cs="Times New Roman"/>
                        <w:bCs/>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锚筋在垂直于槽体轴向的抗剪承载力设计值</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bCs/>
                        <w:i/>
                      </w:rPr>
                    </m:ctrlPr>
                  </m:sSubPr>
                  <m:e>
                    <m:r>
                      <m:rPr/>
                      <w:rPr>
                        <w:rFonts w:ascii="Cambria Math" w:hAnsi="Cambria Math" w:cs="Times New Roman"/>
                      </w:rPr>
                      <m:t>V</m:t>
                    </m:r>
                    <m:ctrlPr>
                      <w:rPr>
                        <w:rFonts w:ascii="Cambria Math" w:hAnsi="Cambria Math" w:cs="Times New Roman"/>
                        <w:bCs/>
                        <w:i/>
                      </w:rPr>
                    </m:ctrlPr>
                  </m:e>
                  <m:sub>
                    <m:r>
                      <m:rPr>
                        <m:sty m:val="p"/>
                      </m:rPr>
                      <w:rPr>
                        <w:rFonts w:ascii="Cambria Math" w:hAnsi="Cambria Math" w:cs="Times New Roman"/>
                      </w:rPr>
                      <m:t>Rd，s，a，x</m:t>
                    </m:r>
                    <m:ctrlPr>
                      <w:rPr>
                        <w:rFonts w:ascii="Cambria Math" w:hAnsi="Cambria Math" w:cs="Times New Roman"/>
                        <w:bCs/>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锚筋在平行于槽体轴向的抗剪承载力设计值</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bCs/>
                        <w:i/>
                      </w:rPr>
                    </m:ctrlPr>
                  </m:sSubPr>
                  <m:e>
                    <m:r>
                      <m:rPr/>
                      <w:rPr>
                        <w:rFonts w:ascii="Cambria Math" w:hAnsi="Cambria Math" w:cs="Times New Roman"/>
                      </w:rPr>
                      <m:t>V</m:t>
                    </m:r>
                    <m:ctrlPr>
                      <w:rPr>
                        <w:rFonts w:ascii="Cambria Math" w:hAnsi="Cambria Math" w:cs="Times New Roman"/>
                        <w:bCs/>
                        <w:i/>
                      </w:rPr>
                    </m:ctrlPr>
                  </m:e>
                  <m:sub>
                    <m:r>
                      <m:rPr>
                        <m:sty m:val="p"/>
                      </m:rPr>
                      <w:rPr>
                        <w:rFonts w:ascii="Cambria Math" w:hAnsi="Cambria Math" w:cs="Times New Roman"/>
                      </w:rPr>
                      <m:t>Rd，s，c，y</m:t>
                    </m:r>
                    <m:ctrlPr>
                      <w:rPr>
                        <w:rFonts w:ascii="Cambria Math" w:hAnsi="Cambria Math" w:cs="Times New Roman"/>
                        <w:bCs/>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钢槽与锚筋连接处垂直于槽体轴向的抗剪承载力设计值</w:t>
            </w:r>
            <w:r>
              <w:rPr>
                <w:rFonts w:hint="eastAsia"/>
                <w:lang w:eastAsia="zh-CN"/>
              </w:rPr>
              <w:t>（</w:t>
            </w:r>
            <w:r>
              <w:t>N)；</w:t>
            </w:r>
          </w:p>
        </w:tc>
      </w:tr>
      <w:tr>
        <w:tblPrEx>
          <w:tblCellMar>
            <w:top w:w="0" w:type="dxa"/>
            <w:left w:w="108" w:type="dxa"/>
            <w:bottom w:w="0" w:type="dxa"/>
            <w:right w:w="108" w:type="dxa"/>
          </w:tblCellMar>
        </w:tblPrEx>
        <w:tc>
          <w:tcPr>
            <w:tcW w:w="1134" w:type="dxa"/>
            <w:shd w:val="clear" w:color="auto" w:fill="auto"/>
            <w:vAlign w:val="center"/>
          </w:tcPr>
          <w:p>
            <w:pPr>
              <w:jc w:val="right"/>
              <w:rPr>
                <w:rFonts w:ascii="Times New Roman" w:hAnsi="Times New Roman" w:cs="Times New Roman"/>
              </w:rPr>
            </w:pPr>
            <m:oMathPara>
              <m:oMathParaPr>
                <m:jc m:val="right"/>
              </m:oMathParaPr>
              <m:oMath>
                <m:sSub>
                  <m:sSubPr>
                    <m:ctrlPr>
                      <w:rPr>
                        <w:rFonts w:ascii="Cambria Math" w:hAnsi="Cambria Math" w:cs="Times New Roman"/>
                        <w:bCs/>
                        <w:i/>
                      </w:rPr>
                    </m:ctrlPr>
                  </m:sSubPr>
                  <m:e>
                    <m:r>
                      <m:rPr/>
                      <w:rPr>
                        <w:rFonts w:ascii="Cambria Math" w:hAnsi="Cambria Math" w:cs="Times New Roman"/>
                      </w:rPr>
                      <m:t>V</m:t>
                    </m:r>
                    <m:ctrlPr>
                      <w:rPr>
                        <w:rFonts w:ascii="Cambria Math" w:hAnsi="Cambria Math" w:cs="Times New Roman"/>
                        <w:bCs/>
                        <w:i/>
                      </w:rPr>
                    </m:ctrlPr>
                  </m:e>
                  <m:sub>
                    <m:r>
                      <m:rPr>
                        <m:sty m:val="p"/>
                      </m:rPr>
                      <w:rPr>
                        <w:rFonts w:ascii="Cambria Math" w:hAnsi="Cambria Math" w:cs="Times New Roman"/>
                      </w:rPr>
                      <m:t>Rd，s，c，x</m:t>
                    </m:r>
                    <m:ctrlPr>
                      <w:rPr>
                        <w:rFonts w:ascii="Cambria Math" w:hAnsi="Cambria Math" w:cs="Times New Roman"/>
                        <w:bCs/>
                        <w:i/>
                      </w:rPr>
                    </m:ctrlPr>
                  </m:sub>
                </m:sSub>
              </m:oMath>
            </m:oMathPara>
          </w:p>
        </w:tc>
        <w:tc>
          <w:tcPr>
            <w:tcW w:w="851" w:type="dxa"/>
            <w:shd w:val="clear" w:color="auto" w:fill="auto"/>
            <w:vAlign w:val="center"/>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钢槽与锚筋连接处平行于槽体轴向的抗剪承载力设计值</w:t>
            </w:r>
            <w:r>
              <w:rPr>
                <w:rFonts w:hint="eastAsia"/>
                <w:lang w:eastAsia="zh-CN"/>
              </w:rPr>
              <w:t>（</w:t>
            </w:r>
            <w:r>
              <w:t>N)。</w:t>
            </w:r>
          </w:p>
        </w:tc>
      </w:tr>
    </w:tbl>
    <w:p>
      <w:pPr>
        <w:pStyle w:val="188"/>
        <w:ind w:firstLine="482"/>
        <w:rPr>
          <w:rFonts w:cs="Times New Roman"/>
        </w:rPr>
      </w:pPr>
      <w:r>
        <w:rPr>
          <w:rFonts w:cs="Times New Roman"/>
          <w:b/>
          <w:bCs w:val="0"/>
        </w:rPr>
        <w:t xml:space="preserve">4 </w:t>
      </w:r>
      <w:r>
        <w:rPr>
          <w:rFonts w:cs="Times New Roman"/>
        </w:rPr>
        <w:t>槽式预埋件承受拉剪复合力时，其混凝土破坏模式的验算，应满足下列公式。</w:t>
      </w:r>
    </w:p>
    <w:tbl>
      <w:tblPr>
        <w:tblStyle w:val="37"/>
        <w:tblW w:w="4937" w:type="pct"/>
        <w:jc w:val="right"/>
        <w:tblLayout w:type="fixed"/>
        <w:tblCellMar>
          <w:top w:w="0" w:type="dxa"/>
          <w:left w:w="108" w:type="dxa"/>
          <w:bottom w:w="0" w:type="dxa"/>
          <w:right w:w="108" w:type="dxa"/>
        </w:tblCellMar>
      </w:tblPr>
      <w:tblGrid>
        <w:gridCol w:w="8033"/>
        <w:gridCol w:w="1697"/>
      </w:tblGrid>
      <w:tr>
        <w:tblPrEx>
          <w:tblCellMar>
            <w:top w:w="0" w:type="dxa"/>
            <w:left w:w="108" w:type="dxa"/>
            <w:bottom w:w="0" w:type="dxa"/>
            <w:right w:w="108" w:type="dxa"/>
          </w:tblCellMar>
        </w:tblPrEx>
        <w:trPr>
          <w:jc w:val="right"/>
        </w:trPr>
        <w:tc>
          <w:tcPr>
            <w:tcW w:w="6946" w:type="dxa"/>
            <w:shd w:val="clear" w:color="auto" w:fill="auto"/>
            <w:vAlign w:val="center"/>
          </w:tcPr>
          <w:p>
            <w:pPr>
              <w:spacing w:line="360" w:lineRule="auto"/>
              <w:jc w:val="center"/>
              <w:rPr>
                <w:rFonts w:ascii="Times New Roman" w:hAnsi="Times New Roman" w:cs="Times New Roman"/>
              </w:rPr>
            </w:pPr>
            <m:oMathPara>
              <m:oMathParaPr>
                <m:jc m:val="center"/>
              </m:oMathParaPr>
              <m:oMath>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Ed</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Rd，</m:t>
                                </m:r>
                                <m:r>
                                  <m:rPr/>
                                  <w:rPr>
                                    <w:rFonts w:ascii="Cambria Math" w:hAnsi="Cambria Math" w:cs="Times New Roman"/>
                                  </w:rPr>
                                  <m:t>i</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w:rPr>
                        <w:rFonts w:ascii="Cambria Math" w:hAnsi="Cambria Math" w:cs="Times New Roman"/>
                      </w:rPr>
                      <m:t>α</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Ed，y</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m:t>
                                </m:r>
                                <m:r>
                                  <m:rPr/>
                                  <w:rPr>
                                    <w:rFonts w:ascii="Cambria Math" w:hAnsi="Cambria Math" w:cs="Times New Roman"/>
                                  </w:rPr>
                                  <m:t>i</m:t>
                                </m:r>
                                <m:r>
                                  <m:rPr>
                                    <m:sty m:val="p"/>
                                  </m:rPr>
                                  <w:rPr>
                                    <w:rFonts w:ascii="Cambria Math" w:hAnsi="Cambria Math" w:cs="Times New Roman"/>
                                  </w:rPr>
                                  <m:t>，y</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m:sty m:val="p"/>
                      </m:rPr>
                      <w:rPr>
                        <w:rFonts w:ascii="Cambria Math" w:hAnsi="Cambria Math" w:cs="Times New Roman"/>
                      </w:rPr>
                      <m:t>α</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Rd，x</m:t>
                                </m:r>
                                <m:ctrlPr>
                                  <w:rPr>
                                    <w:rFonts w:ascii="Cambria Math" w:hAnsi="Cambria Math" w:cs="Times New Roman"/>
                                  </w:rPr>
                                </m:ctrlPr>
                              </m:sub>
                              <m:sup>
                                <m:r>
                                  <m:rPr>
                                    <m:sty m:val="p"/>
                                  </m:rPr>
                                  <w:rPr>
                                    <w:rFonts w:ascii="Cambria Math" w:hAnsi="Cambria Math" w:cs="Times New Roman"/>
                                  </w:rPr>
                                  <m:t>a</m:t>
                                </m:r>
                                <m:ctrlPr>
                                  <w:rPr>
                                    <w:rFonts w:ascii="Cambria Math" w:hAnsi="Cambria Math" w:cs="Times New Roman"/>
                                  </w:rPr>
                                </m:ctrlPr>
                              </m:sup>
                            </m:sSubSup>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m:t>
                                </m:r>
                                <m:r>
                                  <m:rPr/>
                                  <w:rPr>
                                    <w:rFonts w:ascii="Cambria Math" w:hAnsi="Cambria Math" w:cs="Times New Roman"/>
                                  </w:rPr>
                                  <m:t>i</m:t>
                                </m:r>
                                <m:r>
                                  <m:rPr>
                                    <m:sty m:val="p"/>
                                  </m:rPr>
                                  <w:rPr>
                                    <w:rFonts w:ascii="Cambria Math" w:hAnsi="Cambria Math" w:cs="Times New Roman"/>
                                  </w:rPr>
                                  <m:t>，x</m:t>
                                </m:r>
                                <m:ctrlPr>
                                  <w:rPr>
                                    <w:rFonts w:ascii="Cambria Math" w:hAnsi="Cambria Math" w:cs="Times New Roman"/>
                                    <w:i/>
                                  </w:rPr>
                                </m:ctrlPr>
                              </m:sub>
                            </m:sSub>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m:sty m:val="p"/>
                      </m:rPr>
                      <w:rPr>
                        <w:rFonts w:ascii="Cambria Math" w:hAnsi="Cambria Math" w:cs="Times New Roman"/>
                      </w:rPr>
                      <m:t>α</m:t>
                    </m:r>
                    <m:ctrlPr>
                      <w:rPr>
                        <w:rFonts w:ascii="Cambria Math" w:hAnsi="Cambria Math" w:cs="Times New Roman"/>
                        <w:i/>
                      </w:rPr>
                    </m:ctrlPr>
                  </m:sup>
                </m:sSup>
                <m:r>
                  <m:rPr/>
                  <w:rPr>
                    <w:rFonts w:ascii="Cambria Math" w:hAnsi="Cambria Math" w:cs="Times New Roman"/>
                  </w:rPr>
                  <m:t>≤1.0</m:t>
                </m:r>
              </m:oMath>
            </m:oMathPara>
          </w:p>
        </w:tc>
        <w:tc>
          <w:tcPr>
            <w:tcW w:w="1468" w:type="dxa"/>
            <w:shd w:val="clear" w:color="auto" w:fill="auto"/>
            <w:vAlign w:val="center"/>
          </w:tcPr>
          <w:p>
            <w:pPr>
              <w:spacing w:line="360" w:lineRule="auto"/>
              <w:jc w:val="right"/>
              <w:rPr>
                <w:rFonts w:ascii="Times New Roman" w:hAnsi="Times New Roman" w:cs="Times New Roman"/>
              </w:rPr>
            </w:pPr>
            <w:r>
              <w:rPr>
                <w:rFonts w:ascii="Times New Roman" w:hAnsi="Times New Roman" w:cs="Times New Roman"/>
              </w:rPr>
              <w:t>（D.0.28-5）</w:t>
            </w:r>
          </w:p>
        </w:tc>
      </w:tr>
    </w:tbl>
    <w:p>
      <w:pPr>
        <w:pStyle w:val="189"/>
      </w:pPr>
      <w:r>
        <w:t>式中：</w:t>
      </w:r>
    </w:p>
    <w:tbl>
      <w:tblPr>
        <w:tblStyle w:val="37"/>
        <w:tblW w:w="9180" w:type="dxa"/>
        <w:tblInd w:w="0" w:type="dxa"/>
        <w:tblLayout w:type="fixed"/>
        <w:tblCellMar>
          <w:top w:w="0" w:type="dxa"/>
          <w:left w:w="108" w:type="dxa"/>
          <w:bottom w:w="0" w:type="dxa"/>
          <w:right w:w="108" w:type="dxa"/>
        </w:tblCellMar>
      </w:tblPr>
      <w:tblGrid>
        <w:gridCol w:w="1134"/>
        <w:gridCol w:w="851"/>
        <w:gridCol w:w="7195"/>
      </w:tblGrid>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r>
                  <m:rPr>
                    <m:sty m:val="p"/>
                  </m:rPr>
                  <w:rPr>
                    <w:rFonts w:ascii="Cambria Math" w:hAnsi="Cambria Math" w:cs="Times New Roman"/>
                  </w:rPr>
                  <m:t>α</m:t>
                </m:r>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tcPr>
          <w:p>
            <w:pPr>
              <w:pStyle w:val="189"/>
              <w:jc w:val="both"/>
            </w:pPr>
            <w:r>
              <w:t>指数；当考虑了抗震的相关计算时，可取1.0；当布置了附加钢筋承担拉力和剪力时，可取1.0；当没有附加辅助钢筋承担拉力和剪力时，可取1.5；</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Rd，</m:t>
                    </m:r>
                    <m:r>
                      <m:rPr/>
                      <w:rPr>
                        <w:rFonts w:ascii="Cambria Math" w:hAnsi="Cambria Math" w:cs="Times New Roman"/>
                      </w:rPr>
                      <m:t>i</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锥体破坏受拉承载力设计值</w:t>
            </w:r>
            <m:oMath>
              <m:sSub>
                <m:sSubPr>
                  <m:ctrlPr>
                    <w:rPr>
                      <w:rFonts w:ascii="Cambria Math" w:hAnsi="Cambria Math"/>
                      <w:i/>
                    </w:rPr>
                  </m:ctrlPr>
                </m:sSubPr>
                <m:e>
                  <m:r>
                    <m:rPr/>
                    <w:rPr>
                      <w:rFonts w:ascii="Cambria Math" w:hAnsi="Cambria Math"/>
                    </w:rPr>
                    <m:t>N</m:t>
                  </m:r>
                  <m:ctrlPr>
                    <w:rPr>
                      <w:rFonts w:ascii="Cambria Math" w:hAnsi="Cambria Math"/>
                      <w:i/>
                    </w:rPr>
                  </m:ctrlPr>
                </m:e>
                <m:sub>
                  <m:r>
                    <m:rPr>
                      <m:sty m:val="p"/>
                    </m:rPr>
                    <w:rPr>
                      <w:rFonts w:ascii="Cambria Math" w:hAnsi="Cambria Math"/>
                    </w:rPr>
                    <m:t>Rd，</m:t>
                  </m:r>
                  <m:r>
                    <m:rPr/>
                    <w:rPr>
                      <w:rFonts w:ascii="Cambria Math" w:hAnsi="Cambria Math"/>
                    </w:rPr>
                    <m:t>c</m:t>
                  </m:r>
                  <m:ctrlPr>
                    <w:rPr>
                      <w:rFonts w:ascii="Cambria Math" w:hAnsi="Cambria Math"/>
                      <w:i/>
                    </w:rPr>
                  </m:ctrlPr>
                </m:sub>
              </m:sSub>
            </m:oMath>
            <w:r>
              <w:t xml:space="preserve">、锚筋受拉拔出破坏承载力设计值 </w:t>
            </w:r>
            <m:oMath>
              <m:sSub>
                <m:sSubPr>
                  <m:ctrlPr>
                    <w:rPr>
                      <w:rFonts w:ascii="Cambria Math" w:hAnsi="Cambria Math"/>
                      <w:i/>
                    </w:rPr>
                  </m:ctrlPr>
                </m:sSubPr>
                <m:e>
                  <m:r>
                    <m:rPr/>
                    <w:rPr>
                      <w:rFonts w:ascii="Cambria Math" w:hAnsi="Cambria Math"/>
                    </w:rPr>
                    <m:t>N</m:t>
                  </m:r>
                  <m:ctrlPr>
                    <w:rPr>
                      <w:rFonts w:ascii="Cambria Math" w:hAnsi="Cambria Math"/>
                      <w:i/>
                    </w:rPr>
                  </m:ctrlPr>
                </m:e>
                <m:sub>
                  <m:r>
                    <m:rPr>
                      <m:sty m:val="p"/>
                    </m:rPr>
                    <w:rPr>
                      <w:rFonts w:ascii="Cambria Math" w:hAnsi="Cambria Math"/>
                    </w:rPr>
                    <m:t>Rd，p</m:t>
                  </m:r>
                  <m:ctrlPr>
                    <w:rPr>
                      <w:rFonts w:ascii="Cambria Math" w:hAnsi="Cambria Math"/>
                      <w:i/>
                    </w:rPr>
                  </m:ctrlPr>
                </m:sub>
              </m:sSub>
            </m:oMath>
            <w:r>
              <w:t>、劈裂破坏</w:t>
            </w:r>
            <m:oMath>
              <m:sSub>
                <m:sSubPr>
                  <m:ctrlPr>
                    <w:rPr>
                      <w:rFonts w:ascii="Cambria Math" w:hAnsi="Cambria Math"/>
                      <w:i/>
                    </w:rPr>
                  </m:ctrlPr>
                </m:sSubPr>
                <m:e>
                  <m:r>
                    <m:rPr/>
                    <w:rPr>
                      <w:rFonts w:ascii="Cambria Math" w:hAnsi="Cambria Math"/>
                    </w:rPr>
                    <m:t>N</m:t>
                  </m:r>
                  <m:ctrlPr>
                    <w:rPr>
                      <w:rFonts w:ascii="Cambria Math" w:hAnsi="Cambria Math"/>
                      <w:i/>
                    </w:rPr>
                  </m:ctrlPr>
                </m:e>
                <m:sub>
                  <m:r>
                    <m:rPr>
                      <m:sty m:val="p"/>
                    </m:rPr>
                    <w:rPr>
                      <w:rFonts w:ascii="Cambria Math" w:hAnsi="Cambria Math"/>
                    </w:rPr>
                    <m:t>Rd，sp</m:t>
                  </m:r>
                  <m:ctrlPr>
                    <w:rPr>
                      <w:rFonts w:ascii="Cambria Math" w:hAnsi="Cambria Math"/>
                      <w:i/>
                    </w:rPr>
                  </m:ctrlPr>
                </m:sub>
              </m:sSub>
            </m:oMath>
            <w:r>
              <w:t>或受拉边缘剥落破坏</w:t>
            </w:r>
            <m:oMath>
              <m:sSub>
                <m:sSubPr>
                  <m:ctrlPr>
                    <w:rPr>
                      <w:rFonts w:ascii="Cambria Math" w:hAnsi="Cambria Math"/>
                      <w:i/>
                    </w:rPr>
                  </m:ctrlPr>
                </m:sSubPr>
                <m:e>
                  <m:r>
                    <m:rPr/>
                    <w:rPr>
                      <w:rFonts w:ascii="Cambria Math" w:hAnsi="Cambria Math"/>
                    </w:rPr>
                    <m:t>N</m:t>
                  </m:r>
                  <m:ctrlPr>
                    <w:rPr>
                      <w:rFonts w:ascii="Cambria Math" w:hAnsi="Cambria Math"/>
                      <w:i/>
                    </w:rPr>
                  </m:ctrlPr>
                </m:e>
                <m:sub>
                  <m:r>
                    <m:rPr>
                      <m:sty m:val="p"/>
                    </m:rPr>
                    <w:rPr>
                      <w:rFonts w:ascii="Cambria Math" w:hAnsi="Cambria Math"/>
                    </w:rPr>
                    <m:t>Rd，cp</m:t>
                  </m:r>
                  <m:ctrlPr>
                    <w:rPr>
                      <w:rFonts w:ascii="Cambria Math" w:hAnsi="Cambria Math"/>
                      <w:i/>
                    </w:rPr>
                  </m:ctrlPr>
                </m:sub>
              </m:sSub>
            </m:oMath>
            <w:r>
              <w:t>等4个</w:t>
            </w:r>
            <w:bookmarkStart w:id="92" w:name="_GoBack"/>
            <w:bookmarkEnd w:id="92"/>
            <w:r>
              <w:t>模式，采用其中</w:t>
            </w:r>
            <w:r>
              <w:rPr>
                <w:rFonts w:hint="eastAsia"/>
                <w:lang w:eastAsia="zh-CN"/>
              </w:rPr>
              <w:t>（</w:t>
            </w:r>
            <m:oMath>
              <m:sSubSup>
                <m:sSubSupPr>
                  <m:ctrlPr>
                    <w:rPr>
                      <w:rFonts w:ascii="Cambria Math" w:hAnsi="Cambria Math"/>
                    </w:rPr>
                  </m:ctrlPr>
                </m:sSubSupPr>
                <m:e>
                  <m:r>
                    <m:rPr/>
                    <w:rPr>
                      <w:rFonts w:ascii="Cambria Math" w:hAnsi="Cambria Math"/>
                    </w:rPr>
                    <m:t>N</m:t>
                  </m:r>
                  <m:ctrlPr>
                    <w:rPr>
                      <w:rFonts w:ascii="Cambria Math" w:hAnsi="Cambria Math"/>
                    </w:rPr>
                  </m:ctrlPr>
                </m:e>
                <m:sub>
                  <m:r>
                    <m:rPr>
                      <m:sty m:val="p"/>
                    </m:rPr>
                    <w:rPr>
                      <w:rFonts w:ascii="Cambria Math" w:hAnsi="Cambria Math"/>
                    </w:rPr>
                    <m:t>Ed</m:t>
                  </m:r>
                  <m:ctrlPr>
                    <w:rPr>
                      <w:rFonts w:ascii="Cambria Math" w:hAnsi="Cambria Math"/>
                    </w:rPr>
                  </m:ctrlPr>
                </m:sub>
                <m:sup>
                  <m:r>
                    <m:rPr>
                      <m:sty m:val="p"/>
                    </m:rPr>
                    <w:rPr>
                      <w:rFonts w:ascii="Cambria Math" w:hAnsi="Cambria Math"/>
                    </w:rPr>
                    <m:t>a</m:t>
                  </m:r>
                  <m:ctrlPr>
                    <w:rPr>
                      <w:rFonts w:ascii="Cambria Math" w:hAnsi="Cambria Math"/>
                    </w:rPr>
                  </m:ctrlPr>
                </m:sup>
              </m:sSubSup>
              <m:r>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m:sty m:val="p"/>
                    </m:rPr>
                    <w:rPr>
                      <w:rFonts w:ascii="Cambria Math" w:hAnsi="Cambria Math"/>
                    </w:rPr>
                    <m:t>Rd，</m:t>
                  </m:r>
                  <m:r>
                    <m:rPr/>
                    <w:rPr>
                      <w:rFonts w:ascii="Cambria Math" w:hAnsi="Cambria Math"/>
                    </w:rPr>
                    <m:t>i</m:t>
                  </m:r>
                  <m:ctrlPr>
                    <w:rPr>
                      <w:rFonts w:ascii="Cambria Math" w:hAnsi="Cambria Math"/>
                      <w:i/>
                    </w:rPr>
                  </m:ctrlPr>
                </m:sub>
              </m:sSub>
            </m:oMath>
            <w:r>
              <w:rPr>
                <w:rFonts w:hint="eastAsia" w:hAnsi="Cambria Math"/>
                <w:i w:val="0"/>
                <w:lang w:eastAsia="zh-CN"/>
              </w:rPr>
              <w:t>）</w:t>
            </w:r>
            <w:r>
              <w:t>的较大值；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m:t>
                    </m:r>
                    <m:r>
                      <m:rPr/>
                      <w:rPr>
                        <w:rFonts w:ascii="Cambria Math" w:hAnsi="Cambria Math" w:cs="Times New Roman"/>
                      </w:rPr>
                      <m:t>i，y</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应分别验算垂直于钢槽受剪情况下，混凝土边缘破坏、剪撬破坏等2个模式，采用其中</w:t>
            </w:r>
            <w:r>
              <w:rPr>
                <w:rFonts w:hint="eastAsia"/>
                <w:lang w:eastAsia="zh-CN"/>
              </w:rPr>
              <w:t>（</w:t>
            </w:r>
            <m:oMath>
              <m:sSubSup>
                <m:sSubSupPr>
                  <m:ctrlPr>
                    <w:rPr>
                      <w:rFonts w:ascii="Cambria Math" w:hAnsi="Cambria Math"/>
                    </w:rPr>
                  </m:ctrlPr>
                </m:sSubSupPr>
                <m:e>
                  <m:r>
                    <m:rPr/>
                    <w:rPr>
                      <w:rFonts w:ascii="Cambria Math" w:hAnsi="Cambria Math"/>
                    </w:rPr>
                    <m:t>V</m:t>
                  </m:r>
                  <m:ctrlPr>
                    <w:rPr>
                      <w:rFonts w:ascii="Cambria Math" w:hAnsi="Cambria Math"/>
                    </w:rPr>
                  </m:ctrlPr>
                </m:e>
                <m:sub>
                  <m:r>
                    <m:rPr>
                      <m:sty m:val="p"/>
                    </m:rPr>
                    <w:rPr>
                      <w:rFonts w:ascii="Cambria Math" w:hAnsi="Cambria Math"/>
                    </w:rPr>
                    <m:t>Ed</m:t>
                  </m:r>
                  <m:ctrlPr>
                    <w:rPr>
                      <w:rFonts w:ascii="Cambria Math" w:hAnsi="Cambria Math"/>
                    </w:rPr>
                  </m:ctrlPr>
                </m:sub>
                <m:sup>
                  <m:r>
                    <m:rPr>
                      <m:sty m:val="p"/>
                    </m:rPr>
                    <w:rPr>
                      <w:rFonts w:ascii="Cambria Math" w:hAnsi="Cambria Math"/>
                    </w:rPr>
                    <m:t>a</m:t>
                  </m:r>
                  <m:ctrlPr>
                    <w:rPr>
                      <w:rFonts w:ascii="Cambria Math" w:hAnsi="Cambria Math"/>
                    </w:rPr>
                  </m:ctrlPr>
                </m:sup>
              </m:sSubSup>
              <m:r>
                <m:rPr/>
                <w:rPr>
                  <w:rFonts w:ascii="Cambria Math" w:hAnsi="Cambria Math"/>
                </w:rPr>
                <m:t>/</m:t>
              </m:r>
              <m:sSub>
                <m:sSubPr>
                  <m:ctrlPr>
                    <w:rPr>
                      <w:rFonts w:ascii="Cambria Math" w:hAnsi="Cambria Math"/>
                      <w:i/>
                    </w:rPr>
                  </m:ctrlPr>
                </m:sSubPr>
                <m:e>
                  <m:r>
                    <m:rPr/>
                    <w:rPr>
                      <w:rFonts w:ascii="Cambria Math" w:hAnsi="Cambria Math"/>
                    </w:rPr>
                    <m:t>V</m:t>
                  </m:r>
                  <m:ctrlPr>
                    <w:rPr>
                      <w:rFonts w:ascii="Cambria Math" w:hAnsi="Cambria Math"/>
                      <w:i/>
                    </w:rPr>
                  </m:ctrlPr>
                </m:e>
                <m:sub>
                  <m:r>
                    <m:rPr>
                      <m:sty m:val="p"/>
                    </m:rPr>
                    <w:rPr>
                      <w:rFonts w:ascii="Cambria Math" w:hAnsi="Cambria Math"/>
                    </w:rPr>
                    <m:t>Rd，</m:t>
                  </m:r>
                  <m:r>
                    <m:rPr/>
                    <w:rPr>
                      <w:rFonts w:ascii="Cambria Math" w:hAnsi="Cambria Math"/>
                    </w:rPr>
                    <m:t>i，y</m:t>
                  </m:r>
                  <m:ctrlPr>
                    <w:rPr>
                      <w:rFonts w:ascii="Cambria Math" w:hAnsi="Cambria Math"/>
                      <w:i/>
                    </w:rPr>
                  </m:ctrlPr>
                </m:sub>
              </m:sSub>
            </m:oMath>
            <w:r>
              <w:rPr>
                <w:rFonts w:hint="eastAsia" w:hAnsi="Cambria Math"/>
                <w:i w:val="0"/>
                <w:lang w:eastAsia="zh-CN"/>
              </w:rPr>
              <w:t>）</w:t>
            </w:r>
            <w:r>
              <w:t>的较大值；</w:t>
            </w:r>
          </w:p>
        </w:tc>
      </w:tr>
      <w:tr>
        <w:tblPrEx>
          <w:tblCellMar>
            <w:top w:w="0" w:type="dxa"/>
            <w:left w:w="108" w:type="dxa"/>
            <w:bottom w:w="0" w:type="dxa"/>
            <w:right w:w="108" w:type="dxa"/>
          </w:tblCellMar>
        </w:tblPrEx>
        <w:tc>
          <w:tcPr>
            <w:tcW w:w="1134" w:type="dxa"/>
            <w:shd w:val="clear" w:color="auto" w:fill="auto"/>
          </w:tcPr>
          <w:p>
            <w:pPr>
              <w:jc w:val="right"/>
              <w:rPr>
                <w:rFonts w:ascii="Times New Roman" w:hAnsi="Times New Roman" w:cs="Times New Roman"/>
              </w:rPr>
            </w:pPr>
            <m:oMathPara>
              <m:oMathParaPr>
                <m:jc m:val="right"/>
              </m:oMathParaPr>
              <m:oMath>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m:sty m:val="p"/>
                      </m:rPr>
                      <w:rPr>
                        <w:rFonts w:ascii="Cambria Math" w:hAnsi="Cambria Math" w:cs="Times New Roman"/>
                      </w:rPr>
                      <m:t>Rd，</m:t>
                    </m:r>
                    <m:r>
                      <m:rPr/>
                      <w:rPr>
                        <w:rFonts w:ascii="Cambria Math" w:hAnsi="Cambria Math" w:cs="Times New Roman"/>
                      </w:rPr>
                      <m:t>i，x</m:t>
                    </m:r>
                    <m:ctrlPr>
                      <w:rPr>
                        <w:rFonts w:ascii="Cambria Math" w:hAnsi="Cambria Math" w:cs="Times New Roman"/>
                        <w:i/>
                      </w:rPr>
                    </m:ctrlPr>
                  </m:sub>
                </m:sSub>
              </m:oMath>
            </m:oMathPara>
          </w:p>
        </w:tc>
        <w:tc>
          <w:tcPr>
            <w:tcW w:w="851" w:type="dxa"/>
            <w:shd w:val="clear" w:color="auto" w:fill="auto"/>
          </w:tcPr>
          <w:p>
            <w:pPr>
              <w:jc w:val="center"/>
              <w:rPr>
                <w:rFonts w:ascii="Times New Roman" w:hAnsi="Times New Roman" w:cs="Times New Roman"/>
              </w:rPr>
            </w:pPr>
            <w:r>
              <w:rPr>
                <w:rFonts w:ascii="Times New Roman" w:hAnsi="Times New Roman" w:cs="Times New Roman"/>
              </w:rPr>
              <w:t>——</w:t>
            </w:r>
          </w:p>
        </w:tc>
        <w:tc>
          <w:tcPr>
            <w:tcW w:w="7195" w:type="dxa"/>
            <w:shd w:val="clear" w:color="auto" w:fill="auto"/>
            <w:vAlign w:val="center"/>
          </w:tcPr>
          <w:p>
            <w:pPr>
              <w:pStyle w:val="189"/>
              <w:jc w:val="both"/>
            </w:pPr>
            <w:r>
              <w:t>应分别验算平行于钢槽受剪情况下，混凝土边缘破坏、剪撬破坏等2个模式，采用其中</w:t>
            </w:r>
            <w:r>
              <w:rPr>
                <w:rFonts w:hint="eastAsia"/>
                <w:lang w:eastAsia="zh-CN"/>
              </w:rPr>
              <w:t>（</w:t>
            </w:r>
            <m:oMath>
              <m:sSubSup>
                <m:sSubSupPr>
                  <m:ctrlPr>
                    <w:rPr>
                      <w:rFonts w:ascii="Cambria Math" w:hAnsi="Cambria Math"/>
                    </w:rPr>
                  </m:ctrlPr>
                </m:sSubSupPr>
                <m:e>
                  <m:r>
                    <m:rPr/>
                    <w:rPr>
                      <w:rFonts w:ascii="Cambria Math" w:hAnsi="Cambria Math"/>
                    </w:rPr>
                    <m:t>V</m:t>
                  </m:r>
                  <m:ctrlPr>
                    <w:rPr>
                      <w:rFonts w:ascii="Cambria Math" w:hAnsi="Cambria Math"/>
                    </w:rPr>
                  </m:ctrlPr>
                </m:e>
                <m:sub>
                  <m:r>
                    <m:rPr>
                      <m:sty m:val="p"/>
                    </m:rPr>
                    <w:rPr>
                      <w:rFonts w:ascii="Cambria Math" w:hAnsi="Cambria Math"/>
                    </w:rPr>
                    <m:t>Ed</m:t>
                  </m:r>
                  <m:ctrlPr>
                    <w:rPr>
                      <w:rFonts w:ascii="Cambria Math" w:hAnsi="Cambria Math"/>
                    </w:rPr>
                  </m:ctrlPr>
                </m:sub>
                <m:sup>
                  <m:r>
                    <m:rPr>
                      <m:sty m:val="p"/>
                    </m:rPr>
                    <w:rPr>
                      <w:rFonts w:ascii="Cambria Math" w:hAnsi="Cambria Math"/>
                    </w:rPr>
                    <m:t>a</m:t>
                  </m:r>
                  <m:ctrlPr>
                    <w:rPr>
                      <w:rFonts w:ascii="Cambria Math" w:hAnsi="Cambria Math"/>
                    </w:rPr>
                  </m:ctrlPr>
                </m:sup>
              </m:sSubSup>
              <m:r>
                <m:rPr/>
                <w:rPr>
                  <w:rFonts w:ascii="Cambria Math" w:hAnsi="Cambria Math"/>
                </w:rPr>
                <m:t>/</m:t>
              </m:r>
              <m:sSub>
                <m:sSubPr>
                  <m:ctrlPr>
                    <w:rPr>
                      <w:rFonts w:ascii="Cambria Math" w:hAnsi="Cambria Math"/>
                      <w:i/>
                    </w:rPr>
                  </m:ctrlPr>
                </m:sSubPr>
                <m:e>
                  <m:r>
                    <m:rPr/>
                    <w:rPr>
                      <w:rFonts w:ascii="Cambria Math" w:hAnsi="Cambria Math"/>
                    </w:rPr>
                    <m:t>V</m:t>
                  </m:r>
                  <m:ctrlPr>
                    <w:rPr>
                      <w:rFonts w:ascii="Cambria Math" w:hAnsi="Cambria Math"/>
                      <w:i/>
                    </w:rPr>
                  </m:ctrlPr>
                </m:e>
                <m:sub>
                  <m:r>
                    <m:rPr>
                      <m:sty m:val="p"/>
                    </m:rPr>
                    <w:rPr>
                      <w:rFonts w:ascii="Cambria Math" w:hAnsi="Cambria Math"/>
                    </w:rPr>
                    <m:t>Rd，</m:t>
                  </m:r>
                  <m:r>
                    <m:rPr/>
                    <w:rPr>
                      <w:rFonts w:ascii="Cambria Math" w:hAnsi="Cambria Math"/>
                    </w:rPr>
                    <m:t>i，x</m:t>
                  </m:r>
                  <m:ctrlPr>
                    <w:rPr>
                      <w:rFonts w:ascii="Cambria Math" w:hAnsi="Cambria Math"/>
                      <w:i/>
                    </w:rPr>
                  </m:ctrlPr>
                </m:sub>
              </m:sSub>
            </m:oMath>
            <w:r>
              <w:rPr>
                <w:rFonts w:hint="eastAsia" w:hAnsi="Cambria Math"/>
                <w:i w:val="0"/>
                <w:lang w:eastAsia="zh-CN"/>
              </w:rPr>
              <w:t>）</w:t>
            </w:r>
            <w:r>
              <w:t>的较大值。</w:t>
            </w:r>
          </w:p>
        </w:tc>
      </w:tr>
    </w:tbl>
    <w:p>
      <w:pPr>
        <w:pStyle w:val="200"/>
      </w:pPr>
      <w:r>
        <w:rPr>
          <w:b/>
        </w:rPr>
        <w:t xml:space="preserve">D.0.29 </w:t>
      </w:r>
      <w:r>
        <w:t>槽式预埋件的混凝土基材厚度不应小于200mm；槽式预埋件有效锚固深度</w:t>
      </w:r>
      <m:oMath>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ef</m:t>
            </m:r>
            <m:ctrlPr>
              <w:rPr>
                <w:rFonts w:ascii="Cambria Math" w:hAnsi="Cambria Math"/>
              </w:rPr>
            </m:ctrlPr>
          </m:sub>
        </m:sSub>
      </m:oMath>
      <w:r>
        <w:t>不小于90mm；相邻锚筋间距不小于100mm，不大于250mm；槽式预埋件与混凝土构件的最小边距</w:t>
      </w:r>
      <m:oMath>
        <m:sSub>
          <m:sSubPr>
            <m:ctrlPr>
              <w:rPr>
                <w:rFonts w:ascii="Cambria Math" w:hAnsi="Cambria Math"/>
              </w:rPr>
            </m:ctrlPr>
          </m:sSubPr>
          <m:e>
            <m:r>
              <m:rPr/>
              <w:rPr>
                <w:rFonts w:ascii="Cambria Math" w:hAnsi="Cambria Math"/>
              </w:rPr>
              <m:t>c</m:t>
            </m:r>
            <m:ctrlPr>
              <w:rPr>
                <w:rFonts w:ascii="Cambria Math" w:hAnsi="Cambria Math"/>
              </w:rPr>
            </m:ctrlPr>
          </m:e>
          <m:sub>
            <m:r>
              <m:rPr>
                <m:sty m:val="p"/>
              </m:rPr>
              <w:rPr>
                <w:rFonts w:ascii="Cambria Math" w:hAnsi="Cambria Math"/>
              </w:rPr>
              <m:t>1</m:t>
            </m:r>
            <m:ctrlPr>
              <w:rPr>
                <w:rFonts w:ascii="Cambria Math" w:hAnsi="Cambria Math"/>
              </w:rPr>
            </m:ctrlPr>
          </m:sub>
        </m:sSub>
      </m:oMath>
      <w:r>
        <w:t>和</w:t>
      </w:r>
      <m:oMath>
        <m:sSub>
          <m:sSubPr>
            <m:ctrlPr>
              <w:rPr>
                <w:rFonts w:ascii="Cambria Math" w:hAnsi="Cambria Math"/>
              </w:rPr>
            </m:ctrlPr>
          </m:sSubPr>
          <m:e>
            <m:r>
              <m:rPr/>
              <w:rPr>
                <w:rFonts w:ascii="Cambria Math" w:hAnsi="Cambria Math"/>
              </w:rPr>
              <m:t>c</m:t>
            </m:r>
            <m:ctrlPr>
              <w:rPr>
                <w:rFonts w:ascii="Cambria Math" w:hAnsi="Cambria Math"/>
              </w:rPr>
            </m:ctrlPr>
          </m:e>
          <m:sub>
            <m:r>
              <m:rPr>
                <m:sty m:val="p"/>
              </m:rPr>
              <w:rPr>
                <w:rFonts w:ascii="Cambria Math" w:hAnsi="Cambria Math"/>
              </w:rPr>
              <m:t>2</m:t>
            </m:r>
            <m:ctrlPr>
              <w:rPr>
                <w:rFonts w:ascii="Cambria Math" w:hAnsi="Cambria Math"/>
              </w:rPr>
            </m:ctrlPr>
          </m:sub>
        </m:sSub>
      </m:oMath>
      <w:r>
        <w:t>均不小于50mm。</w:t>
      </w:r>
    </w:p>
    <w:p>
      <w:pPr>
        <w:pStyle w:val="200"/>
      </w:pPr>
      <w:r>
        <w:rPr>
          <w:b/>
        </w:rPr>
        <w:t xml:space="preserve">D.0.30 </w:t>
      </w:r>
      <w:r>
        <w:t>除锚筋和不锈钢制品外，槽式预埋件的表面应进行热浸镀锌处理，镀锌厚度应符合《金属覆盖层 钢铁制件热浸镀锌层 技术要求及试验方法》GB/T 13912规定。</w:t>
      </w:r>
    </w:p>
    <w:p>
      <w:pPr>
        <w:pStyle w:val="200"/>
      </w:pPr>
    </w:p>
    <w:p>
      <w:pPr>
        <w:pStyle w:val="200"/>
      </w:pPr>
    </w:p>
    <w:p>
      <w:pPr>
        <w:rPr>
          <w:rFonts w:ascii="Times New Roman" w:hAnsi="Times New Roman" w:cs="Times New Roman"/>
        </w:rPr>
        <w:sectPr>
          <w:pgSz w:w="11906" w:h="16838"/>
          <w:pgMar w:top="1134" w:right="1134" w:bottom="1134" w:left="1134" w:header="851" w:footer="992" w:gutter="0"/>
          <w:cols w:space="720" w:num="1"/>
          <w:docGrid w:type="lines" w:linePitch="326" w:charSpace="0"/>
        </w:sectPr>
      </w:pPr>
    </w:p>
    <w:p>
      <w:pPr>
        <w:pStyle w:val="2"/>
        <w:spacing w:before="156"/>
        <w:rPr>
          <w:rFonts w:ascii="Times New Roman" w:hAnsi="Times New Roman"/>
        </w:rPr>
      </w:pPr>
      <w:bookmarkStart w:id="82" w:name="_Toc162996244"/>
      <w:r>
        <w:rPr>
          <w:rFonts w:hint="eastAsia" w:ascii="Times New Roman" w:hAnsi="Times New Roman"/>
        </w:rPr>
        <w:t>用词说明</w:t>
      </w:r>
      <w:bookmarkEnd w:id="47"/>
      <w:bookmarkEnd w:id="82"/>
    </w:p>
    <w:p>
      <w:pPr>
        <w:pStyle w:val="188"/>
        <w:ind w:firstLine="482"/>
      </w:pPr>
      <w:r>
        <w:rPr>
          <w:b/>
        </w:rPr>
        <w:t>1</w:t>
      </w:r>
      <w:r>
        <w:rPr>
          <w:rFonts w:hint="eastAsia"/>
        </w:rPr>
        <w:t>为便于在执行本规程条文时区别对待，对要求严格程度不同的用词说明如下：</w:t>
      </w:r>
    </w:p>
    <w:p>
      <w:pPr>
        <w:pStyle w:val="188"/>
        <w:ind w:firstLine="482"/>
      </w:pPr>
      <w:r>
        <w:rPr>
          <w:b/>
        </w:rPr>
        <w:t>1</w:t>
      </w:r>
      <w:r>
        <w:rPr>
          <w:rFonts w:hint="eastAsia"/>
          <w:b/>
        </w:rPr>
        <w:t>）</w:t>
      </w:r>
      <w:r>
        <w:rPr>
          <w:rFonts w:hint="eastAsia"/>
        </w:rPr>
        <w:t>表示很严格，非这样做不可的用词：</w:t>
      </w:r>
    </w:p>
    <w:p>
      <w:pPr>
        <w:pStyle w:val="188"/>
        <w:ind w:firstLine="480"/>
      </w:pPr>
      <w:r>
        <w:rPr>
          <w:rFonts w:hint="eastAsia"/>
        </w:rPr>
        <w:t>正面词采用</w:t>
      </w:r>
      <w:r>
        <w:t>“</w:t>
      </w:r>
      <w:r>
        <w:rPr>
          <w:rFonts w:hint="eastAsia"/>
        </w:rPr>
        <w:t>必须</w:t>
      </w:r>
      <w:r>
        <w:t>”</w:t>
      </w:r>
      <w:r>
        <w:rPr>
          <w:rFonts w:hint="eastAsia"/>
        </w:rPr>
        <w:t>，反面词采用</w:t>
      </w:r>
      <w:r>
        <w:t>“</w:t>
      </w:r>
      <w:r>
        <w:rPr>
          <w:rFonts w:hint="eastAsia"/>
        </w:rPr>
        <w:t>严禁</w:t>
      </w:r>
      <w:r>
        <w:t>”</w:t>
      </w:r>
      <w:r>
        <w:rPr>
          <w:rFonts w:hint="eastAsia"/>
        </w:rPr>
        <w:t>；</w:t>
      </w:r>
    </w:p>
    <w:p>
      <w:pPr>
        <w:pStyle w:val="188"/>
        <w:ind w:firstLine="482"/>
      </w:pPr>
      <w:r>
        <w:rPr>
          <w:b/>
        </w:rPr>
        <w:t>2</w:t>
      </w:r>
      <w:r>
        <w:rPr>
          <w:rFonts w:hint="eastAsia"/>
          <w:b/>
        </w:rPr>
        <w:t>）</w:t>
      </w:r>
      <w:r>
        <w:rPr>
          <w:rFonts w:hint="eastAsia"/>
        </w:rPr>
        <w:t>表示严格，在正常情况下均应这样做的用词：</w:t>
      </w:r>
    </w:p>
    <w:p>
      <w:pPr>
        <w:pStyle w:val="188"/>
        <w:ind w:firstLine="480"/>
      </w:pPr>
      <w:r>
        <w:rPr>
          <w:rFonts w:hint="eastAsia"/>
        </w:rPr>
        <w:t>正面词采用</w:t>
      </w:r>
      <w:r>
        <w:t>“</w:t>
      </w:r>
      <w:r>
        <w:rPr>
          <w:rFonts w:hint="eastAsia"/>
        </w:rPr>
        <w:t>应</w:t>
      </w:r>
      <w:r>
        <w:t>”</w:t>
      </w:r>
      <w:r>
        <w:rPr>
          <w:rFonts w:hint="eastAsia"/>
        </w:rPr>
        <w:t>，反面词采用</w:t>
      </w:r>
      <w:r>
        <w:t>“</w:t>
      </w:r>
      <w:r>
        <w:rPr>
          <w:rFonts w:hint="eastAsia"/>
        </w:rPr>
        <w:t>不应</w:t>
      </w:r>
      <w:r>
        <w:t>”</w:t>
      </w:r>
      <w:r>
        <w:rPr>
          <w:rFonts w:hint="eastAsia"/>
        </w:rPr>
        <w:t>或</w:t>
      </w:r>
      <w:r>
        <w:t>“</w:t>
      </w:r>
      <w:r>
        <w:rPr>
          <w:rFonts w:hint="eastAsia"/>
        </w:rPr>
        <w:t>不得</w:t>
      </w:r>
      <w:r>
        <w:t>”</w:t>
      </w:r>
      <w:r>
        <w:rPr>
          <w:rFonts w:hint="eastAsia"/>
        </w:rPr>
        <w:t>；</w:t>
      </w:r>
    </w:p>
    <w:p>
      <w:pPr>
        <w:pStyle w:val="188"/>
        <w:ind w:firstLine="482"/>
      </w:pPr>
      <w:r>
        <w:rPr>
          <w:b/>
        </w:rPr>
        <w:t>3</w:t>
      </w:r>
      <w:r>
        <w:rPr>
          <w:rFonts w:hint="eastAsia"/>
          <w:b/>
        </w:rPr>
        <w:t>）</w:t>
      </w:r>
      <w:r>
        <w:rPr>
          <w:rFonts w:hint="eastAsia"/>
        </w:rPr>
        <w:t>表示允许稍有选择，在条件许可时首先应这样做的用词：</w:t>
      </w:r>
    </w:p>
    <w:p>
      <w:pPr>
        <w:pStyle w:val="188"/>
        <w:ind w:firstLine="480"/>
      </w:pPr>
      <w:r>
        <w:rPr>
          <w:rFonts w:hint="eastAsia"/>
        </w:rPr>
        <w:t>正面词采用</w:t>
      </w:r>
      <w:r>
        <w:t>“</w:t>
      </w:r>
      <w:r>
        <w:rPr>
          <w:rFonts w:hint="eastAsia"/>
        </w:rPr>
        <w:t>宜</w:t>
      </w:r>
      <w:r>
        <w:t>”</w:t>
      </w:r>
      <w:r>
        <w:rPr>
          <w:rFonts w:hint="eastAsia"/>
        </w:rPr>
        <w:t>，反面词采用</w:t>
      </w:r>
      <w:r>
        <w:t>“</w:t>
      </w:r>
      <w:r>
        <w:rPr>
          <w:rFonts w:hint="eastAsia"/>
        </w:rPr>
        <w:t>不宜</w:t>
      </w:r>
      <w:r>
        <w:t>”</w:t>
      </w:r>
      <w:r>
        <w:rPr>
          <w:rFonts w:hint="eastAsia"/>
        </w:rPr>
        <w:t>；</w:t>
      </w:r>
    </w:p>
    <w:p>
      <w:pPr>
        <w:pStyle w:val="188"/>
        <w:ind w:firstLine="482"/>
      </w:pPr>
      <w:r>
        <w:rPr>
          <w:b/>
        </w:rPr>
        <w:t>4</w:t>
      </w:r>
      <w:r>
        <w:rPr>
          <w:rFonts w:hint="eastAsia"/>
          <w:b/>
        </w:rPr>
        <w:t>）</w:t>
      </w:r>
      <w:r>
        <w:rPr>
          <w:rFonts w:hint="eastAsia"/>
        </w:rPr>
        <w:t>表示有选择，在一定条件下可以这样做的用词，采用</w:t>
      </w:r>
      <w:r>
        <w:t>“</w:t>
      </w:r>
      <w:r>
        <w:rPr>
          <w:rFonts w:hint="eastAsia"/>
        </w:rPr>
        <w:t>可</w:t>
      </w:r>
      <w:r>
        <w:t>”</w:t>
      </w:r>
      <w:r>
        <w:rPr>
          <w:rFonts w:hint="eastAsia"/>
        </w:rPr>
        <w:t>。</w:t>
      </w:r>
    </w:p>
    <w:p>
      <w:pPr>
        <w:pStyle w:val="188"/>
        <w:ind w:firstLine="482"/>
      </w:pPr>
      <w:r>
        <w:rPr>
          <w:b/>
        </w:rPr>
        <w:t>2</w:t>
      </w:r>
      <w:r>
        <w:rPr>
          <w:rFonts w:hint="eastAsia"/>
        </w:rPr>
        <w:t>规程中指明应按其他有关标准执行的写法为：</w:t>
      </w:r>
    </w:p>
    <w:p>
      <w:pPr>
        <w:pStyle w:val="188"/>
        <w:ind w:firstLine="480"/>
      </w:pPr>
      <w:r>
        <w:t>“</w:t>
      </w:r>
      <w:r>
        <w:rPr>
          <w:rFonts w:hint="eastAsia"/>
        </w:rPr>
        <w:t>应符合</w:t>
      </w:r>
      <w:r>
        <w:t>……</w:t>
      </w:r>
      <w:r>
        <w:rPr>
          <w:rFonts w:hint="eastAsia"/>
        </w:rPr>
        <w:t>的规定</w:t>
      </w:r>
      <w:r>
        <w:t>”</w:t>
      </w:r>
      <w:r>
        <w:rPr>
          <w:rFonts w:hint="eastAsia"/>
        </w:rPr>
        <w:t>或</w:t>
      </w:r>
      <w:r>
        <w:t>“</w:t>
      </w:r>
      <w:r>
        <w:rPr>
          <w:rFonts w:hint="eastAsia"/>
        </w:rPr>
        <w:t>应按</w:t>
      </w:r>
      <w:r>
        <w:t>……</w:t>
      </w:r>
      <w:r>
        <w:rPr>
          <w:rFonts w:hint="eastAsia"/>
        </w:rPr>
        <w:t>执行</w:t>
      </w:r>
      <w:r>
        <w:t>”</w:t>
      </w:r>
      <w:r>
        <w:rPr>
          <w:rFonts w:hint="eastAsia"/>
        </w:rPr>
        <w:t>。</w:t>
      </w:r>
    </w:p>
    <w:p>
      <w:pPr>
        <w:rPr>
          <w:rFonts w:ascii="Times New Roman" w:hAnsi="Times New Roman"/>
        </w:rPr>
      </w:pPr>
      <w:r>
        <w:rPr>
          <w:rFonts w:ascii="Times New Roman" w:hAnsi="Times New Roman"/>
        </w:rPr>
        <w:br w:type="page"/>
      </w:r>
    </w:p>
    <w:p>
      <w:pPr>
        <w:pStyle w:val="2"/>
        <w:spacing w:before="156"/>
        <w:rPr>
          <w:rFonts w:ascii="Times New Roman" w:hAnsi="Times New Roman"/>
        </w:rPr>
      </w:pPr>
      <w:bookmarkStart w:id="83" w:name="_Toc444098455"/>
      <w:bookmarkStart w:id="84" w:name="_Toc162996245"/>
      <w:bookmarkStart w:id="85" w:name="_Toc361232870"/>
      <w:bookmarkStart w:id="86" w:name="_Toc361925511"/>
      <w:bookmarkStart w:id="87" w:name="_Toc368167194"/>
      <w:bookmarkStart w:id="88" w:name="_Toc443917260"/>
      <w:r>
        <w:rPr>
          <w:rFonts w:ascii="Times New Roman" w:hAnsi="Times New Roman"/>
        </w:rPr>
        <w:t>引用标准名录</w:t>
      </w:r>
      <w:bookmarkEnd w:id="83"/>
      <w:bookmarkEnd w:id="84"/>
      <w:bookmarkEnd w:id="85"/>
      <w:bookmarkEnd w:id="86"/>
      <w:bookmarkEnd w:id="87"/>
      <w:bookmarkEnd w:id="88"/>
    </w:p>
    <w:p>
      <w:pPr>
        <w:pStyle w:val="188"/>
        <w:ind w:firstLine="480"/>
      </w:pPr>
      <w:r>
        <w:rPr>
          <w:rFonts w:hint="eastAsia"/>
        </w:rPr>
        <w:t>本标准引用下列标准。其中，注日期的，仅对该日期对应的版本适用于本标准；不注日期的，其最新版适用于本标准。</w:t>
      </w:r>
    </w:p>
    <w:p>
      <w:pPr>
        <w:rPr>
          <w:rFonts w:ascii="Times New Roman" w:hAnsi="Times New Roman"/>
        </w:rPr>
      </w:pPr>
    </w:p>
    <w:p>
      <w:pPr>
        <w:pStyle w:val="188"/>
        <w:ind w:firstLine="480"/>
      </w:pPr>
      <w:r>
        <w:rPr>
          <w:rFonts w:hint="eastAsia"/>
        </w:rPr>
        <w:t>1</w:t>
      </w:r>
      <w:r>
        <w:t>《建筑结构可靠性设计统一标准》</w:t>
      </w:r>
      <w:r>
        <w:rPr>
          <w:rFonts w:hint="eastAsia"/>
        </w:rPr>
        <w:t xml:space="preserve"> </w:t>
      </w:r>
      <w:r>
        <w:t>GB50068</w:t>
      </w:r>
    </w:p>
    <w:p>
      <w:pPr>
        <w:pStyle w:val="188"/>
        <w:ind w:firstLine="480"/>
      </w:pPr>
      <w:r>
        <w:rPr>
          <w:rFonts w:hint="eastAsia"/>
        </w:rPr>
        <w:t>2</w:t>
      </w:r>
      <w:r>
        <w:t>《建筑结构荷载规范</w:t>
      </w:r>
      <w:r>
        <w:rPr>
          <w:color w:val="000000"/>
        </w:rPr>
        <w:t>》</w:t>
      </w:r>
      <w:r>
        <w:rPr>
          <w:rFonts w:hint="eastAsia"/>
          <w:color w:val="000000"/>
        </w:rPr>
        <w:t xml:space="preserve"> </w:t>
      </w:r>
      <w:r>
        <w:t>GB50009</w:t>
      </w:r>
    </w:p>
    <w:p>
      <w:pPr>
        <w:pStyle w:val="188"/>
        <w:ind w:firstLine="480"/>
      </w:pPr>
      <w:r>
        <w:rPr>
          <w:rFonts w:hint="eastAsia"/>
        </w:rPr>
        <w:t>3</w:t>
      </w:r>
      <w:r>
        <w:t>《建筑抗震设计规范</w:t>
      </w:r>
      <w:r>
        <w:rPr>
          <w:color w:val="000000"/>
        </w:rPr>
        <w:t>》</w:t>
      </w:r>
      <w:r>
        <w:rPr>
          <w:rFonts w:hint="eastAsia"/>
          <w:color w:val="000000"/>
        </w:rPr>
        <w:t xml:space="preserve"> </w:t>
      </w:r>
      <w:r>
        <w:t>GB50011</w:t>
      </w:r>
    </w:p>
    <w:p>
      <w:pPr>
        <w:pStyle w:val="188"/>
        <w:ind w:firstLine="480"/>
        <w:rPr>
          <w:snapToGrid w:val="0"/>
        </w:rPr>
      </w:pPr>
      <w:r>
        <w:rPr>
          <w:rFonts w:hint="eastAsia"/>
        </w:rPr>
        <w:t>4</w:t>
      </w:r>
      <w:r>
        <w:t>《建筑设计防火规范》</w:t>
      </w:r>
      <w:r>
        <w:rPr>
          <w:rFonts w:hint="eastAsia"/>
          <w:snapToGrid w:val="0"/>
        </w:rPr>
        <w:t xml:space="preserve"> </w:t>
      </w:r>
      <w:r>
        <w:rPr>
          <w:snapToGrid w:val="0"/>
        </w:rPr>
        <w:t>GB50016</w:t>
      </w:r>
    </w:p>
    <w:p>
      <w:pPr>
        <w:pStyle w:val="188"/>
        <w:ind w:firstLine="480"/>
      </w:pPr>
      <w:r>
        <w:rPr>
          <w:rFonts w:hint="eastAsia"/>
        </w:rPr>
        <w:t>5</w:t>
      </w:r>
      <w:r>
        <w:t>《钢结构设计标准》</w:t>
      </w:r>
      <w:r>
        <w:rPr>
          <w:rFonts w:hint="eastAsia"/>
        </w:rPr>
        <w:t xml:space="preserve"> </w:t>
      </w:r>
      <w:r>
        <w:t>GB50017</w:t>
      </w:r>
    </w:p>
    <w:p>
      <w:pPr>
        <w:pStyle w:val="188"/>
        <w:ind w:firstLine="480"/>
      </w:pPr>
      <w:r>
        <w:rPr>
          <w:rFonts w:hint="eastAsia"/>
        </w:rPr>
        <w:t>6</w:t>
      </w:r>
      <w:r>
        <w:t>《铝合金结构设计规范》</w:t>
      </w:r>
    </w:p>
    <w:p>
      <w:pPr>
        <w:pStyle w:val="188"/>
        <w:ind w:firstLine="480"/>
      </w:pPr>
      <w:r>
        <w:rPr>
          <w:rFonts w:hint="eastAsia"/>
        </w:rPr>
        <w:t>7</w:t>
      </w:r>
      <w:r>
        <w:t>《木结构设计标准》</w:t>
      </w:r>
      <w:r>
        <w:rPr>
          <w:rFonts w:hint="eastAsia"/>
        </w:rPr>
        <w:t xml:space="preserve"> </w:t>
      </w:r>
      <w:r>
        <w:t>GB50429</w:t>
      </w:r>
    </w:p>
    <w:p>
      <w:pPr>
        <w:pStyle w:val="188"/>
        <w:ind w:firstLine="480"/>
      </w:pPr>
      <w:r>
        <w:rPr>
          <w:rFonts w:hint="eastAsia"/>
        </w:rPr>
        <w:t>8</w:t>
      </w:r>
      <w:r>
        <w:t>《工程结构通用规范》</w:t>
      </w:r>
      <w:r>
        <w:rPr>
          <w:rFonts w:hint="eastAsia"/>
        </w:rPr>
        <w:t xml:space="preserve"> </w:t>
      </w:r>
      <w:r>
        <w:t>GB55001</w:t>
      </w:r>
    </w:p>
    <w:p>
      <w:pPr>
        <w:pStyle w:val="188"/>
        <w:ind w:firstLine="480"/>
      </w:pPr>
      <w:r>
        <w:rPr>
          <w:rFonts w:hint="eastAsia"/>
        </w:rPr>
        <w:t>9</w:t>
      </w:r>
      <w:r>
        <w:t>《建筑玻璃应用技术规程》</w:t>
      </w:r>
      <w:r>
        <w:rPr>
          <w:rFonts w:hint="eastAsia"/>
        </w:rPr>
        <w:t xml:space="preserve"> </w:t>
      </w:r>
      <w:r>
        <w:t>JGJ</w:t>
      </w:r>
      <w:r>
        <w:rPr>
          <w:rFonts w:hint="eastAsia"/>
        </w:rPr>
        <w:t xml:space="preserve"> </w:t>
      </w:r>
      <w:r>
        <w:t>113</w:t>
      </w:r>
    </w:p>
    <w:p>
      <w:pPr>
        <w:pStyle w:val="188"/>
        <w:ind w:firstLine="480"/>
      </w:pPr>
      <w:r>
        <w:rPr>
          <w:rFonts w:hint="eastAsia"/>
        </w:rPr>
        <w:t>10</w:t>
      </w:r>
      <w:r>
        <w:t>《采光顶与金属屋面技术规程》</w:t>
      </w:r>
      <w:r>
        <w:rPr>
          <w:rFonts w:hint="eastAsia"/>
        </w:rPr>
        <w:t xml:space="preserve"> </w:t>
      </w:r>
      <w:r>
        <w:t>JGJ</w:t>
      </w:r>
      <w:r>
        <w:rPr>
          <w:rFonts w:hint="eastAsia"/>
        </w:rPr>
        <w:t xml:space="preserve"> </w:t>
      </w:r>
      <w:r>
        <w:t>255</w:t>
      </w:r>
    </w:p>
    <w:p>
      <w:pPr>
        <w:pStyle w:val="188"/>
        <w:ind w:firstLine="480"/>
      </w:pPr>
      <w:r>
        <w:rPr>
          <w:rFonts w:hint="eastAsia"/>
        </w:rPr>
        <w:t>11</w:t>
      </w:r>
      <w:r>
        <w:t>《建筑遮阳工程技术规范》</w:t>
      </w:r>
      <w:r>
        <w:rPr>
          <w:rFonts w:hint="eastAsia"/>
        </w:rPr>
        <w:t xml:space="preserve"> </w:t>
      </w:r>
      <w:r>
        <w:t>JGJ</w:t>
      </w:r>
      <w:r>
        <w:rPr>
          <w:rFonts w:hint="eastAsia"/>
        </w:rPr>
        <w:t xml:space="preserve"> </w:t>
      </w:r>
      <w:r>
        <w:t>237</w:t>
      </w:r>
    </w:p>
    <w:p>
      <w:pPr>
        <w:pStyle w:val="188"/>
        <w:ind w:firstLine="480"/>
      </w:pPr>
      <w:bookmarkStart w:id="89" w:name="_Hlk81227446"/>
      <w:r>
        <w:rPr>
          <w:rFonts w:hint="eastAsia"/>
        </w:rPr>
        <w:t>12</w:t>
      </w:r>
      <w:r>
        <w:t>《上海市建筑幕墙工程技术规范》</w:t>
      </w:r>
      <w:r>
        <w:rPr>
          <w:rFonts w:hint="eastAsia"/>
        </w:rPr>
        <w:t xml:space="preserve"> </w:t>
      </w:r>
      <w:r>
        <w:t>DGJ</w:t>
      </w:r>
      <w:r>
        <w:rPr>
          <w:rFonts w:hint="eastAsia"/>
        </w:rPr>
        <w:t xml:space="preserve"> </w:t>
      </w:r>
      <w:r>
        <w:t>08-56</w:t>
      </w:r>
    </w:p>
    <w:bookmarkEnd w:id="89"/>
    <w:p>
      <w:pPr>
        <w:rPr>
          <w:rFonts w:ascii="Times New Roman" w:hAnsi="Times New Roman"/>
        </w:rPr>
      </w:pPr>
      <w:r>
        <w:rPr>
          <w:rFonts w:ascii="Times New Roman" w:hAnsi="Times New Roman"/>
        </w:rPr>
        <w:br w:type="page"/>
      </w:r>
    </w:p>
    <w:p>
      <w:pPr>
        <w:jc w:val="center"/>
        <w:rPr>
          <w:rFonts w:ascii="Times New Roman" w:hAnsi="Times New Roman"/>
        </w:rPr>
      </w:pPr>
    </w:p>
    <w:p>
      <w:pPr>
        <w:jc w:val="center"/>
        <w:rPr>
          <w:rFonts w:ascii="Times New Roman" w:hAnsi="Times New Roman" w:eastAsia="黑体"/>
          <w:b/>
          <w:sz w:val="32"/>
          <w:szCs w:val="32"/>
        </w:rPr>
      </w:pPr>
      <w:r>
        <w:rPr>
          <w:rFonts w:hint="eastAsia" w:ascii="Times New Roman" w:hAnsi="Times New Roman" w:eastAsia="黑体"/>
          <w:b/>
          <w:sz w:val="32"/>
          <w:szCs w:val="32"/>
        </w:rPr>
        <w:t>中国工程建设协会标准</w:t>
      </w:r>
    </w:p>
    <w:p>
      <w:pPr>
        <w:jc w:val="center"/>
        <w:rPr>
          <w:rFonts w:ascii="Times New Roman" w:hAnsi="Times New Roman"/>
          <w:b/>
          <w:sz w:val="28"/>
          <w:szCs w:val="28"/>
        </w:rPr>
      </w:pPr>
    </w:p>
    <w:p>
      <w:pPr>
        <w:jc w:val="center"/>
        <w:rPr>
          <w:rFonts w:ascii="Times New Roman" w:hAnsi="Times New Roman"/>
          <w:b/>
          <w:sz w:val="28"/>
          <w:szCs w:val="28"/>
        </w:rPr>
      </w:pPr>
    </w:p>
    <w:p>
      <w:pPr>
        <w:pStyle w:val="107"/>
        <w:ind w:left="204"/>
        <w:rPr>
          <w:rFonts w:hAnsi="Times New Roman" w:eastAsia="宋体"/>
          <w:b/>
          <w:sz w:val="24"/>
          <w:szCs w:val="24"/>
        </w:rPr>
      </w:pPr>
      <w:r>
        <w:rPr>
          <w:rFonts w:hint="eastAsia" w:hAnsi="Times New Roman" w:eastAsia="宋体"/>
          <w:b/>
        </w:rPr>
        <w:t>建筑幕墙结构计算标准</w:t>
      </w:r>
    </w:p>
    <w:p>
      <w:pPr>
        <w:jc w:val="center"/>
        <w:rPr>
          <w:rFonts w:ascii="Times New Roman" w:hAnsi="Times New Roman"/>
          <w:b/>
          <w:sz w:val="48"/>
          <w:szCs w:val="48"/>
        </w:rPr>
      </w:pPr>
    </w:p>
    <w:p>
      <w:pPr>
        <w:jc w:val="center"/>
        <w:rPr>
          <w:rFonts w:ascii="Times New Roman" w:hAnsi="Times New Roman"/>
          <w:b/>
          <w:sz w:val="48"/>
          <w:szCs w:val="48"/>
        </w:rPr>
      </w:pPr>
    </w:p>
    <w:p>
      <w:pPr>
        <w:jc w:val="center"/>
        <w:rPr>
          <w:rFonts w:ascii="Times New Roman" w:hAnsi="Times New Roman" w:cs="Times New Roman"/>
          <w:b/>
          <w:sz w:val="44"/>
          <w:szCs w:val="44"/>
        </w:rPr>
      </w:pPr>
      <w:r>
        <w:rPr>
          <w:rFonts w:ascii="Times New Roman" w:hAnsi="Times New Roman" w:cs="Times New Roman"/>
          <w:b/>
          <w:sz w:val="44"/>
          <w:szCs w:val="44"/>
        </w:rPr>
        <w:t>T/CECS XXXX-202×</w:t>
      </w:r>
    </w:p>
    <w:p>
      <w:pPr>
        <w:rPr>
          <w:rFonts w:ascii="Times New Roman" w:hAnsi="Times New Roman"/>
          <w:b/>
          <w:sz w:val="44"/>
          <w:szCs w:val="44"/>
        </w:rPr>
      </w:pPr>
    </w:p>
    <w:p>
      <w:pPr>
        <w:jc w:val="center"/>
        <w:outlineLvl w:val="0"/>
        <w:rPr>
          <w:rFonts w:ascii="Times New Roman" w:hAnsi="Times New Roman"/>
          <w:sz w:val="44"/>
          <w:szCs w:val="44"/>
        </w:rPr>
      </w:pPr>
      <w:bookmarkStart w:id="90" w:name="_Toc162996246"/>
      <w:r>
        <w:rPr>
          <w:rFonts w:hint="eastAsia" w:ascii="Times New Roman" w:hAnsi="Times New Roman"/>
          <w:sz w:val="44"/>
          <w:szCs w:val="44"/>
        </w:rPr>
        <w:t>条文说明</w:t>
      </w:r>
      <w:bookmarkEnd w:id="90"/>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jc w:val="center"/>
        <w:rPr>
          <w:rFonts w:ascii="Times New Roman" w:hAnsi="Times New Roman"/>
          <w:b/>
          <w:sz w:val="28"/>
          <w:szCs w:val="28"/>
        </w:rPr>
      </w:pPr>
    </w:p>
    <w:p>
      <w:pPr>
        <w:rPr>
          <w:rFonts w:ascii="Times New Roman" w:hAnsi="Times New Roman"/>
        </w:rPr>
      </w:pPr>
      <w:r>
        <w:rPr>
          <w:rFonts w:ascii="Times New Roman" w:hAnsi="Times New Roman"/>
        </w:rPr>
        <w:br w:type="page"/>
      </w:r>
    </w:p>
    <w:p>
      <w:pPr>
        <w:pStyle w:val="2"/>
        <w:spacing w:before="156"/>
        <w:rPr>
          <w:rFonts w:ascii="Times New Roman" w:hAnsi="Times New Roman"/>
        </w:rPr>
      </w:pPr>
      <w:bookmarkStart w:id="91" w:name="_Toc162996247"/>
      <w:r>
        <w:rPr>
          <w:rFonts w:hint="eastAsia" w:ascii="Times New Roman" w:hAnsi="Times New Roman"/>
        </w:rPr>
        <w:t>制</w:t>
      </w:r>
      <w:r>
        <w:rPr>
          <w:rFonts w:ascii="Times New Roman" w:hAnsi="Times New Roman"/>
        </w:rPr>
        <w:t xml:space="preserve"> </w:t>
      </w:r>
      <w:r>
        <w:rPr>
          <w:rFonts w:hint="eastAsia" w:ascii="Times New Roman" w:hAnsi="Times New Roman"/>
        </w:rPr>
        <w:t>定</w:t>
      </w:r>
      <w:r>
        <w:rPr>
          <w:rFonts w:ascii="Times New Roman" w:hAnsi="Times New Roman"/>
        </w:rPr>
        <w:t xml:space="preserve"> </w:t>
      </w:r>
      <w:r>
        <w:rPr>
          <w:rFonts w:hint="eastAsia" w:ascii="Times New Roman" w:hAnsi="Times New Roman"/>
        </w:rPr>
        <w:t>说</w:t>
      </w:r>
      <w:r>
        <w:rPr>
          <w:rFonts w:ascii="Times New Roman" w:hAnsi="Times New Roman"/>
        </w:rPr>
        <w:t xml:space="preserve"> </w:t>
      </w:r>
      <w:r>
        <w:rPr>
          <w:rFonts w:hint="eastAsia" w:ascii="Times New Roman" w:hAnsi="Times New Roman"/>
        </w:rPr>
        <w:t>明</w:t>
      </w:r>
      <w:bookmarkEnd w:id="91"/>
    </w:p>
    <w:p>
      <w:pPr>
        <w:pStyle w:val="188"/>
        <w:ind w:firstLine="480"/>
      </w:pPr>
      <w:r>
        <w:rPr>
          <w:rFonts w:hint="eastAsia"/>
        </w:rPr>
        <w:t>本标准制定过程中，编制组进行了……，总结了……，同时参考了……，通过……，研究……，取得了………成果。</w:t>
      </w:r>
    </w:p>
    <w:p>
      <w:pPr>
        <w:pStyle w:val="188"/>
        <w:ind w:firstLine="480"/>
      </w:pPr>
      <w:r>
        <w:rPr>
          <w:rFonts w:hint="eastAsia"/>
        </w:rPr>
        <w:t>本标准编制原则为：（1）科学合理、具有可操作性；（2）实事求是，标准使用人应严格遵守标准有关规定；（3）保证标准适用性……；</w:t>
      </w:r>
    </w:p>
    <w:p>
      <w:pPr>
        <w:pStyle w:val="188"/>
        <w:ind w:firstLine="480"/>
      </w:pPr>
      <w:r>
        <w:rPr>
          <w:rFonts w:hint="eastAsia"/>
        </w:rPr>
        <w:t>为便于广大技术和管理人员在使用本标准时能正确理解和执行条款规定，《建筑幕墙结构计算标准》编制组按章、节、条顺序编制了本标准的条文说明，对条款规定的目的、依据以及执行中需注意的有关事项等进行了说明。本条文说明不具备与标准正文及附录同等的法律效力，仅供使用者作为理解和把握标准规定的参考。</w:t>
      </w:r>
    </w:p>
    <w:p>
      <w:pPr>
        <w:pStyle w:val="188"/>
        <w:ind w:firstLine="480"/>
      </w:pPr>
    </w:p>
    <w:p>
      <w:pPr>
        <w:pStyle w:val="188"/>
        <w:ind w:firstLine="480"/>
      </w:pPr>
    </w:p>
    <w:sectPr>
      <w:footerReference r:id="rId1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TimesNewRoman">
    <w:altName w:val="Times New Roman"/>
    <w:panose1 w:val="00000000000000000000"/>
    <w:charset w:val="00"/>
    <w:family w:val="roman"/>
    <w:pitch w:val="default"/>
    <w:sig w:usb0="00000000" w:usb1="00000000" w:usb2="00000000" w:usb3="00000000" w:csb0="00000000" w:csb1="00000000"/>
  </w:font>
  <w:font w:name="SymbolMT">
    <w:altName w:val="Cambria"/>
    <w:panose1 w:val="00000000000000000000"/>
    <w:charset w:val="00"/>
    <w:family w:val="roman"/>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Plotter">
    <w:altName w:val="Lucida Console"/>
    <w:panose1 w:val="00000000000000000000"/>
    <w:charset w:val="00"/>
    <w:family w:val="modern"/>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TimesLTStd-Italic">
    <w:altName w:val="宋体"/>
    <w:panose1 w:val="00000000000000000000"/>
    <w:charset w:val="86"/>
    <w:family w:val="roman"/>
    <w:pitch w:val="default"/>
    <w:sig w:usb0="00000000" w:usb1="00000000" w:usb2="00000010" w:usb3="00000000" w:csb0="00040000" w:csb1="00000000"/>
  </w:font>
  <w:font w:name="TimesLTStd-Roman">
    <w:altName w:val="Yu Gothic"/>
    <w:panose1 w:val="00000000000000000000"/>
    <w:charset w:val="80"/>
    <w:family w:val="roman"/>
    <w:pitch w:val="default"/>
    <w:sig w:usb0="00000000" w:usb1="00000000" w:usb2="00000010" w:usb3="00000000" w:csb0="00020000" w:csb1="00000000"/>
  </w:font>
  <w:font w:name="TimesLTStd-Bold">
    <w:altName w:val="宋体"/>
    <w:panose1 w:val="00000000000000000000"/>
    <w:charset w:val="86"/>
    <w:family w:val="roma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Lucida Console">
    <w:panose1 w:val="020B0609040504020204"/>
    <w:charset w:val="00"/>
    <w:family w:val="auto"/>
    <w:pitch w:val="default"/>
    <w:sig w:usb0="8000028F" w:usb1="00001800" w:usb2="00000000" w:usb3="00000000" w:csb0="0000001F" w:csb1="D7D7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ascii="Times New Roman" w:hAnsi="Times New Roman" w:cs="Times New Roman"/>
      </w:rPr>
    </w:pPr>
    <w:r>
      <w:rPr>
        <w:rFonts w:ascii="Times New Roman" w:hAnsi="Times New Roman" w:cs="Times New Roman"/>
      </w:rPr>
      <w:fldChar w:fldCharType="begin"/>
    </w:r>
    <w:r>
      <w:rPr>
        <w:rStyle w:val="41"/>
        <w:rFonts w:ascii="Times New Roman" w:hAnsi="Times New Roman"/>
      </w:rPr>
      <w:instrText xml:space="preserve">PAGE  </w:instrText>
    </w:r>
    <w:r>
      <w:rPr>
        <w:rFonts w:ascii="Times New Roman" w:hAnsi="Times New Roman" w:cs="Times New Roman"/>
      </w:rPr>
      <w:fldChar w:fldCharType="separate"/>
    </w:r>
    <w:r>
      <w:rPr>
        <w:rStyle w:val="41"/>
        <w:rFonts w:ascii="Times New Roman" w:hAnsi="Times New Roman"/>
      </w:rPr>
      <w:t>13</w:t>
    </w:r>
    <w:r>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fldChar w:fldCharType="begin"/>
    </w:r>
    <w:r>
      <w:instrText xml:space="preserve">PAGE   \* MERGEFORMAT</w:instrText>
    </w:r>
    <w:r>
      <w:fldChar w:fldCharType="separate"/>
    </w:r>
    <w:r>
      <w:rPr>
        <w:lang w:val="zh-CN"/>
      </w:rPr>
      <w:t>1</w:t>
    </w:r>
    <w:r>
      <w:fldChar w:fldCharType="end"/>
    </w:r>
  </w:p>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PAGE   \* MERGEFORMAT</w:instrText>
    </w:r>
    <w:r>
      <w:fldChar w:fldCharType="separate"/>
    </w:r>
    <w:r>
      <w:rPr>
        <w:lang w:val="zh-CN"/>
      </w:rPr>
      <w:t>V</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PAGE   \* MERGEFORMAT</w:instrText>
    </w:r>
    <w:r>
      <w:fldChar w:fldCharType="separate"/>
    </w:r>
    <w:r>
      <w:rPr>
        <w:lang w:val="zh-CN"/>
      </w:rPr>
      <w:t>III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rPr>
        <w:rStyle w:val="41"/>
      </w:rPr>
      <w:instrText xml:space="preserve">PAGE  </w:instrText>
    </w:r>
    <w:r>
      <w:fldChar w:fldCharType="separate"/>
    </w:r>
    <w:r>
      <w:rPr>
        <w:rStyle w:val="41"/>
      </w:rPr>
      <w:t>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rPr>
        <w:rStyle w:val="41"/>
      </w:rPr>
      <w:instrText xml:space="preserve">PAGE  </w:instrText>
    </w:r>
    <w:r>
      <w:fldChar w:fldCharType="separate"/>
    </w:r>
    <w:r>
      <w:rPr>
        <w:rStyle w:val="41"/>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rPr>
        <w:rStyle w:val="41"/>
      </w:rPr>
      <w:instrText xml:space="preserve">PAGE  </w:instrText>
    </w:r>
    <w:r>
      <w:fldChar w:fldCharType="separate"/>
    </w:r>
    <w:r>
      <w:rPr>
        <w:rStyle w:val="41"/>
      </w:rPr>
      <w:t>16</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rPr>
        <w:rStyle w:val="41"/>
      </w:rPr>
      <w:instrText xml:space="preserve">PAGE  </w:instrText>
    </w:r>
    <w:r>
      <w:fldChar w:fldCharType="separate"/>
    </w:r>
    <w:r>
      <w:rPr>
        <w:rStyle w:val="41"/>
      </w:rPr>
      <w:t>42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rPr>
        <w:rStyle w:val="41"/>
      </w:rPr>
      <w:instrText xml:space="preserve">PAGE  </w:instrText>
    </w:r>
    <w:r>
      <w:fldChar w:fldCharType="separate"/>
    </w:r>
    <w:r>
      <w:rPr>
        <w:rStyle w:val="41"/>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61CFD5"/>
    <w:multiLevelType w:val="multilevel"/>
    <w:tmpl w:val="AD61CFD5"/>
    <w:lvl w:ilvl="0" w:tentative="0">
      <w:start w:val="1"/>
      <w:numFmt w:val="decimal"/>
      <w:isLgl/>
      <w:suff w:val="space"/>
      <w:lvlText w:val="%1"/>
      <w:lvlJc w:val="center"/>
      <w:pPr>
        <w:tabs>
          <w:tab w:val="left" w:pos="420"/>
        </w:tabs>
        <w:ind w:left="0" w:firstLine="0"/>
      </w:pPr>
      <w:rPr>
        <w:rFonts w:hint="default" w:ascii="宋体" w:hAnsi="宋体" w:eastAsia="宋体" w:cs="宋体"/>
        <w:sz w:val="36"/>
        <w:szCs w:val="36"/>
      </w:rPr>
    </w:lvl>
    <w:lvl w:ilvl="1" w:tentative="0">
      <w:start w:val="1"/>
      <w:numFmt w:val="decimal"/>
      <w:suff w:val="space"/>
      <w:lvlText w:val="%1.%2"/>
      <w:lvlJc w:val="center"/>
      <w:pPr>
        <w:tabs>
          <w:tab w:val="left" w:pos="0"/>
        </w:tabs>
        <w:ind w:left="0" w:firstLine="0"/>
      </w:pPr>
      <w:rPr>
        <w:rFonts w:hint="default" w:ascii="宋体" w:hAnsi="宋体" w:eastAsia="宋体" w:cs="宋体"/>
        <w:sz w:val="28"/>
        <w:szCs w:val="28"/>
      </w:rPr>
    </w:lvl>
    <w:lvl w:ilvl="2" w:tentative="0">
      <w:start w:val="1"/>
      <w:numFmt w:val="decimal"/>
      <w:suff w:val="space"/>
      <w:lvlText w:val="%1.%2.%3"/>
      <w:lvlJc w:val="left"/>
      <w:pPr>
        <w:tabs>
          <w:tab w:val="left" w:pos="0"/>
        </w:tabs>
        <w:ind w:left="0" w:firstLine="0"/>
      </w:pPr>
      <w:rPr>
        <w:rFonts w:hint="default" w:ascii="Times New Roman" w:hAnsi="Times New Roman" w:eastAsia="黑体" w:cs="黑体"/>
        <w:sz w:val="24"/>
        <w:szCs w:val="24"/>
      </w:rPr>
    </w:lvl>
    <w:lvl w:ilvl="3" w:tentative="0">
      <w:start w:val="1"/>
      <w:numFmt w:val="decimal"/>
      <w:suff w:val="space"/>
      <w:lvlText w:val="%1.%2.%3.%4"/>
      <w:lvlJc w:val="left"/>
      <w:pPr>
        <w:tabs>
          <w:tab w:val="left" w:pos="0"/>
        </w:tabs>
        <w:ind w:left="0" w:firstLine="0"/>
      </w:pPr>
      <w:rPr>
        <w:rFonts w:hint="default" w:ascii="Times New Roman" w:hAnsi="Times New Roman" w:eastAsia="黑体" w:cs="黑体"/>
        <w:sz w:val="24"/>
        <w:szCs w:val="24"/>
      </w:rPr>
    </w:lvl>
    <w:lvl w:ilvl="4" w:tentative="0">
      <w:start w:val="1"/>
      <w:numFmt w:val="decimal"/>
      <w:isLgl/>
      <w:suff w:val="space"/>
      <w:lvlText w:val="%5"/>
      <w:lvlJc w:val="left"/>
      <w:pPr>
        <w:tabs>
          <w:tab w:val="left" w:pos="0"/>
        </w:tabs>
        <w:ind w:left="0" w:firstLine="567"/>
      </w:pPr>
      <w:rPr>
        <w:rFonts w:hint="default" w:ascii="宋体" w:hAnsi="宋体" w:eastAsia="宋体" w:cs="宋体"/>
        <w:sz w:val="24"/>
        <w:szCs w:val="24"/>
      </w:rPr>
    </w:lvl>
    <w:lvl w:ilvl="5" w:tentative="0">
      <w:start w:val="1"/>
      <w:numFmt w:val="decimal"/>
      <w:lvlRestart w:val="4"/>
      <w:isLgl/>
      <w:suff w:val="space"/>
      <w:lvlText w:val="%6）"/>
      <w:lvlJc w:val="left"/>
      <w:pPr>
        <w:tabs>
          <w:tab w:val="left" w:pos="420"/>
        </w:tabs>
        <w:ind w:left="0" w:firstLine="680"/>
      </w:pPr>
      <w:rPr>
        <w:rFonts w:hint="default" w:ascii="宋体" w:hAnsi="宋体" w:eastAsia="宋体" w:cs="宋体"/>
      </w:rPr>
    </w:lvl>
    <w:lvl w:ilvl="6" w:tentative="0">
      <w:start w:val="1"/>
      <w:numFmt w:val="decimal"/>
      <w:lvlText w:val="%1.%2.%3..%5.%6.%7"/>
      <w:lvlJc w:val="left"/>
      <w:pPr>
        <w:ind w:left="3827" w:hanging="1276"/>
      </w:pPr>
      <w:rPr>
        <w:rFonts w:hint="eastAsia"/>
      </w:rPr>
    </w:lvl>
    <w:lvl w:ilvl="7" w:tentative="0">
      <w:start w:val="1"/>
      <w:numFmt w:val="decimal"/>
      <w:lvlText w:val="%1.%2.%3..%5.%6.%7.%8"/>
      <w:lvlJc w:val="left"/>
      <w:pPr>
        <w:ind w:left="4394" w:hanging="1418"/>
      </w:pPr>
      <w:rPr>
        <w:rFonts w:hint="eastAsia"/>
      </w:rPr>
    </w:lvl>
    <w:lvl w:ilvl="8" w:tentative="0">
      <w:start w:val="1"/>
      <w:numFmt w:val="decimal"/>
      <w:lvlText w:val="%1.%2.%3..%5.%6.%7.%8.%9"/>
      <w:lvlJc w:val="left"/>
      <w:pPr>
        <w:ind w:left="5102" w:hanging="1700"/>
      </w:pPr>
      <w:rPr>
        <w:rFonts w:hint="eastAsia"/>
      </w:rPr>
    </w:lvl>
  </w:abstractNum>
  <w:abstractNum w:abstractNumId="1">
    <w:nsid w:val="F5F994AB"/>
    <w:multiLevelType w:val="singleLevel"/>
    <w:tmpl w:val="F5F994AB"/>
    <w:lvl w:ilvl="0" w:tentative="0">
      <w:start w:val="1"/>
      <w:numFmt w:val="decimal"/>
      <w:suff w:val="space"/>
      <w:lvlText w:val="%1）"/>
      <w:lvlJc w:val="left"/>
    </w:lvl>
  </w:abstractNum>
  <w:abstractNum w:abstractNumId="2">
    <w:nsid w:val="00000007"/>
    <w:multiLevelType w:val="multilevel"/>
    <w:tmpl w:val="00000007"/>
    <w:lvl w:ilvl="0" w:tentative="0">
      <w:start w:val="1"/>
      <w:numFmt w:val="decimal"/>
      <w:lvlText w:val="%1"/>
      <w:lvlJc w:val="left"/>
      <w:pPr>
        <w:tabs>
          <w:tab w:val="left" w:pos="735"/>
        </w:tabs>
        <w:ind w:left="735" w:hanging="735"/>
      </w:pPr>
      <w:rPr>
        <w:rFonts w:hint="default"/>
        <w:b/>
      </w:rPr>
    </w:lvl>
    <w:lvl w:ilvl="1" w:tentative="0">
      <w:start w:val="0"/>
      <w:numFmt w:val="decimal"/>
      <w:lvlText w:val="%1.%2"/>
      <w:lvlJc w:val="left"/>
      <w:pPr>
        <w:tabs>
          <w:tab w:val="left" w:pos="735"/>
        </w:tabs>
        <w:ind w:left="735" w:hanging="735"/>
      </w:pPr>
      <w:rPr>
        <w:rFonts w:hint="default"/>
        <w:b/>
      </w:rPr>
    </w:lvl>
    <w:lvl w:ilvl="2" w:tentative="0">
      <w:start w:val="1"/>
      <w:numFmt w:val="decimal"/>
      <w:pStyle w:val="35"/>
      <w:lvlText w:val="%1.%2.%3"/>
      <w:lvlJc w:val="left"/>
      <w:pPr>
        <w:tabs>
          <w:tab w:val="left" w:pos="567"/>
        </w:tabs>
        <w:ind w:left="0" w:firstLine="0"/>
      </w:pPr>
      <w:rPr>
        <w:rFonts w:hint="default" w:ascii="Times New Roman" w:hAnsi="Times New Roman"/>
        <w:b/>
      </w:rPr>
    </w:lvl>
    <w:lvl w:ilvl="3" w:tentative="0">
      <w:start w:val="1"/>
      <w:numFmt w:val="decimal"/>
      <w:lvlText w:val="%1.%2.%3.%4"/>
      <w:lvlJc w:val="left"/>
      <w:pPr>
        <w:tabs>
          <w:tab w:val="left" w:pos="1080"/>
        </w:tabs>
        <w:ind w:left="1080" w:hanging="108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440"/>
        </w:tabs>
        <w:ind w:left="1440" w:hanging="1440"/>
      </w:pPr>
      <w:rPr>
        <w:rFonts w:hint="default"/>
        <w:b/>
      </w:rPr>
    </w:lvl>
    <w:lvl w:ilvl="6" w:tentative="0">
      <w:start w:val="1"/>
      <w:numFmt w:val="decimal"/>
      <w:lvlText w:val="%1.%2.%3.%4.%5.%6.%7"/>
      <w:lvlJc w:val="left"/>
      <w:pPr>
        <w:tabs>
          <w:tab w:val="left" w:pos="1800"/>
        </w:tabs>
        <w:ind w:left="1800" w:hanging="1800"/>
      </w:pPr>
      <w:rPr>
        <w:rFonts w:hint="default"/>
        <w:b/>
      </w:rPr>
    </w:lvl>
    <w:lvl w:ilvl="7" w:tentative="0">
      <w:start w:val="1"/>
      <w:numFmt w:val="decimal"/>
      <w:lvlText w:val="%1.%2.%3.%4.%5.%6.%7.%8"/>
      <w:lvlJc w:val="left"/>
      <w:pPr>
        <w:tabs>
          <w:tab w:val="left" w:pos="1800"/>
        </w:tabs>
        <w:ind w:left="1800" w:hanging="1800"/>
      </w:pPr>
      <w:rPr>
        <w:rFonts w:hint="default"/>
        <w:b/>
      </w:rPr>
    </w:lvl>
    <w:lvl w:ilvl="8" w:tentative="0">
      <w:start w:val="1"/>
      <w:numFmt w:val="decimal"/>
      <w:lvlText w:val="%1.%2.%3.%4.%5.%6.%7.%8.%9"/>
      <w:lvlJc w:val="left"/>
      <w:pPr>
        <w:tabs>
          <w:tab w:val="left" w:pos="2160"/>
        </w:tabs>
        <w:ind w:left="2160" w:hanging="2160"/>
      </w:pPr>
      <w:rPr>
        <w:rFonts w:hint="default"/>
        <w:b/>
      </w:rPr>
    </w:lvl>
  </w:abstractNum>
  <w:abstractNum w:abstractNumId="3">
    <w:nsid w:val="15CB2F3E"/>
    <w:multiLevelType w:val="multilevel"/>
    <w:tmpl w:val="15CB2F3E"/>
    <w:lvl w:ilvl="0" w:tentative="0">
      <w:start w:val="1"/>
      <w:numFmt w:val="lowerLetter"/>
      <w:pStyle w:val="318"/>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
    <w:nsid w:val="1A0267CC"/>
    <w:multiLevelType w:val="multilevel"/>
    <w:tmpl w:val="1A0267CC"/>
    <w:lvl w:ilvl="0" w:tentative="0">
      <w:start w:val="3"/>
      <w:numFmt w:val="decimal"/>
      <w:pStyle w:val="235"/>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DBF583A"/>
    <w:multiLevelType w:val="multilevel"/>
    <w:tmpl w:val="1DBF583A"/>
    <w:lvl w:ilvl="0" w:tentative="0">
      <w:start w:val="1"/>
      <w:numFmt w:val="decimal"/>
      <w:pStyle w:val="317"/>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6">
    <w:nsid w:val="2A8F7113"/>
    <w:multiLevelType w:val="multilevel"/>
    <w:tmpl w:val="2A8F7113"/>
    <w:lvl w:ilvl="0" w:tentative="0">
      <w:start w:val="1"/>
      <w:numFmt w:val="upperLetter"/>
      <w:pStyle w:val="303"/>
      <w:suff w:val="space"/>
      <w:lvlText w:val="%1"/>
      <w:lvlJc w:val="left"/>
      <w:pPr>
        <w:ind w:left="623" w:hanging="425"/>
      </w:pPr>
      <w:rPr>
        <w:rFonts w:hint="eastAsia"/>
      </w:rPr>
    </w:lvl>
    <w:lvl w:ilvl="1" w:tentative="0">
      <w:start w:val="1"/>
      <w:numFmt w:val="decimal"/>
      <w:pStyle w:val="304"/>
      <w:suff w:val="nothing"/>
      <w:lvlText w:val="图%1.%2　"/>
      <w:lvlJc w:val="left"/>
      <w:pPr>
        <w:ind w:left="4962" w:hanging="56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7">
    <w:nsid w:val="2D2A7131"/>
    <w:multiLevelType w:val="multilevel"/>
    <w:tmpl w:val="2D2A7131"/>
    <w:lvl w:ilvl="0" w:tentative="0">
      <w:start w:val="1"/>
      <w:numFmt w:val="decimal"/>
      <w:lvlText w:val="%1）"/>
      <w:lvlJc w:val="left"/>
      <w:pPr>
        <w:ind w:left="1200" w:hanging="360"/>
      </w:pPr>
      <w:rPr>
        <w:rFonts w:hint="default"/>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8">
    <w:nsid w:val="41255A61"/>
    <w:multiLevelType w:val="multilevel"/>
    <w:tmpl w:val="41255A61"/>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1EE3108"/>
    <w:multiLevelType w:val="singleLevel"/>
    <w:tmpl w:val="41EE3108"/>
    <w:lvl w:ilvl="0" w:tentative="0">
      <w:start w:val="1"/>
      <w:numFmt w:val="decimal"/>
      <w:suff w:val="space"/>
      <w:lvlText w:val="%1）"/>
      <w:lvlJc w:val="left"/>
    </w:lvl>
  </w:abstractNum>
  <w:abstractNum w:abstractNumId="10">
    <w:nsid w:val="50F9287B"/>
    <w:multiLevelType w:val="multilevel"/>
    <w:tmpl w:val="50F9287B"/>
    <w:lvl w:ilvl="0" w:tentative="0">
      <w:start w:val="1"/>
      <w:numFmt w:val="decimal"/>
      <w:pStyle w:val="278"/>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1">
    <w:nsid w:val="60B55DC2"/>
    <w:multiLevelType w:val="multilevel"/>
    <w:tmpl w:val="60B55DC2"/>
    <w:lvl w:ilvl="0" w:tentative="0">
      <w:start w:val="1"/>
      <w:numFmt w:val="upperLetter"/>
      <w:pStyle w:val="289"/>
      <w:lvlText w:val="%1"/>
      <w:lvlJc w:val="left"/>
      <w:pPr>
        <w:tabs>
          <w:tab w:val="left" w:pos="0"/>
        </w:tabs>
        <w:ind w:left="0" w:hanging="425"/>
      </w:pPr>
      <w:rPr>
        <w:rFonts w:hint="eastAsia"/>
      </w:rPr>
    </w:lvl>
    <w:lvl w:ilvl="1" w:tentative="0">
      <w:start w:val="1"/>
      <w:numFmt w:val="decimal"/>
      <w:pStyle w:val="290"/>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2">
    <w:nsid w:val="657D3FBC"/>
    <w:multiLevelType w:val="multilevel"/>
    <w:tmpl w:val="657D3FBC"/>
    <w:lvl w:ilvl="0" w:tentative="0">
      <w:start w:val="1"/>
      <w:numFmt w:val="upperLetter"/>
      <w:pStyle w:val="287"/>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307"/>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308"/>
      <w:suff w:val="nothing"/>
      <w:lvlText w:val="%1.%2.%3　"/>
      <w:lvlJc w:val="left"/>
      <w:pPr>
        <w:ind w:left="426" w:firstLine="0"/>
      </w:pPr>
      <w:rPr>
        <w:rFonts w:hint="eastAsia" w:ascii="黑体" w:hAnsi="Times New Roman" w:eastAsia="黑体"/>
        <w:b w:val="0"/>
        <w:i w:val="0"/>
        <w:sz w:val="21"/>
      </w:rPr>
    </w:lvl>
    <w:lvl w:ilvl="3" w:tentative="0">
      <w:start w:val="1"/>
      <w:numFmt w:val="decimal"/>
      <w:pStyle w:val="291"/>
      <w:suff w:val="nothing"/>
      <w:lvlText w:val="%1.%2.%3.%4　"/>
      <w:lvlJc w:val="left"/>
      <w:pPr>
        <w:ind w:left="3261" w:firstLine="0"/>
      </w:pPr>
      <w:rPr>
        <w:rFonts w:hint="eastAsia" w:ascii="黑体" w:hAnsi="Times New Roman" w:eastAsia="黑体"/>
        <w:b w:val="0"/>
        <w:i w:val="0"/>
        <w:sz w:val="21"/>
      </w:rPr>
    </w:lvl>
    <w:lvl w:ilvl="4" w:tentative="0">
      <w:start w:val="1"/>
      <w:numFmt w:val="decimal"/>
      <w:pStyle w:val="297"/>
      <w:suff w:val="nothing"/>
      <w:lvlText w:val="%1.%2.%3.%4.%5　"/>
      <w:lvlJc w:val="left"/>
      <w:pPr>
        <w:ind w:left="0" w:firstLine="0"/>
      </w:pPr>
      <w:rPr>
        <w:rFonts w:hint="eastAsia" w:ascii="黑体" w:hAnsi="Times New Roman" w:eastAsia="黑体"/>
        <w:b w:val="0"/>
        <w:i w:val="0"/>
        <w:sz w:val="21"/>
      </w:rPr>
    </w:lvl>
    <w:lvl w:ilvl="5" w:tentative="0">
      <w:start w:val="1"/>
      <w:numFmt w:val="decimal"/>
      <w:pStyle w:val="301"/>
      <w:suff w:val="nothing"/>
      <w:lvlText w:val="%1.%2.%3.%4.%5.%6　"/>
      <w:lvlJc w:val="left"/>
      <w:pPr>
        <w:ind w:left="0" w:firstLine="0"/>
      </w:pPr>
      <w:rPr>
        <w:rFonts w:hint="eastAsia" w:ascii="黑体" w:hAnsi="Times New Roman" w:eastAsia="黑体"/>
        <w:b w:val="0"/>
        <w:i w:val="0"/>
        <w:sz w:val="21"/>
      </w:rPr>
    </w:lvl>
    <w:lvl w:ilvl="6" w:tentative="0">
      <w:start w:val="1"/>
      <w:numFmt w:val="decimal"/>
      <w:pStyle w:val="305"/>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D6C07CD"/>
    <w:multiLevelType w:val="multilevel"/>
    <w:tmpl w:val="6D6C07CD"/>
    <w:lvl w:ilvl="0" w:tentative="0">
      <w:start w:val="1"/>
      <w:numFmt w:val="lowerLetter"/>
      <w:pStyle w:val="310"/>
      <w:lvlText w:val="%1)"/>
      <w:lvlJc w:val="left"/>
      <w:pPr>
        <w:tabs>
          <w:tab w:val="left" w:pos="839"/>
        </w:tabs>
        <w:ind w:left="839" w:hanging="419"/>
      </w:pPr>
      <w:rPr>
        <w:rFonts w:hint="eastAsia" w:ascii="宋体" w:eastAsia="宋体"/>
        <w:b w:val="0"/>
        <w:i w:val="0"/>
        <w:sz w:val="21"/>
      </w:rPr>
    </w:lvl>
    <w:lvl w:ilvl="1" w:tentative="0">
      <w:start w:val="1"/>
      <w:numFmt w:val="decimal"/>
      <w:pStyle w:val="300"/>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num w:numId="1">
    <w:abstractNumId w:val="2"/>
  </w:num>
  <w:num w:numId="2">
    <w:abstractNumId w:val="4"/>
  </w:num>
  <w:num w:numId="3">
    <w:abstractNumId w:val="10"/>
  </w:num>
  <w:num w:numId="4">
    <w:abstractNumId w:val="12"/>
  </w:num>
  <w:num w:numId="5">
    <w:abstractNumId w:val="11"/>
  </w:num>
  <w:num w:numId="6">
    <w:abstractNumId w:val="13"/>
  </w:num>
  <w:num w:numId="7">
    <w:abstractNumId w:val="6"/>
  </w:num>
  <w:num w:numId="8">
    <w:abstractNumId w:val="5"/>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9"/>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8190"/>
  <w:doNotHyphenateCaps/>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IzYjk3MDY2MTA2ZGE4MWJjNDhlMjU1Yzg1ZTM5MmMifQ=="/>
  </w:docVars>
  <w:rsids>
    <w:rsidRoot w:val="007D2821"/>
    <w:rsid w:val="0000011C"/>
    <w:rsid w:val="000005FA"/>
    <w:rsid w:val="000020D5"/>
    <w:rsid w:val="000026F2"/>
    <w:rsid w:val="000049EF"/>
    <w:rsid w:val="00004BA3"/>
    <w:rsid w:val="00004F6B"/>
    <w:rsid w:val="00007B4D"/>
    <w:rsid w:val="00007FDF"/>
    <w:rsid w:val="000105AA"/>
    <w:rsid w:val="00010A4F"/>
    <w:rsid w:val="000110AE"/>
    <w:rsid w:val="00011828"/>
    <w:rsid w:val="00012612"/>
    <w:rsid w:val="00012F5D"/>
    <w:rsid w:val="000134AC"/>
    <w:rsid w:val="00013805"/>
    <w:rsid w:val="00013AD9"/>
    <w:rsid w:val="000145F7"/>
    <w:rsid w:val="00015783"/>
    <w:rsid w:val="00016486"/>
    <w:rsid w:val="000168C8"/>
    <w:rsid w:val="00016C07"/>
    <w:rsid w:val="00017788"/>
    <w:rsid w:val="00017AEF"/>
    <w:rsid w:val="000207FB"/>
    <w:rsid w:val="00020CDA"/>
    <w:rsid w:val="0002121E"/>
    <w:rsid w:val="00021927"/>
    <w:rsid w:val="00021D71"/>
    <w:rsid w:val="00022C87"/>
    <w:rsid w:val="000233FE"/>
    <w:rsid w:val="00025355"/>
    <w:rsid w:val="00025461"/>
    <w:rsid w:val="00025EE6"/>
    <w:rsid w:val="00026385"/>
    <w:rsid w:val="00026F7E"/>
    <w:rsid w:val="00027E8A"/>
    <w:rsid w:val="0003001F"/>
    <w:rsid w:val="00030148"/>
    <w:rsid w:val="000301E7"/>
    <w:rsid w:val="000305A5"/>
    <w:rsid w:val="000317BF"/>
    <w:rsid w:val="000333C4"/>
    <w:rsid w:val="00034078"/>
    <w:rsid w:val="00034B30"/>
    <w:rsid w:val="00034D71"/>
    <w:rsid w:val="00036556"/>
    <w:rsid w:val="0003673A"/>
    <w:rsid w:val="000368AE"/>
    <w:rsid w:val="00036995"/>
    <w:rsid w:val="00037D8F"/>
    <w:rsid w:val="00037FDA"/>
    <w:rsid w:val="000401F9"/>
    <w:rsid w:val="0004030B"/>
    <w:rsid w:val="00040508"/>
    <w:rsid w:val="00041C6B"/>
    <w:rsid w:val="000421FD"/>
    <w:rsid w:val="00043606"/>
    <w:rsid w:val="000439B8"/>
    <w:rsid w:val="0004540D"/>
    <w:rsid w:val="00046AE9"/>
    <w:rsid w:val="000476CB"/>
    <w:rsid w:val="000502F7"/>
    <w:rsid w:val="000517F5"/>
    <w:rsid w:val="000524EC"/>
    <w:rsid w:val="00052894"/>
    <w:rsid w:val="000542CF"/>
    <w:rsid w:val="000542D2"/>
    <w:rsid w:val="00056438"/>
    <w:rsid w:val="00056D8E"/>
    <w:rsid w:val="00060E0E"/>
    <w:rsid w:val="0006137F"/>
    <w:rsid w:val="00062FD1"/>
    <w:rsid w:val="0006402E"/>
    <w:rsid w:val="000658F9"/>
    <w:rsid w:val="00066843"/>
    <w:rsid w:val="00066BD0"/>
    <w:rsid w:val="00067059"/>
    <w:rsid w:val="000672E0"/>
    <w:rsid w:val="00067A76"/>
    <w:rsid w:val="0007004C"/>
    <w:rsid w:val="000717C8"/>
    <w:rsid w:val="000722B7"/>
    <w:rsid w:val="00072C62"/>
    <w:rsid w:val="00073DDA"/>
    <w:rsid w:val="000742C6"/>
    <w:rsid w:val="00075734"/>
    <w:rsid w:val="0007580E"/>
    <w:rsid w:val="00075917"/>
    <w:rsid w:val="0007683F"/>
    <w:rsid w:val="00076BEF"/>
    <w:rsid w:val="000779B0"/>
    <w:rsid w:val="00080D67"/>
    <w:rsid w:val="000821CD"/>
    <w:rsid w:val="000829A1"/>
    <w:rsid w:val="0008401F"/>
    <w:rsid w:val="00084294"/>
    <w:rsid w:val="000843C5"/>
    <w:rsid w:val="00084500"/>
    <w:rsid w:val="000856F1"/>
    <w:rsid w:val="00086078"/>
    <w:rsid w:val="000869B5"/>
    <w:rsid w:val="00086EA7"/>
    <w:rsid w:val="00087494"/>
    <w:rsid w:val="00090B58"/>
    <w:rsid w:val="00090DFD"/>
    <w:rsid w:val="00091102"/>
    <w:rsid w:val="0009212C"/>
    <w:rsid w:val="000928A8"/>
    <w:rsid w:val="000947E8"/>
    <w:rsid w:val="000948C4"/>
    <w:rsid w:val="00094919"/>
    <w:rsid w:val="00095D5F"/>
    <w:rsid w:val="00095E6E"/>
    <w:rsid w:val="00096B9D"/>
    <w:rsid w:val="00096E42"/>
    <w:rsid w:val="000977F8"/>
    <w:rsid w:val="00097F02"/>
    <w:rsid w:val="000A06F6"/>
    <w:rsid w:val="000A0E5E"/>
    <w:rsid w:val="000A14D3"/>
    <w:rsid w:val="000A23F6"/>
    <w:rsid w:val="000A2FB7"/>
    <w:rsid w:val="000A3231"/>
    <w:rsid w:val="000A38C2"/>
    <w:rsid w:val="000A481E"/>
    <w:rsid w:val="000A4D81"/>
    <w:rsid w:val="000A4F7D"/>
    <w:rsid w:val="000A5241"/>
    <w:rsid w:val="000A69F3"/>
    <w:rsid w:val="000B1447"/>
    <w:rsid w:val="000B1C43"/>
    <w:rsid w:val="000B1C91"/>
    <w:rsid w:val="000B2574"/>
    <w:rsid w:val="000B2A77"/>
    <w:rsid w:val="000B31DE"/>
    <w:rsid w:val="000B3A30"/>
    <w:rsid w:val="000B416D"/>
    <w:rsid w:val="000B45CF"/>
    <w:rsid w:val="000B4810"/>
    <w:rsid w:val="000B5133"/>
    <w:rsid w:val="000B5A14"/>
    <w:rsid w:val="000B630C"/>
    <w:rsid w:val="000B649E"/>
    <w:rsid w:val="000B6512"/>
    <w:rsid w:val="000C119F"/>
    <w:rsid w:val="000C13FD"/>
    <w:rsid w:val="000C26E0"/>
    <w:rsid w:val="000C2C89"/>
    <w:rsid w:val="000C38E2"/>
    <w:rsid w:val="000C417A"/>
    <w:rsid w:val="000C443F"/>
    <w:rsid w:val="000C5C06"/>
    <w:rsid w:val="000C5ED2"/>
    <w:rsid w:val="000C6421"/>
    <w:rsid w:val="000D06C1"/>
    <w:rsid w:val="000D09B0"/>
    <w:rsid w:val="000D292C"/>
    <w:rsid w:val="000D29F7"/>
    <w:rsid w:val="000D2FAF"/>
    <w:rsid w:val="000D378F"/>
    <w:rsid w:val="000D3B57"/>
    <w:rsid w:val="000D4706"/>
    <w:rsid w:val="000D5D4E"/>
    <w:rsid w:val="000D67E6"/>
    <w:rsid w:val="000D7744"/>
    <w:rsid w:val="000D7E39"/>
    <w:rsid w:val="000E06AE"/>
    <w:rsid w:val="000E0E1E"/>
    <w:rsid w:val="000E3C11"/>
    <w:rsid w:val="000E46AA"/>
    <w:rsid w:val="000E4F60"/>
    <w:rsid w:val="000E7923"/>
    <w:rsid w:val="000E7EF6"/>
    <w:rsid w:val="000F0847"/>
    <w:rsid w:val="000F1765"/>
    <w:rsid w:val="000F2194"/>
    <w:rsid w:val="000F2289"/>
    <w:rsid w:val="000F2452"/>
    <w:rsid w:val="000F4471"/>
    <w:rsid w:val="000F4997"/>
    <w:rsid w:val="000F4F75"/>
    <w:rsid w:val="000F6DFE"/>
    <w:rsid w:val="000F725C"/>
    <w:rsid w:val="000F7AFB"/>
    <w:rsid w:val="000F7F72"/>
    <w:rsid w:val="001009D3"/>
    <w:rsid w:val="00102DA5"/>
    <w:rsid w:val="00104AB4"/>
    <w:rsid w:val="001068D6"/>
    <w:rsid w:val="001079B3"/>
    <w:rsid w:val="00110867"/>
    <w:rsid w:val="00113230"/>
    <w:rsid w:val="0011495E"/>
    <w:rsid w:val="00115416"/>
    <w:rsid w:val="001156BE"/>
    <w:rsid w:val="00115AEE"/>
    <w:rsid w:val="00115F33"/>
    <w:rsid w:val="001167DF"/>
    <w:rsid w:val="00117AF1"/>
    <w:rsid w:val="00121758"/>
    <w:rsid w:val="00121A01"/>
    <w:rsid w:val="001228D1"/>
    <w:rsid w:val="00123030"/>
    <w:rsid w:val="001242EC"/>
    <w:rsid w:val="00125991"/>
    <w:rsid w:val="00125EB1"/>
    <w:rsid w:val="00126753"/>
    <w:rsid w:val="00126947"/>
    <w:rsid w:val="00127731"/>
    <w:rsid w:val="0013034B"/>
    <w:rsid w:val="00133994"/>
    <w:rsid w:val="0013455D"/>
    <w:rsid w:val="00134D28"/>
    <w:rsid w:val="00135EA9"/>
    <w:rsid w:val="001362FC"/>
    <w:rsid w:val="00136E2E"/>
    <w:rsid w:val="001374E8"/>
    <w:rsid w:val="001377A2"/>
    <w:rsid w:val="001404B0"/>
    <w:rsid w:val="0014061E"/>
    <w:rsid w:val="001423B7"/>
    <w:rsid w:val="001442FA"/>
    <w:rsid w:val="00144F2B"/>
    <w:rsid w:val="00145013"/>
    <w:rsid w:val="001462C3"/>
    <w:rsid w:val="00147030"/>
    <w:rsid w:val="00147F3A"/>
    <w:rsid w:val="0015044A"/>
    <w:rsid w:val="00151C86"/>
    <w:rsid w:val="001525E5"/>
    <w:rsid w:val="00152D4B"/>
    <w:rsid w:val="001532FB"/>
    <w:rsid w:val="00153513"/>
    <w:rsid w:val="00153521"/>
    <w:rsid w:val="0015416B"/>
    <w:rsid w:val="001543F6"/>
    <w:rsid w:val="0015490C"/>
    <w:rsid w:val="00155E8A"/>
    <w:rsid w:val="001560E0"/>
    <w:rsid w:val="00157709"/>
    <w:rsid w:val="00160250"/>
    <w:rsid w:val="00160A7A"/>
    <w:rsid w:val="00165D42"/>
    <w:rsid w:val="00165DEF"/>
    <w:rsid w:val="00165EB9"/>
    <w:rsid w:val="00166AD9"/>
    <w:rsid w:val="00167769"/>
    <w:rsid w:val="00170088"/>
    <w:rsid w:val="001702AC"/>
    <w:rsid w:val="0017119B"/>
    <w:rsid w:val="0017125B"/>
    <w:rsid w:val="00171523"/>
    <w:rsid w:val="001723F0"/>
    <w:rsid w:val="001724B0"/>
    <w:rsid w:val="0017291D"/>
    <w:rsid w:val="0017359F"/>
    <w:rsid w:val="001752B7"/>
    <w:rsid w:val="0018066B"/>
    <w:rsid w:val="001809E6"/>
    <w:rsid w:val="00180E69"/>
    <w:rsid w:val="00181849"/>
    <w:rsid w:val="00182990"/>
    <w:rsid w:val="00183A3A"/>
    <w:rsid w:val="001846E2"/>
    <w:rsid w:val="00185B05"/>
    <w:rsid w:val="00186725"/>
    <w:rsid w:val="001876B0"/>
    <w:rsid w:val="00187EE9"/>
    <w:rsid w:val="001902A4"/>
    <w:rsid w:val="001923DD"/>
    <w:rsid w:val="00192809"/>
    <w:rsid w:val="001929DE"/>
    <w:rsid w:val="00193161"/>
    <w:rsid w:val="00195FF1"/>
    <w:rsid w:val="0019634A"/>
    <w:rsid w:val="00196EB9"/>
    <w:rsid w:val="001A17EE"/>
    <w:rsid w:val="001A1F98"/>
    <w:rsid w:val="001A20F2"/>
    <w:rsid w:val="001A3727"/>
    <w:rsid w:val="001A37DD"/>
    <w:rsid w:val="001A4D6F"/>
    <w:rsid w:val="001A4FE6"/>
    <w:rsid w:val="001A554F"/>
    <w:rsid w:val="001A583E"/>
    <w:rsid w:val="001A62DD"/>
    <w:rsid w:val="001A71CE"/>
    <w:rsid w:val="001A79F0"/>
    <w:rsid w:val="001B17BC"/>
    <w:rsid w:val="001B1EF8"/>
    <w:rsid w:val="001B2C4F"/>
    <w:rsid w:val="001B3B34"/>
    <w:rsid w:val="001B423F"/>
    <w:rsid w:val="001B5920"/>
    <w:rsid w:val="001B6C79"/>
    <w:rsid w:val="001C026D"/>
    <w:rsid w:val="001C2AB2"/>
    <w:rsid w:val="001C3084"/>
    <w:rsid w:val="001C3A3E"/>
    <w:rsid w:val="001C3B3F"/>
    <w:rsid w:val="001C5040"/>
    <w:rsid w:val="001C5266"/>
    <w:rsid w:val="001C5613"/>
    <w:rsid w:val="001C5950"/>
    <w:rsid w:val="001C5F24"/>
    <w:rsid w:val="001C732F"/>
    <w:rsid w:val="001D0CCB"/>
    <w:rsid w:val="001D0EC9"/>
    <w:rsid w:val="001D264D"/>
    <w:rsid w:val="001D26FF"/>
    <w:rsid w:val="001D33D6"/>
    <w:rsid w:val="001D38BD"/>
    <w:rsid w:val="001D394E"/>
    <w:rsid w:val="001D3CC5"/>
    <w:rsid w:val="001D478D"/>
    <w:rsid w:val="001D4BF8"/>
    <w:rsid w:val="001D63A4"/>
    <w:rsid w:val="001D6B68"/>
    <w:rsid w:val="001D6CEA"/>
    <w:rsid w:val="001D7A7B"/>
    <w:rsid w:val="001E1AC5"/>
    <w:rsid w:val="001E1CCC"/>
    <w:rsid w:val="001E1DA4"/>
    <w:rsid w:val="001E31BF"/>
    <w:rsid w:val="001E3A5F"/>
    <w:rsid w:val="001E45EA"/>
    <w:rsid w:val="001E4D50"/>
    <w:rsid w:val="001E5C32"/>
    <w:rsid w:val="001E713F"/>
    <w:rsid w:val="001E7B86"/>
    <w:rsid w:val="001F03AD"/>
    <w:rsid w:val="001F05CB"/>
    <w:rsid w:val="001F10DE"/>
    <w:rsid w:val="001F196C"/>
    <w:rsid w:val="001F19C6"/>
    <w:rsid w:val="001F3B04"/>
    <w:rsid w:val="001F3D01"/>
    <w:rsid w:val="001F45A8"/>
    <w:rsid w:val="001F45ED"/>
    <w:rsid w:val="001F5A67"/>
    <w:rsid w:val="001F63E6"/>
    <w:rsid w:val="001F6675"/>
    <w:rsid w:val="0020256A"/>
    <w:rsid w:val="002026CB"/>
    <w:rsid w:val="0020302B"/>
    <w:rsid w:val="002030E7"/>
    <w:rsid w:val="00203152"/>
    <w:rsid w:val="00204606"/>
    <w:rsid w:val="002047F6"/>
    <w:rsid w:val="00204BFF"/>
    <w:rsid w:val="00205E66"/>
    <w:rsid w:val="0020608A"/>
    <w:rsid w:val="002061A1"/>
    <w:rsid w:val="00207069"/>
    <w:rsid w:val="00207FF9"/>
    <w:rsid w:val="0021139B"/>
    <w:rsid w:val="00211BB4"/>
    <w:rsid w:val="00211ECD"/>
    <w:rsid w:val="00212F11"/>
    <w:rsid w:val="002138A6"/>
    <w:rsid w:val="00213D48"/>
    <w:rsid w:val="002140D4"/>
    <w:rsid w:val="00215717"/>
    <w:rsid w:val="00217ACD"/>
    <w:rsid w:val="00217CE7"/>
    <w:rsid w:val="00220A3F"/>
    <w:rsid w:val="00220AEE"/>
    <w:rsid w:val="00222178"/>
    <w:rsid w:val="00222642"/>
    <w:rsid w:val="00222D9A"/>
    <w:rsid w:val="0022455C"/>
    <w:rsid w:val="00224738"/>
    <w:rsid w:val="00224848"/>
    <w:rsid w:val="0022495E"/>
    <w:rsid w:val="00225856"/>
    <w:rsid w:val="002275B7"/>
    <w:rsid w:val="00230294"/>
    <w:rsid w:val="00230B30"/>
    <w:rsid w:val="00231B4E"/>
    <w:rsid w:val="002320D7"/>
    <w:rsid w:val="00232811"/>
    <w:rsid w:val="00232FE9"/>
    <w:rsid w:val="002331AF"/>
    <w:rsid w:val="002333CD"/>
    <w:rsid w:val="00234255"/>
    <w:rsid w:val="002344A6"/>
    <w:rsid w:val="00234722"/>
    <w:rsid w:val="00235EDD"/>
    <w:rsid w:val="002368B5"/>
    <w:rsid w:val="0023756C"/>
    <w:rsid w:val="002410FB"/>
    <w:rsid w:val="0024131A"/>
    <w:rsid w:val="0024294D"/>
    <w:rsid w:val="002437A6"/>
    <w:rsid w:val="0024451A"/>
    <w:rsid w:val="00244754"/>
    <w:rsid w:val="002449C8"/>
    <w:rsid w:val="00244DB6"/>
    <w:rsid w:val="00245BA3"/>
    <w:rsid w:val="00247651"/>
    <w:rsid w:val="002476AB"/>
    <w:rsid w:val="00252D3E"/>
    <w:rsid w:val="00253F51"/>
    <w:rsid w:val="0026067D"/>
    <w:rsid w:val="00261DBE"/>
    <w:rsid w:val="00263718"/>
    <w:rsid w:val="00263A2B"/>
    <w:rsid w:val="00265613"/>
    <w:rsid w:val="00266AFC"/>
    <w:rsid w:val="0026750A"/>
    <w:rsid w:val="00267D1C"/>
    <w:rsid w:val="00267F3C"/>
    <w:rsid w:val="00270B1B"/>
    <w:rsid w:val="002739E2"/>
    <w:rsid w:val="00273F47"/>
    <w:rsid w:val="00274721"/>
    <w:rsid w:val="00274DD0"/>
    <w:rsid w:val="0027619D"/>
    <w:rsid w:val="002772C2"/>
    <w:rsid w:val="0027746E"/>
    <w:rsid w:val="00277808"/>
    <w:rsid w:val="00280382"/>
    <w:rsid w:val="00280AE0"/>
    <w:rsid w:val="002810EE"/>
    <w:rsid w:val="00281B16"/>
    <w:rsid w:val="002820AF"/>
    <w:rsid w:val="00283D62"/>
    <w:rsid w:val="00286D82"/>
    <w:rsid w:val="00286FF5"/>
    <w:rsid w:val="00290506"/>
    <w:rsid w:val="002915DE"/>
    <w:rsid w:val="002918C3"/>
    <w:rsid w:val="00292170"/>
    <w:rsid w:val="002926D1"/>
    <w:rsid w:val="002936FF"/>
    <w:rsid w:val="00294024"/>
    <w:rsid w:val="00294CF4"/>
    <w:rsid w:val="00295F74"/>
    <w:rsid w:val="002A1926"/>
    <w:rsid w:val="002A241A"/>
    <w:rsid w:val="002A2A33"/>
    <w:rsid w:val="002A3B9B"/>
    <w:rsid w:val="002A3D3C"/>
    <w:rsid w:val="002A42AA"/>
    <w:rsid w:val="002A4BE1"/>
    <w:rsid w:val="002A5FE8"/>
    <w:rsid w:val="002A6F7A"/>
    <w:rsid w:val="002B0C1B"/>
    <w:rsid w:val="002B10E5"/>
    <w:rsid w:val="002B1EB6"/>
    <w:rsid w:val="002B2178"/>
    <w:rsid w:val="002B3DB4"/>
    <w:rsid w:val="002B4473"/>
    <w:rsid w:val="002B5299"/>
    <w:rsid w:val="002B6BBB"/>
    <w:rsid w:val="002B6F22"/>
    <w:rsid w:val="002B7369"/>
    <w:rsid w:val="002B7696"/>
    <w:rsid w:val="002B7859"/>
    <w:rsid w:val="002B7C7C"/>
    <w:rsid w:val="002B7D3F"/>
    <w:rsid w:val="002C0DF0"/>
    <w:rsid w:val="002C16EE"/>
    <w:rsid w:val="002C1E26"/>
    <w:rsid w:val="002C237B"/>
    <w:rsid w:val="002C31F2"/>
    <w:rsid w:val="002C3E76"/>
    <w:rsid w:val="002C4672"/>
    <w:rsid w:val="002C5C62"/>
    <w:rsid w:val="002C6A5E"/>
    <w:rsid w:val="002C7050"/>
    <w:rsid w:val="002D0899"/>
    <w:rsid w:val="002D09AD"/>
    <w:rsid w:val="002D18CA"/>
    <w:rsid w:val="002D2523"/>
    <w:rsid w:val="002D2BEF"/>
    <w:rsid w:val="002D341C"/>
    <w:rsid w:val="002D4A12"/>
    <w:rsid w:val="002D559C"/>
    <w:rsid w:val="002D742E"/>
    <w:rsid w:val="002D7B10"/>
    <w:rsid w:val="002D7D38"/>
    <w:rsid w:val="002E08AE"/>
    <w:rsid w:val="002E09B4"/>
    <w:rsid w:val="002E1989"/>
    <w:rsid w:val="002E1D25"/>
    <w:rsid w:val="002E26AF"/>
    <w:rsid w:val="002E2965"/>
    <w:rsid w:val="002E2E13"/>
    <w:rsid w:val="002E3EDB"/>
    <w:rsid w:val="002E4AC6"/>
    <w:rsid w:val="002E7825"/>
    <w:rsid w:val="002E7D43"/>
    <w:rsid w:val="002E7D73"/>
    <w:rsid w:val="002E7E6F"/>
    <w:rsid w:val="002F00FD"/>
    <w:rsid w:val="002F11F5"/>
    <w:rsid w:val="002F1542"/>
    <w:rsid w:val="002F1A68"/>
    <w:rsid w:val="002F1AB4"/>
    <w:rsid w:val="002F1BE7"/>
    <w:rsid w:val="002F2D1C"/>
    <w:rsid w:val="002F3A4C"/>
    <w:rsid w:val="002F595B"/>
    <w:rsid w:val="003014C4"/>
    <w:rsid w:val="00301CEC"/>
    <w:rsid w:val="00302451"/>
    <w:rsid w:val="0030286F"/>
    <w:rsid w:val="00302972"/>
    <w:rsid w:val="00303082"/>
    <w:rsid w:val="003032A5"/>
    <w:rsid w:val="00303B36"/>
    <w:rsid w:val="00304034"/>
    <w:rsid w:val="00304366"/>
    <w:rsid w:val="00305E1B"/>
    <w:rsid w:val="00314386"/>
    <w:rsid w:val="003150FB"/>
    <w:rsid w:val="003154D6"/>
    <w:rsid w:val="003156E9"/>
    <w:rsid w:val="00315779"/>
    <w:rsid w:val="0031617F"/>
    <w:rsid w:val="003168F4"/>
    <w:rsid w:val="00317B81"/>
    <w:rsid w:val="00317FB2"/>
    <w:rsid w:val="00320E86"/>
    <w:rsid w:val="0032111E"/>
    <w:rsid w:val="00321A92"/>
    <w:rsid w:val="00323FCC"/>
    <w:rsid w:val="00325D9D"/>
    <w:rsid w:val="003263C3"/>
    <w:rsid w:val="003268CA"/>
    <w:rsid w:val="00326E73"/>
    <w:rsid w:val="003271AC"/>
    <w:rsid w:val="00330558"/>
    <w:rsid w:val="00330765"/>
    <w:rsid w:val="00330782"/>
    <w:rsid w:val="0033127E"/>
    <w:rsid w:val="00331B4E"/>
    <w:rsid w:val="00332E5A"/>
    <w:rsid w:val="00333A19"/>
    <w:rsid w:val="00333C42"/>
    <w:rsid w:val="00334ED2"/>
    <w:rsid w:val="00335338"/>
    <w:rsid w:val="00335A86"/>
    <w:rsid w:val="00335E6E"/>
    <w:rsid w:val="00336980"/>
    <w:rsid w:val="003374BF"/>
    <w:rsid w:val="00342C96"/>
    <w:rsid w:val="00344015"/>
    <w:rsid w:val="00344382"/>
    <w:rsid w:val="00344BE5"/>
    <w:rsid w:val="00345639"/>
    <w:rsid w:val="00345D5B"/>
    <w:rsid w:val="00345FFF"/>
    <w:rsid w:val="00347222"/>
    <w:rsid w:val="003478E6"/>
    <w:rsid w:val="00347E7D"/>
    <w:rsid w:val="00351028"/>
    <w:rsid w:val="003514B9"/>
    <w:rsid w:val="003526F7"/>
    <w:rsid w:val="00352C22"/>
    <w:rsid w:val="0035335B"/>
    <w:rsid w:val="003544CB"/>
    <w:rsid w:val="00354A28"/>
    <w:rsid w:val="00355AB7"/>
    <w:rsid w:val="0035743C"/>
    <w:rsid w:val="00360572"/>
    <w:rsid w:val="00360D5F"/>
    <w:rsid w:val="00362E49"/>
    <w:rsid w:val="00365C66"/>
    <w:rsid w:val="00370323"/>
    <w:rsid w:val="00371F0C"/>
    <w:rsid w:val="00372037"/>
    <w:rsid w:val="00372555"/>
    <w:rsid w:val="00372585"/>
    <w:rsid w:val="0037298B"/>
    <w:rsid w:val="00373485"/>
    <w:rsid w:val="003736F8"/>
    <w:rsid w:val="00373D70"/>
    <w:rsid w:val="003747A3"/>
    <w:rsid w:val="00374DC3"/>
    <w:rsid w:val="0037531E"/>
    <w:rsid w:val="0037595C"/>
    <w:rsid w:val="003773EA"/>
    <w:rsid w:val="003775CD"/>
    <w:rsid w:val="0037794E"/>
    <w:rsid w:val="00377A50"/>
    <w:rsid w:val="00377E16"/>
    <w:rsid w:val="0038012A"/>
    <w:rsid w:val="0038099D"/>
    <w:rsid w:val="0038194D"/>
    <w:rsid w:val="0038261D"/>
    <w:rsid w:val="00382806"/>
    <w:rsid w:val="00382D01"/>
    <w:rsid w:val="0038363E"/>
    <w:rsid w:val="00383D61"/>
    <w:rsid w:val="0038463C"/>
    <w:rsid w:val="003856FC"/>
    <w:rsid w:val="00385BA5"/>
    <w:rsid w:val="003875DD"/>
    <w:rsid w:val="003905C7"/>
    <w:rsid w:val="00390ACA"/>
    <w:rsid w:val="0039175B"/>
    <w:rsid w:val="003918B7"/>
    <w:rsid w:val="00393A8A"/>
    <w:rsid w:val="003949B4"/>
    <w:rsid w:val="0039507D"/>
    <w:rsid w:val="00395299"/>
    <w:rsid w:val="0039584E"/>
    <w:rsid w:val="00395B4D"/>
    <w:rsid w:val="00395BE6"/>
    <w:rsid w:val="00396039"/>
    <w:rsid w:val="003967EF"/>
    <w:rsid w:val="003974B3"/>
    <w:rsid w:val="003A0545"/>
    <w:rsid w:val="003A067E"/>
    <w:rsid w:val="003A0757"/>
    <w:rsid w:val="003A2224"/>
    <w:rsid w:val="003A3234"/>
    <w:rsid w:val="003A3A52"/>
    <w:rsid w:val="003A3ED3"/>
    <w:rsid w:val="003A48C6"/>
    <w:rsid w:val="003A4978"/>
    <w:rsid w:val="003A5294"/>
    <w:rsid w:val="003A5500"/>
    <w:rsid w:val="003A581B"/>
    <w:rsid w:val="003A5C3F"/>
    <w:rsid w:val="003A6BC7"/>
    <w:rsid w:val="003A7035"/>
    <w:rsid w:val="003A7D0D"/>
    <w:rsid w:val="003B09AE"/>
    <w:rsid w:val="003B266C"/>
    <w:rsid w:val="003B26B8"/>
    <w:rsid w:val="003B2BD5"/>
    <w:rsid w:val="003B2D77"/>
    <w:rsid w:val="003B2EFF"/>
    <w:rsid w:val="003B3AB4"/>
    <w:rsid w:val="003B45A4"/>
    <w:rsid w:val="003B562A"/>
    <w:rsid w:val="003B5DA8"/>
    <w:rsid w:val="003C04FF"/>
    <w:rsid w:val="003C19EC"/>
    <w:rsid w:val="003C1EDE"/>
    <w:rsid w:val="003C2414"/>
    <w:rsid w:val="003C2DEA"/>
    <w:rsid w:val="003C3F05"/>
    <w:rsid w:val="003C4236"/>
    <w:rsid w:val="003C48C8"/>
    <w:rsid w:val="003C65E3"/>
    <w:rsid w:val="003D14E0"/>
    <w:rsid w:val="003D1CF2"/>
    <w:rsid w:val="003D2D58"/>
    <w:rsid w:val="003D4774"/>
    <w:rsid w:val="003D5882"/>
    <w:rsid w:val="003D6602"/>
    <w:rsid w:val="003D6D92"/>
    <w:rsid w:val="003D7196"/>
    <w:rsid w:val="003E00C0"/>
    <w:rsid w:val="003E018D"/>
    <w:rsid w:val="003E0F9F"/>
    <w:rsid w:val="003E1E1F"/>
    <w:rsid w:val="003E31A1"/>
    <w:rsid w:val="003E3259"/>
    <w:rsid w:val="003E35CF"/>
    <w:rsid w:val="003E3E96"/>
    <w:rsid w:val="003E401C"/>
    <w:rsid w:val="003E5059"/>
    <w:rsid w:val="003E56A5"/>
    <w:rsid w:val="003E671B"/>
    <w:rsid w:val="003E7372"/>
    <w:rsid w:val="003F15F1"/>
    <w:rsid w:val="003F18E2"/>
    <w:rsid w:val="003F1B43"/>
    <w:rsid w:val="003F205A"/>
    <w:rsid w:val="003F2988"/>
    <w:rsid w:val="003F2AC8"/>
    <w:rsid w:val="003F2C8B"/>
    <w:rsid w:val="003F5A31"/>
    <w:rsid w:val="003F5C46"/>
    <w:rsid w:val="003F631B"/>
    <w:rsid w:val="003F6CC8"/>
    <w:rsid w:val="003F7217"/>
    <w:rsid w:val="003F7592"/>
    <w:rsid w:val="004015DF"/>
    <w:rsid w:val="00401E4C"/>
    <w:rsid w:val="00402593"/>
    <w:rsid w:val="00402F44"/>
    <w:rsid w:val="00404342"/>
    <w:rsid w:val="00405010"/>
    <w:rsid w:val="00406872"/>
    <w:rsid w:val="00406F7D"/>
    <w:rsid w:val="00407846"/>
    <w:rsid w:val="004079BE"/>
    <w:rsid w:val="00410E3A"/>
    <w:rsid w:val="004114FB"/>
    <w:rsid w:val="00413A6B"/>
    <w:rsid w:val="00414F30"/>
    <w:rsid w:val="00415797"/>
    <w:rsid w:val="0041582F"/>
    <w:rsid w:val="00416845"/>
    <w:rsid w:val="0041760D"/>
    <w:rsid w:val="00420948"/>
    <w:rsid w:val="004212E9"/>
    <w:rsid w:val="004214F9"/>
    <w:rsid w:val="00421A9B"/>
    <w:rsid w:val="00422543"/>
    <w:rsid w:val="00422C48"/>
    <w:rsid w:val="00423187"/>
    <w:rsid w:val="00424311"/>
    <w:rsid w:val="00430686"/>
    <w:rsid w:val="0043167D"/>
    <w:rsid w:val="00433590"/>
    <w:rsid w:val="004339A3"/>
    <w:rsid w:val="00433D37"/>
    <w:rsid w:val="00434E63"/>
    <w:rsid w:val="00435665"/>
    <w:rsid w:val="004356ED"/>
    <w:rsid w:val="00436615"/>
    <w:rsid w:val="00436691"/>
    <w:rsid w:val="00436F5F"/>
    <w:rsid w:val="00437849"/>
    <w:rsid w:val="004405A5"/>
    <w:rsid w:val="0044073A"/>
    <w:rsid w:val="00442B68"/>
    <w:rsid w:val="0044339C"/>
    <w:rsid w:val="004437DF"/>
    <w:rsid w:val="004440B6"/>
    <w:rsid w:val="00444200"/>
    <w:rsid w:val="0044427C"/>
    <w:rsid w:val="004446A4"/>
    <w:rsid w:val="00446104"/>
    <w:rsid w:val="004461C0"/>
    <w:rsid w:val="004462E5"/>
    <w:rsid w:val="0044649E"/>
    <w:rsid w:val="004471C3"/>
    <w:rsid w:val="0045022B"/>
    <w:rsid w:val="00450E23"/>
    <w:rsid w:val="0045121E"/>
    <w:rsid w:val="004515EE"/>
    <w:rsid w:val="004519FD"/>
    <w:rsid w:val="00451B09"/>
    <w:rsid w:val="004521DE"/>
    <w:rsid w:val="0045228F"/>
    <w:rsid w:val="00453811"/>
    <w:rsid w:val="00453A53"/>
    <w:rsid w:val="00454948"/>
    <w:rsid w:val="004557EF"/>
    <w:rsid w:val="00460B36"/>
    <w:rsid w:val="00460EC4"/>
    <w:rsid w:val="00461401"/>
    <w:rsid w:val="00461412"/>
    <w:rsid w:val="0046214F"/>
    <w:rsid w:val="004625A3"/>
    <w:rsid w:val="004627AE"/>
    <w:rsid w:val="00463D3D"/>
    <w:rsid w:val="00465E0A"/>
    <w:rsid w:val="00467CE9"/>
    <w:rsid w:val="00467EBB"/>
    <w:rsid w:val="00467F06"/>
    <w:rsid w:val="00471BBF"/>
    <w:rsid w:val="00471D56"/>
    <w:rsid w:val="00472A67"/>
    <w:rsid w:val="004740A9"/>
    <w:rsid w:val="00474DA8"/>
    <w:rsid w:val="00475306"/>
    <w:rsid w:val="0047678A"/>
    <w:rsid w:val="00476C28"/>
    <w:rsid w:val="004776B5"/>
    <w:rsid w:val="004804CE"/>
    <w:rsid w:val="00480B5A"/>
    <w:rsid w:val="00481886"/>
    <w:rsid w:val="00484B56"/>
    <w:rsid w:val="004861E5"/>
    <w:rsid w:val="0048678B"/>
    <w:rsid w:val="00486BB2"/>
    <w:rsid w:val="00487BB7"/>
    <w:rsid w:val="00491BFA"/>
    <w:rsid w:val="00492E35"/>
    <w:rsid w:val="0049464C"/>
    <w:rsid w:val="004950A1"/>
    <w:rsid w:val="00495ABB"/>
    <w:rsid w:val="00495CEE"/>
    <w:rsid w:val="00495F98"/>
    <w:rsid w:val="0049733E"/>
    <w:rsid w:val="004A1B25"/>
    <w:rsid w:val="004A6166"/>
    <w:rsid w:val="004A6994"/>
    <w:rsid w:val="004B039C"/>
    <w:rsid w:val="004B1308"/>
    <w:rsid w:val="004B2436"/>
    <w:rsid w:val="004B259D"/>
    <w:rsid w:val="004B2AC2"/>
    <w:rsid w:val="004B2EC4"/>
    <w:rsid w:val="004B3A8D"/>
    <w:rsid w:val="004B3CB8"/>
    <w:rsid w:val="004B4B2B"/>
    <w:rsid w:val="004B4D34"/>
    <w:rsid w:val="004B5B6B"/>
    <w:rsid w:val="004B74AD"/>
    <w:rsid w:val="004B7E5B"/>
    <w:rsid w:val="004B7EC8"/>
    <w:rsid w:val="004C0094"/>
    <w:rsid w:val="004C2A47"/>
    <w:rsid w:val="004C3856"/>
    <w:rsid w:val="004C40B4"/>
    <w:rsid w:val="004C4234"/>
    <w:rsid w:val="004C4E36"/>
    <w:rsid w:val="004C6066"/>
    <w:rsid w:val="004C65D2"/>
    <w:rsid w:val="004C799C"/>
    <w:rsid w:val="004D052B"/>
    <w:rsid w:val="004D0833"/>
    <w:rsid w:val="004D0F69"/>
    <w:rsid w:val="004D1CE7"/>
    <w:rsid w:val="004D3BEF"/>
    <w:rsid w:val="004D428B"/>
    <w:rsid w:val="004D4B8E"/>
    <w:rsid w:val="004D5898"/>
    <w:rsid w:val="004D6D24"/>
    <w:rsid w:val="004D7D54"/>
    <w:rsid w:val="004E09AD"/>
    <w:rsid w:val="004E0DA6"/>
    <w:rsid w:val="004E28E0"/>
    <w:rsid w:val="004E2917"/>
    <w:rsid w:val="004E2B25"/>
    <w:rsid w:val="004E2C44"/>
    <w:rsid w:val="004E2F41"/>
    <w:rsid w:val="004E4629"/>
    <w:rsid w:val="004E4A83"/>
    <w:rsid w:val="004E52DF"/>
    <w:rsid w:val="004E5597"/>
    <w:rsid w:val="004E5B90"/>
    <w:rsid w:val="004E5E65"/>
    <w:rsid w:val="004E6261"/>
    <w:rsid w:val="004E6563"/>
    <w:rsid w:val="004E7E01"/>
    <w:rsid w:val="004E7F08"/>
    <w:rsid w:val="004F0FE6"/>
    <w:rsid w:val="004F458D"/>
    <w:rsid w:val="004F5948"/>
    <w:rsid w:val="004F60C8"/>
    <w:rsid w:val="004F68E6"/>
    <w:rsid w:val="00500730"/>
    <w:rsid w:val="005009FB"/>
    <w:rsid w:val="00500CA9"/>
    <w:rsid w:val="005012B1"/>
    <w:rsid w:val="00501414"/>
    <w:rsid w:val="005016F5"/>
    <w:rsid w:val="005035EB"/>
    <w:rsid w:val="00504215"/>
    <w:rsid w:val="00504AAB"/>
    <w:rsid w:val="00504CCE"/>
    <w:rsid w:val="0050555B"/>
    <w:rsid w:val="0050565D"/>
    <w:rsid w:val="00507BB0"/>
    <w:rsid w:val="00510E13"/>
    <w:rsid w:val="0051148D"/>
    <w:rsid w:val="00511641"/>
    <w:rsid w:val="00512B1E"/>
    <w:rsid w:val="00512D70"/>
    <w:rsid w:val="0051334C"/>
    <w:rsid w:val="0051378C"/>
    <w:rsid w:val="005145FE"/>
    <w:rsid w:val="00514E13"/>
    <w:rsid w:val="0051598F"/>
    <w:rsid w:val="005171F9"/>
    <w:rsid w:val="00517562"/>
    <w:rsid w:val="005204A5"/>
    <w:rsid w:val="00521DA3"/>
    <w:rsid w:val="005223A2"/>
    <w:rsid w:val="005227B4"/>
    <w:rsid w:val="005245AA"/>
    <w:rsid w:val="00526726"/>
    <w:rsid w:val="005267DB"/>
    <w:rsid w:val="00526DE4"/>
    <w:rsid w:val="005271C0"/>
    <w:rsid w:val="0052760D"/>
    <w:rsid w:val="00527975"/>
    <w:rsid w:val="00527B43"/>
    <w:rsid w:val="00527C6F"/>
    <w:rsid w:val="005302CC"/>
    <w:rsid w:val="00531408"/>
    <w:rsid w:val="005315C8"/>
    <w:rsid w:val="00532873"/>
    <w:rsid w:val="00536956"/>
    <w:rsid w:val="00537DCA"/>
    <w:rsid w:val="00541DB3"/>
    <w:rsid w:val="005426BB"/>
    <w:rsid w:val="00542897"/>
    <w:rsid w:val="005432B7"/>
    <w:rsid w:val="00543AB3"/>
    <w:rsid w:val="00543D79"/>
    <w:rsid w:val="0054424B"/>
    <w:rsid w:val="005444EB"/>
    <w:rsid w:val="00545C8F"/>
    <w:rsid w:val="00547A12"/>
    <w:rsid w:val="00550555"/>
    <w:rsid w:val="00550D7D"/>
    <w:rsid w:val="00552564"/>
    <w:rsid w:val="00552FA9"/>
    <w:rsid w:val="00553152"/>
    <w:rsid w:val="00554F7C"/>
    <w:rsid w:val="00556F57"/>
    <w:rsid w:val="005577A3"/>
    <w:rsid w:val="00557938"/>
    <w:rsid w:val="005616D5"/>
    <w:rsid w:val="00563DA4"/>
    <w:rsid w:val="005663ED"/>
    <w:rsid w:val="00566D25"/>
    <w:rsid w:val="00566DC5"/>
    <w:rsid w:val="00570490"/>
    <w:rsid w:val="005705A0"/>
    <w:rsid w:val="005708D9"/>
    <w:rsid w:val="00570CCC"/>
    <w:rsid w:val="00572161"/>
    <w:rsid w:val="00572453"/>
    <w:rsid w:val="0057326E"/>
    <w:rsid w:val="0057354E"/>
    <w:rsid w:val="005736F4"/>
    <w:rsid w:val="00573F94"/>
    <w:rsid w:val="00574DA5"/>
    <w:rsid w:val="0057695A"/>
    <w:rsid w:val="00576E86"/>
    <w:rsid w:val="0057798D"/>
    <w:rsid w:val="00580009"/>
    <w:rsid w:val="00583D3E"/>
    <w:rsid w:val="00584B98"/>
    <w:rsid w:val="0058517D"/>
    <w:rsid w:val="00590CD3"/>
    <w:rsid w:val="005916D8"/>
    <w:rsid w:val="0059229F"/>
    <w:rsid w:val="005922B9"/>
    <w:rsid w:val="005922F8"/>
    <w:rsid w:val="00593263"/>
    <w:rsid w:val="0059405C"/>
    <w:rsid w:val="00595893"/>
    <w:rsid w:val="00595FD7"/>
    <w:rsid w:val="00596DAF"/>
    <w:rsid w:val="00597577"/>
    <w:rsid w:val="005A027B"/>
    <w:rsid w:val="005A0F22"/>
    <w:rsid w:val="005A1460"/>
    <w:rsid w:val="005A26C4"/>
    <w:rsid w:val="005A34A4"/>
    <w:rsid w:val="005A3EC2"/>
    <w:rsid w:val="005A400E"/>
    <w:rsid w:val="005A4546"/>
    <w:rsid w:val="005A4573"/>
    <w:rsid w:val="005A495D"/>
    <w:rsid w:val="005A57AC"/>
    <w:rsid w:val="005A5991"/>
    <w:rsid w:val="005A61EC"/>
    <w:rsid w:val="005A643F"/>
    <w:rsid w:val="005A736C"/>
    <w:rsid w:val="005B2570"/>
    <w:rsid w:val="005B25EF"/>
    <w:rsid w:val="005B2803"/>
    <w:rsid w:val="005B320C"/>
    <w:rsid w:val="005B5E72"/>
    <w:rsid w:val="005B79DF"/>
    <w:rsid w:val="005B7C9B"/>
    <w:rsid w:val="005C0252"/>
    <w:rsid w:val="005C1B20"/>
    <w:rsid w:val="005C22CA"/>
    <w:rsid w:val="005C284C"/>
    <w:rsid w:val="005C2ED6"/>
    <w:rsid w:val="005C3BC3"/>
    <w:rsid w:val="005C438F"/>
    <w:rsid w:val="005C460D"/>
    <w:rsid w:val="005C46D8"/>
    <w:rsid w:val="005C5E83"/>
    <w:rsid w:val="005C75A3"/>
    <w:rsid w:val="005C7A25"/>
    <w:rsid w:val="005C7D81"/>
    <w:rsid w:val="005D0091"/>
    <w:rsid w:val="005D0A7C"/>
    <w:rsid w:val="005D0ECC"/>
    <w:rsid w:val="005D16ED"/>
    <w:rsid w:val="005D220B"/>
    <w:rsid w:val="005D24B1"/>
    <w:rsid w:val="005D316A"/>
    <w:rsid w:val="005D5C46"/>
    <w:rsid w:val="005D6402"/>
    <w:rsid w:val="005D6D0C"/>
    <w:rsid w:val="005E1BCE"/>
    <w:rsid w:val="005E2AAA"/>
    <w:rsid w:val="005E3598"/>
    <w:rsid w:val="005E36E5"/>
    <w:rsid w:val="005E4756"/>
    <w:rsid w:val="005E4D0C"/>
    <w:rsid w:val="005E53EA"/>
    <w:rsid w:val="005E6904"/>
    <w:rsid w:val="005E6F9C"/>
    <w:rsid w:val="005E7595"/>
    <w:rsid w:val="005F0085"/>
    <w:rsid w:val="005F03C1"/>
    <w:rsid w:val="005F29EC"/>
    <w:rsid w:val="005F2BCE"/>
    <w:rsid w:val="005F33DD"/>
    <w:rsid w:val="005F38FC"/>
    <w:rsid w:val="005F4190"/>
    <w:rsid w:val="005F68DF"/>
    <w:rsid w:val="00600A6D"/>
    <w:rsid w:val="0060125E"/>
    <w:rsid w:val="00603B46"/>
    <w:rsid w:val="006040B7"/>
    <w:rsid w:val="00604F80"/>
    <w:rsid w:val="0060595F"/>
    <w:rsid w:val="00606C07"/>
    <w:rsid w:val="00607E39"/>
    <w:rsid w:val="00610E27"/>
    <w:rsid w:val="00611236"/>
    <w:rsid w:val="00612EFD"/>
    <w:rsid w:val="00614413"/>
    <w:rsid w:val="00614623"/>
    <w:rsid w:val="006152D2"/>
    <w:rsid w:val="006177FE"/>
    <w:rsid w:val="00620C9A"/>
    <w:rsid w:val="00620E35"/>
    <w:rsid w:val="006217A6"/>
    <w:rsid w:val="00622E6A"/>
    <w:rsid w:val="006234EF"/>
    <w:rsid w:val="00623CEB"/>
    <w:rsid w:val="00624404"/>
    <w:rsid w:val="00625CA0"/>
    <w:rsid w:val="00626BA6"/>
    <w:rsid w:val="006274A8"/>
    <w:rsid w:val="00627AD3"/>
    <w:rsid w:val="00627FF9"/>
    <w:rsid w:val="006302AF"/>
    <w:rsid w:val="00632062"/>
    <w:rsid w:val="006324F6"/>
    <w:rsid w:val="00633AAB"/>
    <w:rsid w:val="00634571"/>
    <w:rsid w:val="00634684"/>
    <w:rsid w:val="0063500B"/>
    <w:rsid w:val="0063676D"/>
    <w:rsid w:val="00637033"/>
    <w:rsid w:val="00637BFB"/>
    <w:rsid w:val="006413A0"/>
    <w:rsid w:val="00642149"/>
    <w:rsid w:val="00644243"/>
    <w:rsid w:val="006449EC"/>
    <w:rsid w:val="00647C7E"/>
    <w:rsid w:val="00650687"/>
    <w:rsid w:val="0065439A"/>
    <w:rsid w:val="006543FE"/>
    <w:rsid w:val="00655983"/>
    <w:rsid w:val="00655A5D"/>
    <w:rsid w:val="006566DA"/>
    <w:rsid w:val="00657058"/>
    <w:rsid w:val="00660D9D"/>
    <w:rsid w:val="00661C2D"/>
    <w:rsid w:val="00662E20"/>
    <w:rsid w:val="00663312"/>
    <w:rsid w:val="00663824"/>
    <w:rsid w:val="006656C2"/>
    <w:rsid w:val="006676A3"/>
    <w:rsid w:val="0067066A"/>
    <w:rsid w:val="006706AB"/>
    <w:rsid w:val="006734A6"/>
    <w:rsid w:val="0067427B"/>
    <w:rsid w:val="00674987"/>
    <w:rsid w:val="00675E01"/>
    <w:rsid w:val="006770D6"/>
    <w:rsid w:val="00677413"/>
    <w:rsid w:val="006777D7"/>
    <w:rsid w:val="00680E9B"/>
    <w:rsid w:val="00681245"/>
    <w:rsid w:val="00682533"/>
    <w:rsid w:val="00682593"/>
    <w:rsid w:val="00682FA6"/>
    <w:rsid w:val="00683338"/>
    <w:rsid w:val="0068463A"/>
    <w:rsid w:val="0068464D"/>
    <w:rsid w:val="00687AA1"/>
    <w:rsid w:val="00690D74"/>
    <w:rsid w:val="006913AA"/>
    <w:rsid w:val="00692581"/>
    <w:rsid w:val="00692994"/>
    <w:rsid w:val="00694457"/>
    <w:rsid w:val="00694A42"/>
    <w:rsid w:val="00694CE4"/>
    <w:rsid w:val="0069505F"/>
    <w:rsid w:val="00695281"/>
    <w:rsid w:val="00696226"/>
    <w:rsid w:val="0069686E"/>
    <w:rsid w:val="00696A80"/>
    <w:rsid w:val="00696D16"/>
    <w:rsid w:val="006A01F7"/>
    <w:rsid w:val="006A065E"/>
    <w:rsid w:val="006A0F75"/>
    <w:rsid w:val="006A1D34"/>
    <w:rsid w:val="006A2A98"/>
    <w:rsid w:val="006A2BAC"/>
    <w:rsid w:val="006A2FBA"/>
    <w:rsid w:val="006A3277"/>
    <w:rsid w:val="006A4EBD"/>
    <w:rsid w:val="006A54DF"/>
    <w:rsid w:val="006A614F"/>
    <w:rsid w:val="006A6DC7"/>
    <w:rsid w:val="006A745B"/>
    <w:rsid w:val="006B1C26"/>
    <w:rsid w:val="006B1FB9"/>
    <w:rsid w:val="006B2FE3"/>
    <w:rsid w:val="006B3FF9"/>
    <w:rsid w:val="006B5F0F"/>
    <w:rsid w:val="006B6BBA"/>
    <w:rsid w:val="006B6D77"/>
    <w:rsid w:val="006C23CE"/>
    <w:rsid w:val="006C2DE1"/>
    <w:rsid w:val="006C3584"/>
    <w:rsid w:val="006C3A5A"/>
    <w:rsid w:val="006C4794"/>
    <w:rsid w:val="006C55BA"/>
    <w:rsid w:val="006C5E8B"/>
    <w:rsid w:val="006C5EAB"/>
    <w:rsid w:val="006C6FB3"/>
    <w:rsid w:val="006C7AB8"/>
    <w:rsid w:val="006C7D37"/>
    <w:rsid w:val="006D123D"/>
    <w:rsid w:val="006D23F0"/>
    <w:rsid w:val="006D37FB"/>
    <w:rsid w:val="006D3C03"/>
    <w:rsid w:val="006D5BA1"/>
    <w:rsid w:val="006D6E54"/>
    <w:rsid w:val="006D6F4D"/>
    <w:rsid w:val="006D71E0"/>
    <w:rsid w:val="006E08E7"/>
    <w:rsid w:val="006E1894"/>
    <w:rsid w:val="006E2BB5"/>
    <w:rsid w:val="006E2C33"/>
    <w:rsid w:val="006E4478"/>
    <w:rsid w:val="006E50A9"/>
    <w:rsid w:val="006E5628"/>
    <w:rsid w:val="006E60EB"/>
    <w:rsid w:val="006E61EF"/>
    <w:rsid w:val="006E7877"/>
    <w:rsid w:val="006E79E0"/>
    <w:rsid w:val="006E7E3B"/>
    <w:rsid w:val="006F0341"/>
    <w:rsid w:val="006F0498"/>
    <w:rsid w:val="006F10AF"/>
    <w:rsid w:val="006F170F"/>
    <w:rsid w:val="006F1790"/>
    <w:rsid w:val="006F2661"/>
    <w:rsid w:val="006F33FE"/>
    <w:rsid w:val="006F3771"/>
    <w:rsid w:val="006F3853"/>
    <w:rsid w:val="006F38C6"/>
    <w:rsid w:val="006F4123"/>
    <w:rsid w:val="006F415D"/>
    <w:rsid w:val="006F4AF4"/>
    <w:rsid w:val="006F54AD"/>
    <w:rsid w:val="006F5819"/>
    <w:rsid w:val="006F5904"/>
    <w:rsid w:val="006F7F29"/>
    <w:rsid w:val="00700087"/>
    <w:rsid w:val="00700713"/>
    <w:rsid w:val="0070192F"/>
    <w:rsid w:val="00702831"/>
    <w:rsid w:val="00705401"/>
    <w:rsid w:val="00705FD7"/>
    <w:rsid w:val="0070723E"/>
    <w:rsid w:val="007121FC"/>
    <w:rsid w:val="00712DB0"/>
    <w:rsid w:val="007162D0"/>
    <w:rsid w:val="00716BBA"/>
    <w:rsid w:val="00717EA3"/>
    <w:rsid w:val="00720A2E"/>
    <w:rsid w:val="00721BB7"/>
    <w:rsid w:val="00721D7B"/>
    <w:rsid w:val="007234E8"/>
    <w:rsid w:val="00724E48"/>
    <w:rsid w:val="00724FBE"/>
    <w:rsid w:val="0072592E"/>
    <w:rsid w:val="00726574"/>
    <w:rsid w:val="007270B0"/>
    <w:rsid w:val="00727822"/>
    <w:rsid w:val="0073038A"/>
    <w:rsid w:val="00730834"/>
    <w:rsid w:val="00730FEF"/>
    <w:rsid w:val="007329EE"/>
    <w:rsid w:val="00733875"/>
    <w:rsid w:val="00735A0C"/>
    <w:rsid w:val="00735C60"/>
    <w:rsid w:val="00736082"/>
    <w:rsid w:val="00736A2D"/>
    <w:rsid w:val="00737B6E"/>
    <w:rsid w:val="007430C4"/>
    <w:rsid w:val="007441A8"/>
    <w:rsid w:val="0074446A"/>
    <w:rsid w:val="00745755"/>
    <w:rsid w:val="00745E11"/>
    <w:rsid w:val="00746426"/>
    <w:rsid w:val="0074682E"/>
    <w:rsid w:val="007469C7"/>
    <w:rsid w:val="00746A07"/>
    <w:rsid w:val="00750214"/>
    <w:rsid w:val="00750501"/>
    <w:rsid w:val="007508D8"/>
    <w:rsid w:val="007520F1"/>
    <w:rsid w:val="0075451D"/>
    <w:rsid w:val="007553E8"/>
    <w:rsid w:val="007557AC"/>
    <w:rsid w:val="00756DD2"/>
    <w:rsid w:val="00757626"/>
    <w:rsid w:val="00757948"/>
    <w:rsid w:val="007625A5"/>
    <w:rsid w:val="00762725"/>
    <w:rsid w:val="00762B03"/>
    <w:rsid w:val="007636E3"/>
    <w:rsid w:val="00763BF7"/>
    <w:rsid w:val="0076493C"/>
    <w:rsid w:val="00764E32"/>
    <w:rsid w:val="00765F42"/>
    <w:rsid w:val="00767554"/>
    <w:rsid w:val="007679BD"/>
    <w:rsid w:val="00767A8E"/>
    <w:rsid w:val="0077060F"/>
    <w:rsid w:val="00770846"/>
    <w:rsid w:val="00770F36"/>
    <w:rsid w:val="007711C3"/>
    <w:rsid w:val="007750BF"/>
    <w:rsid w:val="0077639C"/>
    <w:rsid w:val="0077667F"/>
    <w:rsid w:val="00780C79"/>
    <w:rsid w:val="00780F53"/>
    <w:rsid w:val="0078167C"/>
    <w:rsid w:val="00781C75"/>
    <w:rsid w:val="0078214F"/>
    <w:rsid w:val="007829FF"/>
    <w:rsid w:val="00782C4C"/>
    <w:rsid w:val="007833D5"/>
    <w:rsid w:val="00783A00"/>
    <w:rsid w:val="007844E2"/>
    <w:rsid w:val="0078549A"/>
    <w:rsid w:val="00785D0D"/>
    <w:rsid w:val="0078684D"/>
    <w:rsid w:val="00787D28"/>
    <w:rsid w:val="00787F9D"/>
    <w:rsid w:val="0079043D"/>
    <w:rsid w:val="007911D2"/>
    <w:rsid w:val="0079160F"/>
    <w:rsid w:val="00791C86"/>
    <w:rsid w:val="007920E9"/>
    <w:rsid w:val="00793984"/>
    <w:rsid w:val="00793DF3"/>
    <w:rsid w:val="00794821"/>
    <w:rsid w:val="00795444"/>
    <w:rsid w:val="00795EB2"/>
    <w:rsid w:val="007963D6"/>
    <w:rsid w:val="00797630"/>
    <w:rsid w:val="007A078A"/>
    <w:rsid w:val="007A32D7"/>
    <w:rsid w:val="007A344E"/>
    <w:rsid w:val="007A3BA0"/>
    <w:rsid w:val="007A3CBD"/>
    <w:rsid w:val="007A43D9"/>
    <w:rsid w:val="007A500F"/>
    <w:rsid w:val="007A608A"/>
    <w:rsid w:val="007A7A14"/>
    <w:rsid w:val="007A7A23"/>
    <w:rsid w:val="007A7F32"/>
    <w:rsid w:val="007B0520"/>
    <w:rsid w:val="007B0E86"/>
    <w:rsid w:val="007B2B4E"/>
    <w:rsid w:val="007B340E"/>
    <w:rsid w:val="007B4780"/>
    <w:rsid w:val="007B4937"/>
    <w:rsid w:val="007B5126"/>
    <w:rsid w:val="007B5834"/>
    <w:rsid w:val="007B5B48"/>
    <w:rsid w:val="007C0C98"/>
    <w:rsid w:val="007C1A6A"/>
    <w:rsid w:val="007C1BF7"/>
    <w:rsid w:val="007C1FB7"/>
    <w:rsid w:val="007C29FA"/>
    <w:rsid w:val="007C2CD8"/>
    <w:rsid w:val="007C3025"/>
    <w:rsid w:val="007C3D09"/>
    <w:rsid w:val="007C439D"/>
    <w:rsid w:val="007C43AA"/>
    <w:rsid w:val="007C5289"/>
    <w:rsid w:val="007C56DE"/>
    <w:rsid w:val="007C587E"/>
    <w:rsid w:val="007C6A94"/>
    <w:rsid w:val="007C6BAE"/>
    <w:rsid w:val="007C72E0"/>
    <w:rsid w:val="007C73BB"/>
    <w:rsid w:val="007D08AB"/>
    <w:rsid w:val="007D2821"/>
    <w:rsid w:val="007D2DB8"/>
    <w:rsid w:val="007D3CBB"/>
    <w:rsid w:val="007D42F7"/>
    <w:rsid w:val="007D4362"/>
    <w:rsid w:val="007D5785"/>
    <w:rsid w:val="007E056B"/>
    <w:rsid w:val="007E0E19"/>
    <w:rsid w:val="007E11D9"/>
    <w:rsid w:val="007E164D"/>
    <w:rsid w:val="007E1F40"/>
    <w:rsid w:val="007E2475"/>
    <w:rsid w:val="007E2A6D"/>
    <w:rsid w:val="007E33A9"/>
    <w:rsid w:val="007E368B"/>
    <w:rsid w:val="007E589B"/>
    <w:rsid w:val="007E5E0B"/>
    <w:rsid w:val="007E7B8A"/>
    <w:rsid w:val="007E7FF8"/>
    <w:rsid w:val="007F021A"/>
    <w:rsid w:val="007F1668"/>
    <w:rsid w:val="007F2EFC"/>
    <w:rsid w:val="007F3180"/>
    <w:rsid w:val="007F36D0"/>
    <w:rsid w:val="007F3A01"/>
    <w:rsid w:val="007F408F"/>
    <w:rsid w:val="007F4C23"/>
    <w:rsid w:val="007F50B4"/>
    <w:rsid w:val="007F6924"/>
    <w:rsid w:val="007F6FD2"/>
    <w:rsid w:val="008004E8"/>
    <w:rsid w:val="00801D05"/>
    <w:rsid w:val="00802D2D"/>
    <w:rsid w:val="00803186"/>
    <w:rsid w:val="00803AB5"/>
    <w:rsid w:val="00803D3D"/>
    <w:rsid w:val="00804B89"/>
    <w:rsid w:val="00804BE4"/>
    <w:rsid w:val="00804C05"/>
    <w:rsid w:val="00805022"/>
    <w:rsid w:val="00805F28"/>
    <w:rsid w:val="00806252"/>
    <w:rsid w:val="00810A51"/>
    <w:rsid w:val="00811258"/>
    <w:rsid w:val="008122A4"/>
    <w:rsid w:val="00813091"/>
    <w:rsid w:val="008131BA"/>
    <w:rsid w:val="008145B2"/>
    <w:rsid w:val="008159E2"/>
    <w:rsid w:val="00816683"/>
    <w:rsid w:val="00816898"/>
    <w:rsid w:val="00820A4E"/>
    <w:rsid w:val="00821B1C"/>
    <w:rsid w:val="00822B65"/>
    <w:rsid w:val="0082415D"/>
    <w:rsid w:val="00824384"/>
    <w:rsid w:val="008245D7"/>
    <w:rsid w:val="008253EA"/>
    <w:rsid w:val="0082552A"/>
    <w:rsid w:val="00826206"/>
    <w:rsid w:val="0082655E"/>
    <w:rsid w:val="00827DD5"/>
    <w:rsid w:val="00831FA4"/>
    <w:rsid w:val="00832854"/>
    <w:rsid w:val="00832A99"/>
    <w:rsid w:val="0083418E"/>
    <w:rsid w:val="00834357"/>
    <w:rsid w:val="00834700"/>
    <w:rsid w:val="00834AC5"/>
    <w:rsid w:val="008352A7"/>
    <w:rsid w:val="008360DA"/>
    <w:rsid w:val="0083650B"/>
    <w:rsid w:val="0083714B"/>
    <w:rsid w:val="0083729C"/>
    <w:rsid w:val="00837C8A"/>
    <w:rsid w:val="00841906"/>
    <w:rsid w:val="00842411"/>
    <w:rsid w:val="00842C00"/>
    <w:rsid w:val="00842C7E"/>
    <w:rsid w:val="008430C6"/>
    <w:rsid w:val="008435D9"/>
    <w:rsid w:val="00844079"/>
    <w:rsid w:val="008440D9"/>
    <w:rsid w:val="008448C6"/>
    <w:rsid w:val="0084581B"/>
    <w:rsid w:val="00845C4F"/>
    <w:rsid w:val="00845FA6"/>
    <w:rsid w:val="00846DE9"/>
    <w:rsid w:val="008509B6"/>
    <w:rsid w:val="00850AA8"/>
    <w:rsid w:val="00850E97"/>
    <w:rsid w:val="00851F23"/>
    <w:rsid w:val="00851FAB"/>
    <w:rsid w:val="008533BF"/>
    <w:rsid w:val="00854924"/>
    <w:rsid w:val="00855197"/>
    <w:rsid w:val="00855A58"/>
    <w:rsid w:val="00856DE2"/>
    <w:rsid w:val="00860228"/>
    <w:rsid w:val="0086039A"/>
    <w:rsid w:val="00861126"/>
    <w:rsid w:val="0086112C"/>
    <w:rsid w:val="0086259C"/>
    <w:rsid w:val="00863990"/>
    <w:rsid w:val="00865099"/>
    <w:rsid w:val="0086512E"/>
    <w:rsid w:val="008655D7"/>
    <w:rsid w:val="0086560E"/>
    <w:rsid w:val="00865745"/>
    <w:rsid w:val="008665D5"/>
    <w:rsid w:val="008700C7"/>
    <w:rsid w:val="008706FC"/>
    <w:rsid w:val="00870E42"/>
    <w:rsid w:val="00870F77"/>
    <w:rsid w:val="00871545"/>
    <w:rsid w:val="00872291"/>
    <w:rsid w:val="008724B8"/>
    <w:rsid w:val="0087350A"/>
    <w:rsid w:val="008762FD"/>
    <w:rsid w:val="0088043F"/>
    <w:rsid w:val="00880D98"/>
    <w:rsid w:val="00881EA3"/>
    <w:rsid w:val="00882091"/>
    <w:rsid w:val="008825D0"/>
    <w:rsid w:val="00883ED0"/>
    <w:rsid w:val="00884598"/>
    <w:rsid w:val="00885568"/>
    <w:rsid w:val="008858EB"/>
    <w:rsid w:val="00886ED6"/>
    <w:rsid w:val="0088724F"/>
    <w:rsid w:val="00887CC3"/>
    <w:rsid w:val="00891191"/>
    <w:rsid w:val="00892562"/>
    <w:rsid w:val="00892AE9"/>
    <w:rsid w:val="008935BD"/>
    <w:rsid w:val="0089395C"/>
    <w:rsid w:val="00894AC7"/>
    <w:rsid w:val="008954A9"/>
    <w:rsid w:val="00895553"/>
    <w:rsid w:val="00895BA2"/>
    <w:rsid w:val="008A0DE7"/>
    <w:rsid w:val="008A1B65"/>
    <w:rsid w:val="008A2572"/>
    <w:rsid w:val="008A2E75"/>
    <w:rsid w:val="008A4850"/>
    <w:rsid w:val="008A495B"/>
    <w:rsid w:val="008A4CA9"/>
    <w:rsid w:val="008A514A"/>
    <w:rsid w:val="008A57E4"/>
    <w:rsid w:val="008A59A3"/>
    <w:rsid w:val="008A7DF2"/>
    <w:rsid w:val="008B1D24"/>
    <w:rsid w:val="008B1DFB"/>
    <w:rsid w:val="008B49AD"/>
    <w:rsid w:val="008B4B02"/>
    <w:rsid w:val="008B5C71"/>
    <w:rsid w:val="008B6BB2"/>
    <w:rsid w:val="008B73F7"/>
    <w:rsid w:val="008B7D34"/>
    <w:rsid w:val="008C0B12"/>
    <w:rsid w:val="008C1192"/>
    <w:rsid w:val="008C31C7"/>
    <w:rsid w:val="008C453E"/>
    <w:rsid w:val="008C644A"/>
    <w:rsid w:val="008C72DB"/>
    <w:rsid w:val="008C734B"/>
    <w:rsid w:val="008D173B"/>
    <w:rsid w:val="008D1977"/>
    <w:rsid w:val="008D1B07"/>
    <w:rsid w:val="008D29C9"/>
    <w:rsid w:val="008D2B37"/>
    <w:rsid w:val="008D4BEE"/>
    <w:rsid w:val="008D4E77"/>
    <w:rsid w:val="008D706A"/>
    <w:rsid w:val="008E0D00"/>
    <w:rsid w:val="008E110D"/>
    <w:rsid w:val="008E1193"/>
    <w:rsid w:val="008E171C"/>
    <w:rsid w:val="008E176D"/>
    <w:rsid w:val="008E2621"/>
    <w:rsid w:val="008E3B52"/>
    <w:rsid w:val="008E4193"/>
    <w:rsid w:val="008E47BC"/>
    <w:rsid w:val="008E54B3"/>
    <w:rsid w:val="008E5EE2"/>
    <w:rsid w:val="008E68C2"/>
    <w:rsid w:val="008E7ACA"/>
    <w:rsid w:val="008F06AF"/>
    <w:rsid w:val="008F081D"/>
    <w:rsid w:val="008F0F24"/>
    <w:rsid w:val="008F1E3C"/>
    <w:rsid w:val="008F349D"/>
    <w:rsid w:val="008F4D8D"/>
    <w:rsid w:val="008F5649"/>
    <w:rsid w:val="008F5D4E"/>
    <w:rsid w:val="008F60E5"/>
    <w:rsid w:val="008F63E5"/>
    <w:rsid w:val="008F66C1"/>
    <w:rsid w:val="008F705E"/>
    <w:rsid w:val="008F7B2F"/>
    <w:rsid w:val="009004AB"/>
    <w:rsid w:val="0090051D"/>
    <w:rsid w:val="00900B5F"/>
    <w:rsid w:val="00901689"/>
    <w:rsid w:val="00901C37"/>
    <w:rsid w:val="00902A78"/>
    <w:rsid w:val="00903FEB"/>
    <w:rsid w:val="00904045"/>
    <w:rsid w:val="00904AAE"/>
    <w:rsid w:val="009050B4"/>
    <w:rsid w:val="009063A3"/>
    <w:rsid w:val="009068BB"/>
    <w:rsid w:val="009106ED"/>
    <w:rsid w:val="00910EB5"/>
    <w:rsid w:val="00912471"/>
    <w:rsid w:val="0091262B"/>
    <w:rsid w:val="00912F91"/>
    <w:rsid w:val="00913451"/>
    <w:rsid w:val="00913AED"/>
    <w:rsid w:val="009143AD"/>
    <w:rsid w:val="00914539"/>
    <w:rsid w:val="009145D9"/>
    <w:rsid w:val="00914C2E"/>
    <w:rsid w:val="00914E62"/>
    <w:rsid w:val="009159CC"/>
    <w:rsid w:val="00916239"/>
    <w:rsid w:val="00916325"/>
    <w:rsid w:val="009164DC"/>
    <w:rsid w:val="00916AA1"/>
    <w:rsid w:val="00916CF9"/>
    <w:rsid w:val="00916EF4"/>
    <w:rsid w:val="00917A18"/>
    <w:rsid w:val="0092030E"/>
    <w:rsid w:val="00921786"/>
    <w:rsid w:val="00921895"/>
    <w:rsid w:val="009228AF"/>
    <w:rsid w:val="0092297A"/>
    <w:rsid w:val="00922EA6"/>
    <w:rsid w:val="00922FC3"/>
    <w:rsid w:val="0092408A"/>
    <w:rsid w:val="009249FB"/>
    <w:rsid w:val="00924EE1"/>
    <w:rsid w:val="009258BE"/>
    <w:rsid w:val="009259BC"/>
    <w:rsid w:val="00925BD0"/>
    <w:rsid w:val="00925BED"/>
    <w:rsid w:val="0092623A"/>
    <w:rsid w:val="00926E8B"/>
    <w:rsid w:val="00927B0D"/>
    <w:rsid w:val="00931EB1"/>
    <w:rsid w:val="0093247A"/>
    <w:rsid w:val="00932C35"/>
    <w:rsid w:val="00933D2C"/>
    <w:rsid w:val="009343AD"/>
    <w:rsid w:val="0093609B"/>
    <w:rsid w:val="00937480"/>
    <w:rsid w:val="00937CCD"/>
    <w:rsid w:val="00940233"/>
    <w:rsid w:val="009406A7"/>
    <w:rsid w:val="0094138C"/>
    <w:rsid w:val="00941E5C"/>
    <w:rsid w:val="009427B8"/>
    <w:rsid w:val="009429EF"/>
    <w:rsid w:val="00943444"/>
    <w:rsid w:val="009439E4"/>
    <w:rsid w:val="00943B8F"/>
    <w:rsid w:val="00943D9A"/>
    <w:rsid w:val="0094427C"/>
    <w:rsid w:val="009442AD"/>
    <w:rsid w:val="00944E79"/>
    <w:rsid w:val="009459E8"/>
    <w:rsid w:val="00947151"/>
    <w:rsid w:val="009473E8"/>
    <w:rsid w:val="00947542"/>
    <w:rsid w:val="009478C7"/>
    <w:rsid w:val="00947CB5"/>
    <w:rsid w:val="00955450"/>
    <w:rsid w:val="00955CED"/>
    <w:rsid w:val="00955F63"/>
    <w:rsid w:val="0095768C"/>
    <w:rsid w:val="00957CF9"/>
    <w:rsid w:val="0096056E"/>
    <w:rsid w:val="00960D6B"/>
    <w:rsid w:val="009610E1"/>
    <w:rsid w:val="0096338A"/>
    <w:rsid w:val="009647A3"/>
    <w:rsid w:val="00965BD3"/>
    <w:rsid w:val="00965C4E"/>
    <w:rsid w:val="00965CA6"/>
    <w:rsid w:val="00966AA5"/>
    <w:rsid w:val="00966D94"/>
    <w:rsid w:val="00970580"/>
    <w:rsid w:val="0097133B"/>
    <w:rsid w:val="00971368"/>
    <w:rsid w:val="00973712"/>
    <w:rsid w:val="009739DB"/>
    <w:rsid w:val="00974622"/>
    <w:rsid w:val="009753EA"/>
    <w:rsid w:val="009764A2"/>
    <w:rsid w:val="00977ECF"/>
    <w:rsid w:val="00980E14"/>
    <w:rsid w:val="00980F60"/>
    <w:rsid w:val="00980FDB"/>
    <w:rsid w:val="0098354A"/>
    <w:rsid w:val="0098362B"/>
    <w:rsid w:val="009836F7"/>
    <w:rsid w:val="009840C9"/>
    <w:rsid w:val="0098507B"/>
    <w:rsid w:val="00985A63"/>
    <w:rsid w:val="00986254"/>
    <w:rsid w:val="00986867"/>
    <w:rsid w:val="009903B4"/>
    <w:rsid w:val="0099040E"/>
    <w:rsid w:val="0099080A"/>
    <w:rsid w:val="00990853"/>
    <w:rsid w:val="00990E6A"/>
    <w:rsid w:val="00991AE2"/>
    <w:rsid w:val="00992165"/>
    <w:rsid w:val="0099262E"/>
    <w:rsid w:val="0099485C"/>
    <w:rsid w:val="009967A7"/>
    <w:rsid w:val="009A06A5"/>
    <w:rsid w:val="009A0FA5"/>
    <w:rsid w:val="009A1ABE"/>
    <w:rsid w:val="009A2DBC"/>
    <w:rsid w:val="009A43FC"/>
    <w:rsid w:val="009A5115"/>
    <w:rsid w:val="009A788B"/>
    <w:rsid w:val="009A7CBE"/>
    <w:rsid w:val="009B004B"/>
    <w:rsid w:val="009B04D5"/>
    <w:rsid w:val="009B086B"/>
    <w:rsid w:val="009B0CD5"/>
    <w:rsid w:val="009B1F58"/>
    <w:rsid w:val="009B2263"/>
    <w:rsid w:val="009B2B4A"/>
    <w:rsid w:val="009B393A"/>
    <w:rsid w:val="009B5BDC"/>
    <w:rsid w:val="009B699C"/>
    <w:rsid w:val="009B6CF9"/>
    <w:rsid w:val="009B769A"/>
    <w:rsid w:val="009B7B1A"/>
    <w:rsid w:val="009C040C"/>
    <w:rsid w:val="009C1D48"/>
    <w:rsid w:val="009C2459"/>
    <w:rsid w:val="009C5314"/>
    <w:rsid w:val="009C59AD"/>
    <w:rsid w:val="009C61B5"/>
    <w:rsid w:val="009C6CF5"/>
    <w:rsid w:val="009C7059"/>
    <w:rsid w:val="009C7659"/>
    <w:rsid w:val="009D14F9"/>
    <w:rsid w:val="009D221A"/>
    <w:rsid w:val="009D3096"/>
    <w:rsid w:val="009D4951"/>
    <w:rsid w:val="009D4E8C"/>
    <w:rsid w:val="009D4F32"/>
    <w:rsid w:val="009D5786"/>
    <w:rsid w:val="009D60E3"/>
    <w:rsid w:val="009D68F5"/>
    <w:rsid w:val="009E079A"/>
    <w:rsid w:val="009E12BF"/>
    <w:rsid w:val="009E14D5"/>
    <w:rsid w:val="009E439F"/>
    <w:rsid w:val="009E4772"/>
    <w:rsid w:val="009E4DA5"/>
    <w:rsid w:val="009E4DB3"/>
    <w:rsid w:val="009E5243"/>
    <w:rsid w:val="009E597B"/>
    <w:rsid w:val="009E5D1E"/>
    <w:rsid w:val="009F021B"/>
    <w:rsid w:val="009F0B49"/>
    <w:rsid w:val="009F0D45"/>
    <w:rsid w:val="009F10F6"/>
    <w:rsid w:val="009F12AE"/>
    <w:rsid w:val="009F12C0"/>
    <w:rsid w:val="009F2674"/>
    <w:rsid w:val="009F697F"/>
    <w:rsid w:val="009F7793"/>
    <w:rsid w:val="009F7F28"/>
    <w:rsid w:val="009F7F36"/>
    <w:rsid w:val="00A0464D"/>
    <w:rsid w:val="00A04E83"/>
    <w:rsid w:val="00A0597F"/>
    <w:rsid w:val="00A05D42"/>
    <w:rsid w:val="00A07CE6"/>
    <w:rsid w:val="00A1009A"/>
    <w:rsid w:val="00A11B25"/>
    <w:rsid w:val="00A11F54"/>
    <w:rsid w:val="00A1202F"/>
    <w:rsid w:val="00A12045"/>
    <w:rsid w:val="00A13358"/>
    <w:rsid w:val="00A14355"/>
    <w:rsid w:val="00A14CE2"/>
    <w:rsid w:val="00A17296"/>
    <w:rsid w:val="00A20A4F"/>
    <w:rsid w:val="00A2160E"/>
    <w:rsid w:val="00A223CB"/>
    <w:rsid w:val="00A22BE5"/>
    <w:rsid w:val="00A23619"/>
    <w:rsid w:val="00A2421B"/>
    <w:rsid w:val="00A249E1"/>
    <w:rsid w:val="00A24FD9"/>
    <w:rsid w:val="00A25066"/>
    <w:rsid w:val="00A2653E"/>
    <w:rsid w:val="00A27AD2"/>
    <w:rsid w:val="00A27C2C"/>
    <w:rsid w:val="00A30344"/>
    <w:rsid w:val="00A31560"/>
    <w:rsid w:val="00A32A09"/>
    <w:rsid w:val="00A33F70"/>
    <w:rsid w:val="00A34A84"/>
    <w:rsid w:val="00A3575A"/>
    <w:rsid w:val="00A3613A"/>
    <w:rsid w:val="00A363A2"/>
    <w:rsid w:val="00A37E53"/>
    <w:rsid w:val="00A404E4"/>
    <w:rsid w:val="00A4181B"/>
    <w:rsid w:val="00A41B85"/>
    <w:rsid w:val="00A43DAF"/>
    <w:rsid w:val="00A45A22"/>
    <w:rsid w:val="00A471A0"/>
    <w:rsid w:val="00A47316"/>
    <w:rsid w:val="00A47C17"/>
    <w:rsid w:val="00A50085"/>
    <w:rsid w:val="00A50A4E"/>
    <w:rsid w:val="00A51349"/>
    <w:rsid w:val="00A514B8"/>
    <w:rsid w:val="00A5150C"/>
    <w:rsid w:val="00A51B11"/>
    <w:rsid w:val="00A52AA5"/>
    <w:rsid w:val="00A53744"/>
    <w:rsid w:val="00A55C54"/>
    <w:rsid w:val="00A55F02"/>
    <w:rsid w:val="00A60584"/>
    <w:rsid w:val="00A61B40"/>
    <w:rsid w:val="00A647F8"/>
    <w:rsid w:val="00A64978"/>
    <w:rsid w:val="00A65448"/>
    <w:rsid w:val="00A66182"/>
    <w:rsid w:val="00A67385"/>
    <w:rsid w:val="00A67621"/>
    <w:rsid w:val="00A67C07"/>
    <w:rsid w:val="00A67FD9"/>
    <w:rsid w:val="00A712E8"/>
    <w:rsid w:val="00A71C4E"/>
    <w:rsid w:val="00A72655"/>
    <w:rsid w:val="00A73CB4"/>
    <w:rsid w:val="00A74FC4"/>
    <w:rsid w:val="00A75377"/>
    <w:rsid w:val="00A75E74"/>
    <w:rsid w:val="00A76515"/>
    <w:rsid w:val="00A809D6"/>
    <w:rsid w:val="00A81D0B"/>
    <w:rsid w:val="00A826FF"/>
    <w:rsid w:val="00A8319A"/>
    <w:rsid w:val="00A83722"/>
    <w:rsid w:val="00A83F76"/>
    <w:rsid w:val="00A84C39"/>
    <w:rsid w:val="00A84FE7"/>
    <w:rsid w:val="00A8520D"/>
    <w:rsid w:val="00A857ED"/>
    <w:rsid w:val="00A86C0A"/>
    <w:rsid w:val="00A86D9D"/>
    <w:rsid w:val="00A902BA"/>
    <w:rsid w:val="00A903C7"/>
    <w:rsid w:val="00A9057A"/>
    <w:rsid w:val="00A90909"/>
    <w:rsid w:val="00A91B4D"/>
    <w:rsid w:val="00A93B1B"/>
    <w:rsid w:val="00A94CA2"/>
    <w:rsid w:val="00A955AD"/>
    <w:rsid w:val="00A95D83"/>
    <w:rsid w:val="00A960B3"/>
    <w:rsid w:val="00A96F34"/>
    <w:rsid w:val="00AA0531"/>
    <w:rsid w:val="00AA0817"/>
    <w:rsid w:val="00AA09FB"/>
    <w:rsid w:val="00AA0DB6"/>
    <w:rsid w:val="00AA1C95"/>
    <w:rsid w:val="00AA2BB8"/>
    <w:rsid w:val="00AA3B3C"/>
    <w:rsid w:val="00AA3F81"/>
    <w:rsid w:val="00AA4D99"/>
    <w:rsid w:val="00AA5FF8"/>
    <w:rsid w:val="00AA6D79"/>
    <w:rsid w:val="00AA7524"/>
    <w:rsid w:val="00AA791B"/>
    <w:rsid w:val="00AA7D23"/>
    <w:rsid w:val="00AB01E1"/>
    <w:rsid w:val="00AB06FD"/>
    <w:rsid w:val="00AB0EA8"/>
    <w:rsid w:val="00AB1C04"/>
    <w:rsid w:val="00AB26CC"/>
    <w:rsid w:val="00AB27AB"/>
    <w:rsid w:val="00AB3A08"/>
    <w:rsid w:val="00AB5588"/>
    <w:rsid w:val="00AB5F57"/>
    <w:rsid w:val="00AB6762"/>
    <w:rsid w:val="00AB6A54"/>
    <w:rsid w:val="00AB6C78"/>
    <w:rsid w:val="00AB743A"/>
    <w:rsid w:val="00AB74AB"/>
    <w:rsid w:val="00AB7CD2"/>
    <w:rsid w:val="00AC03B6"/>
    <w:rsid w:val="00AC2A9A"/>
    <w:rsid w:val="00AC3B01"/>
    <w:rsid w:val="00AC4F70"/>
    <w:rsid w:val="00AC5C7F"/>
    <w:rsid w:val="00AC5DD8"/>
    <w:rsid w:val="00AC6685"/>
    <w:rsid w:val="00AC73BD"/>
    <w:rsid w:val="00AC7B2F"/>
    <w:rsid w:val="00AD09CF"/>
    <w:rsid w:val="00AD146E"/>
    <w:rsid w:val="00AD1511"/>
    <w:rsid w:val="00AD46ED"/>
    <w:rsid w:val="00AD570C"/>
    <w:rsid w:val="00AD5D2B"/>
    <w:rsid w:val="00AD65EF"/>
    <w:rsid w:val="00AD74FB"/>
    <w:rsid w:val="00AD7B51"/>
    <w:rsid w:val="00AE12EA"/>
    <w:rsid w:val="00AE1375"/>
    <w:rsid w:val="00AE18E4"/>
    <w:rsid w:val="00AE3862"/>
    <w:rsid w:val="00AE3BBA"/>
    <w:rsid w:val="00AE4C3C"/>
    <w:rsid w:val="00AE5170"/>
    <w:rsid w:val="00AE5D67"/>
    <w:rsid w:val="00AE6968"/>
    <w:rsid w:val="00AF0D52"/>
    <w:rsid w:val="00AF0F0C"/>
    <w:rsid w:val="00AF20B5"/>
    <w:rsid w:val="00AF29DF"/>
    <w:rsid w:val="00AF3142"/>
    <w:rsid w:val="00AF33A3"/>
    <w:rsid w:val="00AF36C8"/>
    <w:rsid w:val="00AF3DDC"/>
    <w:rsid w:val="00AF3E07"/>
    <w:rsid w:val="00AF4CD5"/>
    <w:rsid w:val="00AF5DA6"/>
    <w:rsid w:val="00AF66A6"/>
    <w:rsid w:val="00AF742A"/>
    <w:rsid w:val="00AF7467"/>
    <w:rsid w:val="00AF7592"/>
    <w:rsid w:val="00B00431"/>
    <w:rsid w:val="00B00CC2"/>
    <w:rsid w:val="00B01A7C"/>
    <w:rsid w:val="00B0333B"/>
    <w:rsid w:val="00B059C3"/>
    <w:rsid w:val="00B06BF3"/>
    <w:rsid w:val="00B06FC7"/>
    <w:rsid w:val="00B07893"/>
    <w:rsid w:val="00B07CC0"/>
    <w:rsid w:val="00B1093E"/>
    <w:rsid w:val="00B11114"/>
    <w:rsid w:val="00B1336B"/>
    <w:rsid w:val="00B136C5"/>
    <w:rsid w:val="00B13C07"/>
    <w:rsid w:val="00B13DAD"/>
    <w:rsid w:val="00B146CF"/>
    <w:rsid w:val="00B1581A"/>
    <w:rsid w:val="00B16326"/>
    <w:rsid w:val="00B16437"/>
    <w:rsid w:val="00B169B8"/>
    <w:rsid w:val="00B16B73"/>
    <w:rsid w:val="00B17FB3"/>
    <w:rsid w:val="00B20D0E"/>
    <w:rsid w:val="00B20F33"/>
    <w:rsid w:val="00B21E5C"/>
    <w:rsid w:val="00B24CB6"/>
    <w:rsid w:val="00B25C95"/>
    <w:rsid w:val="00B27764"/>
    <w:rsid w:val="00B27FCE"/>
    <w:rsid w:val="00B30010"/>
    <w:rsid w:val="00B3072B"/>
    <w:rsid w:val="00B31491"/>
    <w:rsid w:val="00B325AA"/>
    <w:rsid w:val="00B33AD9"/>
    <w:rsid w:val="00B40464"/>
    <w:rsid w:val="00B41466"/>
    <w:rsid w:val="00B42029"/>
    <w:rsid w:val="00B43D9D"/>
    <w:rsid w:val="00B447C7"/>
    <w:rsid w:val="00B45E1E"/>
    <w:rsid w:val="00B46C36"/>
    <w:rsid w:val="00B46D2A"/>
    <w:rsid w:val="00B46FCD"/>
    <w:rsid w:val="00B50CF7"/>
    <w:rsid w:val="00B51615"/>
    <w:rsid w:val="00B516EC"/>
    <w:rsid w:val="00B522F8"/>
    <w:rsid w:val="00B52AF8"/>
    <w:rsid w:val="00B53283"/>
    <w:rsid w:val="00B55B65"/>
    <w:rsid w:val="00B62356"/>
    <w:rsid w:val="00B623E1"/>
    <w:rsid w:val="00B6346B"/>
    <w:rsid w:val="00B63A07"/>
    <w:rsid w:val="00B63FC8"/>
    <w:rsid w:val="00B6532C"/>
    <w:rsid w:val="00B65A9A"/>
    <w:rsid w:val="00B6676A"/>
    <w:rsid w:val="00B671E6"/>
    <w:rsid w:val="00B67FDD"/>
    <w:rsid w:val="00B703EB"/>
    <w:rsid w:val="00B708AD"/>
    <w:rsid w:val="00B72880"/>
    <w:rsid w:val="00B7357D"/>
    <w:rsid w:val="00B74716"/>
    <w:rsid w:val="00B74966"/>
    <w:rsid w:val="00B74CF6"/>
    <w:rsid w:val="00B75C30"/>
    <w:rsid w:val="00B77934"/>
    <w:rsid w:val="00B80D25"/>
    <w:rsid w:val="00B81F64"/>
    <w:rsid w:val="00B81FFD"/>
    <w:rsid w:val="00B82123"/>
    <w:rsid w:val="00B828A8"/>
    <w:rsid w:val="00B82EA9"/>
    <w:rsid w:val="00B82F6A"/>
    <w:rsid w:val="00B82F7F"/>
    <w:rsid w:val="00B83400"/>
    <w:rsid w:val="00B841FB"/>
    <w:rsid w:val="00B84711"/>
    <w:rsid w:val="00B8536A"/>
    <w:rsid w:val="00B85576"/>
    <w:rsid w:val="00B86679"/>
    <w:rsid w:val="00B871D9"/>
    <w:rsid w:val="00B900A8"/>
    <w:rsid w:val="00B916F9"/>
    <w:rsid w:val="00B9393B"/>
    <w:rsid w:val="00B94CDB"/>
    <w:rsid w:val="00B95113"/>
    <w:rsid w:val="00B95F56"/>
    <w:rsid w:val="00B96492"/>
    <w:rsid w:val="00B97EF0"/>
    <w:rsid w:val="00BA0834"/>
    <w:rsid w:val="00BA0842"/>
    <w:rsid w:val="00BA0ED2"/>
    <w:rsid w:val="00BA251D"/>
    <w:rsid w:val="00BA2572"/>
    <w:rsid w:val="00BA2F5E"/>
    <w:rsid w:val="00BA38B5"/>
    <w:rsid w:val="00BA3FC8"/>
    <w:rsid w:val="00BA4072"/>
    <w:rsid w:val="00BA5C40"/>
    <w:rsid w:val="00BA6675"/>
    <w:rsid w:val="00BA69EC"/>
    <w:rsid w:val="00BA76A8"/>
    <w:rsid w:val="00BA77B8"/>
    <w:rsid w:val="00BB0211"/>
    <w:rsid w:val="00BB0AF1"/>
    <w:rsid w:val="00BB20AC"/>
    <w:rsid w:val="00BB3C5A"/>
    <w:rsid w:val="00BB4C91"/>
    <w:rsid w:val="00BB5D36"/>
    <w:rsid w:val="00BB718A"/>
    <w:rsid w:val="00BB7515"/>
    <w:rsid w:val="00BC0178"/>
    <w:rsid w:val="00BC01EB"/>
    <w:rsid w:val="00BC02FE"/>
    <w:rsid w:val="00BC0A0E"/>
    <w:rsid w:val="00BC1742"/>
    <w:rsid w:val="00BC2716"/>
    <w:rsid w:val="00BC30AF"/>
    <w:rsid w:val="00BC3BF4"/>
    <w:rsid w:val="00BC415C"/>
    <w:rsid w:val="00BC4423"/>
    <w:rsid w:val="00BC48FB"/>
    <w:rsid w:val="00BC4C75"/>
    <w:rsid w:val="00BC551D"/>
    <w:rsid w:val="00BC5BDD"/>
    <w:rsid w:val="00BC5D7C"/>
    <w:rsid w:val="00BC7E2B"/>
    <w:rsid w:val="00BD07DD"/>
    <w:rsid w:val="00BD190E"/>
    <w:rsid w:val="00BD3285"/>
    <w:rsid w:val="00BD39E5"/>
    <w:rsid w:val="00BD4B7D"/>
    <w:rsid w:val="00BD778B"/>
    <w:rsid w:val="00BE0707"/>
    <w:rsid w:val="00BE0CC1"/>
    <w:rsid w:val="00BE1728"/>
    <w:rsid w:val="00BE2EA5"/>
    <w:rsid w:val="00BE3222"/>
    <w:rsid w:val="00BE3605"/>
    <w:rsid w:val="00BE3621"/>
    <w:rsid w:val="00BE3E16"/>
    <w:rsid w:val="00BE3F7A"/>
    <w:rsid w:val="00BE3FB9"/>
    <w:rsid w:val="00BE4761"/>
    <w:rsid w:val="00BE4CC8"/>
    <w:rsid w:val="00BE521F"/>
    <w:rsid w:val="00BE61D5"/>
    <w:rsid w:val="00BE77CE"/>
    <w:rsid w:val="00BF042D"/>
    <w:rsid w:val="00BF0460"/>
    <w:rsid w:val="00BF065C"/>
    <w:rsid w:val="00BF24F5"/>
    <w:rsid w:val="00BF3A7B"/>
    <w:rsid w:val="00BF3B2B"/>
    <w:rsid w:val="00BF49A8"/>
    <w:rsid w:val="00BF4F8E"/>
    <w:rsid w:val="00BF5259"/>
    <w:rsid w:val="00BF52BD"/>
    <w:rsid w:val="00BF559A"/>
    <w:rsid w:val="00BF6425"/>
    <w:rsid w:val="00BF6C8E"/>
    <w:rsid w:val="00BF7168"/>
    <w:rsid w:val="00C00C42"/>
    <w:rsid w:val="00C01144"/>
    <w:rsid w:val="00C01DA9"/>
    <w:rsid w:val="00C01E25"/>
    <w:rsid w:val="00C033D2"/>
    <w:rsid w:val="00C03886"/>
    <w:rsid w:val="00C04491"/>
    <w:rsid w:val="00C05546"/>
    <w:rsid w:val="00C05C21"/>
    <w:rsid w:val="00C06100"/>
    <w:rsid w:val="00C06264"/>
    <w:rsid w:val="00C071DD"/>
    <w:rsid w:val="00C0732A"/>
    <w:rsid w:val="00C073B9"/>
    <w:rsid w:val="00C07F03"/>
    <w:rsid w:val="00C112B2"/>
    <w:rsid w:val="00C1516B"/>
    <w:rsid w:val="00C152CD"/>
    <w:rsid w:val="00C1533A"/>
    <w:rsid w:val="00C15DA7"/>
    <w:rsid w:val="00C17C58"/>
    <w:rsid w:val="00C17F12"/>
    <w:rsid w:val="00C201FD"/>
    <w:rsid w:val="00C20AD9"/>
    <w:rsid w:val="00C21B14"/>
    <w:rsid w:val="00C22BA2"/>
    <w:rsid w:val="00C2308A"/>
    <w:rsid w:val="00C23434"/>
    <w:rsid w:val="00C23756"/>
    <w:rsid w:val="00C23AE6"/>
    <w:rsid w:val="00C23B54"/>
    <w:rsid w:val="00C23F42"/>
    <w:rsid w:val="00C2412F"/>
    <w:rsid w:val="00C245E3"/>
    <w:rsid w:val="00C247E2"/>
    <w:rsid w:val="00C271CF"/>
    <w:rsid w:val="00C30AAF"/>
    <w:rsid w:val="00C30F30"/>
    <w:rsid w:val="00C31BC6"/>
    <w:rsid w:val="00C321A6"/>
    <w:rsid w:val="00C34371"/>
    <w:rsid w:val="00C344FB"/>
    <w:rsid w:val="00C34A2B"/>
    <w:rsid w:val="00C35521"/>
    <w:rsid w:val="00C3594D"/>
    <w:rsid w:val="00C36F72"/>
    <w:rsid w:val="00C37BE4"/>
    <w:rsid w:val="00C409B4"/>
    <w:rsid w:val="00C438D5"/>
    <w:rsid w:val="00C464AA"/>
    <w:rsid w:val="00C46F56"/>
    <w:rsid w:val="00C47B75"/>
    <w:rsid w:val="00C515C0"/>
    <w:rsid w:val="00C5344D"/>
    <w:rsid w:val="00C53C15"/>
    <w:rsid w:val="00C5434C"/>
    <w:rsid w:val="00C5556F"/>
    <w:rsid w:val="00C5686E"/>
    <w:rsid w:val="00C56DF6"/>
    <w:rsid w:val="00C56E6F"/>
    <w:rsid w:val="00C60CAB"/>
    <w:rsid w:val="00C6258B"/>
    <w:rsid w:val="00C6278A"/>
    <w:rsid w:val="00C6356F"/>
    <w:rsid w:val="00C6516E"/>
    <w:rsid w:val="00C6626B"/>
    <w:rsid w:val="00C66703"/>
    <w:rsid w:val="00C667F4"/>
    <w:rsid w:val="00C66DB0"/>
    <w:rsid w:val="00C66E1B"/>
    <w:rsid w:val="00C7230B"/>
    <w:rsid w:val="00C7290B"/>
    <w:rsid w:val="00C72C06"/>
    <w:rsid w:val="00C736FF"/>
    <w:rsid w:val="00C73EDA"/>
    <w:rsid w:val="00C74A82"/>
    <w:rsid w:val="00C751EF"/>
    <w:rsid w:val="00C75FDB"/>
    <w:rsid w:val="00C768A9"/>
    <w:rsid w:val="00C76C61"/>
    <w:rsid w:val="00C778AF"/>
    <w:rsid w:val="00C77AEC"/>
    <w:rsid w:val="00C77CF6"/>
    <w:rsid w:val="00C77E5B"/>
    <w:rsid w:val="00C805F5"/>
    <w:rsid w:val="00C82390"/>
    <w:rsid w:val="00C834F3"/>
    <w:rsid w:val="00C83511"/>
    <w:rsid w:val="00C8399B"/>
    <w:rsid w:val="00C83F84"/>
    <w:rsid w:val="00C842CE"/>
    <w:rsid w:val="00C850E5"/>
    <w:rsid w:val="00C8672C"/>
    <w:rsid w:val="00C868FD"/>
    <w:rsid w:val="00C8739C"/>
    <w:rsid w:val="00C87E85"/>
    <w:rsid w:val="00C90CA2"/>
    <w:rsid w:val="00C92CF6"/>
    <w:rsid w:val="00C934AA"/>
    <w:rsid w:val="00C9382D"/>
    <w:rsid w:val="00C95297"/>
    <w:rsid w:val="00C97D20"/>
    <w:rsid w:val="00CA0468"/>
    <w:rsid w:val="00CA0720"/>
    <w:rsid w:val="00CA1370"/>
    <w:rsid w:val="00CA1AB5"/>
    <w:rsid w:val="00CA30AC"/>
    <w:rsid w:val="00CA37EE"/>
    <w:rsid w:val="00CA3F94"/>
    <w:rsid w:val="00CA4685"/>
    <w:rsid w:val="00CA46E9"/>
    <w:rsid w:val="00CA4DA8"/>
    <w:rsid w:val="00CA6BA6"/>
    <w:rsid w:val="00CB112A"/>
    <w:rsid w:val="00CB142E"/>
    <w:rsid w:val="00CB1EEA"/>
    <w:rsid w:val="00CB2434"/>
    <w:rsid w:val="00CB3003"/>
    <w:rsid w:val="00CB3D90"/>
    <w:rsid w:val="00CB567D"/>
    <w:rsid w:val="00CB6853"/>
    <w:rsid w:val="00CB7385"/>
    <w:rsid w:val="00CB73E9"/>
    <w:rsid w:val="00CB777E"/>
    <w:rsid w:val="00CB7A55"/>
    <w:rsid w:val="00CC063A"/>
    <w:rsid w:val="00CC187E"/>
    <w:rsid w:val="00CC3D25"/>
    <w:rsid w:val="00CC3FB3"/>
    <w:rsid w:val="00CC460E"/>
    <w:rsid w:val="00CC5516"/>
    <w:rsid w:val="00CC6128"/>
    <w:rsid w:val="00CC6425"/>
    <w:rsid w:val="00CC7473"/>
    <w:rsid w:val="00CC7D1D"/>
    <w:rsid w:val="00CC7EC8"/>
    <w:rsid w:val="00CD0093"/>
    <w:rsid w:val="00CD1717"/>
    <w:rsid w:val="00CD2AA4"/>
    <w:rsid w:val="00CD2F3F"/>
    <w:rsid w:val="00CD32E0"/>
    <w:rsid w:val="00CD4FC5"/>
    <w:rsid w:val="00CD65A0"/>
    <w:rsid w:val="00CD75C8"/>
    <w:rsid w:val="00CD7809"/>
    <w:rsid w:val="00CD7B80"/>
    <w:rsid w:val="00CE034B"/>
    <w:rsid w:val="00CE08B4"/>
    <w:rsid w:val="00CE0FEF"/>
    <w:rsid w:val="00CE11A1"/>
    <w:rsid w:val="00CE1F76"/>
    <w:rsid w:val="00CE24D7"/>
    <w:rsid w:val="00CE37C0"/>
    <w:rsid w:val="00CE398B"/>
    <w:rsid w:val="00CE42F9"/>
    <w:rsid w:val="00CE4ACE"/>
    <w:rsid w:val="00CE4BCC"/>
    <w:rsid w:val="00CE5BA2"/>
    <w:rsid w:val="00CE5C14"/>
    <w:rsid w:val="00CE5E08"/>
    <w:rsid w:val="00CE60F0"/>
    <w:rsid w:val="00CE6B39"/>
    <w:rsid w:val="00CE760E"/>
    <w:rsid w:val="00CF0023"/>
    <w:rsid w:val="00CF1B45"/>
    <w:rsid w:val="00CF1E2A"/>
    <w:rsid w:val="00CF22FB"/>
    <w:rsid w:val="00CF5048"/>
    <w:rsid w:val="00CF5BEB"/>
    <w:rsid w:val="00CF6808"/>
    <w:rsid w:val="00CF6B6B"/>
    <w:rsid w:val="00D01450"/>
    <w:rsid w:val="00D01F4A"/>
    <w:rsid w:val="00D023D9"/>
    <w:rsid w:val="00D02962"/>
    <w:rsid w:val="00D046CD"/>
    <w:rsid w:val="00D0487E"/>
    <w:rsid w:val="00D0583C"/>
    <w:rsid w:val="00D05FEF"/>
    <w:rsid w:val="00D07704"/>
    <w:rsid w:val="00D112A0"/>
    <w:rsid w:val="00D12358"/>
    <w:rsid w:val="00D125AA"/>
    <w:rsid w:val="00D130A0"/>
    <w:rsid w:val="00D14158"/>
    <w:rsid w:val="00D14649"/>
    <w:rsid w:val="00D14705"/>
    <w:rsid w:val="00D16357"/>
    <w:rsid w:val="00D165C4"/>
    <w:rsid w:val="00D16676"/>
    <w:rsid w:val="00D207FF"/>
    <w:rsid w:val="00D20BDF"/>
    <w:rsid w:val="00D22B5F"/>
    <w:rsid w:val="00D25E40"/>
    <w:rsid w:val="00D26634"/>
    <w:rsid w:val="00D2769D"/>
    <w:rsid w:val="00D31EE1"/>
    <w:rsid w:val="00D31FCB"/>
    <w:rsid w:val="00D33E86"/>
    <w:rsid w:val="00D34C62"/>
    <w:rsid w:val="00D35297"/>
    <w:rsid w:val="00D35561"/>
    <w:rsid w:val="00D35B76"/>
    <w:rsid w:val="00D36110"/>
    <w:rsid w:val="00D36F47"/>
    <w:rsid w:val="00D370ED"/>
    <w:rsid w:val="00D37BFB"/>
    <w:rsid w:val="00D37D27"/>
    <w:rsid w:val="00D41775"/>
    <w:rsid w:val="00D42379"/>
    <w:rsid w:val="00D449C9"/>
    <w:rsid w:val="00D46142"/>
    <w:rsid w:val="00D467E8"/>
    <w:rsid w:val="00D4773B"/>
    <w:rsid w:val="00D513DF"/>
    <w:rsid w:val="00D54227"/>
    <w:rsid w:val="00D54D52"/>
    <w:rsid w:val="00D54D96"/>
    <w:rsid w:val="00D5501C"/>
    <w:rsid w:val="00D555F5"/>
    <w:rsid w:val="00D55F8F"/>
    <w:rsid w:val="00D5620C"/>
    <w:rsid w:val="00D5762C"/>
    <w:rsid w:val="00D60DF0"/>
    <w:rsid w:val="00D621A6"/>
    <w:rsid w:val="00D63BF0"/>
    <w:rsid w:val="00D63EDF"/>
    <w:rsid w:val="00D640D7"/>
    <w:rsid w:val="00D64C34"/>
    <w:rsid w:val="00D651AF"/>
    <w:rsid w:val="00D65225"/>
    <w:rsid w:val="00D712F7"/>
    <w:rsid w:val="00D715FC"/>
    <w:rsid w:val="00D71624"/>
    <w:rsid w:val="00D72D54"/>
    <w:rsid w:val="00D7323E"/>
    <w:rsid w:val="00D7413E"/>
    <w:rsid w:val="00D742CC"/>
    <w:rsid w:val="00D745A9"/>
    <w:rsid w:val="00D74A2D"/>
    <w:rsid w:val="00D75E60"/>
    <w:rsid w:val="00D767F5"/>
    <w:rsid w:val="00D77A18"/>
    <w:rsid w:val="00D77C32"/>
    <w:rsid w:val="00D80311"/>
    <w:rsid w:val="00D81F65"/>
    <w:rsid w:val="00D82214"/>
    <w:rsid w:val="00D8259A"/>
    <w:rsid w:val="00D825CF"/>
    <w:rsid w:val="00D8348D"/>
    <w:rsid w:val="00D846DE"/>
    <w:rsid w:val="00D84935"/>
    <w:rsid w:val="00D85631"/>
    <w:rsid w:val="00D85C82"/>
    <w:rsid w:val="00D8609E"/>
    <w:rsid w:val="00D86F26"/>
    <w:rsid w:val="00D87B99"/>
    <w:rsid w:val="00D87E70"/>
    <w:rsid w:val="00D9392B"/>
    <w:rsid w:val="00D942FA"/>
    <w:rsid w:val="00D94AF2"/>
    <w:rsid w:val="00D9673E"/>
    <w:rsid w:val="00D9675A"/>
    <w:rsid w:val="00D97ADE"/>
    <w:rsid w:val="00D97B08"/>
    <w:rsid w:val="00DA0451"/>
    <w:rsid w:val="00DA05B5"/>
    <w:rsid w:val="00DA0DE6"/>
    <w:rsid w:val="00DA0E72"/>
    <w:rsid w:val="00DA0FEA"/>
    <w:rsid w:val="00DA2086"/>
    <w:rsid w:val="00DA3B2B"/>
    <w:rsid w:val="00DA3C12"/>
    <w:rsid w:val="00DA4498"/>
    <w:rsid w:val="00DA48F5"/>
    <w:rsid w:val="00DA4E1F"/>
    <w:rsid w:val="00DA7000"/>
    <w:rsid w:val="00DA716A"/>
    <w:rsid w:val="00DA7170"/>
    <w:rsid w:val="00DB1E1C"/>
    <w:rsid w:val="00DB22B5"/>
    <w:rsid w:val="00DB2473"/>
    <w:rsid w:val="00DB2CF8"/>
    <w:rsid w:val="00DB35CF"/>
    <w:rsid w:val="00DB3B1F"/>
    <w:rsid w:val="00DB3EAD"/>
    <w:rsid w:val="00DB59ED"/>
    <w:rsid w:val="00DB7051"/>
    <w:rsid w:val="00DC0BE3"/>
    <w:rsid w:val="00DC1254"/>
    <w:rsid w:val="00DC1309"/>
    <w:rsid w:val="00DC1447"/>
    <w:rsid w:val="00DC153B"/>
    <w:rsid w:val="00DC1A70"/>
    <w:rsid w:val="00DC2057"/>
    <w:rsid w:val="00DC2971"/>
    <w:rsid w:val="00DC2B4A"/>
    <w:rsid w:val="00DC381C"/>
    <w:rsid w:val="00DC6E19"/>
    <w:rsid w:val="00DC75D4"/>
    <w:rsid w:val="00DC7EDA"/>
    <w:rsid w:val="00DD0773"/>
    <w:rsid w:val="00DD0CE2"/>
    <w:rsid w:val="00DD1BC9"/>
    <w:rsid w:val="00DD2820"/>
    <w:rsid w:val="00DD3A42"/>
    <w:rsid w:val="00DD3FE5"/>
    <w:rsid w:val="00DD4204"/>
    <w:rsid w:val="00DD4351"/>
    <w:rsid w:val="00DD576B"/>
    <w:rsid w:val="00DD5DC0"/>
    <w:rsid w:val="00DD5F19"/>
    <w:rsid w:val="00DD6A74"/>
    <w:rsid w:val="00DD6ED1"/>
    <w:rsid w:val="00DE0A97"/>
    <w:rsid w:val="00DE0BD4"/>
    <w:rsid w:val="00DE0C09"/>
    <w:rsid w:val="00DE1EC2"/>
    <w:rsid w:val="00DE2FE7"/>
    <w:rsid w:val="00DE478D"/>
    <w:rsid w:val="00DE4CC6"/>
    <w:rsid w:val="00DE528B"/>
    <w:rsid w:val="00DE54C0"/>
    <w:rsid w:val="00DE6F91"/>
    <w:rsid w:val="00DF22DE"/>
    <w:rsid w:val="00DF2E3A"/>
    <w:rsid w:val="00DF3FA6"/>
    <w:rsid w:val="00DF74F4"/>
    <w:rsid w:val="00DF7BC8"/>
    <w:rsid w:val="00E00F04"/>
    <w:rsid w:val="00E04525"/>
    <w:rsid w:val="00E047EE"/>
    <w:rsid w:val="00E04D7E"/>
    <w:rsid w:val="00E05999"/>
    <w:rsid w:val="00E06659"/>
    <w:rsid w:val="00E066AD"/>
    <w:rsid w:val="00E06A25"/>
    <w:rsid w:val="00E07612"/>
    <w:rsid w:val="00E11BF2"/>
    <w:rsid w:val="00E11F47"/>
    <w:rsid w:val="00E131E5"/>
    <w:rsid w:val="00E13B8E"/>
    <w:rsid w:val="00E14255"/>
    <w:rsid w:val="00E14D8F"/>
    <w:rsid w:val="00E15C37"/>
    <w:rsid w:val="00E15D1A"/>
    <w:rsid w:val="00E16369"/>
    <w:rsid w:val="00E1674F"/>
    <w:rsid w:val="00E167DE"/>
    <w:rsid w:val="00E1745B"/>
    <w:rsid w:val="00E1794C"/>
    <w:rsid w:val="00E20D1E"/>
    <w:rsid w:val="00E2218E"/>
    <w:rsid w:val="00E23075"/>
    <w:rsid w:val="00E23969"/>
    <w:rsid w:val="00E23AB8"/>
    <w:rsid w:val="00E241BA"/>
    <w:rsid w:val="00E256CA"/>
    <w:rsid w:val="00E261C9"/>
    <w:rsid w:val="00E26CDA"/>
    <w:rsid w:val="00E306AB"/>
    <w:rsid w:val="00E33156"/>
    <w:rsid w:val="00E3351B"/>
    <w:rsid w:val="00E33A10"/>
    <w:rsid w:val="00E33FD9"/>
    <w:rsid w:val="00E3629D"/>
    <w:rsid w:val="00E40794"/>
    <w:rsid w:val="00E40F83"/>
    <w:rsid w:val="00E4116F"/>
    <w:rsid w:val="00E4355E"/>
    <w:rsid w:val="00E43645"/>
    <w:rsid w:val="00E458C9"/>
    <w:rsid w:val="00E45AEB"/>
    <w:rsid w:val="00E46ED5"/>
    <w:rsid w:val="00E47269"/>
    <w:rsid w:val="00E503AF"/>
    <w:rsid w:val="00E5071E"/>
    <w:rsid w:val="00E50A71"/>
    <w:rsid w:val="00E50ADE"/>
    <w:rsid w:val="00E526E4"/>
    <w:rsid w:val="00E52A0D"/>
    <w:rsid w:val="00E539C1"/>
    <w:rsid w:val="00E54FBC"/>
    <w:rsid w:val="00E56CBC"/>
    <w:rsid w:val="00E57871"/>
    <w:rsid w:val="00E57AF3"/>
    <w:rsid w:val="00E57F91"/>
    <w:rsid w:val="00E6047E"/>
    <w:rsid w:val="00E61769"/>
    <w:rsid w:val="00E6282E"/>
    <w:rsid w:val="00E6294C"/>
    <w:rsid w:val="00E63084"/>
    <w:rsid w:val="00E6494F"/>
    <w:rsid w:val="00E65370"/>
    <w:rsid w:val="00E66C45"/>
    <w:rsid w:val="00E66E50"/>
    <w:rsid w:val="00E671D0"/>
    <w:rsid w:val="00E6764D"/>
    <w:rsid w:val="00E7182A"/>
    <w:rsid w:val="00E72D7F"/>
    <w:rsid w:val="00E73A5F"/>
    <w:rsid w:val="00E777F9"/>
    <w:rsid w:val="00E80013"/>
    <w:rsid w:val="00E805F2"/>
    <w:rsid w:val="00E81CED"/>
    <w:rsid w:val="00E82753"/>
    <w:rsid w:val="00E829B4"/>
    <w:rsid w:val="00E833A7"/>
    <w:rsid w:val="00E837E3"/>
    <w:rsid w:val="00E853DF"/>
    <w:rsid w:val="00E855BD"/>
    <w:rsid w:val="00E909C9"/>
    <w:rsid w:val="00E90CF6"/>
    <w:rsid w:val="00E923E6"/>
    <w:rsid w:val="00E9255D"/>
    <w:rsid w:val="00E92A75"/>
    <w:rsid w:val="00E935F5"/>
    <w:rsid w:val="00E93760"/>
    <w:rsid w:val="00E93F7A"/>
    <w:rsid w:val="00E94FB9"/>
    <w:rsid w:val="00E95372"/>
    <w:rsid w:val="00E96BD8"/>
    <w:rsid w:val="00E96BFB"/>
    <w:rsid w:val="00E9766B"/>
    <w:rsid w:val="00EA22EF"/>
    <w:rsid w:val="00EA2560"/>
    <w:rsid w:val="00EA2F61"/>
    <w:rsid w:val="00EA343A"/>
    <w:rsid w:val="00EA3CA4"/>
    <w:rsid w:val="00EA55C7"/>
    <w:rsid w:val="00EA64F3"/>
    <w:rsid w:val="00EA69E3"/>
    <w:rsid w:val="00EA73EF"/>
    <w:rsid w:val="00EA7E34"/>
    <w:rsid w:val="00EB172F"/>
    <w:rsid w:val="00EB18E4"/>
    <w:rsid w:val="00EB1B98"/>
    <w:rsid w:val="00EB368C"/>
    <w:rsid w:val="00EB3EC0"/>
    <w:rsid w:val="00EB4008"/>
    <w:rsid w:val="00EB5300"/>
    <w:rsid w:val="00EB70D0"/>
    <w:rsid w:val="00EB7B2E"/>
    <w:rsid w:val="00EC1EE2"/>
    <w:rsid w:val="00EC3226"/>
    <w:rsid w:val="00EC34F8"/>
    <w:rsid w:val="00EC4839"/>
    <w:rsid w:val="00EC549A"/>
    <w:rsid w:val="00EC60A1"/>
    <w:rsid w:val="00EC6CF1"/>
    <w:rsid w:val="00ED031D"/>
    <w:rsid w:val="00ED0B75"/>
    <w:rsid w:val="00ED0F96"/>
    <w:rsid w:val="00ED2EAC"/>
    <w:rsid w:val="00ED33F6"/>
    <w:rsid w:val="00ED361B"/>
    <w:rsid w:val="00ED3A8B"/>
    <w:rsid w:val="00ED4100"/>
    <w:rsid w:val="00ED4375"/>
    <w:rsid w:val="00ED6D4A"/>
    <w:rsid w:val="00EE0AF4"/>
    <w:rsid w:val="00EE0D29"/>
    <w:rsid w:val="00EE2BEC"/>
    <w:rsid w:val="00EE3907"/>
    <w:rsid w:val="00EE399F"/>
    <w:rsid w:val="00EE39F4"/>
    <w:rsid w:val="00EE3E07"/>
    <w:rsid w:val="00EE411D"/>
    <w:rsid w:val="00EE610B"/>
    <w:rsid w:val="00EF10F5"/>
    <w:rsid w:val="00EF24E5"/>
    <w:rsid w:val="00EF2CEE"/>
    <w:rsid w:val="00EF4B4F"/>
    <w:rsid w:val="00F00027"/>
    <w:rsid w:val="00F01C33"/>
    <w:rsid w:val="00F02D8D"/>
    <w:rsid w:val="00F0301B"/>
    <w:rsid w:val="00F03B9E"/>
    <w:rsid w:val="00F05F35"/>
    <w:rsid w:val="00F05F5E"/>
    <w:rsid w:val="00F05FD5"/>
    <w:rsid w:val="00F100BA"/>
    <w:rsid w:val="00F10248"/>
    <w:rsid w:val="00F10FA2"/>
    <w:rsid w:val="00F11605"/>
    <w:rsid w:val="00F12F59"/>
    <w:rsid w:val="00F14455"/>
    <w:rsid w:val="00F14A80"/>
    <w:rsid w:val="00F1556D"/>
    <w:rsid w:val="00F15D71"/>
    <w:rsid w:val="00F163B4"/>
    <w:rsid w:val="00F1658A"/>
    <w:rsid w:val="00F2020B"/>
    <w:rsid w:val="00F229AE"/>
    <w:rsid w:val="00F22C25"/>
    <w:rsid w:val="00F22DB7"/>
    <w:rsid w:val="00F23273"/>
    <w:rsid w:val="00F23290"/>
    <w:rsid w:val="00F23DD0"/>
    <w:rsid w:val="00F24339"/>
    <w:rsid w:val="00F24F9A"/>
    <w:rsid w:val="00F25485"/>
    <w:rsid w:val="00F26EBB"/>
    <w:rsid w:val="00F2755F"/>
    <w:rsid w:val="00F27569"/>
    <w:rsid w:val="00F27710"/>
    <w:rsid w:val="00F30303"/>
    <w:rsid w:val="00F30556"/>
    <w:rsid w:val="00F3351E"/>
    <w:rsid w:val="00F33606"/>
    <w:rsid w:val="00F3455C"/>
    <w:rsid w:val="00F36BDD"/>
    <w:rsid w:val="00F36F70"/>
    <w:rsid w:val="00F37780"/>
    <w:rsid w:val="00F40720"/>
    <w:rsid w:val="00F41337"/>
    <w:rsid w:val="00F42024"/>
    <w:rsid w:val="00F42F37"/>
    <w:rsid w:val="00F437E1"/>
    <w:rsid w:val="00F43A23"/>
    <w:rsid w:val="00F44276"/>
    <w:rsid w:val="00F44D15"/>
    <w:rsid w:val="00F4511F"/>
    <w:rsid w:val="00F4539B"/>
    <w:rsid w:val="00F45E16"/>
    <w:rsid w:val="00F45E7F"/>
    <w:rsid w:val="00F46819"/>
    <w:rsid w:val="00F4701E"/>
    <w:rsid w:val="00F47CC2"/>
    <w:rsid w:val="00F47EC5"/>
    <w:rsid w:val="00F50721"/>
    <w:rsid w:val="00F50F9B"/>
    <w:rsid w:val="00F52B79"/>
    <w:rsid w:val="00F53C8A"/>
    <w:rsid w:val="00F53F05"/>
    <w:rsid w:val="00F53F92"/>
    <w:rsid w:val="00F542F6"/>
    <w:rsid w:val="00F55346"/>
    <w:rsid w:val="00F55A4E"/>
    <w:rsid w:val="00F56975"/>
    <w:rsid w:val="00F60E61"/>
    <w:rsid w:val="00F6148F"/>
    <w:rsid w:val="00F61836"/>
    <w:rsid w:val="00F62106"/>
    <w:rsid w:val="00F6363B"/>
    <w:rsid w:val="00F6417D"/>
    <w:rsid w:val="00F641E0"/>
    <w:rsid w:val="00F64A04"/>
    <w:rsid w:val="00F64A0B"/>
    <w:rsid w:val="00F64AB0"/>
    <w:rsid w:val="00F6567A"/>
    <w:rsid w:val="00F65DB7"/>
    <w:rsid w:val="00F666FE"/>
    <w:rsid w:val="00F674DC"/>
    <w:rsid w:val="00F67DF0"/>
    <w:rsid w:val="00F707A3"/>
    <w:rsid w:val="00F715B3"/>
    <w:rsid w:val="00F7193A"/>
    <w:rsid w:val="00F7240B"/>
    <w:rsid w:val="00F7246B"/>
    <w:rsid w:val="00F74B3A"/>
    <w:rsid w:val="00F76332"/>
    <w:rsid w:val="00F77A07"/>
    <w:rsid w:val="00F77D3A"/>
    <w:rsid w:val="00F8024C"/>
    <w:rsid w:val="00F80704"/>
    <w:rsid w:val="00F80DEC"/>
    <w:rsid w:val="00F820E6"/>
    <w:rsid w:val="00F83CA8"/>
    <w:rsid w:val="00F83CF5"/>
    <w:rsid w:val="00F84324"/>
    <w:rsid w:val="00F847FC"/>
    <w:rsid w:val="00F8673D"/>
    <w:rsid w:val="00F872FC"/>
    <w:rsid w:val="00F8786C"/>
    <w:rsid w:val="00F9108E"/>
    <w:rsid w:val="00F91466"/>
    <w:rsid w:val="00F92650"/>
    <w:rsid w:val="00F92E14"/>
    <w:rsid w:val="00F94CD2"/>
    <w:rsid w:val="00F94D9D"/>
    <w:rsid w:val="00F94FD8"/>
    <w:rsid w:val="00FA0B3B"/>
    <w:rsid w:val="00FA1EA4"/>
    <w:rsid w:val="00FA2603"/>
    <w:rsid w:val="00FA3431"/>
    <w:rsid w:val="00FA3577"/>
    <w:rsid w:val="00FA42F1"/>
    <w:rsid w:val="00FA4F2A"/>
    <w:rsid w:val="00FA588C"/>
    <w:rsid w:val="00FA61D7"/>
    <w:rsid w:val="00FA694E"/>
    <w:rsid w:val="00FA7645"/>
    <w:rsid w:val="00FB10E3"/>
    <w:rsid w:val="00FB2044"/>
    <w:rsid w:val="00FB2EA9"/>
    <w:rsid w:val="00FB343F"/>
    <w:rsid w:val="00FB35F4"/>
    <w:rsid w:val="00FB5435"/>
    <w:rsid w:val="00FB57D3"/>
    <w:rsid w:val="00FB59AC"/>
    <w:rsid w:val="00FC0915"/>
    <w:rsid w:val="00FC2878"/>
    <w:rsid w:val="00FC39B1"/>
    <w:rsid w:val="00FC3E91"/>
    <w:rsid w:val="00FC4D00"/>
    <w:rsid w:val="00FC556D"/>
    <w:rsid w:val="00FC6758"/>
    <w:rsid w:val="00FC6932"/>
    <w:rsid w:val="00FC717E"/>
    <w:rsid w:val="00FC774C"/>
    <w:rsid w:val="00FD04A9"/>
    <w:rsid w:val="00FD16D3"/>
    <w:rsid w:val="00FD20A5"/>
    <w:rsid w:val="00FD20D9"/>
    <w:rsid w:val="00FD251A"/>
    <w:rsid w:val="00FD27F5"/>
    <w:rsid w:val="00FD3C27"/>
    <w:rsid w:val="00FD50F7"/>
    <w:rsid w:val="00FD78C7"/>
    <w:rsid w:val="00FE0264"/>
    <w:rsid w:val="00FE0B06"/>
    <w:rsid w:val="00FE30B3"/>
    <w:rsid w:val="00FE35A6"/>
    <w:rsid w:val="00FE3BB2"/>
    <w:rsid w:val="00FE4742"/>
    <w:rsid w:val="00FE4A51"/>
    <w:rsid w:val="00FE4A53"/>
    <w:rsid w:val="00FE7FAF"/>
    <w:rsid w:val="00FF0C9F"/>
    <w:rsid w:val="00FF0F47"/>
    <w:rsid w:val="00FF1143"/>
    <w:rsid w:val="00FF1F54"/>
    <w:rsid w:val="00FF22EB"/>
    <w:rsid w:val="00FF2E47"/>
    <w:rsid w:val="00FF4263"/>
    <w:rsid w:val="00FF4A19"/>
    <w:rsid w:val="00FF5C17"/>
    <w:rsid w:val="00FF7A3D"/>
    <w:rsid w:val="02C75FE9"/>
    <w:rsid w:val="07F17925"/>
    <w:rsid w:val="080D6E2D"/>
    <w:rsid w:val="0B77385B"/>
    <w:rsid w:val="0E1A0639"/>
    <w:rsid w:val="0EB273AA"/>
    <w:rsid w:val="0F401D95"/>
    <w:rsid w:val="130749ED"/>
    <w:rsid w:val="13D91AF6"/>
    <w:rsid w:val="169559CD"/>
    <w:rsid w:val="1B0A0228"/>
    <w:rsid w:val="1B614FAB"/>
    <w:rsid w:val="22126D2C"/>
    <w:rsid w:val="2E457C11"/>
    <w:rsid w:val="315D10EA"/>
    <w:rsid w:val="328D0A41"/>
    <w:rsid w:val="35A86BF2"/>
    <w:rsid w:val="3D8A0020"/>
    <w:rsid w:val="3ECC78E1"/>
    <w:rsid w:val="40B6269F"/>
    <w:rsid w:val="416C0E7D"/>
    <w:rsid w:val="419E4C5B"/>
    <w:rsid w:val="44910C5E"/>
    <w:rsid w:val="53C406DB"/>
    <w:rsid w:val="56034D38"/>
    <w:rsid w:val="5E5D5379"/>
    <w:rsid w:val="5EB81EA6"/>
    <w:rsid w:val="609F1C41"/>
    <w:rsid w:val="60D74CA8"/>
    <w:rsid w:val="62835AF3"/>
    <w:rsid w:val="64286B79"/>
    <w:rsid w:val="6AD22787"/>
    <w:rsid w:val="6B361F1A"/>
    <w:rsid w:val="6DEC1443"/>
    <w:rsid w:val="6F60188E"/>
    <w:rsid w:val="72867B12"/>
    <w:rsid w:val="75B1449E"/>
    <w:rsid w:val="767947D0"/>
    <w:rsid w:val="77F1621A"/>
    <w:rsid w:val="78580949"/>
    <w:rsid w:val="7A40353A"/>
    <w:rsid w:val="7AD05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ocked="1"/>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sdException w:qFormat="1" w:unhideWhenUsed="0" w:uiPriority="39" w:semiHidden="0" w:name="toc 2"/>
    <w:lsdException w:qFormat="1" w:unhideWhenUsed="0" w:uiPriority="39" w:semiHidden="0" w:name="toc 3" w:locked="1"/>
    <w:lsdException w:unhideWhenUsed="0"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ocked="1"/>
    <w:lsdException w:unhideWhenUsed="0" w:uiPriority="0" w:semiHidden="0" w:name="footnote text" w:locked="1"/>
    <w:lsdException w:unhideWhenUsed="0" w:uiPriority="0" w:semiHidden="0" w:name="annotation text" w:locked="1"/>
    <w:lsdException w:qFormat="1" w:unhideWhenUsed="0" w:uiPriority="99" w:semiHidden="0" w:name="header"/>
    <w:lsdException w:qFormat="1" w:unhideWhenUsed="0" w:uiPriority="0" w:semiHidden="0" w:name="footer"/>
    <w:lsdException w:uiPriority="0" w:name="index heading" w:locked="1"/>
    <w:lsdException w:qFormat="1" w:unhideWhenUsed="0" w:uiPriority="0" w:semiHidden="0" w:name="caption"/>
    <w:lsdException w:uiPriority="0" w:name="table of figures" w:locked="1"/>
    <w:lsdException w:uiPriority="0" w:name="envelope address" w:locked="1"/>
    <w:lsdException w:uiPriority="0" w:name="envelope return" w:locked="1"/>
    <w:lsdException w:unhideWhenUsed="0" w:uiPriority="0" w:semiHidden="0" w:name="footnote reference" w:locked="1"/>
    <w:lsdException w:qFormat="1" w:unhideWhenUsed="0" w:uiPriority="99" w:semiHidden="0" w:name="annotation reference" w:locked="1"/>
    <w:lsdException w:uiPriority="0" w:name="line number" w:locked="1"/>
    <w:lsdException w:qFormat="1" w:unhideWhenUsed="0" w:uiPriority="0" w:semiHidden="0" w:name="page number"/>
    <w:lsdException w:uiPriority="0" w:name="endnote reference" w:locked="1"/>
    <w:lsdException w:uiPriority="0" w:name="endnote text" w:locked="1"/>
    <w:lsdException w:unhideWhenUsed="0" w:uiPriority="0" w:semiHidden="0" w:name="table of authorities" w:locked="1"/>
    <w:lsdException w:uiPriority="0" w:name="macro" w:locked="1"/>
    <w:lsdException w:uiPriority="0" w:name="toa heading" w:locked="1"/>
    <w:lsdException w:unhideWhenUsed="0" w:uiPriority="0" w:semiHidden="0" w:name="List" w:locked="1"/>
    <w:lsdException w:unhideWhenUsed="0" w:uiPriority="0" w:semiHidden="0" w:name="List Bullet" w:locked="1"/>
    <w:lsdException w:uiPriority="0" w:name="List Number" w:locked="1"/>
    <w:lsdException w:unhideWhenUsed="0" w:uiPriority="0" w:semiHidden="0" w:name="List 2"/>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10" w:semiHidden="0" w:name="Title"/>
    <w:lsdException w:uiPriority="0" w:name="Closing" w:locked="1"/>
    <w:lsdException w:uiPriority="0" w:name="Signature" w:locked="1"/>
    <w:lsdException w:uiPriority="1" w:name="Default Paragraph Font"/>
    <w:lsdException w:unhideWhenUsed="0" w:uiPriority="0" w:semiHidden="0" w:name="Body Text" w:locked="1"/>
    <w:lsdException w:unhideWhenUsed="0" w:uiPriority="0" w:semiHidden="0" w:name="Body Text Indent" w:locked="1"/>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unhideWhenUsed="0" w:uiPriority="0" w:semiHidden="0" w:name="Subtitle"/>
    <w:lsdException w:uiPriority="0" w:name="Salutation" w:locked="1"/>
    <w:lsdException w:unhideWhenUsed="0" w:uiPriority="99" w:semiHidden="0" w:name="Date"/>
    <w:lsdException w:uiPriority="0" w:name="Body Text First Indent" w:locked="1"/>
    <w:lsdException w:uiPriority="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uiPriority="0" w:name="Block Text" w:locked="1"/>
    <w:lsdException w:unhideWhenUsed="0" w:uiPriority="99" w:semiHidden="0" w:name="Hyperlink"/>
    <w:lsdException w:uiPriority="0" w:semiHidden="0" w:name="FollowedHyperlink" w:locked="1"/>
    <w:lsdException w:qFormat="1" w:unhideWhenUsed="0" w:uiPriority="0" w:semiHidden="0" w:name="Strong"/>
    <w:lsdException w:qFormat="1" w:unhideWhenUsed="0" w:uiPriority="20" w:semiHidden="0" w:name="Emphasis" w:locked="1"/>
    <w:lsdException w:unhideWhenUsed="0" w:uiPriority="0" w:semiHidden="0" w:name="Document Map" w:locked="1"/>
    <w:lsdException w:unhideWhenUsed="0" w:uiPriority="0" w:semiHidden="0" w:name="Plain Text"/>
    <w:lsdException w:uiPriority="0" w:name="E-mail Signature" w:locked="1"/>
    <w:lsdException w:qFormat="1" w:uiPriority="0" w:semiHidden="0" w:name="Normal (Web)" w:locked="1"/>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uiPriority="99" w:name="Normal Table"/>
    <w:lsdException w:unhideWhenUsed="0" w:uiPriority="99" w:semiHidden="0" w:name="annotation subject" w:locked="1"/>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semiHidden="0" w:name="Balloon Text"/>
    <w:lsdException w:qFormat="1" w:unhideWhenUsed="0" w:uiPriority="59" w:semiHidden="0" w:name="Table Grid"/>
    <w:lsdException w:uiPriority="0" w:name="Table Theme" w:locked="1"/>
    <w:lsdException w:uiPriority="99" w:semiHidden="0" w:name="Placeholder Text"/>
    <w:lsdException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宋体" w:hAnsi="宋体" w:eastAsia="宋体" w:cs="宋体"/>
      <w:sz w:val="24"/>
      <w:szCs w:val="24"/>
      <w:lang w:val="en-US" w:eastAsia="zh-CN" w:bidi="ar-SA"/>
    </w:rPr>
  </w:style>
  <w:style w:type="paragraph" w:styleId="2">
    <w:name w:val="heading 1"/>
    <w:basedOn w:val="3"/>
    <w:next w:val="1"/>
    <w:link w:val="47"/>
    <w:qFormat/>
    <w:uiPriority w:val="0"/>
  </w:style>
  <w:style w:type="paragraph" w:styleId="6">
    <w:name w:val="heading 2"/>
    <w:basedOn w:val="4"/>
    <w:next w:val="1"/>
    <w:link w:val="48"/>
    <w:qFormat/>
    <w:uiPriority w:val="0"/>
  </w:style>
  <w:style w:type="paragraph" w:styleId="7">
    <w:name w:val="heading 3"/>
    <w:basedOn w:val="1"/>
    <w:next w:val="1"/>
    <w:link w:val="49"/>
    <w:qFormat/>
    <w:locked/>
    <w:uiPriority w:val="0"/>
    <w:pPr>
      <w:keepNext/>
      <w:keepLines/>
      <w:spacing w:before="260" w:after="260" w:line="416" w:lineRule="auto"/>
      <w:outlineLvl w:val="2"/>
    </w:pPr>
    <w:rPr>
      <w:rFonts w:ascii="Calibri" w:hAnsi="Calibri"/>
      <w:b/>
      <w:bCs/>
      <w:sz w:val="32"/>
      <w:szCs w:val="32"/>
    </w:rPr>
  </w:style>
  <w:style w:type="paragraph" w:styleId="8">
    <w:name w:val="heading 4"/>
    <w:basedOn w:val="2"/>
    <w:next w:val="9"/>
    <w:link w:val="216"/>
    <w:qFormat/>
    <w:uiPriority w:val="0"/>
    <w:pPr>
      <w:keepNext/>
      <w:keepLines/>
      <w:widowControl w:val="0"/>
      <w:tabs>
        <w:tab w:val="left" w:pos="432"/>
        <w:tab w:val="left" w:pos="864"/>
        <w:tab w:val="left" w:pos="4392"/>
      </w:tabs>
      <w:adjustRightInd w:val="0"/>
      <w:spacing w:beforeLines="0" w:after="120" w:line="240" w:lineRule="auto"/>
      <w:ind w:left="864" w:hanging="864"/>
      <w:jc w:val="left"/>
      <w:textAlignment w:val="baseline"/>
      <w:outlineLvl w:val="3"/>
    </w:pPr>
    <w:rPr>
      <w:rFonts w:hAnsi="Tahoma" w:eastAsia="黑体"/>
      <w:bCs w:val="0"/>
      <w:kern w:val="0"/>
      <w:sz w:val="21"/>
      <w:szCs w:val="21"/>
    </w:rPr>
  </w:style>
  <w:style w:type="paragraph" w:styleId="10">
    <w:name w:val="heading 5"/>
    <w:basedOn w:val="7"/>
    <w:next w:val="9"/>
    <w:link w:val="217"/>
    <w:qFormat/>
    <w:uiPriority w:val="0"/>
    <w:pPr>
      <w:keepNext w:val="0"/>
      <w:keepLines w:val="0"/>
      <w:widowControl w:val="0"/>
      <w:tabs>
        <w:tab w:val="left" w:pos="432"/>
        <w:tab w:val="left" w:pos="720"/>
        <w:tab w:val="left" w:pos="1008"/>
        <w:tab w:val="left" w:pos="4392"/>
      </w:tabs>
      <w:adjustRightInd w:val="0"/>
      <w:spacing w:before="0" w:after="0" w:line="240" w:lineRule="auto"/>
      <w:ind w:left="1008" w:hanging="1008"/>
      <w:jc w:val="both"/>
      <w:textAlignment w:val="baseline"/>
      <w:outlineLvl w:val="4"/>
    </w:pPr>
    <w:rPr>
      <w:rFonts w:ascii="Times New Roman" w:hAnsi="Times New Roman" w:cs="Times New Roman"/>
      <w:b w:val="0"/>
      <w:bCs w:val="0"/>
      <w:sz w:val="21"/>
      <w:szCs w:val="21"/>
    </w:rPr>
  </w:style>
  <w:style w:type="paragraph" w:styleId="11">
    <w:name w:val="heading 6"/>
    <w:basedOn w:val="1"/>
    <w:next w:val="1"/>
    <w:link w:val="218"/>
    <w:qFormat/>
    <w:uiPriority w:val="0"/>
    <w:pPr>
      <w:keepNext/>
      <w:widowControl w:val="0"/>
      <w:tabs>
        <w:tab w:val="left" w:pos="1152"/>
      </w:tabs>
      <w:ind w:left="1152" w:hanging="1152"/>
      <w:jc w:val="both"/>
      <w:outlineLvl w:val="5"/>
    </w:pPr>
    <w:rPr>
      <w:rFonts w:ascii="Times New Roman" w:hAnsi="Times New Roman" w:cs="Times New Roman"/>
      <w:i/>
      <w:iCs/>
      <w:color w:val="000000"/>
      <w:kern w:val="2"/>
      <w:sz w:val="22"/>
      <w:szCs w:val="22"/>
    </w:rPr>
  </w:style>
  <w:style w:type="character" w:default="1" w:styleId="39">
    <w:name w:val="Default Paragraph Font"/>
    <w:semiHidden/>
    <w:unhideWhenUsed/>
    <w:uiPriority w:val="1"/>
  </w:style>
  <w:style w:type="table" w:default="1" w:styleId="37">
    <w:name w:val="Normal Table"/>
    <w:semiHidden/>
    <w:unhideWhenUsed/>
    <w:uiPriority w:val="99"/>
    <w:tblPr>
      <w:tblCellMar>
        <w:top w:w="0" w:type="dxa"/>
        <w:left w:w="108" w:type="dxa"/>
        <w:bottom w:w="0" w:type="dxa"/>
        <w:right w:w="108" w:type="dxa"/>
      </w:tblCellMar>
    </w:tblPr>
  </w:style>
  <w:style w:type="paragraph" w:customStyle="1" w:styleId="3">
    <w:name w:val="CECS标准一级标题"/>
    <w:next w:val="4"/>
    <w:link w:val="118"/>
    <w:autoRedefine/>
    <w:uiPriority w:val="0"/>
    <w:pPr>
      <w:spacing w:before="120" w:beforeLines="50" w:line="360" w:lineRule="auto"/>
      <w:jc w:val="center"/>
      <w:outlineLvl w:val="0"/>
    </w:pPr>
    <w:rPr>
      <w:rFonts w:ascii="宋体" w:hAnsi="宋体" w:eastAsia="宋体" w:cs="Times New Roman"/>
      <w:b/>
      <w:bCs/>
      <w:kern w:val="2"/>
      <w:sz w:val="28"/>
      <w:szCs w:val="22"/>
      <w:lang w:val="en-US" w:eastAsia="zh-CN" w:bidi="ar-SA"/>
    </w:rPr>
  </w:style>
  <w:style w:type="paragraph" w:customStyle="1" w:styleId="4">
    <w:name w:val="CECS标准二级标题"/>
    <w:basedOn w:val="3"/>
    <w:next w:val="5"/>
    <w:link w:val="119"/>
    <w:uiPriority w:val="0"/>
    <w:pPr>
      <w:spacing w:after="120" w:afterLines="50"/>
      <w:outlineLvl w:val="1"/>
    </w:pPr>
    <w:rPr>
      <w:sz w:val="24"/>
    </w:rPr>
  </w:style>
  <w:style w:type="paragraph" w:customStyle="1" w:styleId="5">
    <w:name w:val="CECS标准-正文"/>
    <w:basedOn w:val="1"/>
    <w:link w:val="115"/>
    <w:uiPriority w:val="0"/>
    <w:pPr>
      <w:adjustRightInd w:val="0"/>
      <w:snapToGrid w:val="0"/>
      <w:spacing w:line="360" w:lineRule="auto"/>
    </w:pPr>
    <w:rPr>
      <w:bCs/>
    </w:rPr>
  </w:style>
  <w:style w:type="paragraph" w:styleId="9">
    <w:name w:val="Normal Indent"/>
    <w:basedOn w:val="1"/>
    <w:link w:val="220"/>
    <w:locked/>
    <w:uiPriority w:val="0"/>
    <w:pPr>
      <w:widowControl w:val="0"/>
      <w:ind w:firstLine="420" w:firstLineChars="200"/>
      <w:jc w:val="both"/>
    </w:pPr>
    <w:rPr>
      <w:rFonts w:ascii="Times New Roman" w:hAnsi="Times New Roman" w:cs="Times New Roman"/>
      <w:kern w:val="2"/>
      <w:sz w:val="28"/>
    </w:rPr>
  </w:style>
  <w:style w:type="paragraph" w:styleId="12">
    <w:name w:val="toc 7"/>
    <w:basedOn w:val="1"/>
    <w:next w:val="1"/>
    <w:autoRedefine/>
    <w:unhideWhenUsed/>
    <w:uiPriority w:val="39"/>
    <w:pPr>
      <w:widowControl w:val="0"/>
      <w:ind w:left="2520" w:leftChars="1200"/>
      <w:jc w:val="both"/>
    </w:pPr>
    <w:rPr>
      <w:rFonts w:ascii="Calibri" w:hAnsi="Calibri" w:cs="Times New Roman"/>
      <w:kern w:val="2"/>
      <w:sz w:val="28"/>
      <w:szCs w:val="22"/>
    </w:rPr>
  </w:style>
  <w:style w:type="paragraph" w:styleId="13">
    <w:name w:val="caption"/>
    <w:basedOn w:val="1"/>
    <w:next w:val="1"/>
    <w:qFormat/>
    <w:uiPriority w:val="0"/>
    <w:pPr>
      <w:widowControl w:val="0"/>
      <w:jc w:val="both"/>
    </w:pPr>
    <w:rPr>
      <w:rFonts w:ascii="Calibri Light" w:hAnsi="Calibri Light" w:eastAsia="黑体" w:cs="Times New Roman"/>
      <w:kern w:val="2"/>
      <w:sz w:val="20"/>
      <w:szCs w:val="20"/>
    </w:rPr>
  </w:style>
  <w:style w:type="paragraph" w:styleId="14">
    <w:name w:val="Document Map"/>
    <w:basedOn w:val="1"/>
    <w:link w:val="227"/>
    <w:locked/>
    <w:uiPriority w:val="0"/>
    <w:pPr>
      <w:widowControl w:val="0"/>
      <w:jc w:val="both"/>
    </w:pPr>
    <w:rPr>
      <w:rFonts w:hAnsi="Times New Roman" w:cs="Times New Roman"/>
      <w:kern w:val="2"/>
      <w:sz w:val="18"/>
      <w:szCs w:val="18"/>
    </w:rPr>
  </w:style>
  <w:style w:type="paragraph" w:styleId="15">
    <w:name w:val="annotation text"/>
    <w:basedOn w:val="1"/>
    <w:link w:val="50"/>
    <w:locked/>
    <w:uiPriority w:val="0"/>
  </w:style>
  <w:style w:type="paragraph" w:styleId="16">
    <w:name w:val="Body Text"/>
    <w:basedOn w:val="1"/>
    <w:link w:val="128"/>
    <w:locked/>
    <w:uiPriority w:val="0"/>
    <w:pPr>
      <w:ind w:firstLine="480" w:firstLineChars="200"/>
    </w:pPr>
  </w:style>
  <w:style w:type="paragraph" w:styleId="17">
    <w:name w:val="Body Text Indent"/>
    <w:basedOn w:val="1"/>
    <w:link w:val="224"/>
    <w:locked/>
    <w:uiPriority w:val="0"/>
    <w:pPr>
      <w:widowControl w:val="0"/>
      <w:ind w:firstLine="420"/>
      <w:jc w:val="both"/>
    </w:pPr>
    <w:rPr>
      <w:rFonts w:ascii="Times New Roman" w:hAnsi="Times New Roman" w:eastAsia="楷体_GB2312" w:cs="Times New Roman"/>
      <w:color w:val="0000FF"/>
      <w:kern w:val="2"/>
      <w:sz w:val="21"/>
      <w:szCs w:val="21"/>
    </w:rPr>
  </w:style>
  <w:style w:type="paragraph" w:styleId="18">
    <w:name w:val="List 2"/>
    <w:basedOn w:val="1"/>
    <w:uiPriority w:val="0"/>
    <w:pPr>
      <w:ind w:left="100" w:leftChars="200" w:hanging="200" w:hangingChars="200"/>
    </w:pPr>
  </w:style>
  <w:style w:type="paragraph" w:styleId="19">
    <w:name w:val="toc 5"/>
    <w:basedOn w:val="1"/>
    <w:next w:val="1"/>
    <w:autoRedefine/>
    <w:unhideWhenUsed/>
    <w:uiPriority w:val="39"/>
    <w:pPr>
      <w:widowControl w:val="0"/>
      <w:ind w:left="1680" w:leftChars="800"/>
      <w:jc w:val="both"/>
    </w:pPr>
    <w:rPr>
      <w:rFonts w:ascii="Calibri" w:hAnsi="Calibri" w:cs="Times New Roman"/>
      <w:kern w:val="2"/>
      <w:sz w:val="28"/>
      <w:szCs w:val="22"/>
    </w:rPr>
  </w:style>
  <w:style w:type="paragraph" w:styleId="20">
    <w:name w:val="toc 3"/>
    <w:basedOn w:val="1"/>
    <w:next w:val="1"/>
    <w:qFormat/>
    <w:locked/>
    <w:uiPriority w:val="39"/>
    <w:pPr>
      <w:ind w:left="840" w:leftChars="400"/>
    </w:pPr>
  </w:style>
  <w:style w:type="paragraph" w:styleId="21">
    <w:name w:val="Plain Text"/>
    <w:basedOn w:val="1"/>
    <w:link w:val="51"/>
    <w:uiPriority w:val="0"/>
    <w:rPr>
      <w:rFonts w:hAnsi="Courier New"/>
    </w:rPr>
  </w:style>
  <w:style w:type="paragraph" w:styleId="22">
    <w:name w:val="toc 8"/>
    <w:basedOn w:val="1"/>
    <w:next w:val="1"/>
    <w:autoRedefine/>
    <w:unhideWhenUsed/>
    <w:uiPriority w:val="39"/>
    <w:pPr>
      <w:widowControl w:val="0"/>
      <w:ind w:left="2940" w:leftChars="1400"/>
      <w:jc w:val="both"/>
    </w:pPr>
    <w:rPr>
      <w:rFonts w:ascii="Calibri" w:hAnsi="Calibri" w:cs="Times New Roman"/>
      <w:kern w:val="2"/>
      <w:sz w:val="28"/>
      <w:szCs w:val="22"/>
    </w:rPr>
  </w:style>
  <w:style w:type="paragraph" w:styleId="23">
    <w:name w:val="Date"/>
    <w:basedOn w:val="1"/>
    <w:next w:val="1"/>
    <w:link w:val="52"/>
    <w:uiPriority w:val="99"/>
    <w:rPr>
      <w:sz w:val="20"/>
      <w:szCs w:val="20"/>
    </w:rPr>
  </w:style>
  <w:style w:type="paragraph" w:styleId="24">
    <w:name w:val="Balloon Text"/>
    <w:basedOn w:val="1"/>
    <w:link w:val="53"/>
    <w:uiPriority w:val="0"/>
    <w:rPr>
      <w:sz w:val="18"/>
      <w:szCs w:val="18"/>
    </w:rPr>
  </w:style>
  <w:style w:type="paragraph" w:styleId="25">
    <w:name w:val="footer"/>
    <w:basedOn w:val="1"/>
    <w:link w:val="54"/>
    <w:qFormat/>
    <w:uiPriority w:val="0"/>
    <w:pPr>
      <w:tabs>
        <w:tab w:val="center" w:pos="4153"/>
        <w:tab w:val="right" w:pos="8306"/>
      </w:tabs>
      <w:snapToGrid w:val="0"/>
    </w:pPr>
    <w:rPr>
      <w:rFonts w:ascii="Calibri" w:hAnsi="Calibri"/>
      <w:sz w:val="18"/>
      <w:szCs w:val="18"/>
    </w:rPr>
  </w:style>
  <w:style w:type="paragraph" w:styleId="26">
    <w:name w:val="header"/>
    <w:basedOn w:val="1"/>
    <w:link w:val="55"/>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27">
    <w:name w:val="toc 1"/>
    <w:basedOn w:val="1"/>
    <w:next w:val="1"/>
    <w:qFormat/>
    <w:uiPriority w:val="39"/>
  </w:style>
  <w:style w:type="paragraph" w:styleId="28">
    <w:name w:val="toc 4"/>
    <w:basedOn w:val="1"/>
    <w:next w:val="1"/>
    <w:autoRedefine/>
    <w:uiPriority w:val="39"/>
    <w:pPr>
      <w:widowControl w:val="0"/>
      <w:ind w:left="1260" w:leftChars="600"/>
      <w:jc w:val="both"/>
    </w:pPr>
    <w:rPr>
      <w:rFonts w:ascii="Times New Roman" w:hAnsi="Times New Roman" w:cs="Times New Roman"/>
      <w:kern w:val="2"/>
      <w:sz w:val="28"/>
    </w:rPr>
  </w:style>
  <w:style w:type="paragraph" w:styleId="29">
    <w:name w:val="List"/>
    <w:basedOn w:val="1"/>
    <w:locked/>
    <w:uiPriority w:val="0"/>
    <w:pPr>
      <w:ind w:left="200" w:hanging="200" w:hangingChars="200"/>
      <w:contextualSpacing/>
    </w:pPr>
  </w:style>
  <w:style w:type="paragraph" w:styleId="30">
    <w:name w:val="footnote text"/>
    <w:basedOn w:val="1"/>
    <w:link w:val="221"/>
    <w:locked/>
    <w:uiPriority w:val="0"/>
    <w:pPr>
      <w:widowControl w:val="0"/>
      <w:snapToGrid w:val="0"/>
    </w:pPr>
    <w:rPr>
      <w:rFonts w:ascii="Times New Roman" w:hAnsi="Times New Roman" w:cs="Times New Roman"/>
      <w:kern w:val="2"/>
      <w:sz w:val="18"/>
      <w:szCs w:val="18"/>
    </w:rPr>
  </w:style>
  <w:style w:type="paragraph" w:styleId="31">
    <w:name w:val="toc 6"/>
    <w:basedOn w:val="1"/>
    <w:next w:val="1"/>
    <w:autoRedefine/>
    <w:unhideWhenUsed/>
    <w:uiPriority w:val="39"/>
    <w:pPr>
      <w:widowControl w:val="0"/>
      <w:ind w:left="2100" w:leftChars="1000"/>
      <w:jc w:val="both"/>
    </w:pPr>
    <w:rPr>
      <w:rFonts w:ascii="Calibri" w:hAnsi="Calibri" w:cs="Times New Roman"/>
      <w:kern w:val="2"/>
      <w:sz w:val="28"/>
      <w:szCs w:val="22"/>
    </w:rPr>
  </w:style>
  <w:style w:type="paragraph" w:styleId="32">
    <w:name w:val="toc 2"/>
    <w:basedOn w:val="1"/>
    <w:next w:val="1"/>
    <w:qFormat/>
    <w:uiPriority w:val="39"/>
    <w:pPr>
      <w:ind w:left="420" w:leftChars="200"/>
    </w:pPr>
  </w:style>
  <w:style w:type="paragraph" w:styleId="33">
    <w:name w:val="toc 9"/>
    <w:basedOn w:val="1"/>
    <w:next w:val="1"/>
    <w:autoRedefine/>
    <w:unhideWhenUsed/>
    <w:uiPriority w:val="39"/>
    <w:pPr>
      <w:widowControl w:val="0"/>
      <w:ind w:left="3360" w:leftChars="1600"/>
      <w:jc w:val="both"/>
    </w:pPr>
    <w:rPr>
      <w:rFonts w:ascii="Calibri" w:hAnsi="Calibri" w:cs="Times New Roman"/>
      <w:kern w:val="2"/>
      <w:sz w:val="28"/>
      <w:szCs w:val="22"/>
    </w:rPr>
  </w:style>
  <w:style w:type="paragraph" w:styleId="34">
    <w:name w:val="Normal (Web)"/>
    <w:basedOn w:val="1"/>
    <w:unhideWhenUsed/>
    <w:qFormat/>
    <w:locked/>
    <w:uiPriority w:val="0"/>
    <w:pPr>
      <w:spacing w:before="100" w:beforeAutospacing="1" w:after="100" w:afterAutospacing="1"/>
    </w:pPr>
  </w:style>
  <w:style w:type="paragraph" w:styleId="35">
    <w:name w:val="Title"/>
    <w:basedOn w:val="1"/>
    <w:next w:val="1"/>
    <w:link w:val="271"/>
    <w:qFormat/>
    <w:uiPriority w:val="10"/>
    <w:pPr>
      <w:widowControl w:val="0"/>
      <w:numPr>
        <w:ilvl w:val="2"/>
        <w:numId w:val="1"/>
      </w:numPr>
      <w:spacing w:line="360" w:lineRule="exact"/>
      <w:jc w:val="both"/>
    </w:pPr>
    <w:rPr>
      <w:rFonts w:ascii="Times New Roman" w:hAnsi="Times New Roman" w:cs="Times New Roman"/>
      <w:snapToGrid w:val="0"/>
      <w:color w:val="000000"/>
      <w:sz w:val="28"/>
      <w:szCs w:val="21"/>
    </w:rPr>
  </w:style>
  <w:style w:type="paragraph" w:styleId="36">
    <w:name w:val="annotation subject"/>
    <w:basedOn w:val="15"/>
    <w:next w:val="15"/>
    <w:link w:val="56"/>
    <w:locked/>
    <w:uiPriority w:val="99"/>
    <w:rPr>
      <w:b/>
      <w:bCs/>
    </w:rPr>
  </w:style>
  <w:style w:type="table" w:styleId="38">
    <w:name w:val="Table Grid"/>
    <w:basedOn w:val="37"/>
    <w:autoRedefine/>
    <w:qFormat/>
    <w:uiPriority w:val="59"/>
    <w:rPr>
      <w:rFonts w:ascii="宋体" w:cs="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0">
    <w:name w:val="Strong"/>
    <w:qFormat/>
    <w:uiPriority w:val="0"/>
    <w:rPr>
      <w:b/>
      <w:bCs/>
    </w:rPr>
  </w:style>
  <w:style w:type="character" w:styleId="41">
    <w:name w:val="page number"/>
    <w:autoRedefine/>
    <w:qFormat/>
    <w:uiPriority w:val="0"/>
    <w:rPr>
      <w:rFonts w:cs="Times New Roman"/>
    </w:rPr>
  </w:style>
  <w:style w:type="character" w:styleId="42">
    <w:name w:val="FollowedHyperlink"/>
    <w:unhideWhenUsed/>
    <w:locked/>
    <w:uiPriority w:val="0"/>
    <w:rPr>
      <w:color w:val="954F72"/>
      <w:u w:val="single"/>
    </w:rPr>
  </w:style>
  <w:style w:type="character" w:styleId="43">
    <w:name w:val="Emphasis"/>
    <w:autoRedefine/>
    <w:qFormat/>
    <w:locked/>
    <w:uiPriority w:val="20"/>
    <w:rPr>
      <w:rFonts w:cs="Times New Roman"/>
      <w:i/>
      <w:iCs/>
    </w:rPr>
  </w:style>
  <w:style w:type="character" w:styleId="44">
    <w:name w:val="Hyperlink"/>
    <w:uiPriority w:val="99"/>
    <w:rPr>
      <w:rFonts w:cs="Times New Roman"/>
      <w:color w:val="0000FF"/>
      <w:u w:val="single"/>
    </w:rPr>
  </w:style>
  <w:style w:type="character" w:styleId="45">
    <w:name w:val="annotation reference"/>
    <w:autoRedefine/>
    <w:qFormat/>
    <w:locked/>
    <w:uiPriority w:val="99"/>
    <w:rPr>
      <w:sz w:val="21"/>
      <w:szCs w:val="21"/>
    </w:rPr>
  </w:style>
  <w:style w:type="character" w:styleId="46">
    <w:name w:val="footnote reference"/>
    <w:locked/>
    <w:uiPriority w:val="0"/>
    <w:rPr>
      <w:vertAlign w:val="superscript"/>
    </w:rPr>
  </w:style>
  <w:style w:type="character" w:customStyle="1" w:styleId="47">
    <w:name w:val="标题 1 字符4"/>
    <w:link w:val="2"/>
    <w:locked/>
    <w:uiPriority w:val="0"/>
    <w:rPr>
      <w:rFonts w:ascii="宋体" w:hAnsi="宋体"/>
      <w:b/>
      <w:bCs/>
      <w:kern w:val="2"/>
      <w:sz w:val="28"/>
      <w:szCs w:val="22"/>
    </w:rPr>
  </w:style>
  <w:style w:type="character" w:customStyle="1" w:styleId="48">
    <w:name w:val="标题 2 字符3"/>
    <w:link w:val="6"/>
    <w:locked/>
    <w:uiPriority w:val="0"/>
    <w:rPr>
      <w:rFonts w:ascii="宋体" w:hAnsi="宋体"/>
      <w:b/>
      <w:bCs/>
      <w:kern w:val="2"/>
      <w:sz w:val="24"/>
      <w:szCs w:val="22"/>
    </w:rPr>
  </w:style>
  <w:style w:type="character" w:customStyle="1" w:styleId="49">
    <w:name w:val="标题 3 字符3"/>
    <w:link w:val="7"/>
    <w:locked/>
    <w:uiPriority w:val="0"/>
    <w:rPr>
      <w:rFonts w:eastAsia="宋体" w:cs="Times New Roman"/>
      <w:b/>
      <w:bCs/>
      <w:kern w:val="2"/>
      <w:sz w:val="32"/>
      <w:szCs w:val="32"/>
      <w:lang w:val="en-US" w:eastAsia="zh-CN"/>
    </w:rPr>
  </w:style>
  <w:style w:type="character" w:customStyle="1" w:styleId="50">
    <w:name w:val="批注文字 字符3"/>
    <w:link w:val="15"/>
    <w:uiPriority w:val="0"/>
    <w:rPr>
      <w:rFonts w:ascii="Times New Roman" w:hAnsi="Times New Roman"/>
      <w:kern w:val="2"/>
      <w:sz w:val="21"/>
      <w:szCs w:val="21"/>
    </w:rPr>
  </w:style>
  <w:style w:type="character" w:customStyle="1" w:styleId="51">
    <w:name w:val="纯文本 字符3"/>
    <w:link w:val="21"/>
    <w:locked/>
    <w:uiPriority w:val="0"/>
    <w:rPr>
      <w:rFonts w:ascii="宋体" w:hAnsi="Courier New" w:eastAsia="宋体" w:cs="宋体"/>
      <w:sz w:val="21"/>
      <w:szCs w:val="21"/>
    </w:rPr>
  </w:style>
  <w:style w:type="character" w:customStyle="1" w:styleId="52">
    <w:name w:val="日期 字符3"/>
    <w:link w:val="23"/>
    <w:locked/>
    <w:uiPriority w:val="0"/>
    <w:rPr>
      <w:rFonts w:ascii="Times New Roman" w:hAnsi="Times New Roman" w:eastAsia="宋体" w:cs="Times New Roman"/>
      <w:sz w:val="20"/>
      <w:szCs w:val="20"/>
    </w:rPr>
  </w:style>
  <w:style w:type="character" w:customStyle="1" w:styleId="53">
    <w:name w:val="批注框文本 字符3"/>
    <w:link w:val="24"/>
    <w:semiHidden/>
    <w:locked/>
    <w:uiPriority w:val="0"/>
    <w:rPr>
      <w:rFonts w:ascii="Times New Roman" w:hAnsi="Times New Roman" w:eastAsia="宋体" w:cs="Times New Roman"/>
      <w:sz w:val="18"/>
      <w:szCs w:val="18"/>
    </w:rPr>
  </w:style>
  <w:style w:type="character" w:customStyle="1" w:styleId="54">
    <w:name w:val="页脚 字符3"/>
    <w:link w:val="25"/>
    <w:locked/>
    <w:uiPriority w:val="99"/>
    <w:rPr>
      <w:rFonts w:cs="Times New Roman"/>
      <w:sz w:val="18"/>
      <w:szCs w:val="18"/>
    </w:rPr>
  </w:style>
  <w:style w:type="character" w:customStyle="1" w:styleId="55">
    <w:name w:val="页眉 字符3"/>
    <w:link w:val="26"/>
    <w:locked/>
    <w:uiPriority w:val="0"/>
    <w:rPr>
      <w:rFonts w:cs="Times New Roman"/>
      <w:sz w:val="18"/>
      <w:szCs w:val="18"/>
    </w:rPr>
  </w:style>
  <w:style w:type="character" w:customStyle="1" w:styleId="56">
    <w:name w:val="批注主题 字符3"/>
    <w:link w:val="36"/>
    <w:uiPriority w:val="0"/>
    <w:rPr>
      <w:rFonts w:ascii="Times New Roman" w:hAnsi="Times New Roman"/>
      <w:b/>
      <w:bCs/>
      <w:kern w:val="2"/>
      <w:sz w:val="21"/>
      <w:szCs w:val="21"/>
    </w:rPr>
  </w:style>
  <w:style w:type="character" w:customStyle="1" w:styleId="57">
    <w:name w:val="段 Char Char"/>
    <w:autoRedefine/>
    <w:qFormat/>
    <w:uiPriority w:val="0"/>
    <w:rPr>
      <w:rFonts w:ascii="宋体" w:cs="宋体"/>
      <w:sz w:val="21"/>
      <w:szCs w:val="21"/>
      <w:lang w:val="en-US" w:eastAsia="zh-CN"/>
    </w:rPr>
  </w:style>
  <w:style w:type="character" w:customStyle="1" w:styleId="58">
    <w:name w:val="发布"/>
    <w:autoRedefine/>
    <w:qFormat/>
    <w:uiPriority w:val="0"/>
    <w:rPr>
      <w:rFonts w:ascii="黑体" w:eastAsia="黑体" w:cs="黑体"/>
      <w:spacing w:val="22"/>
      <w:w w:val="100"/>
      <w:position w:val="3"/>
      <w:sz w:val="28"/>
      <w:szCs w:val="28"/>
    </w:rPr>
  </w:style>
  <w:style w:type="character" w:customStyle="1" w:styleId="59">
    <w:name w:val="段 Char"/>
    <w:link w:val="60"/>
    <w:autoRedefine/>
    <w:qFormat/>
    <w:locked/>
    <w:uiPriority w:val="0"/>
    <w:rPr>
      <w:rFonts w:ascii="宋体" w:hAnsi="Times New Roman" w:cs="宋体"/>
      <w:sz w:val="21"/>
      <w:szCs w:val="21"/>
      <w:lang w:val="en-US" w:eastAsia="zh-CN" w:bidi="ar-SA"/>
    </w:rPr>
  </w:style>
  <w:style w:type="paragraph" w:customStyle="1" w:styleId="60">
    <w:name w:val="段"/>
    <w:link w:val="59"/>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宋体"/>
      <w:sz w:val="21"/>
      <w:szCs w:val="21"/>
      <w:lang w:val="en-US" w:eastAsia="zh-CN" w:bidi="ar-SA"/>
    </w:rPr>
  </w:style>
  <w:style w:type="character" w:customStyle="1" w:styleId="61">
    <w:name w:val="wbtr_mn1"/>
    <w:autoRedefine/>
    <w:qFormat/>
    <w:uiPriority w:val="0"/>
    <w:rPr>
      <w:rFonts w:ascii="Arial" w:hAnsi="Arial" w:cs="Arial"/>
      <w:sz w:val="24"/>
      <w:szCs w:val="24"/>
    </w:rPr>
  </w:style>
  <w:style w:type="character" w:customStyle="1" w:styleId="62">
    <w:name w:val="apple-converted-space"/>
    <w:uiPriority w:val="0"/>
  </w:style>
  <w:style w:type="paragraph" w:customStyle="1" w:styleId="63">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4">
    <w:name w:val="正文（章）居中-标题3"/>
    <w:basedOn w:val="1"/>
    <w:uiPriority w:val="0"/>
    <w:pPr>
      <w:adjustRightInd w:val="0"/>
      <w:snapToGrid w:val="0"/>
      <w:spacing w:before="624" w:beforeLines="200" w:after="156" w:afterLines="50"/>
      <w:ind w:left="3660"/>
      <w:jc w:val="center"/>
      <w:outlineLvl w:val="2"/>
    </w:pPr>
    <w:rPr>
      <w:rFonts w:ascii="Arial" w:hAnsi="Arial" w:eastAsia="黑体"/>
      <w:b/>
      <w:bCs/>
      <w:sz w:val="30"/>
      <w:szCs w:val="20"/>
    </w:rPr>
  </w:style>
  <w:style w:type="paragraph" w:customStyle="1" w:styleId="65">
    <w:name w:val="封面标准文稿类别"/>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66">
    <w:name w:val="Char Char Char1 Char"/>
    <w:basedOn w:val="1"/>
    <w:uiPriority w:val="0"/>
    <w:pPr>
      <w:spacing w:after="160" w:line="240" w:lineRule="exact"/>
    </w:pPr>
    <w:rPr>
      <w:rFonts w:ascii="Arial" w:hAnsi="Arial" w:cs="Arial"/>
      <w:b/>
      <w:bCs/>
      <w:lang w:eastAsia="en-US"/>
    </w:rPr>
  </w:style>
  <w:style w:type="paragraph" w:customStyle="1" w:styleId="67">
    <w:name w:val="列项——（一级）"/>
    <w:uiPriority w:val="0"/>
    <w:pPr>
      <w:widowControl w:val="0"/>
      <w:ind w:left="833" w:hanging="408"/>
      <w:jc w:val="both"/>
    </w:pPr>
    <w:rPr>
      <w:rFonts w:ascii="宋体" w:hAnsi="Times New Roman" w:eastAsia="宋体" w:cs="宋体"/>
      <w:sz w:val="21"/>
      <w:szCs w:val="21"/>
      <w:lang w:val="en-US" w:eastAsia="zh-CN" w:bidi="ar-SA"/>
    </w:rPr>
  </w:style>
  <w:style w:type="paragraph" w:customStyle="1" w:styleId="68">
    <w:name w:val="正文表标题"/>
    <w:next w:val="60"/>
    <w:qFormat/>
    <w:uiPriority w:val="0"/>
    <w:pPr>
      <w:tabs>
        <w:tab w:val="left" w:pos="720"/>
      </w:tabs>
      <w:spacing w:beforeLines="50" w:afterLines="50"/>
      <w:ind w:left="720" w:hanging="720"/>
      <w:jc w:val="center"/>
    </w:pPr>
    <w:rPr>
      <w:rFonts w:ascii="黑体" w:hAnsi="Times New Roman" w:eastAsia="黑体" w:cs="黑体"/>
      <w:sz w:val="21"/>
      <w:szCs w:val="21"/>
      <w:lang w:val="en-US" w:eastAsia="zh-CN" w:bidi="ar-SA"/>
    </w:rPr>
  </w:style>
  <w:style w:type="paragraph" w:customStyle="1" w:styleId="69">
    <w:name w:val="章标题"/>
    <w:next w:val="60"/>
    <w:link w:val="70"/>
    <w:qFormat/>
    <w:uiPriority w:val="0"/>
    <w:pPr>
      <w:spacing w:beforeLines="100" w:afterLines="100"/>
      <w:jc w:val="both"/>
      <w:outlineLvl w:val="1"/>
    </w:pPr>
    <w:rPr>
      <w:rFonts w:ascii="黑体" w:hAnsi="Times New Roman" w:eastAsia="黑体" w:cs="黑体"/>
      <w:sz w:val="21"/>
      <w:szCs w:val="21"/>
      <w:lang w:val="en-US" w:eastAsia="zh-CN" w:bidi="ar-SA"/>
    </w:rPr>
  </w:style>
  <w:style w:type="character" w:customStyle="1" w:styleId="70">
    <w:name w:val="章标题 Char"/>
    <w:link w:val="69"/>
    <w:qFormat/>
    <w:locked/>
    <w:uiPriority w:val="0"/>
    <w:rPr>
      <w:rFonts w:ascii="黑体" w:eastAsia="黑体" w:cs="黑体"/>
      <w:sz w:val="21"/>
      <w:szCs w:val="21"/>
    </w:rPr>
  </w:style>
  <w:style w:type="paragraph" w:customStyle="1" w:styleId="71">
    <w:name w:val="一级条标题"/>
    <w:next w:val="60"/>
    <w:qFormat/>
    <w:uiPriority w:val="0"/>
    <w:pPr>
      <w:spacing w:beforeLines="50" w:afterLines="50"/>
      <w:outlineLvl w:val="2"/>
    </w:pPr>
    <w:rPr>
      <w:rFonts w:ascii="黑体" w:hAnsi="Times New Roman" w:eastAsia="黑体" w:cs="黑体"/>
      <w:sz w:val="21"/>
      <w:szCs w:val="21"/>
      <w:lang w:val="en-US" w:eastAsia="zh-CN" w:bidi="ar-SA"/>
    </w:rPr>
  </w:style>
  <w:style w:type="paragraph" w:customStyle="1" w:styleId="72">
    <w:name w:val="封面一致性程度标识"/>
    <w:uiPriority w:val="0"/>
    <w:pPr>
      <w:spacing w:before="440" w:line="400" w:lineRule="exact"/>
      <w:jc w:val="center"/>
    </w:pPr>
    <w:rPr>
      <w:rFonts w:ascii="宋体" w:hAnsi="Times New Roman" w:eastAsia="宋体" w:cs="宋体"/>
      <w:sz w:val="28"/>
      <w:szCs w:val="28"/>
      <w:lang w:val="en-US" w:eastAsia="zh-CN" w:bidi="ar-SA"/>
    </w:rPr>
  </w:style>
  <w:style w:type="paragraph" w:customStyle="1" w:styleId="73">
    <w:name w:val="章节2"/>
    <w:basedOn w:val="74"/>
    <w:uiPriority w:val="0"/>
    <w:pPr>
      <w:spacing w:line="360" w:lineRule="exact"/>
    </w:pPr>
  </w:style>
  <w:style w:type="paragraph" w:customStyle="1" w:styleId="74">
    <w:name w:val="章节"/>
    <w:basedOn w:val="69"/>
    <w:uiPriority w:val="0"/>
    <w:pPr>
      <w:spacing w:before="156" w:beforeLines="0" w:after="156" w:afterLines="0" w:line="600" w:lineRule="exact"/>
      <w:ind w:left="210"/>
    </w:pPr>
  </w:style>
  <w:style w:type="paragraph" w:customStyle="1" w:styleId="75">
    <w:name w:val="五级条标题"/>
    <w:basedOn w:val="76"/>
    <w:next w:val="60"/>
    <w:qFormat/>
    <w:uiPriority w:val="0"/>
    <w:pPr>
      <w:outlineLvl w:val="6"/>
    </w:pPr>
  </w:style>
  <w:style w:type="paragraph" w:customStyle="1" w:styleId="76">
    <w:name w:val="四级条标题"/>
    <w:basedOn w:val="77"/>
    <w:next w:val="60"/>
    <w:qFormat/>
    <w:uiPriority w:val="0"/>
    <w:pPr>
      <w:outlineLvl w:val="5"/>
    </w:pPr>
  </w:style>
  <w:style w:type="paragraph" w:customStyle="1" w:styleId="77">
    <w:name w:val="三级条标题"/>
    <w:basedOn w:val="78"/>
    <w:next w:val="1"/>
    <w:qFormat/>
    <w:uiPriority w:val="0"/>
    <w:pPr>
      <w:outlineLvl w:val="4"/>
    </w:pPr>
  </w:style>
  <w:style w:type="paragraph" w:customStyle="1" w:styleId="78">
    <w:name w:val="二级条标题"/>
    <w:basedOn w:val="71"/>
    <w:next w:val="60"/>
    <w:qFormat/>
    <w:uiPriority w:val="0"/>
    <w:pPr>
      <w:spacing w:before="50" w:after="50"/>
      <w:outlineLvl w:val="3"/>
    </w:pPr>
  </w:style>
  <w:style w:type="paragraph" w:customStyle="1" w:styleId="79">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szCs w:val="21"/>
      <w:lang w:val="en-US" w:eastAsia="zh-CN" w:bidi="ar-SA"/>
    </w:rPr>
  </w:style>
  <w:style w:type="paragraph" w:customStyle="1" w:styleId="80">
    <w:name w:val="封面标准英文名称"/>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81">
    <w:name w:val="Char Char1"/>
    <w:basedOn w:val="1"/>
    <w:uiPriority w:val="0"/>
    <w:pPr>
      <w:tabs>
        <w:tab w:val="left" w:pos="4665"/>
        <w:tab w:val="left" w:pos="8970"/>
      </w:tabs>
      <w:ind w:firstLine="400"/>
    </w:pPr>
    <w:rPr>
      <w:rFonts w:ascii="Tahoma" w:hAnsi="Tahoma" w:cs="Tahoma"/>
    </w:rPr>
  </w:style>
  <w:style w:type="paragraph" w:customStyle="1" w:styleId="82">
    <w:name w:val="实施日期"/>
    <w:basedOn w:val="83"/>
    <w:uiPriority w:val="0"/>
    <w:pPr>
      <w:framePr w:hSpace="0" w:wrap="around" w:xAlign="right"/>
      <w:jc w:val="right"/>
    </w:pPr>
  </w:style>
  <w:style w:type="paragraph" w:customStyle="1" w:styleId="83">
    <w:name w:val="发布日期"/>
    <w:uiPriority w:val="0"/>
    <w:pPr>
      <w:framePr w:w="4000" w:h="473" w:hRule="exact" w:hSpace="180" w:vSpace="180" w:wrap="around" w:vAnchor="margin" w:hAnchor="margin" w:y="13511" w:anchorLock="1"/>
    </w:pPr>
    <w:rPr>
      <w:rFonts w:ascii="Times New Roman" w:hAnsi="Times New Roman" w:eastAsia="黑体" w:cs="Times New Roman"/>
      <w:sz w:val="28"/>
      <w:szCs w:val="28"/>
      <w:lang w:val="en-US" w:eastAsia="zh-CN" w:bidi="ar-SA"/>
    </w:rPr>
  </w:style>
  <w:style w:type="paragraph" w:customStyle="1" w:styleId="84">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85">
    <w:name w:val="列出段落1"/>
    <w:basedOn w:val="1"/>
    <w:link w:val="132"/>
    <w:qFormat/>
    <w:uiPriority w:val="34"/>
    <w:pPr>
      <w:ind w:firstLine="420" w:firstLineChars="200"/>
    </w:pPr>
    <w:rPr>
      <w:rFonts w:ascii="Calibri" w:hAnsi="Calibri" w:cs="Calibri"/>
    </w:rPr>
  </w:style>
  <w:style w:type="paragraph" w:customStyle="1" w:styleId="86">
    <w:name w:val="封面标准文稿编辑信息"/>
    <w:uiPriority w:val="0"/>
    <w:pPr>
      <w:spacing w:before="180" w:line="180" w:lineRule="exact"/>
      <w:jc w:val="center"/>
    </w:pPr>
    <w:rPr>
      <w:rFonts w:ascii="宋体" w:hAnsi="Times New Roman" w:eastAsia="宋体" w:cs="宋体"/>
      <w:sz w:val="21"/>
      <w:szCs w:val="21"/>
      <w:lang w:val="en-US" w:eastAsia="zh-CN" w:bidi="ar-SA"/>
    </w:rPr>
  </w:style>
  <w:style w:type="paragraph" w:customStyle="1" w:styleId="87">
    <w:name w:val="Char Char11"/>
    <w:basedOn w:val="1"/>
    <w:uiPriority w:val="0"/>
    <w:pPr>
      <w:tabs>
        <w:tab w:val="left" w:pos="4665"/>
        <w:tab w:val="left" w:pos="8970"/>
      </w:tabs>
      <w:ind w:firstLine="400"/>
    </w:pPr>
    <w:rPr>
      <w:rFonts w:ascii="Tahoma" w:hAnsi="Tahoma" w:cs="Tahoma"/>
    </w:rPr>
  </w:style>
  <w:style w:type="paragraph" w:customStyle="1" w:styleId="88">
    <w:name w:val="Char"/>
    <w:basedOn w:val="1"/>
    <w:uiPriority w:val="0"/>
    <w:pPr>
      <w:tabs>
        <w:tab w:val="left" w:pos="4665"/>
        <w:tab w:val="left" w:pos="8970"/>
      </w:tabs>
      <w:ind w:firstLine="400"/>
    </w:pPr>
    <w:rPr>
      <w:rFonts w:ascii="Tahoma" w:hAnsi="Tahoma" w:cs="Tahoma"/>
    </w:rPr>
  </w:style>
  <w:style w:type="paragraph" w:customStyle="1" w:styleId="89">
    <w:name w:val="三级无"/>
    <w:basedOn w:val="77"/>
    <w:qFormat/>
    <w:uiPriority w:val="0"/>
    <w:pPr>
      <w:tabs>
        <w:tab w:val="left" w:pos="360"/>
      </w:tabs>
      <w:spacing w:before="0" w:beforeLines="0" w:after="0" w:afterLines="0"/>
    </w:pPr>
    <w:rPr>
      <w:rFonts w:ascii="宋体" w:eastAsia="宋体" w:cs="Times New Roman"/>
    </w:rPr>
  </w:style>
  <w:style w:type="paragraph" w:customStyle="1" w:styleId="90">
    <w:name w:val="Char Char121"/>
    <w:basedOn w:val="1"/>
    <w:uiPriority w:val="0"/>
    <w:pPr>
      <w:tabs>
        <w:tab w:val="left" w:pos="4665"/>
        <w:tab w:val="left" w:pos="8970"/>
      </w:tabs>
      <w:ind w:firstLine="400"/>
    </w:pPr>
    <w:rPr>
      <w:rFonts w:ascii="Tahoma" w:hAnsi="Tahoma" w:cs="Tahoma"/>
    </w:rPr>
  </w:style>
  <w:style w:type="paragraph" w:customStyle="1" w:styleId="91">
    <w:name w:val="TOC Heading"/>
    <w:basedOn w:val="2"/>
    <w:next w:val="1"/>
    <w:qFormat/>
    <w:uiPriority w:val="39"/>
    <w:pPr>
      <w:keepLines/>
      <w:spacing w:before="480" w:line="276" w:lineRule="auto"/>
      <w:jc w:val="left"/>
      <w:outlineLvl w:val="9"/>
    </w:pPr>
    <w:rPr>
      <w:rFonts w:ascii="Cambria" w:hAnsi="Cambria"/>
      <w:color w:val="365F91"/>
      <w:szCs w:val="28"/>
    </w:rPr>
  </w:style>
  <w:style w:type="paragraph" w:customStyle="1" w:styleId="92">
    <w:name w:val="Char Char12"/>
    <w:basedOn w:val="1"/>
    <w:uiPriority w:val="0"/>
    <w:pPr>
      <w:tabs>
        <w:tab w:val="left" w:pos="4665"/>
        <w:tab w:val="left" w:pos="8970"/>
      </w:tabs>
      <w:ind w:firstLine="400"/>
    </w:pPr>
    <w:rPr>
      <w:rFonts w:ascii="Tahoma" w:hAnsi="Tahoma" w:cs="Tahoma"/>
    </w:rPr>
  </w:style>
  <w:style w:type="paragraph" w:customStyle="1" w:styleId="93">
    <w:name w:val="标准扉页（福建省工程建设地方标准）"/>
    <w:basedOn w:val="1"/>
    <w:uiPriority w:val="0"/>
    <w:pPr>
      <w:jc w:val="center"/>
    </w:pPr>
    <w:rPr>
      <w:rFonts w:eastAsia="黑体"/>
      <w:sz w:val="28"/>
      <w:szCs w:val="20"/>
    </w:rPr>
  </w:style>
  <w:style w:type="paragraph" w:customStyle="1" w:styleId="94">
    <w:name w:val="其他标准称谓"/>
    <w:uiPriority w:val="0"/>
    <w:pPr>
      <w:spacing w:line="240" w:lineRule="atLeast"/>
      <w:jc w:val="distribute"/>
    </w:pPr>
    <w:rPr>
      <w:rFonts w:ascii="黑体" w:hAnsi="宋体" w:eastAsia="黑体" w:cs="黑体"/>
      <w:sz w:val="52"/>
      <w:szCs w:val="52"/>
      <w:lang w:val="en-US" w:eastAsia="zh-CN" w:bidi="ar-SA"/>
    </w:rPr>
  </w:style>
  <w:style w:type="paragraph" w:customStyle="1" w:styleId="95">
    <w:name w:val="发布部门"/>
    <w:next w:val="1"/>
    <w:uiPriority w:val="0"/>
    <w:pPr>
      <w:framePr w:w="7433" w:h="585" w:hRule="exact" w:hSpace="180" w:vSpace="180" w:wrap="around" w:vAnchor="margin" w:hAnchor="margin" w:xAlign="center" w:y="14401" w:anchorLock="1"/>
      <w:jc w:val="center"/>
    </w:pPr>
    <w:rPr>
      <w:rFonts w:ascii="宋体" w:hAnsi="Times New Roman" w:eastAsia="宋体" w:cs="宋体"/>
      <w:b/>
      <w:bCs/>
      <w:spacing w:val="20"/>
      <w:w w:val="135"/>
      <w:sz w:val="36"/>
      <w:szCs w:val="36"/>
      <w:lang w:val="en-US" w:eastAsia="zh-CN" w:bidi="ar-SA"/>
    </w:rPr>
  </w:style>
  <w:style w:type="paragraph" w:customStyle="1" w:styleId="96">
    <w:name w:val="Char Char13"/>
    <w:basedOn w:val="1"/>
    <w:uiPriority w:val="0"/>
    <w:pPr>
      <w:tabs>
        <w:tab w:val="left" w:pos="4665"/>
        <w:tab w:val="left" w:pos="8970"/>
      </w:tabs>
      <w:ind w:firstLine="400"/>
    </w:pPr>
    <w:rPr>
      <w:rFonts w:ascii="Tahoma" w:hAnsi="Tahoma" w:cs="Tahoma"/>
    </w:rPr>
  </w:style>
  <w:style w:type="paragraph" w:customStyle="1" w:styleId="97">
    <w:name w:val="列项●（二级）"/>
    <w:uiPriority w:val="0"/>
    <w:pPr>
      <w:tabs>
        <w:tab w:val="left" w:pos="760"/>
        <w:tab w:val="left" w:pos="840"/>
      </w:tabs>
      <w:ind w:left="1264" w:hanging="413"/>
      <w:jc w:val="both"/>
    </w:pPr>
    <w:rPr>
      <w:rFonts w:ascii="宋体" w:hAnsi="Times New Roman" w:eastAsia="宋体" w:cs="宋体"/>
      <w:sz w:val="21"/>
      <w:szCs w:val="21"/>
      <w:lang w:val="en-US" w:eastAsia="zh-CN" w:bidi="ar-SA"/>
    </w:rPr>
  </w:style>
  <w:style w:type="paragraph" w:customStyle="1" w:styleId="98">
    <w:name w:val="前言、引言标题"/>
    <w:next w:val="1"/>
    <w:uiPriority w:val="0"/>
    <w:pPr>
      <w:shd w:val="clear" w:color="FFFFFF" w:fill="FFFFFF"/>
      <w:spacing w:before="640" w:after="560"/>
      <w:ind w:left="1200" w:hanging="360"/>
      <w:jc w:val="center"/>
      <w:outlineLvl w:val="0"/>
    </w:pPr>
    <w:rPr>
      <w:rFonts w:ascii="黑体" w:hAnsi="Times New Roman" w:eastAsia="黑体" w:cs="Times New Roman"/>
      <w:sz w:val="32"/>
      <w:lang w:val="en-US" w:eastAsia="zh-CN" w:bidi="ar-SA"/>
    </w:rPr>
  </w:style>
  <w:style w:type="paragraph" w:customStyle="1" w:styleId="99">
    <w:name w:val="Char Char14"/>
    <w:basedOn w:val="1"/>
    <w:uiPriority w:val="0"/>
    <w:pPr>
      <w:tabs>
        <w:tab w:val="left" w:pos="4665"/>
        <w:tab w:val="left" w:pos="8970"/>
      </w:tabs>
      <w:ind w:firstLine="400"/>
    </w:pPr>
    <w:rPr>
      <w:rFonts w:ascii="Tahoma" w:hAnsi="Tahoma" w:cs="Tahoma"/>
    </w:rPr>
  </w:style>
  <w:style w:type="paragraph" w:customStyle="1" w:styleId="100">
    <w:name w:val="列项◆（三级）"/>
    <w:basedOn w:val="1"/>
    <w:uiPriority w:val="0"/>
    <w:pPr>
      <w:tabs>
        <w:tab w:val="left" w:pos="1678"/>
      </w:tabs>
      <w:ind w:left="1678" w:hanging="414"/>
    </w:pPr>
  </w:style>
  <w:style w:type="paragraph" w:customStyle="1" w:styleId="101">
    <w:name w:val="封面标准号1"/>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szCs w:val="28"/>
      <w:lang w:val="en-US" w:eastAsia="zh-CN" w:bidi="ar-SA"/>
    </w:rPr>
  </w:style>
  <w:style w:type="paragraph" w:customStyle="1" w:styleId="102">
    <w:name w:val="正文图标题"/>
    <w:next w:val="60"/>
    <w:qFormat/>
    <w:uiPriority w:val="0"/>
    <w:pPr>
      <w:spacing w:beforeLines="50" w:afterLines="50"/>
      <w:jc w:val="center"/>
    </w:pPr>
    <w:rPr>
      <w:rFonts w:ascii="黑体" w:hAnsi="Times New Roman" w:eastAsia="黑体" w:cs="黑体"/>
      <w:sz w:val="21"/>
      <w:szCs w:val="21"/>
      <w:lang w:val="en-US" w:eastAsia="zh-CN" w:bidi="ar-SA"/>
    </w:rPr>
  </w:style>
  <w:style w:type="paragraph" w:customStyle="1" w:styleId="103">
    <w:name w:val="标准标志"/>
    <w:next w:val="1"/>
    <w:uiPriority w:val="0"/>
    <w:pPr>
      <w:framePr w:w="2268" w:h="1392" w:hRule="exact" w:wrap="around" w:vAnchor="margin" w:hAnchor="margin" w:x="6748" w:y="171" w:anchorLock="1"/>
      <w:shd w:val="solid" w:color="FFFFFF" w:fill="FFFFFF"/>
      <w:spacing w:line="240" w:lineRule="atLeast"/>
      <w:jc w:val="right"/>
    </w:pPr>
    <w:rPr>
      <w:rFonts w:ascii="Times New Roman" w:hAnsi="Times New Roman" w:eastAsia="宋体" w:cs="Times New Roman"/>
      <w:b/>
      <w:bCs/>
      <w:w w:val="130"/>
      <w:sz w:val="96"/>
      <w:szCs w:val="96"/>
      <w:lang w:val="en-US" w:eastAsia="zh-CN" w:bidi="ar-SA"/>
    </w:rPr>
  </w:style>
  <w:style w:type="paragraph" w:customStyle="1" w:styleId="104">
    <w:name w:val="其他发布日期"/>
    <w:basedOn w:val="1"/>
    <w:uiPriority w:val="0"/>
    <w:pPr>
      <w:framePr w:w="3997" w:h="471" w:hRule="exact" w:vSpace="181" w:wrap="around" w:vAnchor="page" w:hAnchor="page" w:x="1419" w:y="14097" w:anchorLock="1"/>
    </w:pPr>
    <w:rPr>
      <w:rFonts w:eastAsia="黑体"/>
      <w:sz w:val="28"/>
      <w:szCs w:val="28"/>
    </w:rPr>
  </w:style>
  <w:style w:type="paragraph" w:customStyle="1" w:styleId="105">
    <w:name w:val="内容"/>
    <w:basedOn w:val="1"/>
    <w:uiPriority w:val="0"/>
    <w:pPr>
      <w:spacing w:line="400" w:lineRule="exact"/>
      <w:ind w:firstLine="420" w:firstLineChars="200"/>
    </w:pPr>
  </w:style>
  <w:style w:type="paragraph" w:customStyle="1" w:styleId="106">
    <w:name w:val="扉页（出版时间地点）"/>
    <w:basedOn w:val="1"/>
    <w:uiPriority w:val="0"/>
    <w:pPr>
      <w:jc w:val="center"/>
    </w:pPr>
    <w:rPr>
      <w:rFonts w:eastAsia="黑体"/>
      <w:szCs w:val="20"/>
    </w:rPr>
  </w:style>
  <w:style w:type="paragraph" w:customStyle="1" w:styleId="107">
    <w:name w:val="规程英文名称（封面）"/>
    <w:basedOn w:val="21"/>
    <w:uiPriority w:val="0"/>
    <w:pPr>
      <w:snapToGrid w:val="0"/>
      <w:ind w:left="178" w:leftChars="85"/>
      <w:jc w:val="center"/>
    </w:pPr>
    <w:rPr>
      <w:rFonts w:ascii="Times New Roman" w:hAnsi="Times New Roman" w:eastAsia="黑体"/>
      <w:sz w:val="44"/>
      <w:szCs w:val="44"/>
    </w:rPr>
  </w:style>
  <w:style w:type="paragraph" w:customStyle="1" w:styleId="108">
    <w:name w:val="Char Char Char1 Char Char Char Char"/>
    <w:basedOn w:val="1"/>
    <w:uiPriority w:val="0"/>
    <w:pPr>
      <w:spacing w:after="160" w:line="240" w:lineRule="exact"/>
    </w:pPr>
    <w:rPr>
      <w:rFonts w:ascii="Arial" w:hAnsi="Arial" w:eastAsia="Times New Roman" w:cs="Verdana"/>
      <w:b/>
      <w:lang w:eastAsia="en-US"/>
    </w:rPr>
  </w:style>
  <w:style w:type="paragraph" w:customStyle="1" w:styleId="109">
    <w:name w:val="标准扉页（标准名称）"/>
    <w:basedOn w:val="1"/>
    <w:uiPriority w:val="0"/>
    <w:pPr>
      <w:jc w:val="center"/>
    </w:pPr>
    <w:rPr>
      <w:rFonts w:eastAsia="黑体"/>
      <w:sz w:val="30"/>
      <w:szCs w:val="20"/>
    </w:rPr>
  </w:style>
  <w:style w:type="paragraph" w:customStyle="1" w:styleId="110">
    <w:name w:val="二级无"/>
    <w:basedOn w:val="78"/>
    <w:qFormat/>
    <w:uiPriority w:val="0"/>
    <w:pPr>
      <w:tabs>
        <w:tab w:val="left" w:pos="360"/>
      </w:tabs>
      <w:spacing w:before="0" w:beforeLines="0" w:after="0" w:afterLines="0"/>
    </w:pPr>
    <w:rPr>
      <w:rFonts w:ascii="宋体" w:eastAsia="宋体" w:cs="Times New Roman"/>
    </w:rPr>
  </w:style>
  <w:style w:type="paragraph" w:customStyle="1" w:styleId="111">
    <w:name w:val="Char Char Char Char Char Char Char Char Char1 Char Char Char Char Char Char Char Char Char Char Char Char Char Char Char Char Char Char Char Char Char Char"/>
    <w:basedOn w:val="2"/>
    <w:uiPriority w:val="0"/>
    <w:pPr>
      <w:keepLines/>
      <w:snapToGrid w:val="0"/>
      <w:spacing w:before="240" w:after="240" w:line="348" w:lineRule="auto"/>
    </w:pPr>
    <w:rPr>
      <w:rFonts w:ascii="Tahoma" w:hAnsi="Tahoma"/>
      <w:bCs w:val="0"/>
      <w:sz w:val="24"/>
      <w:szCs w:val="20"/>
    </w:rPr>
  </w:style>
  <w:style w:type="paragraph" w:customStyle="1" w:styleId="112">
    <w:name w:val="无间隔1"/>
    <w:uiPriority w:val="0"/>
    <w:pPr>
      <w:widowControl w:val="0"/>
      <w:spacing w:line="360" w:lineRule="auto"/>
      <w:ind w:firstLine="200" w:firstLineChars="200"/>
      <w:jc w:val="both"/>
    </w:pPr>
    <w:rPr>
      <w:rFonts w:ascii="Times New Roman" w:hAnsi="Times New Roman" w:eastAsia="仿宋_GB2312" w:cs="Calibri"/>
      <w:kern w:val="2"/>
      <w:sz w:val="21"/>
      <w:szCs w:val="21"/>
      <w:lang w:val="en-US" w:eastAsia="zh-CN" w:bidi="ar-SA"/>
    </w:rPr>
  </w:style>
  <w:style w:type="paragraph" w:styleId="113">
    <w:name w:val="List Paragraph"/>
    <w:basedOn w:val="1"/>
    <w:link w:val="207"/>
    <w:qFormat/>
    <w:uiPriority w:val="34"/>
    <w:pPr>
      <w:ind w:firstLine="420" w:firstLineChars="200"/>
    </w:pPr>
    <w:rPr>
      <w:rFonts w:ascii="等线" w:hAnsi="等线" w:eastAsia="等线"/>
      <w:szCs w:val="22"/>
    </w:rPr>
  </w:style>
  <w:style w:type="character" w:customStyle="1" w:styleId="114">
    <w:name w:val="e24kjd"/>
    <w:uiPriority w:val="0"/>
  </w:style>
  <w:style w:type="character" w:customStyle="1" w:styleId="115">
    <w:name w:val="CECS标准-正文 字符"/>
    <w:link w:val="5"/>
    <w:uiPriority w:val="0"/>
    <w:rPr>
      <w:rFonts w:ascii="宋体" w:hAnsi="宋体" w:cs="宋体"/>
      <w:bCs/>
      <w:sz w:val="24"/>
      <w:szCs w:val="24"/>
    </w:rPr>
  </w:style>
  <w:style w:type="paragraph" w:customStyle="1" w:styleId="116">
    <w:name w:val="CECS标准三级标题"/>
    <w:basedOn w:val="60"/>
    <w:next w:val="5"/>
    <w:link w:val="117"/>
    <w:uiPriority w:val="0"/>
    <w:pPr>
      <w:adjustRightInd w:val="0"/>
      <w:snapToGrid w:val="0"/>
      <w:spacing w:line="360" w:lineRule="auto"/>
      <w:ind w:firstLine="0" w:firstLineChars="0"/>
    </w:pPr>
    <w:rPr>
      <w:rFonts w:ascii="Times New Roman"/>
      <w:b/>
    </w:rPr>
  </w:style>
  <w:style w:type="character" w:customStyle="1" w:styleId="117">
    <w:name w:val="CECS标准三级标题 字符"/>
    <w:link w:val="116"/>
    <w:uiPriority w:val="0"/>
    <w:rPr>
      <w:rFonts w:cs="宋体"/>
      <w:b/>
      <w:sz w:val="21"/>
      <w:szCs w:val="21"/>
    </w:rPr>
  </w:style>
  <w:style w:type="character" w:customStyle="1" w:styleId="118">
    <w:name w:val="CECS标准一级标题 字符"/>
    <w:link w:val="3"/>
    <w:qFormat/>
    <w:uiPriority w:val="0"/>
    <w:rPr>
      <w:rFonts w:ascii="宋体" w:hAnsi="宋体"/>
      <w:b/>
      <w:bCs/>
      <w:kern w:val="2"/>
      <w:sz w:val="28"/>
      <w:szCs w:val="22"/>
    </w:rPr>
  </w:style>
  <w:style w:type="character" w:customStyle="1" w:styleId="119">
    <w:name w:val="CECS标准二级标题 字符"/>
    <w:link w:val="4"/>
    <w:uiPriority w:val="0"/>
    <w:rPr>
      <w:rFonts w:ascii="宋体" w:hAnsi="宋体"/>
      <w:b/>
      <w:bCs/>
      <w:kern w:val="2"/>
      <w:sz w:val="24"/>
      <w:szCs w:val="22"/>
    </w:rPr>
  </w:style>
  <w:style w:type="paragraph" w:customStyle="1" w:styleId="120">
    <w:name w:val="条文说明"/>
    <w:basedOn w:val="1"/>
    <w:link w:val="121"/>
    <w:qFormat/>
    <w:uiPriority w:val="0"/>
    <w:pPr>
      <w:spacing w:line="360" w:lineRule="auto"/>
      <w:ind w:firstLine="420" w:firstLineChars="200"/>
      <w:outlineLvl w:val="4"/>
    </w:pPr>
    <w:rPr>
      <w:rFonts w:eastAsia="仿宋_GB2312"/>
      <w:sz w:val="21"/>
      <w:szCs w:val="21"/>
    </w:rPr>
  </w:style>
  <w:style w:type="character" w:customStyle="1" w:styleId="121">
    <w:name w:val="条文说明 字符"/>
    <w:link w:val="120"/>
    <w:uiPriority w:val="0"/>
    <w:rPr>
      <w:rFonts w:ascii="宋体" w:hAnsi="宋体" w:eastAsia="仿宋_GB2312" w:cs="宋体"/>
      <w:sz w:val="21"/>
      <w:szCs w:val="21"/>
    </w:rPr>
  </w:style>
  <w:style w:type="paragraph" w:customStyle="1" w:styleId="122">
    <w:name w:val="_Style 104"/>
    <w:basedOn w:val="1"/>
    <w:next w:val="113"/>
    <w:qFormat/>
    <w:uiPriority w:val="99"/>
    <w:pPr>
      <w:ind w:firstLine="420" w:firstLineChars="200"/>
    </w:pPr>
    <w:rPr>
      <w:rFonts w:ascii="等线" w:hAnsi="等线" w:eastAsia="等线"/>
      <w:szCs w:val="22"/>
    </w:rPr>
  </w:style>
  <w:style w:type="paragraph" w:customStyle="1" w:styleId="123">
    <w:name w:val="列出段落2"/>
    <w:basedOn w:val="1"/>
    <w:qFormat/>
    <w:uiPriority w:val="34"/>
    <w:pPr>
      <w:ind w:firstLine="420" w:firstLineChars="200"/>
    </w:pPr>
    <w:rPr>
      <w:rFonts w:ascii="Calibri" w:hAnsi="Calibri" w:cs="Calibri"/>
    </w:rPr>
  </w:style>
  <w:style w:type="paragraph" w:customStyle="1" w:styleId="124">
    <w:name w:val="Char Char15"/>
    <w:basedOn w:val="1"/>
    <w:uiPriority w:val="0"/>
    <w:pPr>
      <w:tabs>
        <w:tab w:val="left" w:pos="4665"/>
        <w:tab w:val="left" w:pos="8970"/>
      </w:tabs>
      <w:ind w:firstLine="400"/>
    </w:pPr>
    <w:rPr>
      <w:rFonts w:ascii="Tahoma" w:hAnsi="Tahoma" w:cs="Tahoma"/>
    </w:rPr>
  </w:style>
  <w:style w:type="paragraph" w:customStyle="1" w:styleId="125">
    <w:name w:val="Char Char Char1 Char Char Char Char1"/>
    <w:basedOn w:val="1"/>
    <w:uiPriority w:val="0"/>
    <w:pPr>
      <w:spacing w:after="160" w:line="240" w:lineRule="exact"/>
    </w:pPr>
    <w:rPr>
      <w:rFonts w:ascii="Arial" w:hAnsi="Arial" w:eastAsia="Times New Roman" w:cs="Verdana"/>
      <w:b/>
      <w:lang w:eastAsia="en-US"/>
    </w:rPr>
  </w:style>
  <w:style w:type="character" w:customStyle="1" w:styleId="126">
    <w:name w:val="纯文本 Char2"/>
    <w:uiPriority w:val="0"/>
    <w:rPr>
      <w:rFonts w:ascii="宋体" w:hAnsi="Courier New"/>
      <w:kern w:val="2"/>
      <w:sz w:val="21"/>
    </w:rPr>
  </w:style>
  <w:style w:type="character" w:customStyle="1" w:styleId="127">
    <w:name w:val="样式 a + 黑体 小五 加粗"/>
    <w:uiPriority w:val="0"/>
    <w:rPr>
      <w:rFonts w:hint="eastAsia" w:ascii="黑体" w:hAnsi="黑体" w:eastAsia="黑体"/>
      <w:b/>
      <w:bCs/>
      <w:kern w:val="44"/>
      <w:sz w:val="28"/>
    </w:rPr>
  </w:style>
  <w:style w:type="character" w:customStyle="1" w:styleId="128">
    <w:name w:val="正文文本 字符3"/>
    <w:link w:val="16"/>
    <w:uiPriority w:val="0"/>
    <w:rPr>
      <w:rFonts w:asciiTheme="minorEastAsia" w:hAnsiTheme="minorEastAsia" w:eastAsiaTheme="minorEastAsia"/>
      <w:kern w:val="2"/>
      <w:sz w:val="24"/>
      <w:szCs w:val="24"/>
    </w:rPr>
  </w:style>
  <w:style w:type="character" w:customStyle="1" w:styleId="129">
    <w:name w:val="正文文本 Char"/>
    <w:basedOn w:val="39"/>
    <w:uiPriority w:val="0"/>
    <w:rPr>
      <w:kern w:val="2"/>
      <w:sz w:val="21"/>
      <w:szCs w:val="21"/>
    </w:rPr>
  </w:style>
  <w:style w:type="character" w:customStyle="1" w:styleId="130">
    <w:name w:val="正文文本 字符"/>
    <w:qFormat/>
    <w:uiPriority w:val="0"/>
    <w:rPr>
      <w:kern w:val="2"/>
      <w:sz w:val="21"/>
      <w:szCs w:val="21"/>
    </w:rPr>
  </w:style>
  <w:style w:type="character" w:customStyle="1" w:styleId="131">
    <w:name w:val="Subtle Emphasis"/>
    <w:uiPriority w:val="19"/>
    <w:rPr>
      <w:i/>
      <w:iCs/>
      <w:color w:val="404040"/>
    </w:rPr>
  </w:style>
  <w:style w:type="character" w:customStyle="1" w:styleId="132">
    <w:name w:val="列出段落字符"/>
    <w:link w:val="85"/>
    <w:qFormat/>
    <w:uiPriority w:val="34"/>
    <w:rPr>
      <w:rFonts w:ascii="Calibri" w:hAnsi="Calibri" w:cs="Calibri"/>
      <w:kern w:val="2"/>
      <w:sz w:val="21"/>
      <w:szCs w:val="21"/>
    </w:rPr>
  </w:style>
  <w:style w:type="paragraph" w:customStyle="1" w:styleId="133">
    <w:name w:val="Revision"/>
    <w:hidden/>
    <w:unhideWhenUsed/>
    <w:uiPriority w:val="99"/>
    <w:rPr>
      <w:rFonts w:ascii="Times New Roman" w:hAnsi="Times New Roman" w:eastAsia="宋体" w:cs="Times New Roman"/>
      <w:kern w:val="2"/>
      <w:sz w:val="21"/>
      <w:szCs w:val="21"/>
      <w:lang w:val="en-US" w:eastAsia="zh-CN" w:bidi="ar-SA"/>
    </w:rPr>
  </w:style>
  <w:style w:type="character" w:customStyle="1" w:styleId="134">
    <w:name w:val="页眉 字符"/>
    <w:locked/>
    <w:uiPriority w:val="99"/>
    <w:rPr>
      <w:rFonts w:cs="Times New Roman"/>
      <w:sz w:val="18"/>
      <w:szCs w:val="18"/>
    </w:rPr>
  </w:style>
  <w:style w:type="character" w:customStyle="1" w:styleId="135">
    <w:name w:val="标题 2 字符"/>
    <w:locked/>
    <w:uiPriority w:val="0"/>
    <w:rPr>
      <w:rFonts w:ascii="Arial" w:hAnsi="Arial" w:eastAsia="黑体" w:cs="Arial"/>
      <w:b/>
      <w:bCs/>
      <w:sz w:val="32"/>
      <w:szCs w:val="32"/>
    </w:rPr>
  </w:style>
  <w:style w:type="character" w:customStyle="1" w:styleId="136">
    <w:name w:val="纯文本 字符"/>
    <w:locked/>
    <w:uiPriority w:val="0"/>
    <w:rPr>
      <w:rFonts w:ascii="宋体" w:hAnsi="Courier New" w:eastAsia="宋体" w:cs="宋体"/>
      <w:sz w:val="21"/>
      <w:szCs w:val="21"/>
    </w:rPr>
  </w:style>
  <w:style w:type="character" w:customStyle="1" w:styleId="137">
    <w:name w:val="日期 字符"/>
    <w:locked/>
    <w:uiPriority w:val="99"/>
    <w:rPr>
      <w:rFonts w:ascii="Times New Roman" w:hAnsi="Times New Roman" w:eastAsia="宋体" w:cs="Times New Roman"/>
      <w:sz w:val="20"/>
      <w:szCs w:val="20"/>
    </w:rPr>
  </w:style>
  <w:style w:type="character" w:customStyle="1" w:styleId="138">
    <w:name w:val="标题 3 字符"/>
    <w:qFormat/>
    <w:locked/>
    <w:uiPriority w:val="0"/>
    <w:rPr>
      <w:rFonts w:eastAsia="宋体" w:cs="Times New Roman"/>
      <w:b/>
      <w:bCs/>
      <w:kern w:val="2"/>
      <w:sz w:val="32"/>
      <w:szCs w:val="32"/>
      <w:lang w:val="en-US" w:eastAsia="zh-CN"/>
    </w:rPr>
  </w:style>
  <w:style w:type="character" w:customStyle="1" w:styleId="139">
    <w:name w:val="页脚 字符"/>
    <w:locked/>
    <w:uiPriority w:val="0"/>
    <w:rPr>
      <w:rFonts w:cs="Times New Roman"/>
      <w:sz w:val="18"/>
      <w:szCs w:val="18"/>
    </w:rPr>
  </w:style>
  <w:style w:type="character" w:customStyle="1" w:styleId="140">
    <w:name w:val="标题 1 字符"/>
    <w:qFormat/>
    <w:locked/>
    <w:uiPriority w:val="0"/>
    <w:rPr>
      <w:rFonts w:ascii="华文仿宋" w:hAnsi="华文仿宋" w:eastAsia="华文仿宋" w:cs="华文仿宋"/>
      <w:b/>
      <w:bCs/>
      <w:color w:val="000000"/>
      <w:sz w:val="144"/>
      <w:szCs w:val="144"/>
    </w:rPr>
  </w:style>
  <w:style w:type="character" w:customStyle="1" w:styleId="141">
    <w:name w:val="批注文字 字符"/>
    <w:uiPriority w:val="99"/>
    <w:rPr>
      <w:rFonts w:ascii="Times New Roman" w:hAnsi="Times New Roman"/>
      <w:kern w:val="2"/>
      <w:sz w:val="21"/>
      <w:szCs w:val="21"/>
    </w:rPr>
  </w:style>
  <w:style w:type="character" w:customStyle="1" w:styleId="142">
    <w:name w:val="批注主题 字符"/>
    <w:uiPriority w:val="99"/>
    <w:rPr>
      <w:rFonts w:ascii="Times New Roman" w:hAnsi="Times New Roman"/>
      <w:b/>
      <w:bCs/>
      <w:kern w:val="2"/>
      <w:sz w:val="21"/>
      <w:szCs w:val="21"/>
    </w:rPr>
  </w:style>
  <w:style w:type="character" w:customStyle="1" w:styleId="143">
    <w:name w:val="批注框文本 字符"/>
    <w:locked/>
    <w:uiPriority w:val="0"/>
    <w:rPr>
      <w:rFonts w:ascii="Times New Roman" w:hAnsi="Times New Roman" w:eastAsia="宋体" w:cs="Times New Roman"/>
      <w:sz w:val="18"/>
      <w:szCs w:val="18"/>
    </w:rPr>
  </w:style>
  <w:style w:type="character" w:customStyle="1" w:styleId="144">
    <w:name w:val="正文文本 字符1"/>
    <w:uiPriority w:val="0"/>
    <w:rPr>
      <w:spacing w:val="42"/>
      <w:kern w:val="2"/>
      <w:sz w:val="28"/>
      <w:szCs w:val="24"/>
    </w:rPr>
  </w:style>
  <w:style w:type="character" w:styleId="145">
    <w:name w:val="Placeholder Text"/>
    <w:unhideWhenUsed/>
    <w:uiPriority w:val="99"/>
    <w:rPr>
      <w:color w:val="808080"/>
    </w:rPr>
  </w:style>
  <w:style w:type="character" w:customStyle="1" w:styleId="146">
    <w:name w:val="font41"/>
    <w:uiPriority w:val="0"/>
    <w:rPr>
      <w:rFonts w:hint="default" w:ascii="Times New Roman" w:hAnsi="Times New Roman" w:cs="Times New Roman"/>
      <w:i/>
      <w:iCs/>
      <w:color w:val="000000"/>
      <w:sz w:val="22"/>
      <w:szCs w:val="22"/>
      <w:u w:val="none"/>
    </w:rPr>
  </w:style>
  <w:style w:type="character" w:customStyle="1" w:styleId="147">
    <w:name w:val="font01"/>
    <w:uiPriority w:val="0"/>
    <w:rPr>
      <w:rFonts w:hint="default" w:ascii="Times New Roman" w:hAnsi="Times New Roman" w:cs="Times New Roman"/>
      <w:color w:val="000000"/>
      <w:sz w:val="22"/>
      <w:szCs w:val="22"/>
      <w:u w:val="none"/>
    </w:rPr>
  </w:style>
  <w:style w:type="character" w:customStyle="1" w:styleId="148">
    <w:name w:val="font11"/>
    <w:uiPriority w:val="0"/>
    <w:rPr>
      <w:rFonts w:hint="eastAsia" w:ascii="宋体" w:hAnsi="宋体" w:eastAsia="宋体" w:cs="宋体"/>
      <w:color w:val="000000"/>
      <w:sz w:val="22"/>
      <w:szCs w:val="22"/>
      <w:u w:val="none"/>
    </w:rPr>
  </w:style>
  <w:style w:type="table" w:customStyle="1" w:styleId="149">
    <w:name w:val="Table Normal"/>
    <w:unhideWhenUsed/>
    <w:qFormat/>
    <w:uiPriority w:val="0"/>
    <w:tblPr>
      <w:tblCellMar>
        <w:top w:w="0" w:type="dxa"/>
        <w:left w:w="0" w:type="dxa"/>
        <w:bottom w:w="0" w:type="dxa"/>
        <w:right w:w="0" w:type="dxa"/>
      </w:tblCellMar>
    </w:tblPr>
  </w:style>
  <w:style w:type="character" w:customStyle="1" w:styleId="150">
    <w:name w:val="页眉 字符1"/>
    <w:locked/>
    <w:uiPriority w:val="0"/>
    <w:rPr>
      <w:sz w:val="18"/>
      <w:szCs w:val="18"/>
    </w:rPr>
  </w:style>
  <w:style w:type="character" w:customStyle="1" w:styleId="151">
    <w:name w:val="标题 2 字符1"/>
    <w:locked/>
    <w:uiPriority w:val="0"/>
    <w:rPr>
      <w:rFonts w:ascii="Arial" w:hAnsi="Arial" w:eastAsia="黑体" w:cs="Times New Roman"/>
      <w:b/>
      <w:bCs/>
      <w:kern w:val="0"/>
      <w:sz w:val="32"/>
      <w:szCs w:val="32"/>
    </w:rPr>
  </w:style>
  <w:style w:type="character" w:customStyle="1" w:styleId="152">
    <w:name w:val="纯文本 字符1"/>
    <w:locked/>
    <w:uiPriority w:val="0"/>
    <w:rPr>
      <w:rFonts w:ascii="宋体" w:hAnsi="Courier New" w:cs="宋体"/>
      <w:szCs w:val="21"/>
    </w:rPr>
  </w:style>
  <w:style w:type="character" w:customStyle="1" w:styleId="153">
    <w:name w:val="日期 字符1"/>
    <w:locked/>
    <w:uiPriority w:val="0"/>
  </w:style>
  <w:style w:type="character" w:customStyle="1" w:styleId="154">
    <w:name w:val="标题 3 字符1"/>
    <w:locked/>
    <w:uiPriority w:val="0"/>
    <w:rPr>
      <w:rFonts w:ascii="Calibri" w:hAnsi="Calibri" w:eastAsia="宋体" w:cs="Times New Roman"/>
      <w:b/>
      <w:bCs/>
      <w:sz w:val="32"/>
      <w:szCs w:val="32"/>
    </w:rPr>
  </w:style>
  <w:style w:type="character" w:customStyle="1" w:styleId="155">
    <w:name w:val="页脚 字符1"/>
    <w:locked/>
    <w:uiPriority w:val="99"/>
    <w:rPr>
      <w:sz w:val="18"/>
      <w:szCs w:val="18"/>
    </w:rPr>
  </w:style>
  <w:style w:type="character" w:customStyle="1" w:styleId="156">
    <w:name w:val="标题 1 字符1"/>
    <w:locked/>
    <w:uiPriority w:val="0"/>
    <w:rPr>
      <w:rFonts w:ascii="华文仿宋" w:hAnsi="华文仿宋" w:eastAsia="华文仿宋" w:cs="Times New Roman"/>
      <w:b/>
      <w:bCs/>
      <w:color w:val="000000"/>
      <w:kern w:val="0"/>
      <w:sz w:val="144"/>
      <w:szCs w:val="144"/>
    </w:rPr>
  </w:style>
  <w:style w:type="character" w:customStyle="1" w:styleId="157">
    <w:name w:val="批注文字 字符1"/>
    <w:uiPriority w:val="0"/>
    <w:rPr>
      <w:szCs w:val="21"/>
    </w:rPr>
  </w:style>
  <w:style w:type="character" w:customStyle="1" w:styleId="158">
    <w:name w:val="批注主题 字符1"/>
    <w:uiPriority w:val="0"/>
    <w:rPr>
      <w:b/>
      <w:bCs/>
      <w:szCs w:val="21"/>
    </w:rPr>
  </w:style>
  <w:style w:type="character" w:customStyle="1" w:styleId="159">
    <w:name w:val="批注框文本 字符1"/>
    <w:semiHidden/>
    <w:locked/>
    <w:uiPriority w:val="0"/>
    <w:rPr>
      <w:sz w:val="18"/>
      <w:szCs w:val="18"/>
    </w:rPr>
  </w:style>
  <w:style w:type="paragraph" w:customStyle="1" w:styleId="160">
    <w:name w:val="列表段落1"/>
    <w:basedOn w:val="1"/>
    <w:uiPriority w:val="0"/>
    <w:pPr>
      <w:ind w:firstLine="420" w:firstLineChars="200"/>
    </w:pPr>
    <w:rPr>
      <w:rFonts w:ascii="Calibri" w:hAnsi="Calibri" w:cs="Calibri"/>
    </w:rPr>
  </w:style>
  <w:style w:type="table" w:customStyle="1" w:styleId="161">
    <w:name w:val="网格型1"/>
    <w:basedOn w:val="37"/>
    <w:uiPriority w:val="0"/>
    <w:rPr>
      <w:rFonts w:ascii="宋体" w:cs="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62">
    <w:name w:val="fontstyle01"/>
    <w:uiPriority w:val="0"/>
    <w:rPr>
      <w:rFonts w:hint="eastAsia" w:ascii="宋体" w:hAnsi="宋体" w:eastAsia="宋体"/>
      <w:color w:val="000000"/>
      <w:sz w:val="24"/>
      <w:szCs w:val="24"/>
    </w:rPr>
  </w:style>
  <w:style w:type="character" w:customStyle="1" w:styleId="163">
    <w:name w:val="fontstyle21"/>
    <w:uiPriority w:val="0"/>
    <w:rPr>
      <w:rFonts w:hint="default" w:ascii="TimesNewRoman" w:hAnsi="TimesNewRoman"/>
      <w:i/>
      <w:iCs/>
      <w:color w:val="000000"/>
      <w:sz w:val="24"/>
      <w:szCs w:val="24"/>
    </w:rPr>
  </w:style>
  <w:style w:type="character" w:customStyle="1" w:styleId="164">
    <w:name w:val="fontstyle31"/>
    <w:uiPriority w:val="0"/>
    <w:rPr>
      <w:rFonts w:hint="default" w:ascii="TimesNewRoman" w:hAnsi="TimesNewRoman"/>
      <w:color w:val="000000"/>
      <w:sz w:val="24"/>
      <w:szCs w:val="24"/>
    </w:rPr>
  </w:style>
  <w:style w:type="character" w:customStyle="1" w:styleId="165">
    <w:name w:val="fontstyle41"/>
    <w:uiPriority w:val="0"/>
    <w:rPr>
      <w:rFonts w:hint="default" w:ascii="SymbolMT" w:hAnsi="SymbolMT"/>
      <w:color w:val="000000"/>
      <w:sz w:val="26"/>
      <w:szCs w:val="26"/>
    </w:rPr>
  </w:style>
  <w:style w:type="paragraph" w:styleId="166">
    <w:name w:val="No Spacing"/>
    <w:link w:val="167"/>
    <w:uiPriority w:val="1"/>
    <w:rPr>
      <w:rFonts w:ascii="等线" w:hAnsi="等线" w:eastAsia="等线" w:cs="Times New Roman"/>
      <w:sz w:val="22"/>
      <w:szCs w:val="22"/>
      <w:lang w:val="en-US" w:eastAsia="zh-CN" w:bidi="ar-SA"/>
    </w:rPr>
  </w:style>
  <w:style w:type="character" w:customStyle="1" w:styleId="167">
    <w:name w:val="无间隔 字符"/>
    <w:link w:val="166"/>
    <w:uiPriority w:val="1"/>
    <w:rPr>
      <w:rFonts w:ascii="等线" w:hAnsi="等线" w:eastAsia="等线"/>
      <w:sz w:val="22"/>
      <w:szCs w:val="22"/>
    </w:rPr>
  </w:style>
  <w:style w:type="paragraph" w:customStyle="1" w:styleId="168">
    <w:name w:val="公式"/>
    <w:basedOn w:val="1"/>
    <w:next w:val="1"/>
    <w:link w:val="169"/>
    <w:qFormat/>
    <w:uiPriority w:val="0"/>
    <w:pPr>
      <w:tabs>
        <w:tab w:val="center" w:pos="3969"/>
        <w:tab w:val="right" w:pos="9639"/>
      </w:tabs>
    </w:pPr>
  </w:style>
  <w:style w:type="character" w:customStyle="1" w:styleId="169">
    <w:name w:val="公式 字符"/>
    <w:link w:val="168"/>
    <w:uiPriority w:val="0"/>
    <w:rPr>
      <w:kern w:val="2"/>
      <w:sz w:val="24"/>
      <w:szCs w:val="24"/>
    </w:rPr>
  </w:style>
  <w:style w:type="character" w:customStyle="1" w:styleId="170">
    <w:name w:val="Book Title"/>
    <w:uiPriority w:val="33"/>
    <w:rPr>
      <w:b/>
      <w:bCs/>
      <w:i/>
      <w:iCs/>
      <w:spacing w:val="5"/>
    </w:rPr>
  </w:style>
  <w:style w:type="character" w:customStyle="1" w:styleId="171">
    <w:name w:val="无间隔 Char"/>
    <w:uiPriority w:val="1"/>
    <w:rPr>
      <w:kern w:val="0"/>
      <w:sz w:val="22"/>
    </w:rPr>
  </w:style>
  <w:style w:type="character" w:customStyle="1" w:styleId="172">
    <w:name w:val="页眉 字符2"/>
    <w:locked/>
    <w:uiPriority w:val="0"/>
    <w:rPr>
      <w:rFonts w:cs="Times New Roman"/>
      <w:sz w:val="18"/>
      <w:szCs w:val="18"/>
    </w:rPr>
  </w:style>
  <w:style w:type="character" w:customStyle="1" w:styleId="173">
    <w:name w:val="标题 2 字符2"/>
    <w:locked/>
    <w:uiPriority w:val="0"/>
    <w:rPr>
      <w:rFonts w:ascii="Arial" w:hAnsi="Arial" w:eastAsia="黑体" w:cs="Arial"/>
      <w:b/>
      <w:bCs/>
      <w:sz w:val="32"/>
      <w:szCs w:val="32"/>
    </w:rPr>
  </w:style>
  <w:style w:type="character" w:customStyle="1" w:styleId="174">
    <w:name w:val="纯文本 字符2"/>
    <w:locked/>
    <w:uiPriority w:val="0"/>
    <w:rPr>
      <w:rFonts w:ascii="宋体" w:hAnsi="Courier New" w:eastAsia="宋体" w:cs="宋体"/>
      <w:sz w:val="21"/>
      <w:szCs w:val="21"/>
    </w:rPr>
  </w:style>
  <w:style w:type="character" w:customStyle="1" w:styleId="175">
    <w:name w:val="日期 字符2"/>
    <w:autoRedefine/>
    <w:qFormat/>
    <w:locked/>
    <w:uiPriority w:val="0"/>
    <w:rPr>
      <w:rFonts w:ascii="Times New Roman" w:hAnsi="Times New Roman" w:eastAsia="宋体" w:cs="Times New Roman"/>
      <w:sz w:val="20"/>
      <w:szCs w:val="20"/>
    </w:rPr>
  </w:style>
  <w:style w:type="character" w:customStyle="1" w:styleId="176">
    <w:name w:val="标题 3 字符2"/>
    <w:locked/>
    <w:uiPriority w:val="0"/>
    <w:rPr>
      <w:rFonts w:eastAsia="宋体" w:cs="Times New Roman"/>
      <w:b/>
      <w:bCs/>
      <w:kern w:val="2"/>
      <w:sz w:val="32"/>
      <w:szCs w:val="32"/>
      <w:lang w:val="en-US" w:eastAsia="zh-CN"/>
    </w:rPr>
  </w:style>
  <w:style w:type="character" w:customStyle="1" w:styleId="177">
    <w:name w:val="页脚 字符2"/>
    <w:locked/>
    <w:uiPriority w:val="99"/>
    <w:rPr>
      <w:rFonts w:cs="Times New Roman"/>
      <w:sz w:val="18"/>
      <w:szCs w:val="18"/>
    </w:rPr>
  </w:style>
  <w:style w:type="character" w:customStyle="1" w:styleId="178">
    <w:name w:val="标题 1 字符2"/>
    <w:locked/>
    <w:uiPriority w:val="0"/>
    <w:rPr>
      <w:rFonts w:ascii="华文仿宋" w:hAnsi="华文仿宋" w:eastAsia="华文仿宋" w:cs="华文仿宋"/>
      <w:b/>
      <w:bCs/>
      <w:color w:val="000000"/>
      <w:sz w:val="144"/>
      <w:szCs w:val="144"/>
    </w:rPr>
  </w:style>
  <w:style w:type="character" w:customStyle="1" w:styleId="179">
    <w:name w:val="批注文字 字符2"/>
    <w:uiPriority w:val="0"/>
    <w:rPr>
      <w:rFonts w:ascii="Times New Roman" w:hAnsi="Times New Roman"/>
      <w:kern w:val="2"/>
      <w:sz w:val="21"/>
      <w:szCs w:val="21"/>
    </w:rPr>
  </w:style>
  <w:style w:type="character" w:customStyle="1" w:styleId="180">
    <w:name w:val="批注主题 字符2"/>
    <w:uiPriority w:val="0"/>
    <w:rPr>
      <w:rFonts w:ascii="Times New Roman" w:hAnsi="Times New Roman"/>
      <w:b/>
      <w:bCs/>
      <w:kern w:val="2"/>
      <w:sz w:val="21"/>
      <w:szCs w:val="21"/>
    </w:rPr>
  </w:style>
  <w:style w:type="character" w:customStyle="1" w:styleId="181">
    <w:name w:val="批注框文本 字符2"/>
    <w:semiHidden/>
    <w:locked/>
    <w:uiPriority w:val="0"/>
    <w:rPr>
      <w:rFonts w:ascii="Times New Roman" w:hAnsi="Times New Roman" w:eastAsia="宋体" w:cs="Times New Roman"/>
      <w:sz w:val="18"/>
      <w:szCs w:val="18"/>
    </w:rPr>
  </w:style>
  <w:style w:type="character" w:customStyle="1" w:styleId="182">
    <w:name w:val="正文文本 字符2"/>
    <w:uiPriority w:val="0"/>
    <w:rPr>
      <w:spacing w:val="42"/>
      <w:kern w:val="2"/>
      <w:sz w:val="28"/>
      <w:szCs w:val="24"/>
    </w:rPr>
  </w:style>
  <w:style w:type="table" w:customStyle="1" w:styleId="183">
    <w:name w:val="网格型2"/>
    <w:basedOn w:val="37"/>
    <w:uiPriority w:val="0"/>
    <w:rPr>
      <w:rFonts w:ascii="宋体" w:cs="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84">
    <w:name w:val="网格型11"/>
    <w:basedOn w:val="37"/>
    <w:uiPriority w:val="0"/>
    <w:rPr>
      <w:rFonts w:ascii="宋体" w:cs="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85">
    <w:name w:val="Subtle Reference"/>
    <w:qFormat/>
    <w:uiPriority w:val="31"/>
    <w:rPr>
      <w:smallCaps/>
      <w:color w:val="5A5A5A"/>
    </w:rPr>
  </w:style>
  <w:style w:type="paragraph" w:customStyle="1" w:styleId="186">
    <w:name w:val="表名居中"/>
    <w:basedOn w:val="1"/>
    <w:link w:val="187"/>
    <w:qFormat/>
    <w:uiPriority w:val="0"/>
    <w:pPr>
      <w:spacing w:before="120" w:beforeLines="50" w:line="360" w:lineRule="auto"/>
      <w:jc w:val="center"/>
    </w:pPr>
    <w:rPr>
      <w:rFonts w:ascii="Times New Roman" w:hAnsi="Times New Roman"/>
      <w:sz w:val="21"/>
      <w:szCs w:val="21"/>
    </w:rPr>
  </w:style>
  <w:style w:type="character" w:customStyle="1" w:styleId="187">
    <w:name w:val="表名居中 Char"/>
    <w:basedOn w:val="39"/>
    <w:link w:val="186"/>
    <w:uiPriority w:val="0"/>
    <w:rPr>
      <w:rFonts w:cs="宋体"/>
      <w:sz w:val="21"/>
      <w:szCs w:val="21"/>
    </w:rPr>
  </w:style>
  <w:style w:type="paragraph" w:customStyle="1" w:styleId="188">
    <w:name w:val="正文-首行缩进2字符"/>
    <w:link w:val="190"/>
    <w:qFormat/>
    <w:uiPriority w:val="0"/>
    <w:pPr>
      <w:spacing w:line="360" w:lineRule="auto"/>
      <w:ind w:firstLine="200" w:firstLineChars="200"/>
    </w:pPr>
    <w:rPr>
      <w:rFonts w:ascii="Times New Roman" w:hAnsi="Times New Roman" w:eastAsia="宋体" w:cs="宋体"/>
      <w:bCs/>
      <w:sz w:val="24"/>
      <w:szCs w:val="24"/>
      <w:lang w:val="en-US" w:eastAsia="zh-CN" w:bidi="ar-SA"/>
    </w:rPr>
  </w:style>
  <w:style w:type="paragraph" w:customStyle="1" w:styleId="189">
    <w:name w:val="正文-首行无缩进"/>
    <w:link w:val="192"/>
    <w:qFormat/>
    <w:uiPriority w:val="0"/>
    <w:pPr>
      <w:spacing w:line="360" w:lineRule="auto"/>
    </w:pPr>
    <w:rPr>
      <w:rFonts w:ascii="Times New Roman" w:hAnsi="Times New Roman" w:eastAsia="宋体" w:cs="Times New Roman"/>
      <w:bCs/>
      <w:sz w:val="24"/>
      <w:szCs w:val="21"/>
      <w:lang w:val="en-US" w:eastAsia="zh-CN" w:bidi="ar-SA"/>
    </w:rPr>
  </w:style>
  <w:style w:type="character" w:customStyle="1" w:styleId="190">
    <w:name w:val="正文-首行缩进2字符 Char"/>
    <w:basedOn w:val="115"/>
    <w:link w:val="188"/>
    <w:qFormat/>
    <w:uiPriority w:val="0"/>
    <w:rPr>
      <w:rFonts w:ascii="宋体" w:hAnsi="宋体" w:cs="宋体"/>
      <w:sz w:val="24"/>
      <w:szCs w:val="24"/>
    </w:rPr>
  </w:style>
  <w:style w:type="paragraph" w:customStyle="1" w:styleId="191">
    <w:name w:val="表格-正文"/>
    <w:basedOn w:val="189"/>
    <w:link w:val="193"/>
    <w:qFormat/>
    <w:uiPriority w:val="0"/>
    <w:pPr>
      <w:spacing w:line="240" w:lineRule="auto"/>
      <w:jc w:val="center"/>
    </w:pPr>
    <w:rPr>
      <w:snapToGrid w:val="0"/>
    </w:rPr>
  </w:style>
  <w:style w:type="character" w:customStyle="1" w:styleId="192">
    <w:name w:val="正文-首行无缩进 Char"/>
    <w:basedOn w:val="115"/>
    <w:link w:val="189"/>
    <w:qFormat/>
    <w:uiPriority w:val="0"/>
    <w:rPr>
      <w:rFonts w:ascii="宋体" w:hAnsi="宋体" w:cs="宋体"/>
      <w:sz w:val="24"/>
      <w:szCs w:val="21"/>
    </w:rPr>
  </w:style>
  <w:style w:type="character" w:customStyle="1" w:styleId="193">
    <w:name w:val="表格-正文 Char"/>
    <w:basedOn w:val="192"/>
    <w:link w:val="191"/>
    <w:uiPriority w:val="0"/>
    <w:rPr>
      <w:rFonts w:ascii="宋体" w:hAnsi="宋体" w:cs="宋体"/>
      <w:snapToGrid w:val="0"/>
      <w:sz w:val="21"/>
      <w:szCs w:val="21"/>
    </w:rPr>
  </w:style>
  <w:style w:type="paragraph" w:customStyle="1" w:styleId="194">
    <w:name w:val="条文说明1"/>
    <w:basedOn w:val="120"/>
    <w:link w:val="195"/>
    <w:qFormat/>
    <w:uiPriority w:val="0"/>
    <w:pPr>
      <w:outlineLvl w:val="9"/>
    </w:pPr>
  </w:style>
  <w:style w:type="character" w:customStyle="1" w:styleId="195">
    <w:name w:val="条文说明1 Char"/>
    <w:basedOn w:val="121"/>
    <w:link w:val="194"/>
    <w:uiPriority w:val="0"/>
    <w:rPr>
      <w:rFonts w:ascii="宋体" w:hAnsi="宋体" w:eastAsia="仿宋_GB2312" w:cs="宋体"/>
      <w:sz w:val="21"/>
      <w:szCs w:val="21"/>
    </w:rPr>
  </w:style>
  <w:style w:type="paragraph" w:customStyle="1" w:styleId="196">
    <w:name w:val="章"/>
    <w:next w:val="4"/>
    <w:link w:val="197"/>
    <w:qFormat/>
    <w:uiPriority w:val="0"/>
    <w:pPr>
      <w:spacing w:before="156" w:beforeLines="50" w:line="360" w:lineRule="auto"/>
      <w:jc w:val="center"/>
      <w:outlineLvl w:val="0"/>
    </w:pPr>
    <w:rPr>
      <w:rFonts w:ascii="Times New Roman" w:hAnsi="Times New Roman" w:eastAsia="宋体" w:cs="Times New Roman"/>
      <w:b/>
      <w:bCs/>
      <w:kern w:val="2"/>
      <w:sz w:val="30"/>
      <w:szCs w:val="30"/>
      <w:lang w:val="en-US" w:eastAsia="zh-CN" w:bidi="ar-SA"/>
    </w:rPr>
  </w:style>
  <w:style w:type="character" w:customStyle="1" w:styleId="197">
    <w:name w:val="章 Char"/>
    <w:link w:val="196"/>
    <w:qFormat/>
    <w:uiPriority w:val="0"/>
    <w:rPr>
      <w:b/>
      <w:bCs/>
      <w:kern w:val="2"/>
      <w:sz w:val="30"/>
      <w:szCs w:val="30"/>
    </w:rPr>
  </w:style>
  <w:style w:type="paragraph" w:customStyle="1" w:styleId="198">
    <w:name w:val="节"/>
    <w:basedOn w:val="1"/>
    <w:link w:val="199"/>
    <w:qFormat/>
    <w:uiPriority w:val="0"/>
    <w:pPr>
      <w:widowControl w:val="0"/>
      <w:spacing w:line="360" w:lineRule="auto"/>
      <w:jc w:val="center"/>
      <w:outlineLvl w:val="1"/>
    </w:pPr>
    <w:rPr>
      <w:rFonts w:eastAsia="黑体" w:cs="Times New Roman"/>
      <w:b/>
      <w:kern w:val="2"/>
      <w:sz w:val="28"/>
      <w:szCs w:val="28"/>
    </w:rPr>
  </w:style>
  <w:style w:type="character" w:customStyle="1" w:styleId="199">
    <w:name w:val="节 Char"/>
    <w:basedOn w:val="119"/>
    <w:link w:val="198"/>
    <w:qFormat/>
    <w:uiPriority w:val="0"/>
    <w:rPr>
      <w:rFonts w:ascii="宋体" w:hAnsi="宋体" w:eastAsia="黑体"/>
      <w:bCs w:val="0"/>
      <w:kern w:val="2"/>
      <w:sz w:val="28"/>
      <w:szCs w:val="28"/>
    </w:rPr>
  </w:style>
  <w:style w:type="paragraph" w:customStyle="1" w:styleId="200">
    <w:name w:val="条"/>
    <w:link w:val="201"/>
    <w:qFormat/>
    <w:uiPriority w:val="0"/>
    <w:pPr>
      <w:spacing w:line="360" w:lineRule="auto"/>
    </w:pPr>
    <w:rPr>
      <w:rFonts w:ascii="Times New Roman" w:hAnsi="Times New Roman" w:eastAsia="宋体" w:cs="Times New Roman"/>
      <w:bCs/>
      <w:sz w:val="24"/>
      <w:szCs w:val="21"/>
      <w:lang w:val="en-US" w:eastAsia="zh-CN" w:bidi="ar-SA"/>
    </w:rPr>
  </w:style>
  <w:style w:type="character" w:customStyle="1" w:styleId="201">
    <w:name w:val="条 Char"/>
    <w:basedOn w:val="39"/>
    <w:link w:val="200"/>
    <w:qFormat/>
    <w:uiPriority w:val="0"/>
    <w:rPr>
      <w:bCs/>
      <w:sz w:val="24"/>
      <w:szCs w:val="21"/>
    </w:rPr>
  </w:style>
  <w:style w:type="paragraph" w:customStyle="1" w:styleId="202">
    <w:name w:val="正文图表"/>
    <w:basedOn w:val="1"/>
    <w:next w:val="60"/>
    <w:qFormat/>
    <w:uiPriority w:val="0"/>
    <w:pPr>
      <w:widowControl w:val="0"/>
      <w:spacing w:line="360" w:lineRule="auto"/>
      <w:jc w:val="center"/>
    </w:pPr>
    <w:rPr>
      <w:rFonts w:ascii="Times New Roman" w:hAnsi="Times New Roman" w:cs="黑体" w:eastAsiaTheme="minorEastAsia"/>
      <w:b/>
      <w:kern w:val="2"/>
      <w:sz w:val="21"/>
      <w:szCs w:val="21"/>
    </w:rPr>
  </w:style>
  <w:style w:type="paragraph" w:customStyle="1" w:styleId="203">
    <w:name w:val="表格-居中"/>
    <w:basedOn w:val="1"/>
    <w:link w:val="204"/>
    <w:qFormat/>
    <w:uiPriority w:val="0"/>
    <w:pPr>
      <w:widowControl w:val="0"/>
      <w:jc w:val="center"/>
    </w:pPr>
    <w:rPr>
      <w:rFonts w:hAnsi="Times New Roman"/>
      <w:kern w:val="2"/>
      <w:sz w:val="21"/>
      <w:szCs w:val="21"/>
    </w:rPr>
  </w:style>
  <w:style w:type="character" w:customStyle="1" w:styleId="204">
    <w:name w:val="表格-居中 Char"/>
    <w:basedOn w:val="39"/>
    <w:link w:val="203"/>
    <w:uiPriority w:val="0"/>
    <w:rPr>
      <w:rFonts w:ascii="宋体" w:cs="宋体"/>
      <w:kern w:val="2"/>
      <w:sz w:val="21"/>
      <w:szCs w:val="21"/>
    </w:rPr>
  </w:style>
  <w:style w:type="paragraph" w:customStyle="1" w:styleId="205">
    <w:name w:val="表注"/>
    <w:basedOn w:val="189"/>
    <w:link w:val="206"/>
    <w:qFormat/>
    <w:uiPriority w:val="0"/>
    <w:rPr>
      <w:sz w:val="21"/>
    </w:rPr>
  </w:style>
  <w:style w:type="character" w:customStyle="1" w:styleId="206">
    <w:name w:val="表注 Char"/>
    <w:basedOn w:val="192"/>
    <w:link w:val="205"/>
    <w:uiPriority w:val="0"/>
    <w:rPr>
      <w:rFonts w:ascii="宋体" w:hAnsi="宋体" w:cs="宋体"/>
      <w:sz w:val="21"/>
      <w:szCs w:val="21"/>
    </w:rPr>
  </w:style>
  <w:style w:type="character" w:customStyle="1" w:styleId="207">
    <w:name w:val="列表段落 字符"/>
    <w:link w:val="113"/>
    <w:qFormat/>
    <w:uiPriority w:val="34"/>
    <w:rPr>
      <w:rFonts w:ascii="等线" w:hAnsi="等线" w:eastAsia="等线" w:cs="宋体"/>
      <w:sz w:val="24"/>
      <w:szCs w:val="22"/>
    </w:rPr>
  </w:style>
  <w:style w:type="character" w:customStyle="1" w:styleId="208">
    <w:name w:val="font31"/>
    <w:basedOn w:val="39"/>
    <w:qFormat/>
    <w:uiPriority w:val="0"/>
    <w:rPr>
      <w:rFonts w:hint="eastAsia" w:ascii="宋体" w:hAnsi="宋体" w:eastAsia="宋体" w:cs="宋体"/>
      <w:color w:val="000000"/>
      <w:sz w:val="22"/>
      <w:szCs w:val="22"/>
      <w:u w:val="none"/>
    </w:rPr>
  </w:style>
  <w:style w:type="character" w:customStyle="1" w:styleId="209">
    <w:name w:val="font21"/>
    <w:basedOn w:val="39"/>
    <w:qFormat/>
    <w:uiPriority w:val="0"/>
    <w:rPr>
      <w:rFonts w:ascii="宋体" w:hAnsi="宋体" w:eastAsia="宋体" w:cs="宋体"/>
      <w:color w:val="000000"/>
      <w:sz w:val="18"/>
      <w:szCs w:val="18"/>
      <w:u w:val="none"/>
    </w:rPr>
  </w:style>
  <w:style w:type="paragraph" w:customStyle="1" w:styleId="210">
    <w:name w:val="节标题"/>
    <w:basedOn w:val="1"/>
    <w:next w:val="1"/>
    <w:qFormat/>
    <w:uiPriority w:val="0"/>
    <w:pPr>
      <w:keepNext/>
      <w:keepLines/>
      <w:widowControl w:val="0"/>
      <w:tabs>
        <w:tab w:val="left" w:pos="420"/>
      </w:tabs>
      <w:autoSpaceDE w:val="0"/>
      <w:autoSpaceDN w:val="0"/>
      <w:spacing w:beforeLines="150" w:afterLines="50" w:line="400" w:lineRule="exact"/>
      <w:jc w:val="center"/>
      <w:outlineLvl w:val="1"/>
    </w:pPr>
    <w:rPr>
      <w:rFonts w:eastAsia="黑体"/>
      <w:b/>
      <w:kern w:val="44"/>
      <w:sz w:val="28"/>
      <w:szCs w:val="22"/>
      <w:lang w:eastAsia="en-US" w:bidi="en-US"/>
    </w:rPr>
  </w:style>
  <w:style w:type="paragraph" w:customStyle="1" w:styleId="211">
    <w:name w:val="小节标题"/>
    <w:basedOn w:val="1"/>
    <w:next w:val="1"/>
    <w:link w:val="214"/>
    <w:qFormat/>
    <w:uiPriority w:val="0"/>
    <w:pPr>
      <w:widowControl w:val="0"/>
      <w:tabs>
        <w:tab w:val="left" w:pos="420"/>
      </w:tabs>
      <w:autoSpaceDE w:val="0"/>
      <w:autoSpaceDN w:val="0"/>
      <w:spacing w:before="100" w:after="50" w:line="360" w:lineRule="auto"/>
      <w:outlineLvl w:val="2"/>
    </w:pPr>
    <w:rPr>
      <w:rFonts w:ascii="Times New Roman" w:hAnsi="Times New Roman" w:eastAsia="黑体" w:cs="黑体"/>
      <w:lang w:eastAsia="en-US" w:bidi="en-US"/>
    </w:rPr>
  </w:style>
  <w:style w:type="paragraph" w:customStyle="1" w:styleId="212">
    <w:name w:val="最低等级"/>
    <w:basedOn w:val="1"/>
    <w:next w:val="1"/>
    <w:qFormat/>
    <w:uiPriority w:val="0"/>
    <w:pPr>
      <w:widowControl w:val="0"/>
      <w:tabs>
        <w:tab w:val="left" w:pos="0"/>
      </w:tabs>
      <w:autoSpaceDE w:val="0"/>
      <w:autoSpaceDN w:val="0"/>
      <w:snapToGrid w:val="0"/>
      <w:spacing w:line="360" w:lineRule="auto"/>
      <w:ind w:firstLine="680"/>
    </w:pPr>
    <w:rPr>
      <w:rFonts w:hint="eastAsia" w:eastAsia="黑体" w:cs="Times New Roman"/>
      <w:szCs w:val="21"/>
      <w:lang w:eastAsia="en-US" w:bidi="en-US"/>
    </w:rPr>
  </w:style>
  <w:style w:type="paragraph" w:customStyle="1" w:styleId="213">
    <w:name w:val="4级小节"/>
    <w:basedOn w:val="1"/>
    <w:next w:val="16"/>
    <w:qFormat/>
    <w:uiPriority w:val="0"/>
    <w:pPr>
      <w:widowControl w:val="0"/>
      <w:tabs>
        <w:tab w:val="left" w:pos="0"/>
      </w:tabs>
      <w:autoSpaceDE w:val="0"/>
      <w:autoSpaceDN w:val="0"/>
      <w:spacing w:line="360" w:lineRule="auto"/>
    </w:pPr>
    <w:rPr>
      <w:rFonts w:eastAsia="黑体"/>
      <w:szCs w:val="22"/>
      <w:lang w:eastAsia="en-US" w:bidi="en-US"/>
    </w:rPr>
  </w:style>
  <w:style w:type="character" w:customStyle="1" w:styleId="214">
    <w:name w:val="小节标题 Char"/>
    <w:link w:val="211"/>
    <w:qFormat/>
    <w:uiPriority w:val="0"/>
    <w:rPr>
      <w:rFonts w:eastAsia="黑体" w:cs="黑体"/>
      <w:sz w:val="24"/>
      <w:szCs w:val="24"/>
      <w:lang w:eastAsia="en-US" w:bidi="en-US"/>
    </w:rPr>
  </w:style>
  <w:style w:type="character" w:customStyle="1" w:styleId="215">
    <w:name w:val="标题 1 字符3"/>
    <w:locked/>
    <w:uiPriority w:val="0"/>
    <w:rPr>
      <w:rFonts w:ascii="宋体" w:hAnsi="宋体"/>
      <w:b/>
      <w:bCs/>
      <w:kern w:val="2"/>
      <w:sz w:val="28"/>
      <w:szCs w:val="22"/>
    </w:rPr>
  </w:style>
  <w:style w:type="character" w:customStyle="1" w:styleId="216">
    <w:name w:val="标题 4 字符"/>
    <w:basedOn w:val="39"/>
    <w:link w:val="8"/>
    <w:qFormat/>
    <w:uiPriority w:val="0"/>
    <w:rPr>
      <w:rFonts w:ascii="宋体" w:hAnsi="Tahoma" w:eastAsia="黑体"/>
      <w:b/>
      <w:sz w:val="21"/>
      <w:szCs w:val="21"/>
    </w:rPr>
  </w:style>
  <w:style w:type="character" w:customStyle="1" w:styleId="217">
    <w:name w:val="标题 5 字符"/>
    <w:basedOn w:val="39"/>
    <w:link w:val="10"/>
    <w:uiPriority w:val="0"/>
    <w:rPr>
      <w:sz w:val="21"/>
      <w:szCs w:val="21"/>
    </w:rPr>
  </w:style>
  <w:style w:type="character" w:customStyle="1" w:styleId="218">
    <w:name w:val="标题 6 字符"/>
    <w:basedOn w:val="39"/>
    <w:link w:val="11"/>
    <w:uiPriority w:val="0"/>
    <w:rPr>
      <w:i/>
      <w:iCs/>
      <w:color w:val="000000"/>
      <w:kern w:val="2"/>
      <w:sz w:val="22"/>
      <w:szCs w:val="22"/>
    </w:rPr>
  </w:style>
  <w:style w:type="character" w:customStyle="1" w:styleId="219">
    <w:name w:val="纯文本 Char1"/>
    <w:locked/>
    <w:uiPriority w:val="0"/>
    <w:rPr>
      <w:rFonts w:ascii="宋体" w:hAnsi="Courier New" w:eastAsia="宋体" w:cs="宋体"/>
      <w:sz w:val="21"/>
      <w:szCs w:val="21"/>
    </w:rPr>
  </w:style>
  <w:style w:type="character" w:customStyle="1" w:styleId="220">
    <w:name w:val="正文缩进 字符"/>
    <w:link w:val="9"/>
    <w:uiPriority w:val="0"/>
    <w:rPr>
      <w:kern w:val="2"/>
      <w:sz w:val="28"/>
      <w:szCs w:val="24"/>
    </w:rPr>
  </w:style>
  <w:style w:type="character" w:customStyle="1" w:styleId="221">
    <w:name w:val="脚注文本 字符"/>
    <w:link w:val="30"/>
    <w:uiPriority w:val="0"/>
    <w:rPr>
      <w:kern w:val="2"/>
      <w:sz w:val="18"/>
      <w:szCs w:val="18"/>
    </w:rPr>
  </w:style>
  <w:style w:type="character" w:customStyle="1" w:styleId="222">
    <w:name w:val="脚注文本 Char1"/>
    <w:basedOn w:val="39"/>
    <w:semiHidden/>
    <w:uiPriority w:val="0"/>
    <w:rPr>
      <w:rFonts w:ascii="宋体" w:hAnsi="宋体" w:cs="宋体"/>
      <w:sz w:val="18"/>
      <w:szCs w:val="18"/>
    </w:rPr>
  </w:style>
  <w:style w:type="character" w:customStyle="1" w:styleId="223">
    <w:name w:val="脚注文本 字符1"/>
    <w:basedOn w:val="39"/>
    <w:semiHidden/>
    <w:uiPriority w:val="0"/>
    <w:rPr>
      <w:rFonts w:ascii="宋体" w:hAnsi="宋体" w:cs="宋体"/>
      <w:sz w:val="18"/>
      <w:szCs w:val="18"/>
    </w:rPr>
  </w:style>
  <w:style w:type="character" w:customStyle="1" w:styleId="224">
    <w:name w:val="正文文本缩进 字符"/>
    <w:link w:val="17"/>
    <w:uiPriority w:val="0"/>
    <w:rPr>
      <w:rFonts w:eastAsia="楷体_GB2312"/>
      <w:color w:val="0000FF"/>
      <w:kern w:val="2"/>
      <w:sz w:val="21"/>
      <w:szCs w:val="21"/>
    </w:rPr>
  </w:style>
  <w:style w:type="character" w:customStyle="1" w:styleId="225">
    <w:name w:val="正文文本缩进 Char1"/>
    <w:basedOn w:val="39"/>
    <w:semiHidden/>
    <w:uiPriority w:val="0"/>
    <w:rPr>
      <w:rFonts w:ascii="宋体" w:hAnsi="宋体" w:cs="宋体"/>
      <w:sz w:val="24"/>
      <w:szCs w:val="24"/>
    </w:rPr>
  </w:style>
  <w:style w:type="character" w:customStyle="1" w:styleId="226">
    <w:name w:val="正文文本缩进 字符1"/>
    <w:basedOn w:val="39"/>
    <w:semiHidden/>
    <w:uiPriority w:val="0"/>
    <w:rPr>
      <w:rFonts w:ascii="宋体" w:hAnsi="宋体" w:cs="宋体"/>
      <w:sz w:val="24"/>
      <w:szCs w:val="24"/>
    </w:rPr>
  </w:style>
  <w:style w:type="character" w:customStyle="1" w:styleId="227">
    <w:name w:val="文档结构图 字符"/>
    <w:link w:val="14"/>
    <w:uiPriority w:val="0"/>
    <w:rPr>
      <w:rFonts w:ascii="宋体"/>
      <w:kern w:val="2"/>
      <w:sz w:val="18"/>
      <w:szCs w:val="18"/>
    </w:rPr>
  </w:style>
  <w:style w:type="character" w:customStyle="1" w:styleId="228">
    <w:name w:val="文档结构图 Char1"/>
    <w:basedOn w:val="39"/>
    <w:semiHidden/>
    <w:uiPriority w:val="0"/>
    <w:rPr>
      <w:rFonts w:ascii="宋体" w:hAnsi="宋体" w:cs="宋体"/>
      <w:sz w:val="18"/>
      <w:szCs w:val="18"/>
    </w:rPr>
  </w:style>
  <w:style w:type="character" w:customStyle="1" w:styleId="229">
    <w:name w:val="文档结构图 字符1"/>
    <w:basedOn w:val="39"/>
    <w:semiHidden/>
    <w:uiPriority w:val="0"/>
    <w:rPr>
      <w:rFonts w:ascii="Microsoft YaHei UI" w:hAnsi="宋体" w:eastAsia="Microsoft YaHei UI" w:cs="宋体"/>
      <w:sz w:val="18"/>
      <w:szCs w:val="18"/>
    </w:rPr>
  </w:style>
  <w:style w:type="paragraph" w:customStyle="1" w:styleId="230">
    <w:name w:val="示例"/>
    <w:next w:val="1"/>
    <w:uiPriority w:val="0"/>
    <w:pPr>
      <w:widowControl w:val="0"/>
      <w:tabs>
        <w:tab w:val="left" w:pos="432"/>
        <w:tab w:val="left" w:pos="4392"/>
      </w:tabs>
      <w:ind w:left="4392" w:hanging="432"/>
      <w:jc w:val="both"/>
    </w:pPr>
    <w:rPr>
      <w:rFonts w:ascii="宋体" w:hAnsi="Times New Roman" w:eastAsia="宋体" w:cs="Times New Roman"/>
      <w:sz w:val="18"/>
      <w:szCs w:val="18"/>
      <w:lang w:val="en-US" w:eastAsia="zh-CN" w:bidi="ar-SA"/>
    </w:rPr>
  </w:style>
  <w:style w:type="paragraph" w:customStyle="1" w:styleId="231">
    <w:name w:val="Char Char Char Char"/>
    <w:basedOn w:val="1"/>
    <w:uiPriority w:val="0"/>
    <w:pPr>
      <w:spacing w:after="160" w:line="240" w:lineRule="exact"/>
    </w:pPr>
    <w:rPr>
      <w:rFonts w:ascii="Arial" w:hAnsi="Arial" w:eastAsia="Times New Roman" w:cs="Verdana"/>
      <w:b/>
      <w:lang w:eastAsia="en-US"/>
    </w:rPr>
  </w:style>
  <w:style w:type="paragraph" w:customStyle="1" w:styleId="232">
    <w:name w:val="正文 A"/>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233">
    <w:name w:val="Char2"/>
    <w:basedOn w:val="1"/>
    <w:uiPriority w:val="0"/>
    <w:pPr>
      <w:widowControl w:val="0"/>
      <w:jc w:val="both"/>
    </w:pPr>
    <w:rPr>
      <w:rFonts w:ascii="Tahoma" w:hAnsi="Tahoma" w:cs="Times New Roman"/>
      <w:kern w:val="2"/>
      <w:szCs w:val="20"/>
    </w:rPr>
  </w:style>
  <w:style w:type="paragraph" w:customStyle="1" w:styleId="234">
    <w:name w:val="List Paragraph1"/>
    <w:uiPriority w:val="0"/>
    <w:pPr>
      <w:widowControl w:val="0"/>
      <w:pBdr>
        <w:top w:val="none" w:color="FFFFFF" w:sz="0" w:space="31"/>
        <w:left w:val="none" w:color="FFFFFF" w:sz="0" w:space="31"/>
        <w:bottom w:val="none" w:color="FFFFFF" w:sz="0" w:space="31"/>
        <w:right w:val="none" w:color="FFFFFF" w:sz="0" w:space="31"/>
      </w:pBdr>
      <w:ind w:firstLine="420"/>
      <w:jc w:val="both"/>
    </w:pPr>
    <w:rPr>
      <w:rFonts w:ascii="Calibri" w:hAnsi="Calibri" w:eastAsia="Times New Roman" w:cs="Calibri"/>
      <w:color w:val="000000"/>
      <w:kern w:val="2"/>
      <w:sz w:val="21"/>
      <w:szCs w:val="21"/>
      <w:u w:color="000000"/>
      <w:lang w:val="en-US" w:eastAsia="zh-CN" w:bidi="ar-SA"/>
    </w:rPr>
  </w:style>
  <w:style w:type="paragraph" w:customStyle="1" w:styleId="235">
    <w:name w:val="注："/>
    <w:next w:val="1"/>
    <w:qFormat/>
    <w:uiPriority w:val="0"/>
    <w:pPr>
      <w:widowControl w:val="0"/>
      <w:numPr>
        <w:ilvl w:val="0"/>
        <w:numId w:val="2"/>
      </w:numPr>
      <w:autoSpaceDE w:val="0"/>
      <w:autoSpaceDN w:val="0"/>
      <w:jc w:val="both"/>
    </w:pPr>
    <w:rPr>
      <w:rFonts w:ascii="宋体" w:hAnsi="Times New Roman" w:eastAsia="宋体" w:cs="Times New Roman"/>
      <w:sz w:val="18"/>
      <w:szCs w:val="18"/>
      <w:lang w:val="en-US" w:eastAsia="zh-CN" w:bidi="ar-SA"/>
    </w:rPr>
  </w:style>
  <w:style w:type="paragraph" w:customStyle="1" w:styleId="236">
    <w:name w:val="Char Char Char Char Char Char Char"/>
    <w:basedOn w:val="1"/>
    <w:uiPriority w:val="0"/>
    <w:pPr>
      <w:spacing w:after="160" w:line="240" w:lineRule="exact"/>
    </w:pPr>
    <w:rPr>
      <w:rFonts w:ascii="Arial" w:hAnsi="Arial" w:eastAsia="Times New Roman" w:cs="Verdana"/>
      <w:b/>
      <w:lang w:eastAsia="en-US"/>
    </w:rPr>
  </w:style>
  <w:style w:type="table" w:customStyle="1" w:styleId="237">
    <w:name w:val="网格型3"/>
    <w:basedOn w:val="37"/>
    <w:uiPriority w:val="59"/>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8">
    <w:name w:val="A标题1（3号主体居中）"/>
    <w:basedOn w:val="1"/>
    <w:uiPriority w:val="0"/>
    <w:pPr>
      <w:widowControl w:val="0"/>
      <w:jc w:val="center"/>
    </w:pPr>
    <w:rPr>
      <w:rFonts w:ascii="Times New Roman" w:hAnsi="Times New Roman" w:cs="Plotter"/>
      <w:b/>
      <w:kern w:val="2"/>
      <w:sz w:val="32"/>
      <w:szCs w:val="32"/>
    </w:rPr>
  </w:style>
  <w:style w:type="table" w:customStyle="1" w:styleId="239">
    <w:name w:val="网格型12"/>
    <w:basedOn w:val="37"/>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网格型21"/>
    <w:basedOn w:val="37"/>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
    <w:name w:val="网格型31"/>
    <w:basedOn w:val="37"/>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
    <w:name w:val="网格型4"/>
    <w:basedOn w:val="37"/>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3">
    <w:name w:val="访问过的超链接1"/>
    <w:uiPriority w:val="0"/>
    <w:rPr>
      <w:color w:val="800080"/>
      <w:u w:val="single"/>
    </w:rPr>
  </w:style>
  <w:style w:type="paragraph" w:customStyle="1" w:styleId="244">
    <w:name w:val="目录 51"/>
    <w:basedOn w:val="1"/>
    <w:next w:val="1"/>
    <w:autoRedefine/>
    <w:unhideWhenUsed/>
    <w:uiPriority w:val="39"/>
    <w:pPr>
      <w:widowControl w:val="0"/>
      <w:ind w:left="1680" w:leftChars="800"/>
      <w:jc w:val="both"/>
    </w:pPr>
    <w:rPr>
      <w:rFonts w:ascii="Calibri" w:hAnsi="Calibri" w:cs="Times New Roman"/>
      <w:kern w:val="2"/>
      <w:sz w:val="28"/>
      <w:szCs w:val="22"/>
    </w:rPr>
  </w:style>
  <w:style w:type="paragraph" w:customStyle="1" w:styleId="245">
    <w:name w:val="目录 61"/>
    <w:basedOn w:val="1"/>
    <w:next w:val="1"/>
    <w:autoRedefine/>
    <w:unhideWhenUsed/>
    <w:uiPriority w:val="39"/>
    <w:pPr>
      <w:widowControl w:val="0"/>
      <w:ind w:left="2100" w:leftChars="1000"/>
      <w:jc w:val="both"/>
    </w:pPr>
    <w:rPr>
      <w:rFonts w:ascii="Calibri" w:hAnsi="Calibri" w:cs="Times New Roman"/>
      <w:kern w:val="2"/>
      <w:sz w:val="28"/>
      <w:szCs w:val="22"/>
    </w:rPr>
  </w:style>
  <w:style w:type="paragraph" w:customStyle="1" w:styleId="246">
    <w:name w:val="目录 71"/>
    <w:basedOn w:val="1"/>
    <w:next w:val="1"/>
    <w:autoRedefine/>
    <w:unhideWhenUsed/>
    <w:uiPriority w:val="39"/>
    <w:pPr>
      <w:widowControl w:val="0"/>
      <w:ind w:left="2520" w:leftChars="1200"/>
      <w:jc w:val="both"/>
    </w:pPr>
    <w:rPr>
      <w:rFonts w:ascii="Calibri" w:hAnsi="Calibri" w:cs="Times New Roman"/>
      <w:kern w:val="2"/>
      <w:sz w:val="28"/>
      <w:szCs w:val="22"/>
    </w:rPr>
  </w:style>
  <w:style w:type="paragraph" w:customStyle="1" w:styleId="247">
    <w:name w:val="目录 81"/>
    <w:basedOn w:val="1"/>
    <w:next w:val="1"/>
    <w:autoRedefine/>
    <w:unhideWhenUsed/>
    <w:uiPriority w:val="39"/>
    <w:pPr>
      <w:widowControl w:val="0"/>
      <w:ind w:left="2940" w:leftChars="1400"/>
      <w:jc w:val="both"/>
    </w:pPr>
    <w:rPr>
      <w:rFonts w:ascii="Calibri" w:hAnsi="Calibri" w:cs="Times New Roman"/>
      <w:kern w:val="2"/>
      <w:sz w:val="28"/>
      <w:szCs w:val="22"/>
    </w:rPr>
  </w:style>
  <w:style w:type="paragraph" w:customStyle="1" w:styleId="248">
    <w:name w:val="目录 91"/>
    <w:basedOn w:val="1"/>
    <w:next w:val="1"/>
    <w:autoRedefine/>
    <w:unhideWhenUsed/>
    <w:uiPriority w:val="39"/>
    <w:pPr>
      <w:widowControl w:val="0"/>
      <w:ind w:left="3360" w:leftChars="1600"/>
      <w:jc w:val="both"/>
    </w:pPr>
    <w:rPr>
      <w:rFonts w:ascii="Calibri" w:hAnsi="Calibri" w:cs="Times New Roman"/>
      <w:kern w:val="2"/>
      <w:sz w:val="28"/>
      <w:szCs w:val="22"/>
    </w:rPr>
  </w:style>
  <w:style w:type="paragraph" w:customStyle="1" w:styleId="249">
    <w:name w:val="表格"/>
    <w:basedOn w:val="1"/>
    <w:link w:val="250"/>
    <w:qFormat/>
    <w:uiPriority w:val="0"/>
    <w:pPr>
      <w:widowControl w:val="0"/>
      <w:jc w:val="center"/>
    </w:pPr>
    <w:rPr>
      <w:rFonts w:ascii="Times New Roman" w:hAnsi="Times New Roman" w:cs="Times New Roman"/>
      <w:kern w:val="2"/>
      <w:sz w:val="28"/>
    </w:rPr>
  </w:style>
  <w:style w:type="character" w:customStyle="1" w:styleId="250">
    <w:name w:val="表格 Char"/>
    <w:link w:val="249"/>
    <w:uiPriority w:val="0"/>
    <w:rPr>
      <w:kern w:val="2"/>
      <w:sz w:val="28"/>
      <w:szCs w:val="24"/>
    </w:rPr>
  </w:style>
  <w:style w:type="paragraph" w:customStyle="1" w:styleId="251">
    <w:name w:val="正文 空格2"/>
    <w:basedOn w:val="1"/>
    <w:link w:val="252"/>
    <w:qFormat/>
    <w:uiPriority w:val="0"/>
    <w:pPr>
      <w:widowControl w:val="0"/>
      <w:ind w:left="200" w:leftChars="200"/>
    </w:pPr>
    <w:rPr>
      <w:rFonts w:ascii="Times New Roman" w:hAnsi="Times New Roman" w:cs="Times New Roman"/>
      <w:kern w:val="2"/>
      <w:sz w:val="28"/>
    </w:rPr>
  </w:style>
  <w:style w:type="character" w:customStyle="1" w:styleId="252">
    <w:name w:val="正文 空格2 Char"/>
    <w:link w:val="251"/>
    <w:uiPriority w:val="0"/>
    <w:rPr>
      <w:kern w:val="2"/>
      <w:sz w:val="28"/>
      <w:szCs w:val="24"/>
    </w:rPr>
  </w:style>
  <w:style w:type="paragraph" w:customStyle="1" w:styleId="253">
    <w:name w:val="p0"/>
    <w:basedOn w:val="1"/>
    <w:uiPriority w:val="0"/>
    <w:pPr>
      <w:jc w:val="both"/>
    </w:pPr>
    <w:rPr>
      <w:rFonts w:ascii="Times New Roman" w:hAnsi="Times New Roman" w:cs="Times New Roman"/>
      <w:sz w:val="28"/>
      <w:szCs w:val="21"/>
    </w:rPr>
  </w:style>
  <w:style w:type="paragraph" w:customStyle="1" w:styleId="254">
    <w:name w:val="修订1"/>
    <w:hidden/>
    <w:unhideWhenUsed/>
    <w:uiPriority w:val="99"/>
    <w:rPr>
      <w:rFonts w:ascii="Times New Roman" w:hAnsi="Times New Roman" w:eastAsia="宋体" w:cs="Times New Roman"/>
      <w:kern w:val="2"/>
      <w:sz w:val="21"/>
      <w:szCs w:val="24"/>
      <w:lang w:val="en-US" w:eastAsia="zh-CN" w:bidi="ar-SA"/>
    </w:rPr>
  </w:style>
  <w:style w:type="table" w:customStyle="1" w:styleId="255">
    <w:name w:val="网格型5"/>
    <w:basedOn w:val="37"/>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6">
    <w:name w:val="目录 52"/>
    <w:basedOn w:val="1"/>
    <w:next w:val="1"/>
    <w:autoRedefine/>
    <w:unhideWhenUsed/>
    <w:uiPriority w:val="39"/>
    <w:pPr>
      <w:widowControl w:val="0"/>
      <w:ind w:left="1680" w:leftChars="800"/>
      <w:jc w:val="both"/>
    </w:pPr>
    <w:rPr>
      <w:rFonts w:ascii="Calibri" w:hAnsi="Calibri" w:cs="Times New Roman"/>
      <w:kern w:val="2"/>
      <w:sz w:val="28"/>
      <w:szCs w:val="22"/>
    </w:rPr>
  </w:style>
  <w:style w:type="paragraph" w:customStyle="1" w:styleId="257">
    <w:name w:val="目录 62"/>
    <w:basedOn w:val="1"/>
    <w:next w:val="1"/>
    <w:autoRedefine/>
    <w:unhideWhenUsed/>
    <w:uiPriority w:val="39"/>
    <w:pPr>
      <w:widowControl w:val="0"/>
      <w:ind w:left="2100" w:leftChars="1000"/>
      <w:jc w:val="both"/>
    </w:pPr>
    <w:rPr>
      <w:rFonts w:ascii="Calibri" w:hAnsi="Calibri" w:cs="Times New Roman"/>
      <w:kern w:val="2"/>
      <w:sz w:val="28"/>
      <w:szCs w:val="22"/>
    </w:rPr>
  </w:style>
  <w:style w:type="paragraph" w:customStyle="1" w:styleId="258">
    <w:name w:val="目录 72"/>
    <w:basedOn w:val="1"/>
    <w:next w:val="1"/>
    <w:autoRedefine/>
    <w:unhideWhenUsed/>
    <w:uiPriority w:val="39"/>
    <w:pPr>
      <w:widowControl w:val="0"/>
      <w:ind w:left="2520" w:leftChars="1200"/>
      <w:jc w:val="both"/>
    </w:pPr>
    <w:rPr>
      <w:rFonts w:ascii="Calibri" w:hAnsi="Calibri" w:cs="Times New Roman"/>
      <w:kern w:val="2"/>
      <w:sz w:val="28"/>
      <w:szCs w:val="22"/>
    </w:rPr>
  </w:style>
  <w:style w:type="paragraph" w:customStyle="1" w:styleId="259">
    <w:name w:val="目录 82"/>
    <w:basedOn w:val="1"/>
    <w:next w:val="1"/>
    <w:autoRedefine/>
    <w:unhideWhenUsed/>
    <w:uiPriority w:val="39"/>
    <w:pPr>
      <w:widowControl w:val="0"/>
      <w:ind w:left="2940" w:leftChars="1400"/>
      <w:jc w:val="both"/>
    </w:pPr>
    <w:rPr>
      <w:rFonts w:ascii="Calibri" w:hAnsi="Calibri" w:cs="Times New Roman"/>
      <w:kern w:val="2"/>
      <w:sz w:val="28"/>
      <w:szCs w:val="22"/>
    </w:rPr>
  </w:style>
  <w:style w:type="paragraph" w:customStyle="1" w:styleId="260">
    <w:name w:val="目录 92"/>
    <w:basedOn w:val="1"/>
    <w:next w:val="1"/>
    <w:autoRedefine/>
    <w:unhideWhenUsed/>
    <w:uiPriority w:val="39"/>
    <w:pPr>
      <w:widowControl w:val="0"/>
      <w:ind w:left="3360" w:leftChars="1600"/>
      <w:jc w:val="both"/>
    </w:pPr>
    <w:rPr>
      <w:rFonts w:ascii="Calibri" w:hAnsi="Calibri" w:cs="Times New Roman"/>
      <w:kern w:val="2"/>
      <w:sz w:val="28"/>
      <w:szCs w:val="22"/>
    </w:rPr>
  </w:style>
  <w:style w:type="character" w:customStyle="1" w:styleId="261">
    <w:name w:val="正文编号 Char"/>
    <w:link w:val="262"/>
    <w:qFormat/>
    <w:uiPriority w:val="0"/>
    <w:rPr>
      <w:b/>
    </w:rPr>
  </w:style>
  <w:style w:type="paragraph" w:customStyle="1" w:styleId="262">
    <w:name w:val="正文编号"/>
    <w:basedOn w:val="1"/>
    <w:link w:val="261"/>
    <w:qFormat/>
    <w:uiPriority w:val="0"/>
    <w:pPr>
      <w:widowControl w:val="0"/>
      <w:spacing w:line="360" w:lineRule="auto"/>
    </w:pPr>
    <w:rPr>
      <w:rFonts w:ascii="Times New Roman" w:hAnsi="Times New Roman" w:cs="Times New Roman"/>
      <w:b/>
      <w:sz w:val="20"/>
      <w:szCs w:val="20"/>
    </w:rPr>
  </w:style>
  <w:style w:type="character" w:customStyle="1" w:styleId="263">
    <w:name w:val="正文2 Char"/>
    <w:link w:val="264"/>
    <w:qFormat/>
    <w:uiPriority w:val="0"/>
  </w:style>
  <w:style w:type="paragraph" w:customStyle="1" w:styleId="264">
    <w:name w:val="正文2"/>
    <w:basedOn w:val="1"/>
    <w:next w:val="1"/>
    <w:link w:val="263"/>
    <w:qFormat/>
    <w:uiPriority w:val="0"/>
    <w:pPr>
      <w:widowControl w:val="0"/>
      <w:spacing w:line="360" w:lineRule="auto"/>
      <w:ind w:firstLine="643" w:firstLineChars="200"/>
      <w:jc w:val="both"/>
    </w:pPr>
    <w:rPr>
      <w:rFonts w:ascii="Times New Roman" w:hAnsi="Times New Roman" w:cs="Times New Roman"/>
      <w:sz w:val="20"/>
      <w:szCs w:val="20"/>
    </w:rPr>
  </w:style>
  <w:style w:type="paragraph" w:customStyle="1" w:styleId="265">
    <w:name w:val="表格标题"/>
    <w:basedOn w:val="2"/>
    <w:next w:val="1"/>
    <w:link w:val="269"/>
    <w:qFormat/>
    <w:uiPriority w:val="0"/>
    <w:pPr>
      <w:keepNext/>
      <w:widowControl w:val="0"/>
      <w:spacing w:beforeLines="0" w:after="120" w:line="240" w:lineRule="auto"/>
    </w:pPr>
    <w:rPr>
      <w:rFonts w:ascii="Calibri" w:hAnsi="Calibri"/>
      <w:sz w:val="21"/>
      <w:szCs w:val="28"/>
    </w:rPr>
  </w:style>
  <w:style w:type="paragraph" w:customStyle="1" w:styleId="266">
    <w:name w:val="表注1"/>
    <w:basedOn w:val="1"/>
    <w:link w:val="270"/>
    <w:qFormat/>
    <w:uiPriority w:val="0"/>
    <w:pPr>
      <w:widowControl w:val="0"/>
      <w:spacing w:line="360" w:lineRule="auto"/>
      <w:ind w:left="1043" w:leftChars="100" w:hanging="803" w:hangingChars="250"/>
      <w:jc w:val="both"/>
    </w:pPr>
    <w:rPr>
      <w:rFonts w:ascii="Calibri" w:hAnsi="Calibri" w:cs="Times New Roman"/>
      <w:kern w:val="2"/>
      <w:sz w:val="28"/>
      <w:szCs w:val="28"/>
    </w:rPr>
  </w:style>
  <w:style w:type="paragraph" w:customStyle="1" w:styleId="267">
    <w:name w:val="正文3"/>
    <w:basedOn w:val="264"/>
    <w:next w:val="1"/>
    <w:link w:val="268"/>
    <w:qFormat/>
    <w:uiPriority w:val="0"/>
    <w:pPr>
      <w:ind w:left="1200" w:leftChars="300" w:hanging="480" w:hangingChars="150"/>
    </w:pPr>
  </w:style>
  <w:style w:type="character" w:customStyle="1" w:styleId="268">
    <w:name w:val="正文3 Char"/>
    <w:link w:val="267"/>
    <w:uiPriority w:val="0"/>
  </w:style>
  <w:style w:type="character" w:customStyle="1" w:styleId="269">
    <w:name w:val="表格标题 Char"/>
    <w:link w:val="265"/>
    <w:uiPriority w:val="0"/>
    <w:rPr>
      <w:rFonts w:ascii="Calibri" w:hAnsi="Calibri"/>
      <w:b/>
      <w:bCs/>
      <w:kern w:val="2"/>
      <w:sz w:val="21"/>
      <w:szCs w:val="28"/>
    </w:rPr>
  </w:style>
  <w:style w:type="character" w:customStyle="1" w:styleId="270">
    <w:name w:val="表注1 Char"/>
    <w:link w:val="266"/>
    <w:uiPriority w:val="0"/>
    <w:rPr>
      <w:rFonts w:ascii="Calibri" w:hAnsi="Calibri"/>
      <w:kern w:val="2"/>
      <w:sz w:val="28"/>
      <w:szCs w:val="28"/>
    </w:rPr>
  </w:style>
  <w:style w:type="character" w:customStyle="1" w:styleId="271">
    <w:name w:val="标题 字符"/>
    <w:basedOn w:val="39"/>
    <w:link w:val="35"/>
    <w:uiPriority w:val="10"/>
    <w:rPr>
      <w:snapToGrid w:val="0"/>
      <w:color w:val="000000"/>
      <w:sz w:val="28"/>
      <w:szCs w:val="21"/>
    </w:rPr>
  </w:style>
  <w:style w:type="character" w:customStyle="1" w:styleId="272">
    <w:name w:val="标准（正文） Char"/>
    <w:link w:val="273"/>
    <w:uiPriority w:val="0"/>
    <w:rPr>
      <w:rFonts w:ascii="宋体" w:hAnsi="宋体"/>
      <w:color w:val="000000"/>
      <w:szCs w:val="21"/>
    </w:rPr>
  </w:style>
  <w:style w:type="paragraph" w:customStyle="1" w:styleId="273">
    <w:name w:val="标准（正文）"/>
    <w:basedOn w:val="1"/>
    <w:link w:val="272"/>
    <w:uiPriority w:val="0"/>
    <w:pPr>
      <w:widowControl w:val="0"/>
      <w:jc w:val="both"/>
    </w:pPr>
    <w:rPr>
      <w:rFonts w:cs="Times New Roman"/>
      <w:color w:val="000000"/>
      <w:sz w:val="20"/>
      <w:szCs w:val="21"/>
    </w:rPr>
  </w:style>
  <w:style w:type="paragraph" w:customStyle="1" w:styleId="274">
    <w:name w:val="样式 正文首行缩进:  2 字符 + 首行缩进:  2 字符"/>
    <w:basedOn w:val="1"/>
    <w:uiPriority w:val="0"/>
    <w:pPr>
      <w:widowControl w:val="0"/>
      <w:spacing w:line="400" w:lineRule="exact"/>
      <w:ind w:firstLine="200" w:firstLineChars="200"/>
      <w:jc w:val="both"/>
    </w:pPr>
    <w:rPr>
      <w:rFonts w:ascii="Times New Roman" w:hAnsi="Times New Roman" w:cs="Times New Roman"/>
      <w:kern w:val="2"/>
      <w:szCs w:val="20"/>
    </w:rPr>
  </w:style>
  <w:style w:type="paragraph" w:customStyle="1" w:styleId="275">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1"/>
    <w:uiPriority w:val="0"/>
    <w:pPr>
      <w:spacing w:after="160" w:line="240" w:lineRule="exact"/>
    </w:pPr>
    <w:rPr>
      <w:rFonts w:ascii="Verdana" w:hAnsi="Verdana" w:cs="Times New Roman"/>
      <w:sz w:val="20"/>
      <w:szCs w:val="20"/>
      <w:lang w:eastAsia="en-US"/>
    </w:rPr>
  </w:style>
  <w:style w:type="character" w:customStyle="1" w:styleId="276">
    <w:name w:val="headline-content2"/>
    <w:basedOn w:val="39"/>
    <w:uiPriority w:val="0"/>
  </w:style>
  <w:style w:type="character" w:customStyle="1" w:styleId="277">
    <w:name w:val="highlight1"/>
    <w:uiPriority w:val="0"/>
    <w:rPr>
      <w:shd w:val="clear" w:color="auto" w:fill="FFFF00"/>
    </w:rPr>
  </w:style>
  <w:style w:type="paragraph" w:customStyle="1" w:styleId="278">
    <w:name w:val="样式1"/>
    <w:basedOn w:val="1"/>
    <w:uiPriority w:val="0"/>
    <w:pPr>
      <w:widowControl w:val="0"/>
      <w:numPr>
        <w:ilvl w:val="0"/>
        <w:numId w:val="3"/>
      </w:numPr>
      <w:tabs>
        <w:tab w:val="left" w:pos="672"/>
      </w:tabs>
      <w:spacing w:line="360" w:lineRule="auto"/>
      <w:jc w:val="both"/>
      <w:outlineLvl w:val="2"/>
    </w:pPr>
    <w:rPr>
      <w:rFonts w:cs="Times New Roman"/>
      <w:bCs/>
      <w:szCs w:val="32"/>
      <w:shd w:val="clear" w:color="auto" w:fill="FFFFFF"/>
    </w:rPr>
  </w:style>
  <w:style w:type="paragraph" w:customStyle="1" w:styleId="279">
    <w:name w:val="表中文字"/>
    <w:uiPriority w:val="0"/>
    <w:rPr>
      <w:rFonts w:ascii="Times New Roman" w:hAnsi="Times New Roman" w:eastAsia="宋体" w:cs="Times New Roman"/>
      <w:sz w:val="18"/>
      <w:lang w:val="en-US" w:eastAsia="zh-CN" w:bidi="ar-SA"/>
    </w:rPr>
  </w:style>
  <w:style w:type="paragraph" w:customStyle="1" w:styleId="280">
    <w:name w:val="条文"/>
    <w:basedOn w:val="1"/>
    <w:link w:val="281"/>
    <w:uiPriority w:val="0"/>
    <w:pPr>
      <w:widowControl w:val="0"/>
      <w:spacing w:line="300" w:lineRule="auto"/>
      <w:jc w:val="both"/>
      <w:outlineLvl w:val="2"/>
    </w:pPr>
    <w:rPr>
      <w:rFonts w:ascii="Times New Roman" w:hAnsi="Times New Roman" w:cs="Times New Roman"/>
      <w:kern w:val="2"/>
    </w:rPr>
  </w:style>
  <w:style w:type="character" w:customStyle="1" w:styleId="281">
    <w:name w:val="条文 Char"/>
    <w:link w:val="280"/>
    <w:uiPriority w:val="0"/>
    <w:rPr>
      <w:kern w:val="2"/>
      <w:sz w:val="24"/>
      <w:szCs w:val="24"/>
    </w:rPr>
  </w:style>
  <w:style w:type="paragraph" w:customStyle="1" w:styleId="282">
    <w:name w:val="注×："/>
    <w:qFormat/>
    <w:uiPriority w:val="0"/>
    <w:pPr>
      <w:widowControl w:val="0"/>
      <w:tabs>
        <w:tab w:val="left" w:pos="360"/>
      </w:tabs>
      <w:autoSpaceDE w:val="0"/>
      <w:autoSpaceDN w:val="0"/>
      <w:spacing w:after="200" w:line="276" w:lineRule="auto"/>
      <w:jc w:val="both"/>
    </w:pPr>
    <w:rPr>
      <w:rFonts w:ascii="宋体" w:hAnsi="Calibri" w:eastAsia="宋体" w:cs="Times New Roman"/>
      <w:sz w:val="18"/>
      <w:szCs w:val="18"/>
      <w:lang w:val="en-US" w:eastAsia="zh-CN" w:bidi="ar-SA"/>
    </w:rPr>
  </w:style>
  <w:style w:type="paragraph" w:customStyle="1" w:styleId="283">
    <w:name w:val="四级无"/>
    <w:basedOn w:val="76"/>
    <w:qFormat/>
    <w:uiPriority w:val="0"/>
    <w:pPr>
      <w:spacing w:before="0" w:beforeLines="0" w:after="0" w:afterLines="0"/>
    </w:pPr>
    <w:rPr>
      <w:rFonts w:ascii="宋体" w:eastAsia="宋体" w:cs="Times New Roman"/>
      <w:sz w:val="28"/>
      <w:u w:color="000000"/>
    </w:rPr>
  </w:style>
  <w:style w:type="paragraph" w:customStyle="1" w:styleId="284">
    <w:name w:val="五级无"/>
    <w:basedOn w:val="75"/>
    <w:qFormat/>
    <w:uiPriority w:val="0"/>
    <w:pPr>
      <w:spacing w:before="0" w:beforeLines="0" w:after="0" w:afterLines="0"/>
    </w:pPr>
    <w:rPr>
      <w:rFonts w:ascii="宋体" w:eastAsia="宋体" w:cs="Times New Roman"/>
      <w:sz w:val="28"/>
      <w:u w:color="000000"/>
    </w:rPr>
  </w:style>
  <w:style w:type="paragraph" w:customStyle="1" w:styleId="285">
    <w:name w:val="一级无"/>
    <w:basedOn w:val="71"/>
    <w:qFormat/>
    <w:uiPriority w:val="0"/>
    <w:pPr>
      <w:spacing w:beforeLines="0" w:afterLines="0"/>
      <w:ind w:left="420" w:hanging="420"/>
    </w:pPr>
    <w:rPr>
      <w:rFonts w:ascii="宋体" w:eastAsia="宋体" w:cs="Times New Roman"/>
      <w:u w:color="000000"/>
    </w:rPr>
  </w:style>
  <w:style w:type="paragraph" w:customStyle="1" w:styleId="286">
    <w:name w:val="段落"/>
    <w:uiPriority w:val="0"/>
    <w:pPr>
      <w:spacing w:line="310" w:lineRule="exact"/>
      <w:ind w:firstLine="200" w:firstLineChars="200"/>
    </w:pPr>
    <w:rPr>
      <w:rFonts w:ascii="Times New Roman" w:hAnsi="Times New Roman" w:eastAsia="宋体" w:cs="Times New Roman"/>
      <w:sz w:val="21"/>
      <w:lang w:val="en-US" w:eastAsia="zh-CN" w:bidi="ar-SA"/>
    </w:rPr>
  </w:style>
  <w:style w:type="paragraph" w:customStyle="1" w:styleId="287">
    <w:name w:val="附录标识"/>
    <w:basedOn w:val="1"/>
    <w:next w:val="60"/>
    <w:qFormat/>
    <w:uiPriority w:val="0"/>
    <w:pPr>
      <w:keepNext/>
      <w:numPr>
        <w:ilvl w:val="0"/>
        <w:numId w:val="4"/>
      </w:numPr>
      <w:shd w:val="clear" w:color="FFFFFF" w:fill="FFFFFF"/>
      <w:tabs>
        <w:tab w:val="left" w:pos="360"/>
        <w:tab w:val="left" w:pos="6405"/>
      </w:tabs>
      <w:spacing w:before="640" w:after="280"/>
      <w:jc w:val="center"/>
      <w:outlineLvl w:val="0"/>
    </w:pPr>
    <w:rPr>
      <w:rFonts w:ascii="黑体" w:hAnsi="Times New Roman" w:eastAsia="黑体" w:cs="Times New Roman"/>
      <w:sz w:val="28"/>
      <w:szCs w:val="20"/>
    </w:rPr>
  </w:style>
  <w:style w:type="paragraph" w:customStyle="1" w:styleId="288">
    <w:name w:val="附录标题"/>
    <w:basedOn w:val="60"/>
    <w:next w:val="60"/>
    <w:qFormat/>
    <w:uiPriority w:val="0"/>
    <w:pPr>
      <w:ind w:firstLine="0" w:firstLineChars="0"/>
      <w:jc w:val="center"/>
    </w:pPr>
    <w:rPr>
      <w:rFonts w:ascii="黑体" w:eastAsia="黑体" w:cs="Times New Roman"/>
      <w:szCs w:val="20"/>
    </w:rPr>
  </w:style>
  <w:style w:type="paragraph" w:customStyle="1" w:styleId="289">
    <w:name w:val="附录表标号"/>
    <w:basedOn w:val="1"/>
    <w:next w:val="60"/>
    <w:qFormat/>
    <w:uiPriority w:val="0"/>
    <w:pPr>
      <w:widowControl w:val="0"/>
      <w:numPr>
        <w:ilvl w:val="0"/>
        <w:numId w:val="5"/>
      </w:numPr>
      <w:spacing w:line="14" w:lineRule="exact"/>
      <w:jc w:val="center"/>
      <w:outlineLvl w:val="0"/>
    </w:pPr>
    <w:rPr>
      <w:rFonts w:ascii="Times New Roman" w:hAnsi="Times New Roman" w:cs="Times New Roman"/>
      <w:color w:val="FFFFFF"/>
      <w:kern w:val="2"/>
      <w:sz w:val="28"/>
    </w:rPr>
  </w:style>
  <w:style w:type="paragraph" w:customStyle="1" w:styleId="290">
    <w:name w:val="附录表标题"/>
    <w:basedOn w:val="1"/>
    <w:next w:val="60"/>
    <w:qFormat/>
    <w:uiPriority w:val="0"/>
    <w:pPr>
      <w:widowControl w:val="0"/>
      <w:numPr>
        <w:ilvl w:val="1"/>
        <w:numId w:val="5"/>
      </w:numPr>
      <w:tabs>
        <w:tab w:val="left" w:pos="0"/>
        <w:tab w:val="left" w:pos="180"/>
      </w:tabs>
      <w:spacing w:beforeLines="50" w:afterLines="50"/>
      <w:jc w:val="center"/>
    </w:pPr>
    <w:rPr>
      <w:rFonts w:ascii="黑体" w:hAnsi="Times New Roman" w:eastAsia="黑体" w:cs="Times New Roman"/>
      <w:kern w:val="2"/>
      <w:sz w:val="28"/>
      <w:szCs w:val="21"/>
    </w:rPr>
  </w:style>
  <w:style w:type="paragraph" w:customStyle="1" w:styleId="291">
    <w:name w:val="附录二级条标题"/>
    <w:basedOn w:val="1"/>
    <w:next w:val="60"/>
    <w:link w:val="292"/>
    <w:qFormat/>
    <w:uiPriority w:val="0"/>
    <w:pPr>
      <w:numPr>
        <w:ilvl w:val="3"/>
        <w:numId w:val="4"/>
      </w:numPr>
      <w:tabs>
        <w:tab w:val="left" w:pos="360"/>
      </w:tabs>
      <w:wordWrap w:val="0"/>
      <w:overflowPunct w:val="0"/>
      <w:autoSpaceDE w:val="0"/>
      <w:autoSpaceDN w:val="0"/>
      <w:spacing w:beforeLines="50" w:afterLines="50"/>
      <w:jc w:val="both"/>
      <w:textAlignment w:val="baseline"/>
      <w:outlineLvl w:val="3"/>
    </w:pPr>
    <w:rPr>
      <w:rFonts w:ascii="黑体" w:hAnsi="Times New Roman" w:eastAsia="黑体" w:cs="Times New Roman"/>
      <w:kern w:val="21"/>
      <w:sz w:val="28"/>
      <w:szCs w:val="20"/>
    </w:rPr>
  </w:style>
  <w:style w:type="character" w:customStyle="1" w:styleId="292">
    <w:name w:val="附录二级条标题 Char"/>
    <w:link w:val="291"/>
    <w:qFormat/>
    <w:uiPriority w:val="0"/>
    <w:rPr>
      <w:rFonts w:ascii="黑体" w:eastAsia="黑体"/>
      <w:kern w:val="21"/>
      <w:sz w:val="28"/>
    </w:rPr>
  </w:style>
  <w:style w:type="paragraph" w:customStyle="1" w:styleId="293">
    <w:name w:val="附录二级无"/>
    <w:basedOn w:val="291"/>
    <w:qFormat/>
    <w:uiPriority w:val="0"/>
    <w:pPr>
      <w:spacing w:beforeLines="0" w:afterLines="0"/>
      <w:ind w:left="0"/>
    </w:pPr>
    <w:rPr>
      <w:rFonts w:ascii="宋体" w:eastAsia="宋体"/>
      <w:szCs w:val="21"/>
    </w:rPr>
  </w:style>
  <w:style w:type="paragraph" w:customStyle="1" w:styleId="294">
    <w:name w:val="附录公式"/>
    <w:basedOn w:val="60"/>
    <w:next w:val="60"/>
    <w:link w:val="295"/>
    <w:qFormat/>
    <w:uiPriority w:val="0"/>
    <w:pPr>
      <w:ind w:firstLine="200"/>
      <w:jc w:val="left"/>
    </w:pPr>
  </w:style>
  <w:style w:type="character" w:customStyle="1" w:styleId="295">
    <w:name w:val="附录公式 Char"/>
    <w:basedOn w:val="59"/>
    <w:link w:val="294"/>
    <w:qFormat/>
    <w:uiPriority w:val="0"/>
    <w:rPr>
      <w:rFonts w:ascii="宋体" w:hAnsi="Times New Roman" w:cs="宋体"/>
      <w:sz w:val="21"/>
      <w:szCs w:val="21"/>
      <w:lang w:val="en-US" w:eastAsia="zh-CN" w:bidi="ar-SA"/>
    </w:rPr>
  </w:style>
  <w:style w:type="paragraph" w:customStyle="1" w:styleId="296">
    <w:name w:val="附录公式编号制表符"/>
    <w:basedOn w:val="1"/>
    <w:next w:val="60"/>
    <w:qFormat/>
    <w:uiPriority w:val="0"/>
    <w:pPr>
      <w:tabs>
        <w:tab w:val="center" w:pos="4201"/>
        <w:tab w:val="right" w:leader="dot" w:pos="9298"/>
      </w:tabs>
      <w:autoSpaceDE w:val="0"/>
      <w:autoSpaceDN w:val="0"/>
      <w:jc w:val="both"/>
    </w:pPr>
    <w:rPr>
      <w:rFonts w:hAnsi="Times New Roman" w:cs="Times New Roman"/>
      <w:sz w:val="28"/>
      <w:szCs w:val="20"/>
    </w:rPr>
  </w:style>
  <w:style w:type="paragraph" w:customStyle="1" w:styleId="297">
    <w:name w:val="附录三级条标题"/>
    <w:basedOn w:val="291"/>
    <w:next w:val="60"/>
    <w:link w:val="298"/>
    <w:qFormat/>
    <w:uiPriority w:val="0"/>
    <w:pPr>
      <w:numPr>
        <w:ilvl w:val="4"/>
      </w:numPr>
      <w:outlineLvl w:val="4"/>
    </w:pPr>
  </w:style>
  <w:style w:type="character" w:customStyle="1" w:styleId="298">
    <w:name w:val="附录三级条标题 Char"/>
    <w:link w:val="297"/>
    <w:qFormat/>
    <w:uiPriority w:val="0"/>
    <w:rPr>
      <w:rFonts w:ascii="黑体" w:eastAsia="黑体"/>
      <w:kern w:val="21"/>
      <w:sz w:val="28"/>
    </w:rPr>
  </w:style>
  <w:style w:type="paragraph" w:customStyle="1" w:styleId="299">
    <w:name w:val="附录三级无"/>
    <w:basedOn w:val="297"/>
    <w:qFormat/>
    <w:uiPriority w:val="0"/>
    <w:pPr>
      <w:spacing w:beforeLines="0" w:afterLines="0"/>
    </w:pPr>
    <w:rPr>
      <w:rFonts w:ascii="宋体" w:eastAsia="宋体"/>
      <w:szCs w:val="21"/>
    </w:rPr>
  </w:style>
  <w:style w:type="paragraph" w:customStyle="1" w:styleId="300">
    <w:name w:val="附录数字编号列项（二级）"/>
    <w:qFormat/>
    <w:uiPriority w:val="0"/>
    <w:pPr>
      <w:numPr>
        <w:ilvl w:val="1"/>
        <w:numId w:val="6"/>
      </w:numPr>
      <w:tabs>
        <w:tab w:val="left" w:pos="839"/>
        <w:tab w:val="clear" w:pos="840"/>
      </w:tabs>
    </w:pPr>
    <w:rPr>
      <w:rFonts w:ascii="宋体" w:hAnsi="Times New Roman" w:eastAsia="宋体" w:cs="Times New Roman"/>
      <w:sz w:val="21"/>
      <w:lang w:val="en-US" w:eastAsia="zh-CN" w:bidi="ar-SA"/>
    </w:rPr>
  </w:style>
  <w:style w:type="paragraph" w:customStyle="1" w:styleId="301">
    <w:name w:val="附录四级条标题"/>
    <w:basedOn w:val="297"/>
    <w:next w:val="60"/>
    <w:qFormat/>
    <w:uiPriority w:val="0"/>
    <w:pPr>
      <w:numPr>
        <w:ilvl w:val="5"/>
      </w:numPr>
      <w:ind w:left="1080" w:hanging="1080"/>
      <w:outlineLvl w:val="5"/>
    </w:pPr>
  </w:style>
  <w:style w:type="paragraph" w:customStyle="1" w:styleId="302">
    <w:name w:val="附录四级无"/>
    <w:basedOn w:val="301"/>
    <w:qFormat/>
    <w:uiPriority w:val="0"/>
    <w:pPr>
      <w:spacing w:beforeLines="0" w:afterLines="0"/>
    </w:pPr>
    <w:rPr>
      <w:rFonts w:ascii="宋体" w:eastAsia="宋体"/>
      <w:szCs w:val="21"/>
    </w:rPr>
  </w:style>
  <w:style w:type="paragraph" w:customStyle="1" w:styleId="303">
    <w:name w:val="附录图标号"/>
    <w:basedOn w:val="1"/>
    <w:qFormat/>
    <w:uiPriority w:val="0"/>
    <w:pPr>
      <w:keepNext/>
      <w:pageBreakBefore/>
      <w:numPr>
        <w:ilvl w:val="0"/>
        <w:numId w:val="7"/>
      </w:numPr>
      <w:spacing w:line="14" w:lineRule="exact"/>
      <w:jc w:val="center"/>
      <w:outlineLvl w:val="0"/>
    </w:pPr>
    <w:rPr>
      <w:rFonts w:ascii="Times New Roman" w:hAnsi="Times New Roman" w:cs="Times New Roman"/>
      <w:color w:val="FFFFFF"/>
      <w:kern w:val="2"/>
      <w:sz w:val="28"/>
    </w:rPr>
  </w:style>
  <w:style w:type="paragraph" w:customStyle="1" w:styleId="304">
    <w:name w:val="附录图标题"/>
    <w:basedOn w:val="1"/>
    <w:next w:val="60"/>
    <w:qFormat/>
    <w:uiPriority w:val="0"/>
    <w:pPr>
      <w:widowControl w:val="0"/>
      <w:numPr>
        <w:ilvl w:val="1"/>
        <w:numId w:val="7"/>
      </w:numPr>
      <w:tabs>
        <w:tab w:val="left" w:pos="363"/>
      </w:tabs>
      <w:spacing w:beforeLines="50" w:afterLines="50"/>
      <w:jc w:val="center"/>
    </w:pPr>
    <w:rPr>
      <w:rFonts w:ascii="黑体" w:hAnsi="Times New Roman" w:eastAsia="黑体" w:cs="Times New Roman"/>
      <w:kern w:val="2"/>
      <w:sz w:val="28"/>
      <w:szCs w:val="21"/>
    </w:rPr>
  </w:style>
  <w:style w:type="paragraph" w:customStyle="1" w:styleId="305">
    <w:name w:val="附录五级条标题"/>
    <w:basedOn w:val="301"/>
    <w:next w:val="60"/>
    <w:qFormat/>
    <w:uiPriority w:val="0"/>
    <w:pPr>
      <w:numPr>
        <w:ilvl w:val="6"/>
      </w:numPr>
      <w:ind w:left="1080" w:hanging="1080"/>
      <w:outlineLvl w:val="6"/>
    </w:pPr>
  </w:style>
  <w:style w:type="paragraph" w:customStyle="1" w:styleId="306">
    <w:name w:val="附录五级无"/>
    <w:basedOn w:val="305"/>
    <w:qFormat/>
    <w:uiPriority w:val="0"/>
    <w:pPr>
      <w:spacing w:beforeLines="0" w:afterLines="0"/>
    </w:pPr>
    <w:rPr>
      <w:rFonts w:ascii="宋体" w:eastAsia="宋体"/>
      <w:szCs w:val="21"/>
    </w:rPr>
  </w:style>
  <w:style w:type="paragraph" w:customStyle="1" w:styleId="307">
    <w:name w:val="附录章标题"/>
    <w:next w:val="60"/>
    <w:qFormat/>
    <w:uiPriority w:val="0"/>
    <w:pPr>
      <w:numPr>
        <w:ilvl w:val="1"/>
        <w:numId w:val="4"/>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308">
    <w:name w:val="附录一级条标题"/>
    <w:basedOn w:val="307"/>
    <w:next w:val="60"/>
    <w:qFormat/>
    <w:uiPriority w:val="0"/>
    <w:pPr>
      <w:numPr>
        <w:ilvl w:val="2"/>
      </w:numPr>
      <w:autoSpaceDN w:val="0"/>
      <w:spacing w:beforeLines="50" w:afterLines="50"/>
      <w:outlineLvl w:val="2"/>
    </w:pPr>
  </w:style>
  <w:style w:type="paragraph" w:customStyle="1" w:styleId="309">
    <w:name w:val="附录一级无"/>
    <w:basedOn w:val="308"/>
    <w:qFormat/>
    <w:uiPriority w:val="0"/>
    <w:pPr>
      <w:spacing w:beforeLines="0" w:afterLines="0"/>
      <w:ind w:left="0"/>
    </w:pPr>
    <w:rPr>
      <w:rFonts w:ascii="宋体" w:eastAsia="宋体"/>
      <w:szCs w:val="21"/>
    </w:rPr>
  </w:style>
  <w:style w:type="paragraph" w:customStyle="1" w:styleId="310">
    <w:name w:val="附录字母编号列项（一级）"/>
    <w:qFormat/>
    <w:uiPriority w:val="0"/>
    <w:pPr>
      <w:numPr>
        <w:ilvl w:val="0"/>
        <w:numId w:val="6"/>
      </w:numPr>
    </w:pPr>
    <w:rPr>
      <w:rFonts w:ascii="宋体" w:hAnsi="Times New Roman" w:eastAsia="宋体" w:cs="Times New Roman"/>
      <w:sz w:val="21"/>
      <w:lang w:val="en-US" w:eastAsia="zh-CN" w:bidi="ar-SA"/>
    </w:rPr>
  </w:style>
  <w:style w:type="paragraph" w:customStyle="1" w:styleId="311">
    <w:name w:val="图标脚注说明"/>
    <w:basedOn w:val="60"/>
    <w:qFormat/>
    <w:uiPriority w:val="0"/>
    <w:pPr>
      <w:ind w:left="840" w:hanging="420" w:firstLineChars="0"/>
      <w:jc w:val="left"/>
    </w:pPr>
    <w:rPr>
      <w:rFonts w:cs="Times New Roman"/>
      <w:sz w:val="18"/>
      <w:szCs w:val="18"/>
    </w:rPr>
  </w:style>
  <w:style w:type="paragraph" w:customStyle="1" w:styleId="312">
    <w:name w:val="图表脚注说明"/>
    <w:basedOn w:val="1"/>
    <w:qFormat/>
    <w:uiPriority w:val="0"/>
    <w:pPr>
      <w:widowControl w:val="0"/>
      <w:ind w:left="544" w:hanging="181"/>
      <w:jc w:val="both"/>
    </w:pPr>
    <w:rPr>
      <w:rFonts w:hAnsi="Times New Roman" w:cs="Times New Roman"/>
      <w:kern w:val="2"/>
      <w:sz w:val="18"/>
      <w:szCs w:val="18"/>
    </w:rPr>
  </w:style>
  <w:style w:type="paragraph" w:customStyle="1" w:styleId="313">
    <w:name w:val="图的脚注"/>
    <w:next w:val="60"/>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314">
    <w:name w:val="正文公式编号制表符"/>
    <w:basedOn w:val="60"/>
    <w:next w:val="60"/>
    <w:qFormat/>
    <w:uiPriority w:val="0"/>
    <w:pPr>
      <w:ind w:firstLine="0" w:firstLineChars="0"/>
      <w:jc w:val="left"/>
    </w:pPr>
    <w:rPr>
      <w:rFonts w:cs="Times New Roman"/>
      <w:szCs w:val="20"/>
    </w:rPr>
  </w:style>
  <w:style w:type="paragraph" w:customStyle="1" w:styleId="315">
    <w:name w:val="终结线"/>
    <w:basedOn w:val="1"/>
    <w:qFormat/>
    <w:uiPriority w:val="0"/>
    <w:pPr>
      <w:framePr w:hSpace="181" w:vSpace="181" w:wrap="around" w:vAnchor="text" w:hAnchor="margin" w:xAlign="center" w:y="285"/>
      <w:widowControl w:val="0"/>
      <w:jc w:val="both"/>
    </w:pPr>
    <w:rPr>
      <w:rFonts w:ascii="Times New Roman" w:hAnsi="Times New Roman" w:cs="Times New Roman"/>
      <w:kern w:val="2"/>
      <w:sz w:val="28"/>
    </w:rPr>
  </w:style>
  <w:style w:type="paragraph" w:customStyle="1" w:styleId="316">
    <w:name w:val="注：（正文）"/>
    <w:basedOn w:val="235"/>
    <w:next w:val="60"/>
    <w:qFormat/>
    <w:uiPriority w:val="0"/>
    <w:pPr>
      <w:numPr>
        <w:numId w:val="0"/>
      </w:numPr>
      <w:ind w:left="726" w:hanging="363"/>
    </w:pPr>
  </w:style>
  <w:style w:type="paragraph" w:customStyle="1" w:styleId="317">
    <w:name w:val="注×：（正文）"/>
    <w:qFormat/>
    <w:uiPriority w:val="0"/>
    <w:pPr>
      <w:numPr>
        <w:ilvl w:val="0"/>
        <w:numId w:val="8"/>
      </w:numPr>
      <w:jc w:val="both"/>
    </w:pPr>
    <w:rPr>
      <w:rFonts w:ascii="宋体" w:hAnsi="Times New Roman" w:eastAsia="宋体" w:cs="Times New Roman"/>
      <w:sz w:val="18"/>
      <w:szCs w:val="18"/>
      <w:lang w:val="en-US" w:eastAsia="zh-CN" w:bidi="ar-SA"/>
    </w:rPr>
  </w:style>
  <w:style w:type="paragraph" w:customStyle="1" w:styleId="318">
    <w:name w:val="字母编号列项（一级）"/>
    <w:qFormat/>
    <w:uiPriority w:val="0"/>
    <w:pPr>
      <w:numPr>
        <w:ilvl w:val="0"/>
        <w:numId w:val="9"/>
      </w:numPr>
      <w:jc w:val="both"/>
    </w:pPr>
    <w:rPr>
      <w:rFonts w:ascii="宋体" w:hAnsi="Times New Roman" w:eastAsia="宋体" w:cs="Times New Roman"/>
      <w:sz w:val="21"/>
      <w:lang w:val="en-US" w:eastAsia="zh-CN" w:bidi="ar-SA"/>
    </w:rPr>
  </w:style>
  <w:style w:type="character" w:customStyle="1" w:styleId="319">
    <w:name w:val="一般文 Char"/>
    <w:link w:val="320"/>
    <w:uiPriority w:val="0"/>
    <w:rPr>
      <w:bCs/>
      <w:sz w:val="21"/>
      <w:szCs w:val="21"/>
    </w:rPr>
  </w:style>
  <w:style w:type="paragraph" w:customStyle="1" w:styleId="320">
    <w:name w:val="一般文"/>
    <w:basedOn w:val="1"/>
    <w:link w:val="319"/>
    <w:uiPriority w:val="0"/>
    <w:pPr>
      <w:widowControl w:val="0"/>
      <w:spacing w:line="320" w:lineRule="exact"/>
      <w:jc w:val="both"/>
    </w:pPr>
    <w:rPr>
      <w:rFonts w:ascii="Times New Roman" w:hAnsi="Times New Roman" w:cs="Times New Roman"/>
      <w:bCs/>
      <w:sz w:val="21"/>
      <w:szCs w:val="21"/>
    </w:rPr>
  </w:style>
  <w:style w:type="character" w:customStyle="1" w:styleId="321">
    <w:name w:val="op_dict_text2"/>
    <w:basedOn w:val="39"/>
    <w:uiPriority w:val="0"/>
  </w:style>
  <w:style w:type="character" w:customStyle="1" w:styleId="322">
    <w:name w:val="op_dict_text1"/>
    <w:basedOn w:val="39"/>
    <w:uiPriority w:val="0"/>
  </w:style>
  <w:style w:type="character" w:customStyle="1" w:styleId="323">
    <w:name w:val="纯文本 Char"/>
    <w:uiPriority w:val="0"/>
    <w:rPr>
      <w:rFonts w:ascii="宋体" w:hAnsi="Courier New"/>
      <w:kern w:val="2"/>
      <w:sz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42.wmf"/><Relationship Id="rId98" Type="http://schemas.openxmlformats.org/officeDocument/2006/relationships/oleObject" Target="embeddings/oleObject42.bin"/><Relationship Id="rId97" Type="http://schemas.openxmlformats.org/officeDocument/2006/relationships/image" Target="media/image41.wmf"/><Relationship Id="rId96" Type="http://schemas.openxmlformats.org/officeDocument/2006/relationships/oleObject" Target="embeddings/oleObject41.bin"/><Relationship Id="rId95" Type="http://schemas.openxmlformats.org/officeDocument/2006/relationships/image" Target="media/image40.wmf"/><Relationship Id="rId94" Type="http://schemas.openxmlformats.org/officeDocument/2006/relationships/oleObject" Target="embeddings/oleObject40.bin"/><Relationship Id="rId93" Type="http://schemas.openxmlformats.org/officeDocument/2006/relationships/image" Target="media/image39.wmf"/><Relationship Id="rId92" Type="http://schemas.openxmlformats.org/officeDocument/2006/relationships/oleObject" Target="embeddings/oleObject39.bin"/><Relationship Id="rId91" Type="http://schemas.openxmlformats.org/officeDocument/2006/relationships/image" Target="media/image38.wmf"/><Relationship Id="rId90" Type="http://schemas.openxmlformats.org/officeDocument/2006/relationships/oleObject" Target="embeddings/oleObject38.bin"/><Relationship Id="rId9" Type="http://schemas.openxmlformats.org/officeDocument/2006/relationships/footer" Target="footer5.xml"/><Relationship Id="rId89" Type="http://schemas.openxmlformats.org/officeDocument/2006/relationships/image" Target="media/image37.wmf"/><Relationship Id="rId88" Type="http://schemas.openxmlformats.org/officeDocument/2006/relationships/oleObject" Target="embeddings/oleObject37.bin"/><Relationship Id="rId87" Type="http://schemas.openxmlformats.org/officeDocument/2006/relationships/image" Target="media/image36.wmf"/><Relationship Id="rId86" Type="http://schemas.openxmlformats.org/officeDocument/2006/relationships/oleObject" Target="embeddings/oleObject36.bin"/><Relationship Id="rId85" Type="http://schemas.openxmlformats.org/officeDocument/2006/relationships/image" Target="media/image35.wmf"/><Relationship Id="rId84" Type="http://schemas.openxmlformats.org/officeDocument/2006/relationships/oleObject" Target="embeddings/oleObject35.bin"/><Relationship Id="rId83" Type="http://schemas.openxmlformats.org/officeDocument/2006/relationships/image" Target="media/image34.wmf"/><Relationship Id="rId82" Type="http://schemas.openxmlformats.org/officeDocument/2006/relationships/oleObject" Target="embeddings/oleObject34.bin"/><Relationship Id="rId81" Type="http://schemas.openxmlformats.org/officeDocument/2006/relationships/image" Target="media/image33.wmf"/><Relationship Id="rId80" Type="http://schemas.openxmlformats.org/officeDocument/2006/relationships/oleObject" Target="embeddings/oleObject33.bin"/><Relationship Id="rId8" Type="http://schemas.openxmlformats.org/officeDocument/2006/relationships/footer" Target="footer4.xml"/><Relationship Id="rId79" Type="http://schemas.openxmlformats.org/officeDocument/2006/relationships/image" Target="media/image32.wmf"/><Relationship Id="rId78" Type="http://schemas.openxmlformats.org/officeDocument/2006/relationships/oleObject" Target="embeddings/oleObject32.bin"/><Relationship Id="rId77" Type="http://schemas.openxmlformats.org/officeDocument/2006/relationships/image" Target="media/image31.wmf"/><Relationship Id="rId76" Type="http://schemas.openxmlformats.org/officeDocument/2006/relationships/oleObject" Target="embeddings/oleObject31.bin"/><Relationship Id="rId75" Type="http://schemas.openxmlformats.org/officeDocument/2006/relationships/image" Target="media/image30.wmf"/><Relationship Id="rId74" Type="http://schemas.openxmlformats.org/officeDocument/2006/relationships/oleObject" Target="embeddings/oleObject30.bin"/><Relationship Id="rId73" Type="http://schemas.openxmlformats.org/officeDocument/2006/relationships/image" Target="media/image29.wmf"/><Relationship Id="rId72" Type="http://schemas.openxmlformats.org/officeDocument/2006/relationships/oleObject" Target="embeddings/oleObject29.bin"/><Relationship Id="rId71" Type="http://schemas.openxmlformats.org/officeDocument/2006/relationships/image" Target="media/image28.wmf"/><Relationship Id="rId70" Type="http://schemas.openxmlformats.org/officeDocument/2006/relationships/oleObject" Target="embeddings/oleObject28.bin"/><Relationship Id="rId7" Type="http://schemas.openxmlformats.org/officeDocument/2006/relationships/footer" Target="footer3.xml"/><Relationship Id="rId69" Type="http://schemas.openxmlformats.org/officeDocument/2006/relationships/oleObject" Target="embeddings/oleObject27.bin"/><Relationship Id="rId68" Type="http://schemas.openxmlformats.org/officeDocument/2006/relationships/image" Target="media/image27.wmf"/><Relationship Id="rId67" Type="http://schemas.openxmlformats.org/officeDocument/2006/relationships/oleObject" Target="embeddings/oleObject26.bin"/><Relationship Id="rId66" Type="http://schemas.openxmlformats.org/officeDocument/2006/relationships/oleObject" Target="embeddings/oleObject25.bin"/><Relationship Id="rId65" Type="http://schemas.openxmlformats.org/officeDocument/2006/relationships/image" Target="media/image26.wmf"/><Relationship Id="rId64" Type="http://schemas.openxmlformats.org/officeDocument/2006/relationships/oleObject" Target="embeddings/oleObject24.bin"/><Relationship Id="rId63" Type="http://schemas.openxmlformats.org/officeDocument/2006/relationships/oleObject" Target="embeddings/oleObject23.bin"/><Relationship Id="rId62" Type="http://schemas.openxmlformats.org/officeDocument/2006/relationships/image" Target="media/image25.wmf"/><Relationship Id="rId61" Type="http://schemas.openxmlformats.org/officeDocument/2006/relationships/oleObject" Target="embeddings/oleObject22.bin"/><Relationship Id="rId60" Type="http://schemas.openxmlformats.org/officeDocument/2006/relationships/oleObject" Target="embeddings/oleObject21.bin"/><Relationship Id="rId6" Type="http://schemas.openxmlformats.org/officeDocument/2006/relationships/footer" Target="footer2.xml"/><Relationship Id="rId59" Type="http://schemas.openxmlformats.org/officeDocument/2006/relationships/image" Target="media/image24.wmf"/><Relationship Id="rId58" Type="http://schemas.openxmlformats.org/officeDocument/2006/relationships/oleObject" Target="embeddings/oleObject20.bin"/><Relationship Id="rId57" Type="http://schemas.openxmlformats.org/officeDocument/2006/relationships/image" Target="media/image23.wmf"/><Relationship Id="rId56" Type="http://schemas.openxmlformats.org/officeDocument/2006/relationships/oleObject" Target="embeddings/oleObject19.bin"/><Relationship Id="rId55" Type="http://schemas.openxmlformats.org/officeDocument/2006/relationships/image" Target="media/image22.wmf"/><Relationship Id="rId54" Type="http://schemas.openxmlformats.org/officeDocument/2006/relationships/oleObject" Target="embeddings/oleObject18.bin"/><Relationship Id="rId53" Type="http://schemas.openxmlformats.org/officeDocument/2006/relationships/image" Target="media/image21.wmf"/><Relationship Id="rId52" Type="http://schemas.openxmlformats.org/officeDocument/2006/relationships/oleObject" Target="embeddings/oleObject17.bin"/><Relationship Id="rId51" Type="http://schemas.openxmlformats.org/officeDocument/2006/relationships/image" Target="media/image20.wmf"/><Relationship Id="rId50" Type="http://schemas.openxmlformats.org/officeDocument/2006/relationships/oleObject" Target="embeddings/oleObject16.bin"/><Relationship Id="rId5" Type="http://schemas.openxmlformats.org/officeDocument/2006/relationships/footer" Target="footer1.xml"/><Relationship Id="rId49" Type="http://schemas.openxmlformats.org/officeDocument/2006/relationships/image" Target="media/image19.wmf"/><Relationship Id="rId48" Type="http://schemas.openxmlformats.org/officeDocument/2006/relationships/oleObject" Target="embeddings/oleObject15.bin"/><Relationship Id="rId47" Type="http://schemas.openxmlformats.org/officeDocument/2006/relationships/image" Target="media/image18.wmf"/><Relationship Id="rId46" Type="http://schemas.openxmlformats.org/officeDocument/2006/relationships/oleObject" Target="embeddings/oleObject14.bin"/><Relationship Id="rId45" Type="http://schemas.openxmlformats.org/officeDocument/2006/relationships/image" Target="media/image17.wmf"/><Relationship Id="rId44" Type="http://schemas.openxmlformats.org/officeDocument/2006/relationships/oleObject" Target="embeddings/oleObject13.bin"/><Relationship Id="rId43" Type="http://schemas.openxmlformats.org/officeDocument/2006/relationships/image" Target="media/image16.wmf"/><Relationship Id="rId422" Type="http://schemas.openxmlformats.org/officeDocument/2006/relationships/fontTable" Target="fontTable.xml"/><Relationship Id="rId421" Type="http://schemas.openxmlformats.org/officeDocument/2006/relationships/customXml" Target="../customXml/item2.xml"/><Relationship Id="rId420" Type="http://schemas.openxmlformats.org/officeDocument/2006/relationships/numbering" Target="numbering.xml"/><Relationship Id="rId42" Type="http://schemas.openxmlformats.org/officeDocument/2006/relationships/oleObject" Target="embeddings/oleObject12.bin"/><Relationship Id="rId419" Type="http://schemas.openxmlformats.org/officeDocument/2006/relationships/customXml" Target="../customXml/item1.xml"/><Relationship Id="rId418" Type="http://schemas.openxmlformats.org/officeDocument/2006/relationships/image" Target="media/image211.png"/><Relationship Id="rId417" Type="http://schemas.openxmlformats.org/officeDocument/2006/relationships/image" Target="media/image210.png"/><Relationship Id="rId416" Type="http://schemas.openxmlformats.org/officeDocument/2006/relationships/image" Target="media/image209.png"/><Relationship Id="rId415" Type="http://schemas.openxmlformats.org/officeDocument/2006/relationships/image" Target="media/image208.png"/><Relationship Id="rId414" Type="http://schemas.openxmlformats.org/officeDocument/2006/relationships/image" Target="media/image207.png"/><Relationship Id="rId413" Type="http://schemas.openxmlformats.org/officeDocument/2006/relationships/image" Target="media/image206.png"/><Relationship Id="rId412" Type="http://schemas.openxmlformats.org/officeDocument/2006/relationships/image" Target="media/image205.png"/><Relationship Id="rId411" Type="http://schemas.openxmlformats.org/officeDocument/2006/relationships/image" Target="media/image204.png"/><Relationship Id="rId410" Type="http://schemas.openxmlformats.org/officeDocument/2006/relationships/image" Target="media/image203.png"/><Relationship Id="rId41" Type="http://schemas.openxmlformats.org/officeDocument/2006/relationships/image" Target="media/image15.wmf"/><Relationship Id="rId409" Type="http://schemas.openxmlformats.org/officeDocument/2006/relationships/image" Target="media/image202.png"/><Relationship Id="rId408" Type="http://schemas.openxmlformats.org/officeDocument/2006/relationships/image" Target="media/image201.png"/><Relationship Id="rId407" Type="http://schemas.openxmlformats.org/officeDocument/2006/relationships/image" Target="media/image200.png"/><Relationship Id="rId406" Type="http://schemas.openxmlformats.org/officeDocument/2006/relationships/image" Target="media/image199.png"/><Relationship Id="rId405" Type="http://schemas.openxmlformats.org/officeDocument/2006/relationships/image" Target="media/image198.png"/><Relationship Id="rId404" Type="http://schemas.openxmlformats.org/officeDocument/2006/relationships/image" Target="media/image197.png"/><Relationship Id="rId403" Type="http://schemas.openxmlformats.org/officeDocument/2006/relationships/image" Target="media/image196.png"/><Relationship Id="rId402" Type="http://schemas.openxmlformats.org/officeDocument/2006/relationships/image" Target="media/image195.png"/><Relationship Id="rId401" Type="http://schemas.openxmlformats.org/officeDocument/2006/relationships/image" Target="media/image194.png"/><Relationship Id="rId400" Type="http://schemas.openxmlformats.org/officeDocument/2006/relationships/image" Target="media/image193.png"/><Relationship Id="rId40" Type="http://schemas.openxmlformats.org/officeDocument/2006/relationships/oleObject" Target="embeddings/oleObject11.bin"/><Relationship Id="rId4" Type="http://schemas.openxmlformats.org/officeDocument/2006/relationships/header" Target="header2.xml"/><Relationship Id="rId399" Type="http://schemas.openxmlformats.org/officeDocument/2006/relationships/image" Target="media/image192.png"/><Relationship Id="rId398" Type="http://schemas.openxmlformats.org/officeDocument/2006/relationships/image" Target="media/image191.png"/><Relationship Id="rId397" Type="http://schemas.openxmlformats.org/officeDocument/2006/relationships/image" Target="media/image190.png"/><Relationship Id="rId396" Type="http://schemas.openxmlformats.org/officeDocument/2006/relationships/image" Target="media/image189.png"/><Relationship Id="rId395" Type="http://schemas.openxmlformats.org/officeDocument/2006/relationships/image" Target="media/image188.png"/><Relationship Id="rId394" Type="http://schemas.openxmlformats.org/officeDocument/2006/relationships/image" Target="media/image187.png"/><Relationship Id="rId393" Type="http://schemas.openxmlformats.org/officeDocument/2006/relationships/image" Target="media/image186.png"/><Relationship Id="rId392" Type="http://schemas.openxmlformats.org/officeDocument/2006/relationships/image" Target="media/image185.png"/><Relationship Id="rId391" Type="http://schemas.openxmlformats.org/officeDocument/2006/relationships/image" Target="media/image184.png"/><Relationship Id="rId390" Type="http://schemas.openxmlformats.org/officeDocument/2006/relationships/image" Target="media/image183.png"/><Relationship Id="rId39" Type="http://schemas.openxmlformats.org/officeDocument/2006/relationships/oleObject" Target="embeddings/oleObject10.bin"/><Relationship Id="rId389" Type="http://schemas.openxmlformats.org/officeDocument/2006/relationships/image" Target="media/image182.png"/><Relationship Id="rId388" Type="http://schemas.openxmlformats.org/officeDocument/2006/relationships/image" Target="media/image181.png"/><Relationship Id="rId387" Type="http://schemas.openxmlformats.org/officeDocument/2006/relationships/image" Target="media/image180.png"/><Relationship Id="rId386" Type="http://schemas.openxmlformats.org/officeDocument/2006/relationships/image" Target="media/image179.png"/><Relationship Id="rId385" Type="http://schemas.openxmlformats.org/officeDocument/2006/relationships/image" Target="media/image178.png"/><Relationship Id="rId384" Type="http://schemas.openxmlformats.org/officeDocument/2006/relationships/image" Target="media/image177.png"/><Relationship Id="rId383" Type="http://schemas.openxmlformats.org/officeDocument/2006/relationships/image" Target="media/image176.png"/><Relationship Id="rId382" Type="http://schemas.openxmlformats.org/officeDocument/2006/relationships/image" Target="media/image175.png"/><Relationship Id="rId381" Type="http://schemas.openxmlformats.org/officeDocument/2006/relationships/oleObject" Target="embeddings/oleObject192.bin"/><Relationship Id="rId380" Type="http://schemas.openxmlformats.org/officeDocument/2006/relationships/image" Target="media/image174.wmf"/><Relationship Id="rId38" Type="http://schemas.openxmlformats.org/officeDocument/2006/relationships/image" Target="media/image14.wmf"/><Relationship Id="rId379" Type="http://schemas.openxmlformats.org/officeDocument/2006/relationships/oleObject" Target="embeddings/oleObject191.bin"/><Relationship Id="rId378" Type="http://schemas.openxmlformats.org/officeDocument/2006/relationships/oleObject" Target="embeddings/oleObject190.bin"/><Relationship Id="rId377" Type="http://schemas.openxmlformats.org/officeDocument/2006/relationships/image" Target="media/image173.wmf"/><Relationship Id="rId376" Type="http://schemas.openxmlformats.org/officeDocument/2006/relationships/oleObject" Target="embeddings/oleObject189.bin"/><Relationship Id="rId375" Type="http://schemas.openxmlformats.org/officeDocument/2006/relationships/image" Target="media/image172.wmf"/><Relationship Id="rId374" Type="http://schemas.openxmlformats.org/officeDocument/2006/relationships/oleObject" Target="embeddings/oleObject188.bin"/><Relationship Id="rId373" Type="http://schemas.openxmlformats.org/officeDocument/2006/relationships/image" Target="media/image171.wmf"/><Relationship Id="rId372" Type="http://schemas.openxmlformats.org/officeDocument/2006/relationships/oleObject" Target="embeddings/oleObject187.bin"/><Relationship Id="rId371" Type="http://schemas.openxmlformats.org/officeDocument/2006/relationships/image" Target="media/image170.wmf"/><Relationship Id="rId370" Type="http://schemas.openxmlformats.org/officeDocument/2006/relationships/oleObject" Target="embeddings/oleObject186.bin"/><Relationship Id="rId37" Type="http://schemas.openxmlformats.org/officeDocument/2006/relationships/oleObject" Target="embeddings/oleObject9.bin"/><Relationship Id="rId369" Type="http://schemas.openxmlformats.org/officeDocument/2006/relationships/oleObject" Target="embeddings/oleObject185.bin"/><Relationship Id="rId368" Type="http://schemas.openxmlformats.org/officeDocument/2006/relationships/oleObject" Target="embeddings/oleObject184.bin"/><Relationship Id="rId367" Type="http://schemas.openxmlformats.org/officeDocument/2006/relationships/oleObject" Target="embeddings/oleObject183.bin"/><Relationship Id="rId366" Type="http://schemas.openxmlformats.org/officeDocument/2006/relationships/image" Target="media/image169.wmf"/><Relationship Id="rId365" Type="http://schemas.openxmlformats.org/officeDocument/2006/relationships/oleObject" Target="embeddings/oleObject182.bin"/><Relationship Id="rId364" Type="http://schemas.openxmlformats.org/officeDocument/2006/relationships/image" Target="media/image168.wmf"/><Relationship Id="rId363" Type="http://schemas.openxmlformats.org/officeDocument/2006/relationships/oleObject" Target="embeddings/oleObject181.bin"/><Relationship Id="rId362" Type="http://schemas.openxmlformats.org/officeDocument/2006/relationships/image" Target="media/image167.wmf"/><Relationship Id="rId361" Type="http://schemas.openxmlformats.org/officeDocument/2006/relationships/oleObject" Target="embeddings/oleObject180.bin"/><Relationship Id="rId360" Type="http://schemas.openxmlformats.org/officeDocument/2006/relationships/image" Target="media/image166.wmf"/><Relationship Id="rId36" Type="http://schemas.openxmlformats.org/officeDocument/2006/relationships/image" Target="media/image13.wmf"/><Relationship Id="rId359" Type="http://schemas.openxmlformats.org/officeDocument/2006/relationships/oleObject" Target="embeddings/oleObject179.bin"/><Relationship Id="rId358" Type="http://schemas.openxmlformats.org/officeDocument/2006/relationships/image" Target="media/image165.png"/><Relationship Id="rId357" Type="http://schemas.openxmlformats.org/officeDocument/2006/relationships/image" Target="media/image164.png"/><Relationship Id="rId356" Type="http://schemas.openxmlformats.org/officeDocument/2006/relationships/image" Target="media/image163.png"/><Relationship Id="rId355" Type="http://schemas.openxmlformats.org/officeDocument/2006/relationships/image" Target="media/image162.png"/><Relationship Id="rId354" Type="http://schemas.openxmlformats.org/officeDocument/2006/relationships/image" Target="media/image161.png"/><Relationship Id="rId353" Type="http://schemas.openxmlformats.org/officeDocument/2006/relationships/image" Target="media/image160.png"/><Relationship Id="rId352" Type="http://schemas.openxmlformats.org/officeDocument/2006/relationships/image" Target="media/image159.png"/><Relationship Id="rId351" Type="http://schemas.openxmlformats.org/officeDocument/2006/relationships/image" Target="media/image158.emf"/><Relationship Id="rId350" Type="http://schemas.openxmlformats.org/officeDocument/2006/relationships/image" Target="media/image157.wmf"/><Relationship Id="rId35" Type="http://schemas.openxmlformats.org/officeDocument/2006/relationships/oleObject" Target="embeddings/oleObject8.bin"/><Relationship Id="rId349" Type="http://schemas.openxmlformats.org/officeDocument/2006/relationships/oleObject" Target="embeddings/oleObject178.bin"/><Relationship Id="rId348" Type="http://schemas.openxmlformats.org/officeDocument/2006/relationships/image" Target="media/image156.wmf"/><Relationship Id="rId347" Type="http://schemas.openxmlformats.org/officeDocument/2006/relationships/oleObject" Target="embeddings/oleObject177.bin"/><Relationship Id="rId346" Type="http://schemas.openxmlformats.org/officeDocument/2006/relationships/image" Target="media/image155.wmf"/><Relationship Id="rId345" Type="http://schemas.openxmlformats.org/officeDocument/2006/relationships/oleObject" Target="embeddings/oleObject176.bin"/><Relationship Id="rId344" Type="http://schemas.openxmlformats.org/officeDocument/2006/relationships/image" Target="media/image154.wmf"/><Relationship Id="rId343" Type="http://schemas.openxmlformats.org/officeDocument/2006/relationships/oleObject" Target="embeddings/oleObject175.bin"/><Relationship Id="rId342" Type="http://schemas.openxmlformats.org/officeDocument/2006/relationships/image" Target="media/image153.png"/><Relationship Id="rId341" Type="http://schemas.openxmlformats.org/officeDocument/2006/relationships/image" Target="media/image152.wmf"/><Relationship Id="rId340" Type="http://schemas.openxmlformats.org/officeDocument/2006/relationships/oleObject" Target="embeddings/oleObject174.bin"/><Relationship Id="rId34" Type="http://schemas.openxmlformats.org/officeDocument/2006/relationships/image" Target="media/image12.wmf"/><Relationship Id="rId339" Type="http://schemas.openxmlformats.org/officeDocument/2006/relationships/image" Target="media/image151.wmf"/><Relationship Id="rId338" Type="http://schemas.openxmlformats.org/officeDocument/2006/relationships/oleObject" Target="embeddings/oleObject173.bin"/><Relationship Id="rId337" Type="http://schemas.openxmlformats.org/officeDocument/2006/relationships/image" Target="media/image150.wmf"/><Relationship Id="rId336" Type="http://schemas.openxmlformats.org/officeDocument/2006/relationships/oleObject" Target="embeddings/oleObject172.bin"/><Relationship Id="rId335" Type="http://schemas.openxmlformats.org/officeDocument/2006/relationships/image" Target="media/image149.wmf"/><Relationship Id="rId334" Type="http://schemas.openxmlformats.org/officeDocument/2006/relationships/oleObject" Target="embeddings/oleObject171.bin"/><Relationship Id="rId333" Type="http://schemas.openxmlformats.org/officeDocument/2006/relationships/image" Target="media/image148.wmf"/><Relationship Id="rId332" Type="http://schemas.openxmlformats.org/officeDocument/2006/relationships/oleObject" Target="embeddings/oleObject170.bin"/><Relationship Id="rId331" Type="http://schemas.openxmlformats.org/officeDocument/2006/relationships/image" Target="media/image147.wmf"/><Relationship Id="rId330" Type="http://schemas.openxmlformats.org/officeDocument/2006/relationships/oleObject" Target="embeddings/oleObject169.bin"/><Relationship Id="rId33" Type="http://schemas.openxmlformats.org/officeDocument/2006/relationships/oleObject" Target="embeddings/oleObject7.bin"/><Relationship Id="rId329" Type="http://schemas.openxmlformats.org/officeDocument/2006/relationships/image" Target="media/image146.wmf"/><Relationship Id="rId328" Type="http://schemas.openxmlformats.org/officeDocument/2006/relationships/oleObject" Target="embeddings/oleObject168.bin"/><Relationship Id="rId327" Type="http://schemas.openxmlformats.org/officeDocument/2006/relationships/image" Target="media/image145.wmf"/><Relationship Id="rId326" Type="http://schemas.openxmlformats.org/officeDocument/2006/relationships/oleObject" Target="embeddings/oleObject167.bin"/><Relationship Id="rId325" Type="http://schemas.openxmlformats.org/officeDocument/2006/relationships/image" Target="media/image144.wmf"/><Relationship Id="rId324" Type="http://schemas.openxmlformats.org/officeDocument/2006/relationships/oleObject" Target="embeddings/oleObject166.bin"/><Relationship Id="rId323" Type="http://schemas.openxmlformats.org/officeDocument/2006/relationships/image" Target="media/image143.png"/><Relationship Id="rId322" Type="http://schemas.openxmlformats.org/officeDocument/2006/relationships/image" Target="media/image142.png"/><Relationship Id="rId321" Type="http://schemas.openxmlformats.org/officeDocument/2006/relationships/image" Target="media/image141.png"/><Relationship Id="rId320" Type="http://schemas.openxmlformats.org/officeDocument/2006/relationships/image" Target="media/image140.png"/><Relationship Id="rId32" Type="http://schemas.openxmlformats.org/officeDocument/2006/relationships/image" Target="media/image11.wmf"/><Relationship Id="rId319" Type="http://schemas.openxmlformats.org/officeDocument/2006/relationships/image" Target="media/image139.png"/><Relationship Id="rId318" Type="http://schemas.openxmlformats.org/officeDocument/2006/relationships/image" Target="media/image138.wmf"/><Relationship Id="rId317" Type="http://schemas.openxmlformats.org/officeDocument/2006/relationships/oleObject" Target="embeddings/oleObject165.bin"/><Relationship Id="rId316" Type="http://schemas.openxmlformats.org/officeDocument/2006/relationships/image" Target="media/image137.wmf"/><Relationship Id="rId315" Type="http://schemas.openxmlformats.org/officeDocument/2006/relationships/image" Target="media/image136.wmf"/><Relationship Id="rId314" Type="http://schemas.openxmlformats.org/officeDocument/2006/relationships/image" Target="media/image135.wmf"/><Relationship Id="rId313" Type="http://schemas.openxmlformats.org/officeDocument/2006/relationships/image" Target="media/image134.wmf"/><Relationship Id="rId312" Type="http://schemas.openxmlformats.org/officeDocument/2006/relationships/oleObject" Target="embeddings/oleObject164.bin"/><Relationship Id="rId311" Type="http://schemas.openxmlformats.org/officeDocument/2006/relationships/image" Target="media/image133.wmf"/><Relationship Id="rId310" Type="http://schemas.openxmlformats.org/officeDocument/2006/relationships/oleObject" Target="embeddings/oleObject163.bin"/><Relationship Id="rId31" Type="http://schemas.openxmlformats.org/officeDocument/2006/relationships/oleObject" Target="embeddings/oleObject6.bin"/><Relationship Id="rId309" Type="http://schemas.openxmlformats.org/officeDocument/2006/relationships/image" Target="media/image132.wmf"/><Relationship Id="rId308" Type="http://schemas.openxmlformats.org/officeDocument/2006/relationships/oleObject" Target="embeddings/oleObject162.bin"/><Relationship Id="rId307" Type="http://schemas.openxmlformats.org/officeDocument/2006/relationships/image" Target="media/image131.wmf"/><Relationship Id="rId306" Type="http://schemas.openxmlformats.org/officeDocument/2006/relationships/oleObject" Target="embeddings/oleObject161.bin"/><Relationship Id="rId305" Type="http://schemas.openxmlformats.org/officeDocument/2006/relationships/image" Target="media/image130.wmf"/><Relationship Id="rId304" Type="http://schemas.openxmlformats.org/officeDocument/2006/relationships/oleObject" Target="embeddings/oleObject160.bin"/><Relationship Id="rId303" Type="http://schemas.openxmlformats.org/officeDocument/2006/relationships/image" Target="media/image129.wmf"/><Relationship Id="rId302" Type="http://schemas.openxmlformats.org/officeDocument/2006/relationships/oleObject" Target="embeddings/oleObject159.bin"/><Relationship Id="rId301" Type="http://schemas.openxmlformats.org/officeDocument/2006/relationships/image" Target="media/image128.png"/><Relationship Id="rId300" Type="http://schemas.openxmlformats.org/officeDocument/2006/relationships/image" Target="media/image127.png"/><Relationship Id="rId30" Type="http://schemas.openxmlformats.org/officeDocument/2006/relationships/image" Target="media/image10.wmf"/><Relationship Id="rId3" Type="http://schemas.openxmlformats.org/officeDocument/2006/relationships/header" Target="header1.xml"/><Relationship Id="rId299" Type="http://schemas.openxmlformats.org/officeDocument/2006/relationships/image" Target="media/image126.png"/><Relationship Id="rId298" Type="http://schemas.openxmlformats.org/officeDocument/2006/relationships/image" Target="media/image125.png"/><Relationship Id="rId297" Type="http://schemas.openxmlformats.org/officeDocument/2006/relationships/image" Target="media/image124.emf"/><Relationship Id="rId296" Type="http://schemas.openxmlformats.org/officeDocument/2006/relationships/image" Target="media/image123.emf"/><Relationship Id="rId295" Type="http://schemas.openxmlformats.org/officeDocument/2006/relationships/image" Target="media/image122.png"/><Relationship Id="rId294" Type="http://schemas.openxmlformats.org/officeDocument/2006/relationships/image" Target="media/image121.png"/><Relationship Id="rId293" Type="http://schemas.openxmlformats.org/officeDocument/2006/relationships/oleObject" Target="embeddings/oleObject158.bin"/><Relationship Id="rId292" Type="http://schemas.openxmlformats.org/officeDocument/2006/relationships/oleObject" Target="embeddings/oleObject157.bin"/><Relationship Id="rId291" Type="http://schemas.openxmlformats.org/officeDocument/2006/relationships/oleObject" Target="embeddings/oleObject156.bin"/><Relationship Id="rId290" Type="http://schemas.openxmlformats.org/officeDocument/2006/relationships/oleObject" Target="embeddings/oleObject155.bin"/><Relationship Id="rId29" Type="http://schemas.openxmlformats.org/officeDocument/2006/relationships/oleObject" Target="embeddings/oleObject5.bin"/><Relationship Id="rId289" Type="http://schemas.openxmlformats.org/officeDocument/2006/relationships/oleObject" Target="embeddings/oleObject154.bin"/><Relationship Id="rId288" Type="http://schemas.openxmlformats.org/officeDocument/2006/relationships/oleObject" Target="embeddings/oleObject153.bin"/><Relationship Id="rId287" Type="http://schemas.openxmlformats.org/officeDocument/2006/relationships/oleObject" Target="embeddings/oleObject152.bin"/><Relationship Id="rId286" Type="http://schemas.openxmlformats.org/officeDocument/2006/relationships/image" Target="media/image120.wmf"/><Relationship Id="rId285" Type="http://schemas.openxmlformats.org/officeDocument/2006/relationships/oleObject" Target="embeddings/oleObject151.bin"/><Relationship Id="rId284" Type="http://schemas.openxmlformats.org/officeDocument/2006/relationships/oleObject" Target="embeddings/oleObject150.bin"/><Relationship Id="rId283" Type="http://schemas.openxmlformats.org/officeDocument/2006/relationships/oleObject" Target="embeddings/oleObject149.bin"/><Relationship Id="rId282" Type="http://schemas.openxmlformats.org/officeDocument/2006/relationships/image" Target="media/image119.png"/><Relationship Id="rId281" Type="http://schemas.openxmlformats.org/officeDocument/2006/relationships/image" Target="media/image118.png"/><Relationship Id="rId280" Type="http://schemas.openxmlformats.org/officeDocument/2006/relationships/oleObject" Target="embeddings/oleObject148.bin"/><Relationship Id="rId28" Type="http://schemas.openxmlformats.org/officeDocument/2006/relationships/image" Target="media/image9.wmf"/><Relationship Id="rId279" Type="http://schemas.openxmlformats.org/officeDocument/2006/relationships/oleObject" Target="embeddings/oleObject147.bin"/><Relationship Id="rId278" Type="http://schemas.openxmlformats.org/officeDocument/2006/relationships/oleObject" Target="embeddings/oleObject146.bin"/><Relationship Id="rId277" Type="http://schemas.openxmlformats.org/officeDocument/2006/relationships/oleObject" Target="embeddings/oleObject145.bin"/><Relationship Id="rId276" Type="http://schemas.openxmlformats.org/officeDocument/2006/relationships/oleObject" Target="embeddings/oleObject144.bin"/><Relationship Id="rId275" Type="http://schemas.openxmlformats.org/officeDocument/2006/relationships/image" Target="media/image117.wmf"/><Relationship Id="rId274" Type="http://schemas.openxmlformats.org/officeDocument/2006/relationships/oleObject" Target="embeddings/oleObject143.bin"/><Relationship Id="rId273" Type="http://schemas.openxmlformats.org/officeDocument/2006/relationships/oleObject" Target="embeddings/oleObject142.bin"/><Relationship Id="rId272" Type="http://schemas.openxmlformats.org/officeDocument/2006/relationships/oleObject" Target="embeddings/oleObject141.bin"/><Relationship Id="rId271" Type="http://schemas.openxmlformats.org/officeDocument/2006/relationships/image" Target="media/image116.wmf"/><Relationship Id="rId270" Type="http://schemas.openxmlformats.org/officeDocument/2006/relationships/oleObject" Target="embeddings/oleObject140.bin"/><Relationship Id="rId27" Type="http://schemas.openxmlformats.org/officeDocument/2006/relationships/oleObject" Target="embeddings/oleObject4.bin"/><Relationship Id="rId269" Type="http://schemas.openxmlformats.org/officeDocument/2006/relationships/oleObject" Target="embeddings/oleObject139.bin"/><Relationship Id="rId268" Type="http://schemas.openxmlformats.org/officeDocument/2006/relationships/oleObject" Target="embeddings/oleObject138.bin"/><Relationship Id="rId267" Type="http://schemas.openxmlformats.org/officeDocument/2006/relationships/oleObject" Target="embeddings/oleObject137.bin"/><Relationship Id="rId266" Type="http://schemas.openxmlformats.org/officeDocument/2006/relationships/oleObject" Target="embeddings/oleObject136.bin"/><Relationship Id="rId265" Type="http://schemas.openxmlformats.org/officeDocument/2006/relationships/oleObject" Target="embeddings/oleObject135.bin"/><Relationship Id="rId264" Type="http://schemas.openxmlformats.org/officeDocument/2006/relationships/image" Target="media/image115.png"/><Relationship Id="rId263" Type="http://schemas.openxmlformats.org/officeDocument/2006/relationships/image" Target="media/image114.png"/><Relationship Id="rId262" Type="http://schemas.openxmlformats.org/officeDocument/2006/relationships/oleObject" Target="embeddings/oleObject134.bin"/><Relationship Id="rId261" Type="http://schemas.openxmlformats.org/officeDocument/2006/relationships/oleObject" Target="embeddings/oleObject133.bin"/><Relationship Id="rId260" Type="http://schemas.openxmlformats.org/officeDocument/2006/relationships/oleObject" Target="embeddings/oleObject132.bin"/><Relationship Id="rId26" Type="http://schemas.openxmlformats.org/officeDocument/2006/relationships/image" Target="media/image8.png"/><Relationship Id="rId259" Type="http://schemas.openxmlformats.org/officeDocument/2006/relationships/oleObject" Target="embeddings/oleObject131.bin"/><Relationship Id="rId258" Type="http://schemas.openxmlformats.org/officeDocument/2006/relationships/oleObject" Target="embeddings/oleObject130.bin"/><Relationship Id="rId257" Type="http://schemas.openxmlformats.org/officeDocument/2006/relationships/image" Target="media/image113.wmf"/><Relationship Id="rId256" Type="http://schemas.openxmlformats.org/officeDocument/2006/relationships/oleObject" Target="embeddings/oleObject129.bin"/><Relationship Id="rId255" Type="http://schemas.openxmlformats.org/officeDocument/2006/relationships/oleObject" Target="embeddings/oleObject128.bin"/><Relationship Id="rId254" Type="http://schemas.openxmlformats.org/officeDocument/2006/relationships/oleObject" Target="embeddings/oleObject127.bin"/><Relationship Id="rId253" Type="http://schemas.openxmlformats.org/officeDocument/2006/relationships/image" Target="media/image112.wmf"/><Relationship Id="rId252" Type="http://schemas.openxmlformats.org/officeDocument/2006/relationships/oleObject" Target="embeddings/oleObject126.bin"/><Relationship Id="rId251" Type="http://schemas.openxmlformats.org/officeDocument/2006/relationships/image" Target="media/image111.wmf"/><Relationship Id="rId250" Type="http://schemas.openxmlformats.org/officeDocument/2006/relationships/oleObject" Target="embeddings/oleObject125.bin"/><Relationship Id="rId25" Type="http://schemas.openxmlformats.org/officeDocument/2006/relationships/image" Target="media/image7.png"/><Relationship Id="rId249" Type="http://schemas.openxmlformats.org/officeDocument/2006/relationships/image" Target="media/image110.wmf"/><Relationship Id="rId248" Type="http://schemas.openxmlformats.org/officeDocument/2006/relationships/oleObject" Target="embeddings/oleObject124.bin"/><Relationship Id="rId247" Type="http://schemas.openxmlformats.org/officeDocument/2006/relationships/image" Target="media/image109.wmf"/><Relationship Id="rId246" Type="http://schemas.openxmlformats.org/officeDocument/2006/relationships/oleObject" Target="embeddings/oleObject123.bin"/><Relationship Id="rId245" Type="http://schemas.openxmlformats.org/officeDocument/2006/relationships/image" Target="media/image108.png"/><Relationship Id="rId244" Type="http://schemas.openxmlformats.org/officeDocument/2006/relationships/image" Target="media/image107.png"/><Relationship Id="rId243" Type="http://schemas.openxmlformats.org/officeDocument/2006/relationships/image" Target="media/image106.wmf"/><Relationship Id="rId242" Type="http://schemas.openxmlformats.org/officeDocument/2006/relationships/oleObject" Target="embeddings/oleObject122.bin"/><Relationship Id="rId241" Type="http://schemas.openxmlformats.org/officeDocument/2006/relationships/image" Target="media/image105.wmf"/><Relationship Id="rId240" Type="http://schemas.openxmlformats.org/officeDocument/2006/relationships/oleObject" Target="embeddings/oleObject121.bin"/><Relationship Id="rId24" Type="http://schemas.openxmlformats.org/officeDocument/2006/relationships/image" Target="media/image6.png"/><Relationship Id="rId239" Type="http://schemas.openxmlformats.org/officeDocument/2006/relationships/image" Target="media/image104.wmf"/><Relationship Id="rId238" Type="http://schemas.openxmlformats.org/officeDocument/2006/relationships/oleObject" Target="embeddings/oleObject120.bin"/><Relationship Id="rId237" Type="http://schemas.openxmlformats.org/officeDocument/2006/relationships/image" Target="media/image103.wmf"/><Relationship Id="rId236" Type="http://schemas.openxmlformats.org/officeDocument/2006/relationships/oleObject" Target="embeddings/oleObject119.bin"/><Relationship Id="rId235" Type="http://schemas.openxmlformats.org/officeDocument/2006/relationships/image" Target="media/image102.wmf"/><Relationship Id="rId234" Type="http://schemas.openxmlformats.org/officeDocument/2006/relationships/oleObject" Target="embeddings/oleObject118.bin"/><Relationship Id="rId233" Type="http://schemas.openxmlformats.org/officeDocument/2006/relationships/oleObject" Target="embeddings/oleObject117.bin"/><Relationship Id="rId232" Type="http://schemas.openxmlformats.org/officeDocument/2006/relationships/image" Target="media/image101.wmf"/><Relationship Id="rId231" Type="http://schemas.openxmlformats.org/officeDocument/2006/relationships/oleObject" Target="embeddings/oleObject116.bin"/><Relationship Id="rId230" Type="http://schemas.openxmlformats.org/officeDocument/2006/relationships/image" Target="media/image100.wmf"/><Relationship Id="rId23" Type="http://schemas.openxmlformats.org/officeDocument/2006/relationships/image" Target="media/image5.png"/><Relationship Id="rId229" Type="http://schemas.openxmlformats.org/officeDocument/2006/relationships/oleObject" Target="embeddings/oleObject115.bin"/><Relationship Id="rId228" Type="http://schemas.openxmlformats.org/officeDocument/2006/relationships/oleObject" Target="embeddings/oleObject114.bin"/><Relationship Id="rId227" Type="http://schemas.openxmlformats.org/officeDocument/2006/relationships/image" Target="media/image99.wmf"/><Relationship Id="rId226" Type="http://schemas.openxmlformats.org/officeDocument/2006/relationships/oleObject" Target="embeddings/oleObject113.bin"/><Relationship Id="rId225" Type="http://schemas.openxmlformats.org/officeDocument/2006/relationships/image" Target="media/image98.wmf"/><Relationship Id="rId224" Type="http://schemas.openxmlformats.org/officeDocument/2006/relationships/oleObject" Target="embeddings/oleObject112.bin"/><Relationship Id="rId223" Type="http://schemas.openxmlformats.org/officeDocument/2006/relationships/image" Target="media/image97.wmf"/><Relationship Id="rId222" Type="http://schemas.openxmlformats.org/officeDocument/2006/relationships/oleObject" Target="embeddings/oleObject111.bin"/><Relationship Id="rId221" Type="http://schemas.openxmlformats.org/officeDocument/2006/relationships/image" Target="media/image96.wmf"/><Relationship Id="rId220" Type="http://schemas.openxmlformats.org/officeDocument/2006/relationships/oleObject" Target="embeddings/oleObject110.bin"/><Relationship Id="rId22" Type="http://schemas.openxmlformats.org/officeDocument/2006/relationships/image" Target="media/image4.wmf"/><Relationship Id="rId219" Type="http://schemas.openxmlformats.org/officeDocument/2006/relationships/image" Target="media/image95.wmf"/><Relationship Id="rId218" Type="http://schemas.openxmlformats.org/officeDocument/2006/relationships/oleObject" Target="embeddings/oleObject109.bin"/><Relationship Id="rId217" Type="http://schemas.openxmlformats.org/officeDocument/2006/relationships/oleObject" Target="embeddings/oleObject108.bin"/><Relationship Id="rId216" Type="http://schemas.openxmlformats.org/officeDocument/2006/relationships/image" Target="media/image94.wmf"/><Relationship Id="rId215" Type="http://schemas.openxmlformats.org/officeDocument/2006/relationships/oleObject" Target="embeddings/oleObject107.bin"/><Relationship Id="rId214" Type="http://schemas.openxmlformats.org/officeDocument/2006/relationships/image" Target="media/image93.wmf"/><Relationship Id="rId213" Type="http://schemas.openxmlformats.org/officeDocument/2006/relationships/oleObject" Target="embeddings/oleObject106.bin"/><Relationship Id="rId212" Type="http://schemas.openxmlformats.org/officeDocument/2006/relationships/image" Target="media/image92.wmf"/><Relationship Id="rId211" Type="http://schemas.openxmlformats.org/officeDocument/2006/relationships/oleObject" Target="embeddings/oleObject105.bin"/><Relationship Id="rId210" Type="http://schemas.openxmlformats.org/officeDocument/2006/relationships/image" Target="media/image91.wmf"/><Relationship Id="rId21" Type="http://schemas.openxmlformats.org/officeDocument/2006/relationships/oleObject" Target="embeddings/oleObject3.bin"/><Relationship Id="rId209" Type="http://schemas.openxmlformats.org/officeDocument/2006/relationships/oleObject" Target="embeddings/oleObject104.bin"/><Relationship Id="rId208" Type="http://schemas.openxmlformats.org/officeDocument/2006/relationships/image" Target="media/image90.wmf"/><Relationship Id="rId207" Type="http://schemas.openxmlformats.org/officeDocument/2006/relationships/oleObject" Target="embeddings/oleObject103.bin"/><Relationship Id="rId206" Type="http://schemas.openxmlformats.org/officeDocument/2006/relationships/image" Target="media/image89.wmf"/><Relationship Id="rId205" Type="http://schemas.openxmlformats.org/officeDocument/2006/relationships/oleObject" Target="embeddings/oleObject102.bin"/><Relationship Id="rId204" Type="http://schemas.openxmlformats.org/officeDocument/2006/relationships/image" Target="media/image88.wmf"/><Relationship Id="rId203" Type="http://schemas.openxmlformats.org/officeDocument/2006/relationships/oleObject" Target="embeddings/oleObject101.bin"/><Relationship Id="rId202" Type="http://schemas.openxmlformats.org/officeDocument/2006/relationships/image" Target="media/image87.wmf"/><Relationship Id="rId201" Type="http://schemas.openxmlformats.org/officeDocument/2006/relationships/oleObject" Target="embeddings/oleObject100.bin"/><Relationship Id="rId200" Type="http://schemas.openxmlformats.org/officeDocument/2006/relationships/oleObject" Target="embeddings/oleObject99.bin"/><Relationship Id="rId20" Type="http://schemas.openxmlformats.org/officeDocument/2006/relationships/image" Target="media/image3.wmf"/><Relationship Id="rId2" Type="http://schemas.openxmlformats.org/officeDocument/2006/relationships/settings" Target="settings.xml"/><Relationship Id="rId199" Type="http://schemas.openxmlformats.org/officeDocument/2006/relationships/image" Target="media/image86.wmf"/><Relationship Id="rId198" Type="http://schemas.openxmlformats.org/officeDocument/2006/relationships/oleObject" Target="embeddings/oleObject98.bin"/><Relationship Id="rId197" Type="http://schemas.openxmlformats.org/officeDocument/2006/relationships/image" Target="media/image85.wmf"/><Relationship Id="rId196" Type="http://schemas.openxmlformats.org/officeDocument/2006/relationships/oleObject" Target="embeddings/oleObject97.bin"/><Relationship Id="rId195" Type="http://schemas.openxmlformats.org/officeDocument/2006/relationships/image" Target="media/image84.wmf"/><Relationship Id="rId194" Type="http://schemas.openxmlformats.org/officeDocument/2006/relationships/oleObject" Target="embeddings/oleObject96.bin"/><Relationship Id="rId193" Type="http://schemas.openxmlformats.org/officeDocument/2006/relationships/image" Target="media/image83.wmf"/><Relationship Id="rId192" Type="http://schemas.openxmlformats.org/officeDocument/2006/relationships/oleObject" Target="embeddings/oleObject95.bin"/><Relationship Id="rId191" Type="http://schemas.openxmlformats.org/officeDocument/2006/relationships/image" Target="media/image82.wmf"/><Relationship Id="rId190" Type="http://schemas.openxmlformats.org/officeDocument/2006/relationships/oleObject" Target="embeddings/oleObject94.bin"/><Relationship Id="rId19" Type="http://schemas.openxmlformats.org/officeDocument/2006/relationships/oleObject" Target="embeddings/oleObject2.bin"/><Relationship Id="rId189" Type="http://schemas.openxmlformats.org/officeDocument/2006/relationships/image" Target="media/image81.wmf"/><Relationship Id="rId188" Type="http://schemas.openxmlformats.org/officeDocument/2006/relationships/oleObject" Target="embeddings/oleObject93.bin"/><Relationship Id="rId187" Type="http://schemas.openxmlformats.org/officeDocument/2006/relationships/oleObject" Target="embeddings/oleObject92.bin"/><Relationship Id="rId186" Type="http://schemas.openxmlformats.org/officeDocument/2006/relationships/image" Target="media/image80.wmf"/><Relationship Id="rId185" Type="http://schemas.openxmlformats.org/officeDocument/2006/relationships/oleObject" Target="embeddings/oleObject91.bin"/><Relationship Id="rId184" Type="http://schemas.openxmlformats.org/officeDocument/2006/relationships/oleObject" Target="embeddings/oleObject90.bin"/><Relationship Id="rId183" Type="http://schemas.openxmlformats.org/officeDocument/2006/relationships/image" Target="media/image79.wmf"/><Relationship Id="rId182" Type="http://schemas.openxmlformats.org/officeDocument/2006/relationships/oleObject" Target="embeddings/oleObject89.bin"/><Relationship Id="rId181" Type="http://schemas.openxmlformats.org/officeDocument/2006/relationships/oleObject" Target="embeddings/oleObject88.bin"/><Relationship Id="rId180" Type="http://schemas.openxmlformats.org/officeDocument/2006/relationships/image" Target="media/image78.wmf"/><Relationship Id="rId18" Type="http://schemas.openxmlformats.org/officeDocument/2006/relationships/image" Target="media/image2.wmf"/><Relationship Id="rId179" Type="http://schemas.openxmlformats.org/officeDocument/2006/relationships/oleObject" Target="embeddings/oleObject87.bin"/><Relationship Id="rId178" Type="http://schemas.openxmlformats.org/officeDocument/2006/relationships/oleObject" Target="embeddings/oleObject86.bin"/><Relationship Id="rId177" Type="http://schemas.openxmlformats.org/officeDocument/2006/relationships/image" Target="media/image77.wmf"/><Relationship Id="rId176" Type="http://schemas.openxmlformats.org/officeDocument/2006/relationships/oleObject" Target="embeddings/oleObject85.bin"/><Relationship Id="rId175" Type="http://schemas.openxmlformats.org/officeDocument/2006/relationships/image" Target="media/image76.wmf"/><Relationship Id="rId174" Type="http://schemas.openxmlformats.org/officeDocument/2006/relationships/oleObject" Target="embeddings/oleObject84.bin"/><Relationship Id="rId173" Type="http://schemas.openxmlformats.org/officeDocument/2006/relationships/image" Target="media/image75.wmf"/><Relationship Id="rId172" Type="http://schemas.openxmlformats.org/officeDocument/2006/relationships/oleObject" Target="embeddings/oleObject83.bin"/><Relationship Id="rId171" Type="http://schemas.openxmlformats.org/officeDocument/2006/relationships/oleObject" Target="embeddings/oleObject82.bin"/><Relationship Id="rId170" Type="http://schemas.openxmlformats.org/officeDocument/2006/relationships/image" Target="media/image74.wmf"/><Relationship Id="rId17" Type="http://schemas.openxmlformats.org/officeDocument/2006/relationships/oleObject" Target="embeddings/oleObject1.bin"/><Relationship Id="rId169" Type="http://schemas.openxmlformats.org/officeDocument/2006/relationships/oleObject" Target="embeddings/oleObject81.bin"/><Relationship Id="rId168" Type="http://schemas.openxmlformats.org/officeDocument/2006/relationships/image" Target="media/image73.wmf"/><Relationship Id="rId167" Type="http://schemas.openxmlformats.org/officeDocument/2006/relationships/oleObject" Target="embeddings/oleObject80.bin"/><Relationship Id="rId166" Type="http://schemas.openxmlformats.org/officeDocument/2006/relationships/image" Target="media/image72.wmf"/><Relationship Id="rId165" Type="http://schemas.openxmlformats.org/officeDocument/2006/relationships/oleObject" Target="embeddings/oleObject79.bin"/><Relationship Id="rId164" Type="http://schemas.openxmlformats.org/officeDocument/2006/relationships/image" Target="media/image71.wmf"/><Relationship Id="rId163" Type="http://schemas.openxmlformats.org/officeDocument/2006/relationships/oleObject" Target="embeddings/oleObject78.bin"/><Relationship Id="rId162" Type="http://schemas.openxmlformats.org/officeDocument/2006/relationships/oleObject" Target="embeddings/oleObject77.bin"/><Relationship Id="rId161" Type="http://schemas.openxmlformats.org/officeDocument/2006/relationships/image" Target="media/image70.wmf"/><Relationship Id="rId160" Type="http://schemas.openxmlformats.org/officeDocument/2006/relationships/oleObject" Target="embeddings/oleObject76.bin"/><Relationship Id="rId16" Type="http://schemas.openxmlformats.org/officeDocument/2006/relationships/image" Target="media/image1.jpeg"/><Relationship Id="rId159" Type="http://schemas.openxmlformats.org/officeDocument/2006/relationships/oleObject" Target="embeddings/oleObject75.bin"/><Relationship Id="rId158" Type="http://schemas.openxmlformats.org/officeDocument/2006/relationships/image" Target="media/image69.wmf"/><Relationship Id="rId157" Type="http://schemas.openxmlformats.org/officeDocument/2006/relationships/oleObject" Target="embeddings/oleObject74.bin"/><Relationship Id="rId156" Type="http://schemas.openxmlformats.org/officeDocument/2006/relationships/image" Target="media/image68.wmf"/><Relationship Id="rId155" Type="http://schemas.openxmlformats.org/officeDocument/2006/relationships/oleObject" Target="embeddings/oleObject73.bin"/><Relationship Id="rId154" Type="http://schemas.openxmlformats.org/officeDocument/2006/relationships/image" Target="media/image67.wmf"/><Relationship Id="rId153" Type="http://schemas.openxmlformats.org/officeDocument/2006/relationships/oleObject" Target="embeddings/oleObject72.bin"/><Relationship Id="rId152" Type="http://schemas.openxmlformats.org/officeDocument/2006/relationships/image" Target="media/image66.wmf"/><Relationship Id="rId151" Type="http://schemas.openxmlformats.org/officeDocument/2006/relationships/oleObject" Target="embeddings/oleObject71.bin"/><Relationship Id="rId150" Type="http://schemas.openxmlformats.org/officeDocument/2006/relationships/image" Target="media/image65.wmf"/><Relationship Id="rId15" Type="http://schemas.openxmlformats.org/officeDocument/2006/relationships/theme" Target="theme/theme1.xml"/><Relationship Id="rId149" Type="http://schemas.openxmlformats.org/officeDocument/2006/relationships/oleObject" Target="embeddings/oleObject70.bin"/><Relationship Id="rId148" Type="http://schemas.openxmlformats.org/officeDocument/2006/relationships/image" Target="media/image64.wmf"/><Relationship Id="rId147" Type="http://schemas.openxmlformats.org/officeDocument/2006/relationships/oleObject" Target="embeddings/oleObject69.bin"/><Relationship Id="rId146" Type="http://schemas.openxmlformats.org/officeDocument/2006/relationships/image" Target="media/image63.wmf"/><Relationship Id="rId145" Type="http://schemas.openxmlformats.org/officeDocument/2006/relationships/oleObject" Target="embeddings/oleObject68.bin"/><Relationship Id="rId144" Type="http://schemas.openxmlformats.org/officeDocument/2006/relationships/image" Target="media/image62.wmf"/><Relationship Id="rId143" Type="http://schemas.openxmlformats.org/officeDocument/2006/relationships/oleObject" Target="embeddings/oleObject67.bin"/><Relationship Id="rId142" Type="http://schemas.openxmlformats.org/officeDocument/2006/relationships/image" Target="media/image61.wmf"/><Relationship Id="rId141" Type="http://schemas.openxmlformats.org/officeDocument/2006/relationships/oleObject" Target="embeddings/oleObject66.bin"/><Relationship Id="rId140" Type="http://schemas.openxmlformats.org/officeDocument/2006/relationships/image" Target="media/image60.wmf"/><Relationship Id="rId14" Type="http://schemas.openxmlformats.org/officeDocument/2006/relationships/footer" Target="footer10.xml"/><Relationship Id="rId139" Type="http://schemas.openxmlformats.org/officeDocument/2006/relationships/oleObject" Target="embeddings/oleObject65.bin"/><Relationship Id="rId138" Type="http://schemas.openxmlformats.org/officeDocument/2006/relationships/image" Target="media/image59.wmf"/><Relationship Id="rId137" Type="http://schemas.openxmlformats.org/officeDocument/2006/relationships/oleObject" Target="embeddings/oleObject64.bin"/><Relationship Id="rId136" Type="http://schemas.openxmlformats.org/officeDocument/2006/relationships/image" Target="media/image58.wmf"/><Relationship Id="rId135" Type="http://schemas.openxmlformats.org/officeDocument/2006/relationships/oleObject" Target="embeddings/oleObject63.bin"/><Relationship Id="rId134" Type="http://schemas.openxmlformats.org/officeDocument/2006/relationships/oleObject" Target="embeddings/oleObject62.bin"/><Relationship Id="rId133" Type="http://schemas.openxmlformats.org/officeDocument/2006/relationships/image" Target="media/image57.wmf"/><Relationship Id="rId132" Type="http://schemas.openxmlformats.org/officeDocument/2006/relationships/oleObject" Target="embeddings/oleObject61.bin"/><Relationship Id="rId131" Type="http://schemas.openxmlformats.org/officeDocument/2006/relationships/oleObject" Target="embeddings/oleObject60.bin"/><Relationship Id="rId130" Type="http://schemas.openxmlformats.org/officeDocument/2006/relationships/image" Target="media/image56.wmf"/><Relationship Id="rId13" Type="http://schemas.openxmlformats.org/officeDocument/2006/relationships/footer" Target="footer9.xml"/><Relationship Id="rId129" Type="http://schemas.openxmlformats.org/officeDocument/2006/relationships/oleObject" Target="embeddings/oleObject59.bin"/><Relationship Id="rId128" Type="http://schemas.openxmlformats.org/officeDocument/2006/relationships/image" Target="media/image55.wmf"/><Relationship Id="rId127" Type="http://schemas.openxmlformats.org/officeDocument/2006/relationships/oleObject" Target="embeddings/oleObject58.bin"/><Relationship Id="rId126" Type="http://schemas.openxmlformats.org/officeDocument/2006/relationships/oleObject" Target="embeddings/oleObject57.bin"/><Relationship Id="rId125" Type="http://schemas.openxmlformats.org/officeDocument/2006/relationships/image" Target="media/image54.wmf"/><Relationship Id="rId124" Type="http://schemas.openxmlformats.org/officeDocument/2006/relationships/oleObject" Target="embeddings/oleObject56.bin"/><Relationship Id="rId123" Type="http://schemas.openxmlformats.org/officeDocument/2006/relationships/oleObject" Target="embeddings/oleObject55.bin"/><Relationship Id="rId122" Type="http://schemas.openxmlformats.org/officeDocument/2006/relationships/image" Target="media/image53.wmf"/><Relationship Id="rId121" Type="http://schemas.openxmlformats.org/officeDocument/2006/relationships/oleObject" Target="embeddings/oleObject54.bin"/><Relationship Id="rId120" Type="http://schemas.openxmlformats.org/officeDocument/2006/relationships/image" Target="media/image52.wmf"/><Relationship Id="rId12" Type="http://schemas.openxmlformats.org/officeDocument/2006/relationships/footer" Target="footer8.xml"/><Relationship Id="rId119" Type="http://schemas.openxmlformats.org/officeDocument/2006/relationships/oleObject" Target="embeddings/oleObject53.bin"/><Relationship Id="rId118" Type="http://schemas.openxmlformats.org/officeDocument/2006/relationships/image" Target="media/image51.wmf"/><Relationship Id="rId117" Type="http://schemas.openxmlformats.org/officeDocument/2006/relationships/oleObject" Target="embeddings/oleObject52.bin"/><Relationship Id="rId116" Type="http://schemas.openxmlformats.org/officeDocument/2006/relationships/image" Target="media/image50.wmf"/><Relationship Id="rId115" Type="http://schemas.openxmlformats.org/officeDocument/2006/relationships/oleObject" Target="embeddings/oleObject51.bin"/><Relationship Id="rId114" Type="http://schemas.openxmlformats.org/officeDocument/2006/relationships/image" Target="media/image49.wmf"/><Relationship Id="rId113" Type="http://schemas.openxmlformats.org/officeDocument/2006/relationships/oleObject" Target="embeddings/oleObject50.bin"/><Relationship Id="rId112" Type="http://schemas.openxmlformats.org/officeDocument/2006/relationships/image" Target="media/image48.wmf"/><Relationship Id="rId111" Type="http://schemas.openxmlformats.org/officeDocument/2006/relationships/oleObject" Target="embeddings/oleObject49.bin"/><Relationship Id="rId110" Type="http://schemas.openxmlformats.org/officeDocument/2006/relationships/image" Target="media/image47.wmf"/><Relationship Id="rId11" Type="http://schemas.openxmlformats.org/officeDocument/2006/relationships/footer" Target="footer7.xml"/><Relationship Id="rId109" Type="http://schemas.openxmlformats.org/officeDocument/2006/relationships/oleObject" Target="embeddings/oleObject48.bin"/><Relationship Id="rId108" Type="http://schemas.openxmlformats.org/officeDocument/2006/relationships/oleObject" Target="embeddings/oleObject47.bin"/><Relationship Id="rId107" Type="http://schemas.openxmlformats.org/officeDocument/2006/relationships/image" Target="media/image46.wmf"/><Relationship Id="rId106" Type="http://schemas.openxmlformats.org/officeDocument/2006/relationships/oleObject" Target="embeddings/oleObject46.bin"/><Relationship Id="rId105" Type="http://schemas.openxmlformats.org/officeDocument/2006/relationships/image" Target="media/image45.wmf"/><Relationship Id="rId104" Type="http://schemas.openxmlformats.org/officeDocument/2006/relationships/oleObject" Target="embeddings/oleObject45.bin"/><Relationship Id="rId103" Type="http://schemas.openxmlformats.org/officeDocument/2006/relationships/image" Target="media/image44.wmf"/><Relationship Id="rId102" Type="http://schemas.openxmlformats.org/officeDocument/2006/relationships/oleObject" Target="embeddings/oleObject44.bin"/><Relationship Id="rId101" Type="http://schemas.openxmlformats.org/officeDocument/2006/relationships/image" Target="media/image43.wmf"/><Relationship Id="rId100" Type="http://schemas.openxmlformats.org/officeDocument/2006/relationships/oleObject" Target="embeddings/oleObject43.bin"/><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248"/>
    <customShpInfo spid="_x0000_s2251"/>
    <customShpInfo spid="_x0000_s2249"/>
    <customShpInfo spid="_x0000_s22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E1FF3B-B79B-4324-8319-6856634B7959}">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124</Pages>
  <Words>15789</Words>
  <Characters>89998</Characters>
  <Lines>749</Lines>
  <Paragraphs>211</Paragraphs>
  <TotalTime>6</TotalTime>
  <ScaleCrop>false</ScaleCrop>
  <LinksUpToDate>false</LinksUpToDate>
  <CharactersWithSpaces>105576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2024-04-25T07:30:00Z</dcterms:created>
  <dc:creator>Windows 用户</dc:creator>
  <cp:lastModifiedBy>张莉莉</cp:lastModifiedBy>
  <dcterms:modified xsi:type="dcterms:W3CDTF">2024-04-25T07:48:29Z</dcterms:modified>
  <dc:title>CECS                                   CECS×××</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BEA7B9C51C7A4D8AB986B12A12407DF0_13</vt:lpwstr>
  </property>
</Properties>
</file>