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88528">
      <w:pPr>
        <w:pStyle w:val="141"/>
        <w:framePr w:wrap="around"/>
        <w:rPr>
          <w:rFonts w:ascii="Times New Roman"/>
        </w:rPr>
      </w:pPr>
      <w:r>
        <w:rPr>
          <w:rFonts w:ascii="Times New Roman"/>
        </w:rPr>
        <w:t>ICS</w:t>
      </w:r>
      <w:r>
        <w:rPr>
          <w:rFonts w:ascii="Times New Roman" w:eastAsia="MS Mincho"/>
        </w:rPr>
        <w:t> </w:t>
      </w:r>
      <w:r>
        <w:rPr>
          <w:rFonts w:ascii="Times New Roman" w:eastAsia="等线"/>
        </w:rPr>
        <w:t>91.×××</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37804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01810176">
            <w:pPr>
              <w:pStyle w:val="141"/>
              <w:framePr w:wrap="around"/>
              <w:rPr>
                <w:rFonts w:ascii="Times New Roman"/>
              </w:rPr>
            </w:pPr>
            <w:r>
              <w:rPr>
                <w:rFonts w:ascii="Times New Roman"/>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2"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Iri/s1QAA&#10;AAcBAAAPAAAAAAAAAAEAIAAAACIAAABkcnMvZG93bnJldi54bWxQSwECFAAUAAAACACHTuJAc+xS&#10;pK8BAABnAwAADgAAAAAAAAABACAAAAAkAQAAZHJzL2Uyb0RvYy54bWxQSwUGAAAAAAYABgBZAQAA&#10;RQUAAAAA&#10;">
                      <v:fill on="t" focussize="0,0"/>
                      <v:stroke on="f"/>
                      <v:imagedata o:title=""/>
                      <o:lock v:ext="edit" aspectratio="f"/>
                    </v:rect>
                  </w:pict>
                </mc:Fallback>
              </mc:AlternateContent>
            </w:r>
            <w:r>
              <w:rPr>
                <w:rFonts w:ascii="Times New Roman"/>
              </w:rPr>
              <w:t>CCS×××</w:t>
            </w:r>
          </w:p>
        </w:tc>
      </w:tr>
    </w:tbl>
    <w:p w14:paraId="01FC0F86">
      <w:pPr>
        <w:pStyle w:val="102"/>
        <w:framePr w:wrap="around"/>
        <w:rPr>
          <w:rFonts w:ascii="Times New Roman"/>
        </w:rPr>
      </w:pPr>
      <w:r>
        <w:rPr>
          <w:rFonts w:ascii="Times New Roman"/>
        </w:rPr>
        <w:t>T/CECS 1000X—</w:t>
      </w:r>
      <w:bookmarkStart w:id="0" w:name="StdNo2"/>
      <w:r>
        <w:rPr>
          <w:rFonts w:ascii="Times New Roman"/>
        </w:rPr>
        <w:fldChar w:fldCharType="begin">
          <w:ffData>
            <w:name w:val="StdNo2"/>
            <w:enabled/>
            <w:calcOnExit w:val="0"/>
            <w:textInput>
              <w:default w:val="XXXX"/>
              <w:maxLength w:val="4"/>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0"/>
    </w:p>
    <w:tbl>
      <w:tblPr>
        <w:tblStyle w:val="35"/>
        <w:tblW w:w="187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gridCol w:w="9356"/>
      </w:tblGrid>
      <w:tr w14:paraId="2EA0F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399F2EA7">
            <w:pPr>
              <w:pStyle w:val="84"/>
              <w:framePr w:wrap="around"/>
              <w:rPr>
                <w:rFonts w:ascii="Times New Roman"/>
              </w:rPr>
            </w:pPr>
            <w:bookmarkStart w:id="1" w:name="DT"/>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D2n1EKqgEA&#10;AGcDAAAOAAAAAAAAAAEAIAAAACUBAABkcnMvZTJvRG9jLnhtbFBLBQYAAAAABgAGAFkBAABBBQAA&#10;AAA=&#10;">
                      <v:fill on="t" focussize="0,0"/>
                      <v:stroke on="f"/>
                      <v:imagedata o:title=""/>
                      <o:lock v:ext="edit" aspectratio="f"/>
                    </v:rect>
                  </w:pict>
                </mc:Fallback>
              </mc:AlternateContent>
            </w:r>
            <w:bookmarkEnd w:id="1"/>
          </w:p>
        </w:tc>
        <w:tc>
          <w:tcPr>
            <w:tcW w:w="9356" w:type="dxa"/>
            <w:tcBorders>
              <w:top w:val="nil"/>
              <w:left w:val="nil"/>
              <w:bottom w:val="nil"/>
              <w:right w:val="nil"/>
            </w:tcBorders>
          </w:tcPr>
          <w:p w14:paraId="7147EFD8">
            <w:pPr>
              <w:pStyle w:val="84"/>
              <w:framePr w:wrap="around"/>
              <w:rPr>
                <w:rFonts w:ascii="Times New Roman"/>
              </w:rPr>
            </w:pPr>
          </w:p>
        </w:tc>
      </w:tr>
    </w:tbl>
    <w:p w14:paraId="6BDD8BC4">
      <w:pPr>
        <w:pStyle w:val="102"/>
        <w:framePr w:wrap="around"/>
        <w:rPr>
          <w:rFonts w:ascii="Times New Roman"/>
        </w:rPr>
      </w:pPr>
    </w:p>
    <w:p w14:paraId="71570114">
      <w:pPr>
        <w:pStyle w:val="102"/>
        <w:framePr w:wrap="around"/>
        <w:rPr>
          <w:rFonts w:ascii="Times New Roman"/>
        </w:rPr>
      </w:pPr>
    </w:p>
    <w:p w14:paraId="3FA72000">
      <w:pPr>
        <w:pStyle w:val="67"/>
        <w:framePr w:wrap="around"/>
        <w:rPr>
          <w:rFonts w:ascii="Times New Roman"/>
        </w:rPr>
      </w:pPr>
      <w:r>
        <w:rPr>
          <w:rFonts w:ascii="Times New Roman"/>
        </w:rPr>
        <w:t>绿色建材评价  建筑隔震橡胶支座</w:t>
      </w:r>
    </w:p>
    <w:p w14:paraId="086FB8B1">
      <w:pPr>
        <w:pStyle w:val="66"/>
        <w:framePr w:wrap="around"/>
      </w:pPr>
      <w:bookmarkStart w:id="2" w:name="StdEnglishName"/>
      <w:r>
        <w:t>Green building materials assessment</w:t>
      </w:r>
      <w:bookmarkEnd w:id="2"/>
      <w:r>
        <w:rPr>
          <w:sz w:val="55"/>
          <w:szCs w:val="55"/>
        </w:rPr>
        <w:t>-</w:t>
      </w:r>
      <w:r>
        <w:t xml:space="preserve">Rubber Isolation Bearing for Buildings </w:t>
      </w:r>
    </w:p>
    <w:p w14:paraId="5001D1C7">
      <w:pPr>
        <w:pStyle w:val="98"/>
        <w:framePr w:wrap="around"/>
        <w:rPr>
          <w:rFonts w:ascii="Times New Roman"/>
        </w:rPr>
      </w:pPr>
    </w:p>
    <w:p w14:paraId="34A1833F">
      <w:pPr>
        <w:pStyle w:val="98"/>
        <w:framePr w:wrap="around"/>
        <w:rPr>
          <w:rFonts w:ascii="Times New Roman"/>
        </w:rPr>
      </w:pPr>
      <w:r>
        <w:rPr>
          <w:rFonts w:ascii="Times New Roman"/>
        </w:rPr>
        <w:t>（</w:t>
      </w:r>
      <w:r>
        <w:rPr>
          <w:rFonts w:hint="eastAsia" w:ascii="Times New Roman"/>
        </w:rPr>
        <w:t>征求意见</w:t>
      </w:r>
      <w:r>
        <w:rPr>
          <w:rFonts w:ascii="Times New Roman"/>
        </w:rPr>
        <w:t>稿）</w:t>
      </w:r>
    </w:p>
    <w:p w14:paraId="4010D60C">
      <w:pPr>
        <w:pStyle w:val="65"/>
        <w:framePr w:wrap="around"/>
        <w:rPr>
          <w:rFonts w:ascii="Times New Roman"/>
        </w:rPr>
      </w:pP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269F8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67D85D9B">
            <w:pPr>
              <w:pStyle w:val="98"/>
              <w:framePr w:wrap="around"/>
              <w:rPr>
                <w:rFonts w:ascii="Times New Roman"/>
              </w:rPr>
            </w:pPr>
          </w:p>
        </w:tc>
      </w:tr>
      <w:tr w14:paraId="51BCF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1C2F4E89">
            <w:pPr>
              <w:pStyle w:val="97"/>
              <w:framePr w:wrap="around"/>
              <w:rPr>
                <w:rFonts w:ascii="Times New Roman"/>
              </w:rPr>
            </w:pPr>
          </w:p>
        </w:tc>
      </w:tr>
    </w:tbl>
    <w:p w14:paraId="474CC798">
      <w:pPr>
        <w:pStyle w:val="118"/>
        <w:framePr w:w="2771" w:wrap="around" w:hAnchor="page" w:x="1421"/>
      </w:pPr>
      <w:bookmarkStart w:id="3" w:name="FY"/>
      <w:r>
        <w:fldChar w:fldCharType="begin">
          <w:ffData>
            <w:name w:val="FY"/>
            <w:enabled/>
            <w:calcOnExit w:val="0"/>
            <w:entryMacro w:val="ShowHelp8"/>
            <w:textInput>
              <w:default w:val="XXXX"/>
              <w:maxLength w:val="4"/>
            </w:textInput>
          </w:ffData>
        </w:fldChar>
      </w:r>
      <w:r>
        <w:instrText xml:space="preserve"> FORMTEXT </w:instrText>
      </w:r>
      <w:r>
        <w:fldChar w:fldCharType="separate"/>
      </w:r>
      <w:r>
        <w:t>XXXX</w:t>
      </w:r>
      <w:r>
        <w:fldChar w:fldCharType="end"/>
      </w:r>
      <w:bookmarkEnd w:id="3"/>
      <w:r>
        <w:t xml:space="preserve"> - </w:t>
      </w:r>
      <w:r>
        <w:fldChar w:fldCharType="begin">
          <w:ffData>
            <w:name w:val="FM"/>
            <w:enabled/>
            <w:calcOnExit w:val="0"/>
            <w:entryMacro w:val="ShowHelp8"/>
            <w:textInput>
              <w:default w:val="XX"/>
              <w:maxLength w:val="2"/>
            </w:textInput>
          </w:ffData>
        </w:fldChar>
      </w:r>
      <w:r>
        <w:instrText xml:space="preserve"> FORMTEXT </w:instrText>
      </w:r>
      <w:r>
        <w:fldChar w:fldCharType="separate"/>
      </w:r>
      <w:r>
        <w:t>XX</w:t>
      </w:r>
      <w:r>
        <w:fldChar w:fldCharType="end"/>
      </w:r>
      <w:r>
        <w:t xml:space="preserve"> - </w:t>
      </w:r>
      <w:bookmarkStart w:id="4" w:name="FD"/>
      <w:r>
        <w:fldChar w:fldCharType="begin">
          <w:ffData>
            <w:name w:val="FD"/>
            <w:enabled/>
            <w:calcOnExit w:val="0"/>
            <w:entryMacro w:val="ShowHelp8"/>
            <w:textInput>
              <w:default w:val="XX"/>
              <w:maxLength w:val="2"/>
            </w:textInput>
          </w:ffData>
        </w:fldChar>
      </w:r>
      <w:r>
        <w:instrText xml:space="preserve"> FORMTEXT </w:instrText>
      </w:r>
      <w:r>
        <w:fldChar w:fldCharType="separate"/>
      </w:r>
      <w:r>
        <w:t>XX</w:t>
      </w:r>
      <w:r>
        <w:fldChar w:fldCharType="end"/>
      </w:r>
      <w:bookmarkEnd w:id="4"/>
      <w:r>
        <w:t>发布</w:t>
      </w:r>
      <w:r>
        <mc:AlternateContent>
          <mc:Choice Requires="wps">
            <w:drawing>
              <wp:anchor distT="0" distB="0" distL="114300" distR="114300" simplePos="0" relativeHeight="251664384"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05pt;margin-top:728.5pt;height:0pt;width:481.9pt;mso-position-vertical-relative:page;z-index:25166438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lh2s81gAAAAsBAAAPAAAA&#10;AAAAAAEAIAAAACIAAABkcnMvZG93bnJldi54bWxQSwECFAAUAAAACACHTuJAT3W0H94BAADQAwAA&#10;DgAAAAAAAAABACAAAAAlAQAAZHJzL2Uyb0RvYy54bWxQSwUGAAAAAAYABgBZAQAAdQUAAAAA&#10;">
                <v:fill on="f" focussize="0,0"/>
                <v:stroke color="#000000" joinstyle="round"/>
                <v:imagedata o:title=""/>
                <o:lock v:ext="edit" aspectratio="f"/>
                <w10:anchorlock/>
              </v:line>
            </w:pict>
          </mc:Fallback>
        </mc:AlternateContent>
      </w:r>
    </w:p>
    <w:p w14:paraId="14C90CFB">
      <w:pPr>
        <w:pStyle w:val="143"/>
        <w:framePr w:wrap="around" w:hAnchor="page" w:x="7244" w:y="14088"/>
        <w:ind w:right="1056" w:rightChars="503"/>
      </w:pPr>
      <w:bookmarkStart w:id="5" w:name="SY"/>
      <w:r>
        <w:fldChar w:fldCharType="begin">
          <w:ffData>
            <w:name w:val="SY"/>
            <w:enabled/>
            <w:calcOnExit w:val="0"/>
            <w:entryMacro w:val="ShowHelp9"/>
            <w:textInput>
              <w:default w:val="XXXX"/>
              <w:maxLength w:val="4"/>
            </w:textInput>
          </w:ffData>
        </w:fldChar>
      </w:r>
      <w:r>
        <w:instrText xml:space="preserve"> FORMTEXT </w:instrText>
      </w:r>
      <w:r>
        <w:fldChar w:fldCharType="separate"/>
      </w:r>
      <w:r>
        <w:t>XXXX</w:t>
      </w:r>
      <w:r>
        <w:fldChar w:fldCharType="end"/>
      </w:r>
      <w:bookmarkEnd w:id="5"/>
      <w:r>
        <w:t xml:space="preserve"> - </w:t>
      </w:r>
      <w:bookmarkStart w:id="6" w:name="SM"/>
      <w:r>
        <w:fldChar w:fldCharType="begin">
          <w:ffData>
            <w:name w:val="SM"/>
            <w:enabled/>
            <w:calcOnExit w:val="0"/>
            <w:entryMacro w:val="ShowHelp9"/>
            <w:textInput>
              <w:default w:val="XX"/>
              <w:maxLength w:val="2"/>
            </w:textInput>
          </w:ffData>
        </w:fldChar>
      </w:r>
      <w:r>
        <w:instrText xml:space="preserve"> FORMTEXT </w:instrText>
      </w:r>
      <w:r>
        <w:fldChar w:fldCharType="separate"/>
      </w:r>
      <w:r>
        <w:t>XX</w:t>
      </w:r>
      <w:r>
        <w:fldChar w:fldCharType="end"/>
      </w:r>
      <w:bookmarkEnd w:id="6"/>
      <w:r>
        <w:t xml:space="preserve"> - </w:t>
      </w:r>
      <w:bookmarkStart w:id="7" w:name="SD"/>
      <w:r>
        <w:fldChar w:fldCharType="begin">
          <w:ffData>
            <w:name w:val="SD"/>
            <w:enabled/>
            <w:calcOnExit w:val="0"/>
            <w:entryMacro w:val="ShowHelp9"/>
            <w:textInput>
              <w:default w:val="XX"/>
              <w:maxLength w:val="2"/>
            </w:textInput>
          </w:ffData>
        </w:fldChar>
      </w:r>
      <w:r>
        <w:instrText xml:space="preserve"> FORMTEXT </w:instrText>
      </w:r>
      <w:r>
        <w:fldChar w:fldCharType="separate"/>
      </w:r>
      <w:r>
        <w:t>XX</w:t>
      </w:r>
      <w:r>
        <w:fldChar w:fldCharType="end"/>
      </w:r>
      <w:bookmarkEnd w:id="7"/>
      <w:r>
        <w:t>实施</w:t>
      </w:r>
    </w:p>
    <w:p w14:paraId="128F387E">
      <w:pPr>
        <w:pStyle w:val="125"/>
        <w:framePr w:wrap="around"/>
        <w:rPr>
          <w:rFonts w:ascii="Times New Roman"/>
        </w:rPr>
      </w:pPr>
      <w:r>
        <w:rPr>
          <w:rFonts w:ascii="Times New Roman"/>
        </w:rPr>
        <w:t>中国工程建设标准化协会</w:t>
      </w:r>
      <w:r>
        <w:rPr>
          <w:rFonts w:ascii="Times New Roman" w:eastAsia="MS Mincho"/>
        </w:rPr>
        <w:t>   </w:t>
      </w:r>
      <w:r>
        <w:rPr>
          <w:rStyle w:val="52"/>
          <w:rFonts w:ascii="Times New Roman"/>
        </w:rPr>
        <w:t>发布</w:t>
      </w:r>
    </w:p>
    <w:p w14:paraId="1F8982C8">
      <w:pPr>
        <w:pStyle w:val="25"/>
        <w:rPr>
          <w:rFonts w:ascii="Times New Roman"/>
        </w:rPr>
      </w:pP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965835</wp:posOffset>
                </wp:positionV>
                <wp:extent cx="6119495" cy="1922145"/>
                <wp:effectExtent l="4445" t="4445" r="17780" b="8890"/>
                <wp:wrapNone/>
                <wp:docPr id="5" name="文本框 37"/>
                <wp:cNvGraphicFramePr/>
                <a:graphic xmlns:a="http://schemas.openxmlformats.org/drawingml/2006/main">
                  <a:graphicData uri="http://schemas.microsoft.com/office/word/2010/wordprocessingShape">
                    <wps:wsp>
                      <wps:cNvSpPr txBox="1"/>
                      <wps:spPr>
                        <a:xfrm>
                          <a:off x="0" y="0"/>
                          <a:ext cx="6119495" cy="192214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1386F45">
                            <w:pPr>
                              <w:jc w:val="distribute"/>
                              <w:rPr>
                                <w:rFonts w:ascii="黑体" w:hAnsi="黑体" w:eastAsia="黑体"/>
                                <w:sz w:val="72"/>
                                <w:szCs w:val="72"/>
                              </w:rPr>
                            </w:pPr>
                            <w:r>
                              <w:rPr>
                                <w:rFonts w:hint="eastAsia" w:ascii="黑体" w:hAnsi="黑体" w:eastAsia="黑体"/>
                                <w:sz w:val="72"/>
                                <w:szCs w:val="72"/>
                              </w:rPr>
                              <w:t>团体标准</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 id="文本框 37" o:spid="_x0000_s1026" o:spt="202" type="#_x0000_t202" style="position:absolute;left:0pt;margin-left:-0.45pt;margin-top:76.05pt;height:151.35pt;width:481.85pt;z-index:251663360;mso-width-relative:page;mso-height-relative:margin;mso-height-percent:200;" fillcolor="#FFFFFF" filled="t" stroked="t" coordsize="21600,21600" o:gfxdata="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ABlBv2gAA&#10;AAkBAAAPAAAAAAAAAAEAIAAAACIAAABkcnMvZG93bnJldi54bWxQSwECFAAUAAAACACHTuJAtijh&#10;1RwCAABgBAAADgAAAAAAAAABACAAAAApAQAAZHJzL2Uyb0RvYy54bWxQSwUGAAAAAAYABgBZAQAA&#10;twUAAAAA&#10;">
                <v:fill on="t" focussize="0,0"/>
                <v:stroke color="#FFFFFF" joinstyle="miter"/>
                <v:imagedata o:title=""/>
                <o:lock v:ext="edit" aspectratio="f"/>
                <v:textbox style="mso-fit-shape-to-text:t;">
                  <w:txbxContent>
                    <w:p w14:paraId="31386F45">
                      <w:pPr>
                        <w:jc w:val="distribute"/>
                        <w:rPr>
                          <w:rFonts w:ascii="黑体" w:hAnsi="黑体" w:eastAsia="黑体"/>
                          <w:sz w:val="72"/>
                          <w:szCs w:val="72"/>
                        </w:rPr>
                      </w:pPr>
                      <w:r>
                        <w:rPr>
                          <w:rFonts w:hint="eastAsia" w:ascii="黑体" w:hAnsi="黑体" w:eastAsia="黑体"/>
                          <w:sz w:val="72"/>
                          <w:szCs w:val="72"/>
                        </w:rPr>
                        <w:t>团体标准</w:t>
                      </w:r>
                    </w:p>
                  </w:txbxContent>
                </v:textbox>
              </v:shape>
            </w:pict>
          </mc:Fallback>
        </mc:AlternateContent>
      </w:r>
      <w:r>
        <w:rPr>
          <w:rFonts w:ascii="Times New Roman"/>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4"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JB4l/XAAAACQEAAA8A&#10;AAAAAAAAAQAgAAAAIgAAAGRycy9kb3ducmV2LnhtbFBLAQIUABQAAAAIAIdO4kCZC48V3wEAANAD&#10;AAAOAAAAAAAAAAEAIAAAACYBAABkcnMvZTJvRG9jLnhtbFBLBQYAAAAABgAGAFkBAAB3BQAAAAA=&#10;">
                <v:fill on="f" focussize="0,0"/>
                <v:stroke color="#000000" joinstyle="round"/>
                <v:imagedata o:title=""/>
                <o:lock v:ext="edit" aspectratio="f"/>
              </v:line>
            </w:pict>
          </mc:Fallback>
        </mc:AlternateContent>
      </w:r>
    </w:p>
    <w:p w14:paraId="5C3F4ABE"/>
    <w:p w14:paraId="4A8CA2E6"/>
    <w:p w14:paraId="149AAFA3"/>
    <w:p w14:paraId="5F3D9C3A"/>
    <w:p w14:paraId="5B87AF61">
      <w:pPr>
        <w:jc w:val="center"/>
      </w:pPr>
    </w:p>
    <w:p w14:paraId="779D39D0"/>
    <w:p w14:paraId="4085CB46"/>
    <w:p w14:paraId="52FFAE9E"/>
    <w:p w14:paraId="7D8BA0A0">
      <w:pPr>
        <w:sectPr>
          <w:pgSz w:w="11906" w:h="16838"/>
          <w:pgMar w:top="567" w:right="851" w:bottom="1134" w:left="1418" w:header="0" w:footer="0" w:gutter="0"/>
          <w:pgNumType w:start="1"/>
          <w:cols w:space="720" w:num="1"/>
          <w:docGrid w:type="lines" w:linePitch="312" w:charSpace="0"/>
        </w:sectPr>
      </w:pPr>
    </w:p>
    <w:p w14:paraId="1706E46C">
      <w:pPr>
        <w:pStyle w:val="113"/>
        <w:tabs>
          <w:tab w:val="right" w:leader="dot" w:pos="9241"/>
        </w:tabs>
        <w:spacing w:before="78" w:after="78"/>
        <w:outlineLvl w:val="9"/>
        <w:rPr>
          <w:rFonts w:ascii="Times New Roman"/>
        </w:rPr>
      </w:pPr>
      <w:bookmarkStart w:id="8" w:name="_Toc533509689"/>
      <w:bookmarkStart w:id="9" w:name="_Toc533509584"/>
      <w:bookmarkStart w:id="10" w:name="_Toc18523"/>
      <w:bookmarkStart w:id="11" w:name="_Toc10204842"/>
      <w:bookmarkStart w:id="12" w:name="_Toc16567"/>
      <w:bookmarkStart w:id="13" w:name="_Toc22278"/>
      <w:bookmarkStart w:id="14" w:name="_Toc23429"/>
      <w:r>
        <w:rPr>
          <w:rFonts w:ascii="Times New Roman"/>
        </w:rPr>
        <w:t>目</w:t>
      </w:r>
      <w:r>
        <w:rPr>
          <w:rFonts w:ascii="Times New Roman" w:eastAsia="MS Mincho"/>
        </w:rPr>
        <w:t>  </w:t>
      </w:r>
      <w:r>
        <w:rPr>
          <w:rFonts w:ascii="Times New Roman"/>
        </w:rPr>
        <w:t>次</w:t>
      </w:r>
      <w:bookmarkEnd w:id="8"/>
      <w:bookmarkEnd w:id="9"/>
      <w:bookmarkEnd w:id="10"/>
      <w:bookmarkEnd w:id="11"/>
      <w:r>
        <w:rPr>
          <w:rFonts w:ascii="Times New Roman"/>
          <w:kern w:val="2"/>
          <w:szCs w:val="21"/>
        </w:rPr>
        <w:fldChar w:fldCharType="begin"/>
      </w:r>
      <w:r>
        <w:rPr>
          <w:rFonts w:ascii="Times New Roman"/>
          <w:kern w:val="2"/>
          <w:szCs w:val="21"/>
        </w:rPr>
        <w:instrText xml:space="preserve"> TOC \o "1-3" \h \z \u </w:instrText>
      </w:r>
      <w:r>
        <w:rPr>
          <w:rFonts w:ascii="Times New Roman"/>
          <w:kern w:val="2"/>
          <w:szCs w:val="21"/>
        </w:rPr>
        <w:fldChar w:fldCharType="separate"/>
      </w:r>
      <w:bookmarkEnd w:id="12"/>
      <w:bookmarkEnd w:id="13"/>
      <w:bookmarkEnd w:id="14"/>
    </w:p>
    <w:p w14:paraId="6DC5AF58">
      <w:pPr>
        <w:pStyle w:val="21"/>
        <w:spacing w:before="78" w:after="78"/>
        <w:jc w:val="center"/>
      </w:pPr>
      <w:r>
        <w:rPr>
          <w:rFonts w:ascii="Times New Roman"/>
        </w:rPr>
        <w:fldChar w:fldCharType="end"/>
      </w:r>
    </w:p>
    <w:sdt>
      <w:sdtPr>
        <w:rPr>
          <w:rFonts w:ascii="Times New Roman" w:hAnsi="宋体"/>
          <w:szCs w:val="24"/>
        </w:rPr>
        <w:id w:val="147461998"/>
        <w15:color w:val="DBDBDB"/>
        <w:docPartObj>
          <w:docPartGallery w:val="Table of Contents"/>
          <w:docPartUnique/>
        </w:docPartObj>
      </w:sdtPr>
      <w:sdtEndPr>
        <w:rPr>
          <w:rFonts w:ascii="Times New Roman" w:hAnsi="Times New Roman"/>
          <w:szCs w:val="24"/>
        </w:rPr>
      </w:sdtEndPr>
      <w:sdtContent>
        <w:p w14:paraId="110A0396">
          <w:pPr>
            <w:pStyle w:val="21"/>
            <w:spacing w:before="78" w:after="78"/>
            <w:jc w:val="center"/>
          </w:pPr>
          <w:r>
            <w:fldChar w:fldCharType="begin"/>
          </w:r>
          <w:r>
            <w:instrText xml:space="preserve">TOC \o "1-1" \h \u </w:instrText>
          </w:r>
          <w:r>
            <w:fldChar w:fldCharType="separate"/>
          </w:r>
        </w:p>
        <w:p w14:paraId="7B9F7827">
          <w:pPr>
            <w:pStyle w:val="21"/>
            <w:tabs>
              <w:tab w:val="right" w:leader="dot" w:pos="9354"/>
              <w:tab w:val="clear" w:pos="9241"/>
            </w:tabs>
            <w:spacing w:before="78" w:after="78"/>
          </w:pPr>
          <w:r>
            <w:fldChar w:fldCharType="begin"/>
          </w:r>
          <w:r>
            <w:instrText xml:space="preserve"> HYPERLINK \l "_Toc19853" </w:instrText>
          </w:r>
          <w:r>
            <w:fldChar w:fldCharType="separate"/>
          </w:r>
          <w:r>
            <w:rPr>
              <w:rFonts w:ascii="Times New Roman"/>
            </w:rPr>
            <w:t>前</w:t>
          </w:r>
          <w:r>
            <w:rPr>
              <w:rFonts w:ascii="Times New Roman" w:eastAsia="MS Mincho"/>
            </w:rPr>
            <w:t>  </w:t>
          </w:r>
          <w:r>
            <w:rPr>
              <w:rFonts w:ascii="Times New Roman"/>
            </w:rPr>
            <w:t>言</w:t>
          </w:r>
          <w:r>
            <w:tab/>
          </w:r>
          <w:r>
            <w:fldChar w:fldCharType="begin"/>
          </w:r>
          <w:r>
            <w:instrText xml:space="preserve"> PAGEREF _Toc19853 \h </w:instrText>
          </w:r>
          <w:r>
            <w:fldChar w:fldCharType="separate"/>
          </w:r>
          <w:r>
            <w:t>III</w:t>
          </w:r>
          <w:r>
            <w:fldChar w:fldCharType="end"/>
          </w:r>
          <w:r>
            <w:fldChar w:fldCharType="end"/>
          </w:r>
        </w:p>
        <w:p w14:paraId="141BABAD">
          <w:pPr>
            <w:pStyle w:val="21"/>
            <w:tabs>
              <w:tab w:val="right" w:leader="dot" w:pos="9354"/>
              <w:tab w:val="clear" w:pos="9241"/>
            </w:tabs>
            <w:spacing w:before="78" w:after="78"/>
          </w:pPr>
          <w:r>
            <w:fldChar w:fldCharType="begin"/>
          </w:r>
          <w:r>
            <w:instrText xml:space="preserve"> HYPERLINK \l "_Toc23239" </w:instrText>
          </w:r>
          <w:r>
            <w:fldChar w:fldCharType="separate"/>
          </w:r>
          <w:r>
            <w:rPr>
              <w:rFonts w:hint="eastAsia" w:ascii="黑体" w:eastAsia="黑体"/>
            </w:rPr>
            <w:t xml:space="preserve">1 </w:t>
          </w:r>
          <w:r>
            <w:rPr>
              <w:rFonts w:ascii="Times New Roman"/>
            </w:rPr>
            <w:t>范围</w:t>
          </w:r>
          <w:r>
            <w:tab/>
          </w:r>
          <w:r>
            <w:fldChar w:fldCharType="begin"/>
          </w:r>
          <w:r>
            <w:instrText xml:space="preserve"> PAGEREF _Toc23239 \h </w:instrText>
          </w:r>
          <w:r>
            <w:fldChar w:fldCharType="separate"/>
          </w:r>
          <w:r>
            <w:t>1</w:t>
          </w:r>
          <w:r>
            <w:fldChar w:fldCharType="end"/>
          </w:r>
          <w:r>
            <w:fldChar w:fldCharType="end"/>
          </w:r>
        </w:p>
        <w:p w14:paraId="590F3675">
          <w:pPr>
            <w:pStyle w:val="21"/>
            <w:tabs>
              <w:tab w:val="right" w:leader="dot" w:pos="9354"/>
              <w:tab w:val="clear" w:pos="9241"/>
            </w:tabs>
            <w:spacing w:before="78" w:after="78"/>
          </w:pPr>
          <w:r>
            <w:fldChar w:fldCharType="begin"/>
          </w:r>
          <w:r>
            <w:instrText xml:space="preserve"> HYPERLINK \l "_Toc14190" </w:instrText>
          </w:r>
          <w:r>
            <w:fldChar w:fldCharType="separate"/>
          </w:r>
          <w:r>
            <w:rPr>
              <w:rFonts w:hint="eastAsia" w:ascii="黑体" w:eastAsia="黑体"/>
            </w:rPr>
            <w:t xml:space="preserve">2 </w:t>
          </w:r>
          <w:r>
            <w:rPr>
              <w:rFonts w:ascii="Times New Roman"/>
            </w:rPr>
            <w:t>规范性引用文件</w:t>
          </w:r>
          <w:r>
            <w:tab/>
          </w:r>
          <w:r>
            <w:fldChar w:fldCharType="begin"/>
          </w:r>
          <w:r>
            <w:instrText xml:space="preserve"> PAGEREF _Toc14190 \h </w:instrText>
          </w:r>
          <w:r>
            <w:fldChar w:fldCharType="separate"/>
          </w:r>
          <w:r>
            <w:t>1</w:t>
          </w:r>
          <w:r>
            <w:fldChar w:fldCharType="end"/>
          </w:r>
          <w:r>
            <w:fldChar w:fldCharType="end"/>
          </w:r>
        </w:p>
        <w:p w14:paraId="29BE33B2">
          <w:pPr>
            <w:pStyle w:val="21"/>
            <w:tabs>
              <w:tab w:val="right" w:leader="dot" w:pos="9354"/>
              <w:tab w:val="clear" w:pos="9241"/>
            </w:tabs>
            <w:spacing w:before="78" w:after="78"/>
          </w:pPr>
          <w:r>
            <w:fldChar w:fldCharType="begin"/>
          </w:r>
          <w:r>
            <w:instrText xml:space="preserve"> HYPERLINK \l "_Toc20592" </w:instrText>
          </w:r>
          <w:r>
            <w:fldChar w:fldCharType="separate"/>
          </w:r>
          <w:r>
            <w:rPr>
              <w:rFonts w:hint="eastAsia" w:ascii="黑体" w:eastAsia="黑体"/>
            </w:rPr>
            <w:t xml:space="preserve">3 </w:t>
          </w:r>
          <w:r>
            <w:rPr>
              <w:rFonts w:ascii="Times New Roman"/>
            </w:rPr>
            <w:t>术语和定义</w:t>
          </w:r>
          <w:r>
            <w:tab/>
          </w:r>
          <w:r>
            <w:fldChar w:fldCharType="begin"/>
          </w:r>
          <w:r>
            <w:instrText xml:space="preserve"> PAGEREF _Toc20592 \h </w:instrText>
          </w:r>
          <w:r>
            <w:fldChar w:fldCharType="separate"/>
          </w:r>
          <w:r>
            <w:t>1</w:t>
          </w:r>
          <w:r>
            <w:fldChar w:fldCharType="end"/>
          </w:r>
          <w:r>
            <w:fldChar w:fldCharType="end"/>
          </w:r>
        </w:p>
        <w:p w14:paraId="6D20287E">
          <w:pPr>
            <w:pStyle w:val="21"/>
            <w:tabs>
              <w:tab w:val="right" w:leader="dot" w:pos="9354"/>
              <w:tab w:val="clear" w:pos="9241"/>
            </w:tabs>
            <w:spacing w:before="78" w:after="78"/>
          </w:pPr>
          <w:r>
            <w:fldChar w:fldCharType="begin"/>
          </w:r>
          <w:r>
            <w:instrText xml:space="preserve"> HYPERLINK \l "_Toc9914" </w:instrText>
          </w:r>
          <w:r>
            <w:fldChar w:fldCharType="separate"/>
          </w:r>
          <w:r>
            <w:rPr>
              <w:rFonts w:hint="eastAsia" w:ascii="黑体" w:eastAsia="黑体"/>
            </w:rPr>
            <w:t xml:space="preserve">4 </w:t>
          </w:r>
          <w:r>
            <w:rPr>
              <w:rFonts w:ascii="Times New Roman"/>
            </w:rPr>
            <w:t>评价要求</w:t>
          </w:r>
          <w:r>
            <w:tab/>
          </w:r>
          <w:r>
            <w:fldChar w:fldCharType="begin"/>
          </w:r>
          <w:r>
            <w:instrText xml:space="preserve"> PAGEREF _Toc9914 \h </w:instrText>
          </w:r>
          <w:r>
            <w:fldChar w:fldCharType="separate"/>
          </w:r>
          <w:r>
            <w:t>2</w:t>
          </w:r>
          <w:r>
            <w:fldChar w:fldCharType="end"/>
          </w:r>
          <w:r>
            <w:fldChar w:fldCharType="end"/>
          </w:r>
        </w:p>
        <w:p w14:paraId="266D8DEE">
          <w:pPr>
            <w:pStyle w:val="21"/>
            <w:tabs>
              <w:tab w:val="right" w:leader="dot" w:pos="9354"/>
              <w:tab w:val="clear" w:pos="9241"/>
            </w:tabs>
            <w:spacing w:before="78" w:after="78"/>
          </w:pPr>
          <w:r>
            <w:fldChar w:fldCharType="begin"/>
          </w:r>
          <w:r>
            <w:instrText xml:space="preserve"> HYPERLINK \l "_Toc30047" </w:instrText>
          </w:r>
          <w:r>
            <w:fldChar w:fldCharType="separate"/>
          </w:r>
          <w:r>
            <w:rPr>
              <w:rFonts w:hint="eastAsia" w:ascii="黑体" w:eastAsia="黑体"/>
            </w:rPr>
            <w:t xml:space="preserve">5 </w:t>
          </w:r>
          <w:r>
            <w:rPr>
              <w:rFonts w:ascii="Times New Roman"/>
            </w:rPr>
            <w:t>评价</w:t>
          </w:r>
          <w:r>
            <w:rPr>
              <w:rFonts w:hint="eastAsia" w:ascii="Times New Roman"/>
            </w:rPr>
            <w:t>方法</w:t>
          </w:r>
          <w:r>
            <w:tab/>
          </w:r>
          <w:r>
            <w:fldChar w:fldCharType="begin"/>
          </w:r>
          <w:r>
            <w:instrText xml:space="preserve"> PAGEREF _Toc30047 \h </w:instrText>
          </w:r>
          <w:r>
            <w:fldChar w:fldCharType="separate"/>
          </w:r>
          <w:r>
            <w:t>3</w:t>
          </w:r>
          <w:r>
            <w:fldChar w:fldCharType="end"/>
          </w:r>
          <w:r>
            <w:fldChar w:fldCharType="end"/>
          </w:r>
        </w:p>
        <w:p w14:paraId="72AA4D30">
          <w:pPr>
            <w:pStyle w:val="21"/>
            <w:tabs>
              <w:tab w:val="right" w:leader="dot" w:pos="9354"/>
              <w:tab w:val="clear" w:pos="9241"/>
            </w:tabs>
            <w:spacing w:before="78" w:after="78"/>
          </w:pPr>
          <w:r>
            <w:fldChar w:fldCharType="begin"/>
          </w:r>
          <w:r>
            <w:instrText xml:space="preserve"> HYPERLINK \l "_Toc13459" </w:instrText>
          </w:r>
          <w:r>
            <w:fldChar w:fldCharType="separate"/>
          </w:r>
          <w:r>
            <w:rPr>
              <w:rFonts w:hint="eastAsia" w:ascii="黑体" w:eastAsia="黑体"/>
            </w:rPr>
            <w:t xml:space="preserve">附录A </w:t>
          </w:r>
          <w:r>
            <w:rPr>
              <w:rFonts w:ascii="黑体" w:eastAsia="黑体"/>
            </w:rPr>
            <w:t>（规范</w:t>
          </w:r>
          <w:r>
            <w:rPr>
              <w:rFonts w:ascii="Times New Roman"/>
            </w:rPr>
            <w:t>性）</w:t>
          </w:r>
          <w:r>
            <w:rPr>
              <w:rFonts w:hint="eastAsia" w:ascii="Times New Roman"/>
            </w:rPr>
            <w:t>计算方法</w:t>
          </w:r>
          <w:r>
            <w:tab/>
          </w:r>
          <w:r>
            <w:fldChar w:fldCharType="begin"/>
          </w:r>
          <w:r>
            <w:instrText xml:space="preserve"> PAGEREF _Toc13459 \h </w:instrText>
          </w:r>
          <w:r>
            <w:fldChar w:fldCharType="separate"/>
          </w:r>
          <w:r>
            <w:t>4</w:t>
          </w:r>
          <w:r>
            <w:fldChar w:fldCharType="end"/>
          </w:r>
          <w:r>
            <w:fldChar w:fldCharType="end"/>
          </w:r>
        </w:p>
        <w:p w14:paraId="30FA2F46">
          <w:pPr>
            <w:tabs>
              <w:tab w:val="right" w:leader="dot" w:pos="9241"/>
            </w:tabs>
            <w:spacing w:before="78" w:after="78"/>
            <w:jc w:val="center"/>
          </w:pPr>
          <w:r>
            <w:fldChar w:fldCharType="end"/>
          </w:r>
        </w:p>
      </w:sdtContent>
    </w:sdt>
    <w:p w14:paraId="05EFE30E">
      <w:pPr>
        <w:pStyle w:val="70"/>
        <w:spacing w:line="640" w:lineRule="exact"/>
        <w:rPr>
          <w:rFonts w:ascii="Times New Roman"/>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bookmarkStart w:id="15" w:name="_Toc19853"/>
      <w:bookmarkStart w:id="16" w:name="_Toc7334"/>
      <w:bookmarkStart w:id="17" w:name="_Toc10847"/>
      <w:bookmarkStart w:id="18" w:name="_Toc126140648"/>
    </w:p>
    <w:p w14:paraId="67C027C7">
      <w:pPr>
        <w:pStyle w:val="70"/>
        <w:spacing w:line="640" w:lineRule="exact"/>
        <w:rPr>
          <w:rFonts w:ascii="Times New Roman"/>
        </w:rPr>
      </w:pPr>
      <w:r>
        <w:rPr>
          <w:rFonts w:ascii="Times New Roman"/>
        </w:rPr>
        <w:t>前</w:t>
      </w:r>
      <w:r>
        <w:rPr>
          <w:rFonts w:ascii="Times New Roman" w:eastAsia="MS Mincho"/>
        </w:rPr>
        <w:t>  </w:t>
      </w:r>
      <w:r>
        <w:rPr>
          <w:rFonts w:ascii="Times New Roman"/>
        </w:rPr>
        <w:t>言</w:t>
      </w:r>
      <w:bookmarkEnd w:id="15"/>
      <w:bookmarkEnd w:id="16"/>
      <w:bookmarkEnd w:id="17"/>
      <w:bookmarkEnd w:id="18"/>
    </w:p>
    <w:p w14:paraId="108CEE0B">
      <w:pPr>
        <w:pStyle w:val="25"/>
        <w:spacing w:line="264" w:lineRule="auto"/>
        <w:rPr>
          <w:rFonts w:ascii="Times New Roman"/>
        </w:rPr>
      </w:pPr>
      <w:r>
        <w:rPr>
          <w:rFonts w:ascii="Times New Roman"/>
        </w:rPr>
        <w:t>本文件按照GB/T 1.1-2020</w:t>
      </w:r>
      <w:r>
        <w:rPr>
          <w:rFonts w:ascii="Times New Roman"/>
          <w:color w:val="000000"/>
        </w:rPr>
        <w:t>给出的规则起草。</w:t>
      </w:r>
    </w:p>
    <w:p w14:paraId="4B1F3A18">
      <w:pPr>
        <w:pStyle w:val="25"/>
        <w:spacing w:line="264" w:lineRule="auto"/>
        <w:rPr>
          <w:rFonts w:ascii="Times New Roman"/>
        </w:rPr>
      </w:pPr>
      <w:r>
        <w:rPr>
          <w:rFonts w:ascii="Times New Roman"/>
        </w:rPr>
        <w:t>本文件是按中国工程建设标准化协会《2021年第一批协会标准制订、修订计划》（建标协字〔2021〕11号）的要求制定。</w:t>
      </w:r>
    </w:p>
    <w:p w14:paraId="6AD6580D">
      <w:pPr>
        <w:pStyle w:val="25"/>
        <w:spacing w:line="264" w:lineRule="auto"/>
        <w:rPr>
          <w:rFonts w:ascii="Times New Roman"/>
        </w:rPr>
      </w:pPr>
      <w:r>
        <w:rPr>
          <w:rFonts w:ascii="Times New Roman"/>
        </w:rPr>
        <w:t>请注意本文件的某些内容可能涉及专利</w:t>
      </w:r>
      <w:r>
        <w:rPr>
          <w:rFonts w:hint="eastAsia" w:ascii="Times New Roman"/>
        </w:rPr>
        <w:t>，</w:t>
      </w:r>
      <w:r>
        <w:rPr>
          <w:rFonts w:ascii="Times New Roman"/>
        </w:rPr>
        <w:t>本文件的发布机构不承担识别这些专利的责任。</w:t>
      </w:r>
    </w:p>
    <w:p w14:paraId="28BCB507">
      <w:pPr>
        <w:pStyle w:val="25"/>
        <w:spacing w:line="264" w:lineRule="auto"/>
        <w:rPr>
          <w:rFonts w:ascii="Times New Roman"/>
        </w:rPr>
      </w:pPr>
      <w:r>
        <w:rPr>
          <w:rFonts w:ascii="Times New Roman"/>
        </w:rPr>
        <w:t>本文件由中国工程建设标准化协会绿色建筑与生态城区专业委员会归口。</w:t>
      </w:r>
    </w:p>
    <w:p w14:paraId="7AF23F0A">
      <w:pPr>
        <w:pStyle w:val="25"/>
        <w:spacing w:line="264" w:lineRule="auto"/>
        <w:rPr>
          <w:rFonts w:ascii="Times New Roman"/>
        </w:rPr>
      </w:pPr>
      <w:r>
        <w:rPr>
          <w:rFonts w:ascii="Times New Roman"/>
        </w:rPr>
        <w:t>本文件负责起草单位：住房和城乡建设部科技与产业化发展中心。</w:t>
      </w:r>
    </w:p>
    <w:p w14:paraId="04C9332C">
      <w:pPr>
        <w:pStyle w:val="25"/>
        <w:spacing w:line="264" w:lineRule="auto"/>
        <w:rPr>
          <w:rFonts w:ascii="Times New Roman"/>
        </w:rPr>
      </w:pPr>
      <w:r>
        <w:rPr>
          <w:rFonts w:ascii="Times New Roman"/>
        </w:rPr>
        <w:t>本文件参加起草单位：中国国检测试控股集团股份有限公司、国检测试控股集团云南有限公司</w:t>
      </w:r>
      <w:r>
        <w:rPr>
          <w:rFonts w:hint="eastAsia" w:ascii="Times New Roman"/>
          <w:lang w:eastAsia="zh-CN"/>
        </w:rPr>
        <w:t>、</w:t>
      </w:r>
      <w:bookmarkStart w:id="147" w:name="_GoBack"/>
      <w:bookmarkEnd w:id="147"/>
      <w:r>
        <w:rPr>
          <w:rFonts w:hint="eastAsia" w:ascii="Times New Roman"/>
          <w:lang w:eastAsia="zh-CN"/>
        </w:rPr>
        <w:t>略</w:t>
      </w:r>
      <w:r>
        <w:rPr>
          <w:rFonts w:ascii="Times New Roman"/>
        </w:rPr>
        <w:t>。</w:t>
      </w:r>
    </w:p>
    <w:p w14:paraId="27861BB2">
      <w:pPr>
        <w:pStyle w:val="25"/>
        <w:spacing w:line="264" w:lineRule="auto"/>
        <w:rPr>
          <w:rFonts w:ascii="Times New Roman"/>
        </w:rPr>
      </w:pPr>
      <w:r>
        <w:rPr>
          <w:rFonts w:ascii="Times New Roman"/>
        </w:rPr>
        <w:t>本文件主要起草人：</w:t>
      </w:r>
    </w:p>
    <w:p w14:paraId="16AA6B0A">
      <w:pPr>
        <w:pStyle w:val="25"/>
        <w:spacing w:line="264" w:lineRule="auto"/>
        <w:rPr>
          <w:rFonts w:ascii="Times New Roman"/>
        </w:rPr>
      </w:pPr>
      <w:r>
        <w:rPr>
          <w:rFonts w:ascii="Times New Roman"/>
        </w:rPr>
        <w:t xml:space="preserve">本文件主要审查人： </w:t>
      </w:r>
    </w:p>
    <w:p w14:paraId="6E112B6B">
      <w:pPr>
        <w:pStyle w:val="113"/>
        <w:rPr>
          <w:rFonts w:ascii="Times New Roman"/>
          <w:sz w:val="36"/>
          <w:szCs w:val="36"/>
        </w:rPr>
        <w:sectPr>
          <w:footerReference r:id="rId5" w:type="default"/>
          <w:pgSz w:w="11906" w:h="16838"/>
          <w:pgMar w:top="567" w:right="1134" w:bottom="1134" w:left="1418" w:header="1418" w:footer="1134" w:gutter="0"/>
          <w:pgNumType w:fmt="upperRoman" w:start="1"/>
          <w:cols w:space="720" w:num="1"/>
          <w:formProt w:val="0"/>
          <w:docGrid w:type="lines" w:linePitch="312" w:charSpace="0"/>
        </w:sectPr>
      </w:pPr>
      <w:bookmarkStart w:id="19" w:name="_Toc533517005"/>
      <w:bookmarkStart w:id="20" w:name="_Toc533513271"/>
      <w:bookmarkStart w:id="21" w:name="_Toc9610554"/>
      <w:bookmarkStart w:id="22" w:name="_Toc10204844"/>
      <w:bookmarkStart w:id="23" w:name="_Toc3768"/>
    </w:p>
    <w:p w14:paraId="58B83668">
      <w:pPr>
        <w:pStyle w:val="113"/>
        <w:outlineLvl w:val="9"/>
        <w:rPr>
          <w:rFonts w:ascii="Times New Roman"/>
        </w:rPr>
      </w:pPr>
      <w:bookmarkStart w:id="24" w:name="_Toc3185"/>
      <w:r>
        <w:rPr>
          <w:rFonts w:ascii="Times New Roman"/>
          <w:sz w:val="36"/>
          <w:szCs w:val="36"/>
        </w:rPr>
        <w:t>绿色建材评价</w:t>
      </w:r>
      <w:bookmarkEnd w:id="19"/>
      <w:bookmarkEnd w:id="20"/>
      <w:bookmarkEnd w:id="21"/>
      <w:r>
        <w:rPr>
          <w:rFonts w:ascii="Times New Roman"/>
          <w:sz w:val="36"/>
          <w:szCs w:val="36"/>
        </w:rPr>
        <w:t xml:space="preserve"> </w:t>
      </w:r>
      <w:bookmarkEnd w:id="22"/>
      <w:r>
        <w:rPr>
          <w:rFonts w:ascii="Times New Roman"/>
          <w:sz w:val="36"/>
          <w:szCs w:val="36"/>
        </w:rPr>
        <w:t>建筑隔震橡胶支座</w:t>
      </w:r>
      <w:bookmarkEnd w:id="23"/>
      <w:bookmarkEnd w:id="24"/>
    </w:p>
    <w:p w14:paraId="05747CC3">
      <w:pPr>
        <w:pStyle w:val="73"/>
        <w:outlineLvl w:val="0"/>
        <w:rPr>
          <w:rFonts w:ascii="Times New Roman"/>
        </w:rPr>
      </w:pPr>
      <w:bookmarkStart w:id="25" w:name="_Toc18476"/>
      <w:bookmarkStart w:id="26" w:name="_Toc126140649"/>
      <w:bookmarkStart w:id="27" w:name="_Toc524004350"/>
      <w:bookmarkStart w:id="28" w:name="_Toc524004771"/>
      <w:bookmarkStart w:id="29" w:name="_Toc23239"/>
      <w:r>
        <w:rPr>
          <w:rFonts w:ascii="Times New Roman"/>
        </w:rPr>
        <w:t>范围</w:t>
      </w:r>
      <w:bookmarkEnd w:id="25"/>
      <w:bookmarkEnd w:id="26"/>
      <w:bookmarkEnd w:id="27"/>
      <w:bookmarkEnd w:id="28"/>
      <w:bookmarkEnd w:id="29"/>
    </w:p>
    <w:p w14:paraId="6BD2C30F">
      <w:pPr>
        <w:pStyle w:val="25"/>
        <w:spacing w:line="264" w:lineRule="auto"/>
        <w:rPr>
          <w:rFonts w:ascii="Times New Roman"/>
          <w:szCs w:val="21"/>
        </w:rPr>
      </w:pPr>
      <w:r>
        <w:rPr>
          <w:rFonts w:ascii="Times New Roman"/>
          <w:szCs w:val="21"/>
        </w:rPr>
        <w:t>本文件规定了绿色建材评价的术语和定义、评价要求和评价方法。</w:t>
      </w:r>
    </w:p>
    <w:p w14:paraId="7D40BA98">
      <w:pPr>
        <w:pStyle w:val="25"/>
        <w:spacing w:line="264" w:lineRule="auto"/>
        <w:rPr>
          <w:rFonts w:ascii="Times New Roman"/>
          <w:color w:val="000000"/>
          <w:szCs w:val="21"/>
        </w:rPr>
      </w:pPr>
      <w:r>
        <w:rPr>
          <w:rFonts w:ascii="Times New Roman"/>
          <w:szCs w:val="21"/>
        </w:rPr>
        <w:t>本文件适用于</w:t>
      </w:r>
      <w:r>
        <w:rPr>
          <w:rFonts w:ascii="Times New Roman"/>
          <w:color w:val="000000"/>
          <w:szCs w:val="21"/>
        </w:rPr>
        <w:t>建筑隔震橡胶支座</w:t>
      </w:r>
      <w:r>
        <w:rPr>
          <w:rFonts w:ascii="Times New Roman"/>
          <w:szCs w:val="21"/>
        </w:rPr>
        <w:t>的绿色建材评价。</w:t>
      </w:r>
    </w:p>
    <w:p w14:paraId="6F88AC58">
      <w:pPr>
        <w:pStyle w:val="73"/>
        <w:outlineLvl w:val="0"/>
        <w:rPr>
          <w:rFonts w:ascii="Times New Roman"/>
        </w:rPr>
      </w:pPr>
      <w:bookmarkStart w:id="30" w:name="_Toc14190"/>
      <w:bookmarkStart w:id="31" w:name="_Toc5957"/>
      <w:bookmarkStart w:id="32" w:name="_Toc524004351"/>
      <w:bookmarkStart w:id="33" w:name="_Toc126140650"/>
      <w:bookmarkStart w:id="34" w:name="_Toc524004772"/>
      <w:r>
        <w:rPr>
          <w:rFonts w:ascii="Times New Roman"/>
        </w:rPr>
        <w:t>规范性引用文件</w:t>
      </w:r>
      <w:bookmarkEnd w:id="30"/>
      <w:bookmarkEnd w:id="31"/>
      <w:bookmarkEnd w:id="32"/>
      <w:bookmarkEnd w:id="33"/>
      <w:bookmarkEnd w:id="34"/>
    </w:p>
    <w:p w14:paraId="15335664">
      <w:pPr>
        <w:pStyle w:val="25"/>
        <w:spacing w:line="264" w:lineRule="auto"/>
        <w:rPr>
          <w:rFonts w:ascii="Times New Roman"/>
        </w:rPr>
      </w:pPr>
      <w:r>
        <w:rPr>
          <w:rFonts w:ascii="Times New Roman"/>
        </w:rPr>
        <w:t>下列文件的内容通过文中的规范性引用而构成本文件必不可少的条款。其中，注日期的引用文件，仅该日期对应的版本适用于本文件；凡是不注日期的引用文件，其最新版本（包括所有的修改单）适用于本文件。</w:t>
      </w:r>
    </w:p>
    <w:p w14:paraId="666B35E7">
      <w:pPr>
        <w:autoSpaceDE w:val="0"/>
        <w:autoSpaceDN w:val="0"/>
        <w:adjustRightInd w:val="0"/>
        <w:spacing w:line="264" w:lineRule="auto"/>
        <w:ind w:firstLine="420" w:firstLineChars="200"/>
        <w:jc w:val="left"/>
        <w:rPr>
          <w:color w:val="000000"/>
          <w:kern w:val="0"/>
        </w:rPr>
      </w:pPr>
      <w:r>
        <w:rPr>
          <w:rFonts w:hint="eastAsia"/>
          <w:color w:val="000000"/>
          <w:kern w:val="0"/>
        </w:rPr>
        <w:t xml:space="preserve">GB 14554 </w:t>
      </w:r>
      <w:r>
        <w:rPr>
          <w:color w:val="000000"/>
          <w:kern w:val="0"/>
        </w:rPr>
        <w:t>恶臭污染物排放标准</w:t>
      </w:r>
    </w:p>
    <w:p w14:paraId="4D04C962">
      <w:pPr>
        <w:autoSpaceDE w:val="0"/>
        <w:autoSpaceDN w:val="0"/>
        <w:adjustRightInd w:val="0"/>
        <w:spacing w:line="264" w:lineRule="auto"/>
        <w:ind w:firstLine="420" w:firstLineChars="200"/>
        <w:jc w:val="left"/>
        <w:rPr>
          <w:color w:val="000000"/>
          <w:kern w:val="0"/>
        </w:rPr>
      </w:pPr>
      <w:r>
        <w:rPr>
          <w:rFonts w:hint="eastAsia"/>
          <w:color w:val="000000"/>
          <w:kern w:val="0"/>
        </w:rPr>
        <w:t>GB/T 1771 色漆和清漆 耐中性盐雾性能的测定</w:t>
      </w:r>
    </w:p>
    <w:p w14:paraId="771A26D4">
      <w:pPr>
        <w:autoSpaceDE w:val="0"/>
        <w:autoSpaceDN w:val="0"/>
        <w:adjustRightInd w:val="0"/>
        <w:spacing w:line="264" w:lineRule="auto"/>
        <w:ind w:firstLine="420" w:firstLineChars="200"/>
        <w:jc w:val="left"/>
        <w:rPr>
          <w:color w:val="000000"/>
          <w:kern w:val="0"/>
        </w:rPr>
      </w:pPr>
      <w:r>
        <w:rPr>
          <w:color w:val="000000"/>
          <w:kern w:val="0"/>
        </w:rPr>
        <w:t>GB 18597 危险废物贮存污染控制标准</w:t>
      </w:r>
    </w:p>
    <w:p w14:paraId="5BB9EA7E">
      <w:pPr>
        <w:autoSpaceDE w:val="0"/>
        <w:autoSpaceDN w:val="0"/>
        <w:adjustRightInd w:val="0"/>
        <w:spacing w:line="264" w:lineRule="auto"/>
        <w:ind w:firstLine="420" w:firstLineChars="200"/>
        <w:jc w:val="left"/>
        <w:rPr>
          <w:color w:val="000000"/>
          <w:kern w:val="0"/>
        </w:rPr>
      </w:pPr>
      <w:r>
        <w:rPr>
          <w:color w:val="000000"/>
          <w:kern w:val="0"/>
        </w:rPr>
        <w:t>GB 18599 一般工业固体废物贮存、处置场污染控制标准</w:t>
      </w:r>
    </w:p>
    <w:p w14:paraId="1CBC487E">
      <w:pPr>
        <w:autoSpaceDE w:val="0"/>
        <w:autoSpaceDN w:val="0"/>
        <w:adjustRightInd w:val="0"/>
        <w:spacing w:line="264" w:lineRule="auto"/>
        <w:ind w:firstLine="420" w:firstLineChars="200"/>
        <w:jc w:val="left"/>
        <w:rPr>
          <w:color w:val="000000"/>
          <w:kern w:val="0"/>
        </w:rPr>
      </w:pPr>
      <w:r>
        <w:rPr>
          <w:color w:val="000000"/>
          <w:kern w:val="0"/>
        </w:rPr>
        <w:t>GB/T 19001 质量管理体系 要求</w:t>
      </w:r>
    </w:p>
    <w:p w14:paraId="2AB88257">
      <w:pPr>
        <w:autoSpaceDE w:val="0"/>
        <w:autoSpaceDN w:val="0"/>
        <w:adjustRightInd w:val="0"/>
        <w:spacing w:line="264" w:lineRule="auto"/>
        <w:ind w:firstLine="420" w:firstLineChars="200"/>
        <w:jc w:val="left"/>
        <w:rPr>
          <w:color w:val="000000"/>
          <w:kern w:val="0"/>
        </w:rPr>
      </w:pPr>
      <w:r>
        <w:rPr>
          <w:color w:val="000000"/>
          <w:kern w:val="0"/>
        </w:rPr>
        <w:t>GB 20688.1 橡胶支座 第1部分 隔震橡胶支座试验方法</w:t>
      </w:r>
    </w:p>
    <w:p w14:paraId="05B5B2EE">
      <w:pPr>
        <w:autoSpaceDE w:val="0"/>
        <w:autoSpaceDN w:val="0"/>
        <w:adjustRightInd w:val="0"/>
        <w:spacing w:line="264" w:lineRule="auto"/>
        <w:ind w:firstLine="420" w:firstLineChars="200"/>
        <w:jc w:val="left"/>
        <w:rPr>
          <w:color w:val="000000"/>
          <w:kern w:val="0"/>
        </w:rPr>
      </w:pPr>
      <w:r>
        <w:rPr>
          <w:color w:val="000000"/>
          <w:kern w:val="0"/>
        </w:rPr>
        <w:t>GB 20688.3 橡胶支座 第3部分：建筑隔震橡胶支座</w:t>
      </w:r>
    </w:p>
    <w:p w14:paraId="1C8C685B">
      <w:pPr>
        <w:autoSpaceDE w:val="0"/>
        <w:autoSpaceDN w:val="0"/>
        <w:adjustRightInd w:val="0"/>
        <w:spacing w:line="264" w:lineRule="auto"/>
        <w:ind w:firstLine="420" w:firstLineChars="200"/>
        <w:jc w:val="left"/>
        <w:rPr>
          <w:color w:val="000000"/>
          <w:kern w:val="0"/>
        </w:rPr>
      </w:pPr>
      <w:r>
        <w:rPr>
          <w:color w:val="000000"/>
          <w:kern w:val="0"/>
        </w:rPr>
        <w:t>GB/T 24001 环境管理体系 要求及使用指南</w:t>
      </w:r>
    </w:p>
    <w:p w14:paraId="5647B029">
      <w:pPr>
        <w:autoSpaceDE w:val="0"/>
        <w:autoSpaceDN w:val="0"/>
        <w:adjustRightInd w:val="0"/>
        <w:spacing w:line="264" w:lineRule="auto"/>
        <w:ind w:firstLine="420" w:firstLineChars="200"/>
        <w:jc w:val="left"/>
        <w:rPr>
          <w:color w:val="000000"/>
          <w:kern w:val="0"/>
        </w:rPr>
      </w:pPr>
      <w:r>
        <w:t>GB/T 28001 职业健康安全管理体系 要求</w:t>
      </w:r>
    </w:p>
    <w:p w14:paraId="5AF521B4">
      <w:pPr>
        <w:autoSpaceDE w:val="0"/>
        <w:autoSpaceDN w:val="0"/>
        <w:adjustRightInd w:val="0"/>
        <w:spacing w:line="264" w:lineRule="auto"/>
        <w:ind w:firstLine="420" w:firstLineChars="200"/>
        <w:jc w:val="left"/>
        <w:rPr>
          <w:color w:val="000000"/>
          <w:kern w:val="0"/>
        </w:rPr>
      </w:pPr>
      <w:r>
        <w:rPr>
          <w:color w:val="000000"/>
          <w:kern w:val="0"/>
        </w:rPr>
        <w:t>GB/T 33000 企业安全生产标准化基本规范</w:t>
      </w:r>
    </w:p>
    <w:p w14:paraId="3BF56294">
      <w:pPr>
        <w:autoSpaceDE w:val="0"/>
        <w:autoSpaceDN w:val="0"/>
        <w:adjustRightInd w:val="0"/>
        <w:spacing w:line="264" w:lineRule="auto"/>
        <w:ind w:firstLine="420" w:firstLineChars="200"/>
        <w:jc w:val="left"/>
        <w:rPr>
          <w:color w:val="000000"/>
          <w:kern w:val="0"/>
        </w:rPr>
      </w:pPr>
      <w:r>
        <w:rPr>
          <w:rFonts w:hint="eastAsia"/>
          <w:color w:val="000000"/>
          <w:kern w:val="0"/>
        </w:rPr>
        <w:t xml:space="preserve">GB 33372 </w:t>
      </w:r>
      <w:r>
        <w:rPr>
          <w:color w:val="000000"/>
          <w:kern w:val="0"/>
        </w:rPr>
        <w:t>胶粘剂挥发性有机化合物限量</w:t>
      </w:r>
    </w:p>
    <w:p w14:paraId="21D23A69">
      <w:pPr>
        <w:autoSpaceDE w:val="0"/>
        <w:autoSpaceDN w:val="0"/>
        <w:adjustRightInd w:val="0"/>
        <w:spacing w:line="264" w:lineRule="auto"/>
        <w:ind w:firstLine="420" w:firstLineChars="200"/>
        <w:jc w:val="left"/>
        <w:rPr>
          <w:color w:val="000000"/>
          <w:kern w:val="0"/>
        </w:rPr>
      </w:pPr>
      <w:r>
        <w:rPr>
          <w:color w:val="000000"/>
          <w:kern w:val="0"/>
        </w:rPr>
        <w:t>JG∕T 118 建筑隔震橡胶支座</w:t>
      </w:r>
    </w:p>
    <w:p w14:paraId="2B8A62F5">
      <w:pPr>
        <w:pStyle w:val="73"/>
        <w:tabs>
          <w:tab w:val="left" w:pos="0"/>
        </w:tabs>
        <w:outlineLvl w:val="0"/>
        <w:rPr>
          <w:rFonts w:ascii="Times New Roman"/>
          <w:color w:val="000000"/>
        </w:rPr>
      </w:pPr>
      <w:bookmarkStart w:id="35" w:name="_Toc524004352"/>
      <w:bookmarkEnd w:id="35"/>
      <w:bookmarkStart w:id="36" w:name="_Toc360436834"/>
      <w:bookmarkStart w:id="37" w:name="_Toc126140651"/>
      <w:bookmarkStart w:id="38" w:name="_Toc350863986"/>
      <w:bookmarkStart w:id="39" w:name="_Toc27344"/>
      <w:bookmarkStart w:id="40" w:name="_Toc360632422"/>
      <w:bookmarkStart w:id="41" w:name="_Toc406486339"/>
      <w:bookmarkStart w:id="42" w:name="_Toc360436748"/>
      <w:bookmarkStart w:id="43" w:name="_Toc462063252"/>
      <w:bookmarkStart w:id="44" w:name="_Toc20592"/>
      <w:bookmarkStart w:id="45" w:name="_Toc396134029"/>
      <w:r>
        <w:rPr>
          <w:rFonts w:ascii="Times New Roman"/>
          <w:color w:val="000000"/>
        </w:rPr>
        <w:t>术语和定义</w:t>
      </w:r>
      <w:bookmarkEnd w:id="36"/>
      <w:bookmarkEnd w:id="37"/>
      <w:bookmarkEnd w:id="38"/>
      <w:bookmarkEnd w:id="39"/>
      <w:bookmarkEnd w:id="40"/>
      <w:bookmarkEnd w:id="41"/>
      <w:bookmarkEnd w:id="42"/>
      <w:bookmarkEnd w:id="43"/>
      <w:bookmarkEnd w:id="44"/>
      <w:bookmarkEnd w:id="45"/>
    </w:p>
    <w:p w14:paraId="71FB9935">
      <w:pPr>
        <w:pStyle w:val="25"/>
        <w:spacing w:line="264" w:lineRule="auto"/>
        <w:rPr>
          <w:rFonts w:ascii="Times New Roman"/>
          <w:color w:val="000000"/>
        </w:rPr>
      </w:pPr>
      <w:r>
        <w:rPr>
          <w:rFonts w:ascii="Times New Roman"/>
          <w:color w:val="000000"/>
        </w:rPr>
        <w:t>下列术语和定义适用于本文件。</w:t>
      </w:r>
    </w:p>
    <w:p w14:paraId="75F1C47D">
      <w:pPr>
        <w:pStyle w:val="73"/>
        <w:numPr>
          <w:ilvl w:val="0"/>
          <w:numId w:val="0"/>
        </w:numPr>
        <w:tabs>
          <w:tab w:val="left" w:pos="0"/>
        </w:tabs>
        <w:spacing w:before="156" w:beforeLines="50" w:after="156" w:afterLines="50" w:line="264" w:lineRule="auto"/>
        <w:outlineLvl w:val="9"/>
        <w:rPr>
          <w:rFonts w:ascii="Times New Roman"/>
          <w:color w:val="000000"/>
        </w:rPr>
      </w:pPr>
      <w:bookmarkStart w:id="46" w:name="_Toc408495873"/>
      <w:bookmarkStart w:id="47" w:name="_Toc360436749"/>
      <w:bookmarkStart w:id="48" w:name="_Toc397433558"/>
      <w:bookmarkStart w:id="49" w:name="_Toc406486340"/>
      <w:bookmarkStart w:id="50" w:name="_Toc406143963"/>
      <w:bookmarkStart w:id="51" w:name="_Toc360632423"/>
      <w:bookmarkStart w:id="52" w:name="_Toc21530"/>
      <w:bookmarkStart w:id="53" w:name="_Toc396134030"/>
      <w:bookmarkStart w:id="54" w:name="_Toc10204848"/>
      <w:bookmarkStart w:id="55" w:name="_Toc350863987"/>
      <w:bookmarkStart w:id="56" w:name="_Toc360436835"/>
      <w:bookmarkStart w:id="57" w:name="_Toc397348586"/>
      <w:bookmarkStart w:id="58" w:name="_Toc384816546"/>
      <w:bookmarkStart w:id="59" w:name="_Toc462063253"/>
      <w:bookmarkStart w:id="60" w:name="_Toc360632654"/>
      <w:bookmarkStart w:id="61" w:name="_Toc396118199"/>
      <w:bookmarkStart w:id="62" w:name="_Toc6509"/>
      <w:r>
        <w:rPr>
          <w:rFonts w:ascii="Times New Roman"/>
          <w:color w:val="000000"/>
        </w:rPr>
        <w:t>3.1</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ascii="Times New Roman"/>
          <w:color w:val="000000"/>
        </w:rPr>
        <w:t xml:space="preserve"> </w:t>
      </w:r>
    </w:p>
    <w:p w14:paraId="05FB4FF1">
      <w:pPr>
        <w:widowControl/>
        <w:tabs>
          <w:tab w:val="center" w:pos="4201"/>
          <w:tab w:val="right" w:leader="dot" w:pos="9298"/>
        </w:tabs>
        <w:autoSpaceDE w:val="0"/>
        <w:autoSpaceDN w:val="0"/>
        <w:spacing w:line="264" w:lineRule="auto"/>
        <w:ind w:firstLine="420" w:firstLineChars="200"/>
        <w:rPr>
          <w:sz w:val="24"/>
        </w:rPr>
      </w:pPr>
      <w:r>
        <w:rPr>
          <w:rFonts w:eastAsia="黑体"/>
        </w:rPr>
        <w:t>绿色建材  green building material</w:t>
      </w:r>
    </w:p>
    <w:p w14:paraId="37B8E3FC">
      <w:pPr>
        <w:widowControl/>
        <w:tabs>
          <w:tab w:val="center" w:pos="4201"/>
          <w:tab w:val="right" w:leader="dot" w:pos="9298"/>
        </w:tabs>
        <w:autoSpaceDE w:val="0"/>
        <w:autoSpaceDN w:val="0"/>
        <w:spacing w:line="264" w:lineRule="auto"/>
        <w:ind w:firstLine="420" w:firstLineChars="200"/>
        <w:rPr>
          <w:kern w:val="0"/>
          <w:szCs w:val="20"/>
        </w:rPr>
      </w:pPr>
      <w:r>
        <w:rPr>
          <w:kern w:val="0"/>
          <w:szCs w:val="20"/>
        </w:rPr>
        <w:t>是指在全生命周期内可减少对天然资源消耗和减轻对生态环境影响，具有“节能、减排、安全、便利和可循环”特征的建材产品。</w:t>
      </w:r>
    </w:p>
    <w:p w14:paraId="3244934D">
      <w:pPr>
        <w:pStyle w:val="73"/>
        <w:numPr>
          <w:ilvl w:val="0"/>
          <w:numId w:val="0"/>
        </w:numPr>
        <w:tabs>
          <w:tab w:val="left" w:pos="0"/>
        </w:tabs>
        <w:spacing w:before="156" w:beforeLines="50" w:after="156" w:afterLines="50" w:line="264" w:lineRule="auto"/>
        <w:outlineLvl w:val="9"/>
        <w:rPr>
          <w:rFonts w:ascii="Times New Roman"/>
        </w:rPr>
      </w:pPr>
      <w:bookmarkStart w:id="63" w:name="_Toc14635"/>
      <w:bookmarkStart w:id="64" w:name="_Toc10204849"/>
      <w:r>
        <w:rPr>
          <w:rFonts w:ascii="Times New Roman"/>
        </w:rPr>
        <w:t>3.2</w:t>
      </w:r>
      <w:bookmarkEnd w:id="63"/>
      <w:bookmarkEnd w:id="64"/>
    </w:p>
    <w:p w14:paraId="6E513A09">
      <w:pPr>
        <w:widowControl/>
        <w:tabs>
          <w:tab w:val="center" w:pos="4201"/>
          <w:tab w:val="right" w:leader="dot" w:pos="9298"/>
        </w:tabs>
        <w:autoSpaceDE w:val="0"/>
        <w:autoSpaceDN w:val="0"/>
        <w:spacing w:line="264" w:lineRule="auto"/>
        <w:ind w:firstLine="420" w:firstLineChars="200"/>
        <w:rPr>
          <w:rFonts w:eastAsia="黑体"/>
        </w:rPr>
      </w:pPr>
      <w:r>
        <w:rPr>
          <w:rFonts w:eastAsia="黑体"/>
        </w:rPr>
        <w:t>绿色建材评价 green building material</w:t>
      </w:r>
      <w:r>
        <w:rPr>
          <w:sz w:val="24"/>
        </w:rPr>
        <w:t xml:space="preserve"> </w:t>
      </w:r>
      <w:r>
        <w:rPr>
          <w:rFonts w:eastAsia="黑体"/>
        </w:rPr>
        <w:t xml:space="preserve">assessment </w:t>
      </w:r>
    </w:p>
    <w:p w14:paraId="449BF35B">
      <w:pPr>
        <w:widowControl/>
        <w:tabs>
          <w:tab w:val="center" w:pos="4201"/>
          <w:tab w:val="right" w:leader="dot" w:pos="9298"/>
        </w:tabs>
        <w:autoSpaceDE w:val="0"/>
        <w:autoSpaceDN w:val="0"/>
        <w:spacing w:line="264" w:lineRule="auto"/>
        <w:ind w:firstLine="420" w:firstLineChars="200"/>
        <w:rPr>
          <w:kern w:val="0"/>
          <w:szCs w:val="20"/>
        </w:rPr>
      </w:pPr>
      <w:r>
        <w:rPr>
          <w:kern w:val="0"/>
          <w:szCs w:val="20"/>
        </w:rPr>
        <w:t>由认证机构证明产品符合绿色建材标准要求的合格评定活动。</w:t>
      </w:r>
    </w:p>
    <w:p w14:paraId="2EDD8BFB">
      <w:pPr>
        <w:pStyle w:val="73"/>
        <w:numPr>
          <w:ilvl w:val="0"/>
          <w:numId w:val="0"/>
        </w:numPr>
        <w:tabs>
          <w:tab w:val="left" w:pos="0"/>
        </w:tabs>
        <w:spacing w:before="156" w:beforeLines="50" w:after="156" w:afterLines="50" w:line="264" w:lineRule="auto"/>
        <w:outlineLvl w:val="9"/>
        <w:rPr>
          <w:rFonts w:ascii="Times New Roman"/>
        </w:rPr>
      </w:pPr>
      <w:bookmarkStart w:id="65" w:name="_Toc10204850"/>
      <w:bookmarkStart w:id="66" w:name="_Toc286"/>
      <w:r>
        <w:rPr>
          <w:rFonts w:ascii="Times New Roman"/>
        </w:rPr>
        <w:t>3.3</w:t>
      </w:r>
      <w:bookmarkEnd w:id="65"/>
      <w:bookmarkEnd w:id="66"/>
    </w:p>
    <w:p w14:paraId="2B4129BA">
      <w:pPr>
        <w:widowControl/>
        <w:tabs>
          <w:tab w:val="center" w:pos="4201"/>
          <w:tab w:val="right" w:leader="dot" w:pos="9298"/>
        </w:tabs>
        <w:autoSpaceDE w:val="0"/>
        <w:autoSpaceDN w:val="0"/>
        <w:spacing w:line="264" w:lineRule="auto"/>
        <w:ind w:firstLine="420" w:firstLineChars="200"/>
        <w:rPr>
          <w:rFonts w:eastAsia="黑体"/>
        </w:rPr>
      </w:pPr>
      <w:r>
        <w:rPr>
          <w:rFonts w:eastAsia="黑体"/>
        </w:rPr>
        <w:t>评价等级 assessment level</w:t>
      </w:r>
    </w:p>
    <w:p w14:paraId="1B252787">
      <w:pPr>
        <w:widowControl/>
        <w:tabs>
          <w:tab w:val="center" w:pos="4201"/>
          <w:tab w:val="right" w:leader="dot" w:pos="9298"/>
        </w:tabs>
        <w:autoSpaceDE w:val="0"/>
        <w:autoSpaceDN w:val="0"/>
        <w:spacing w:line="264" w:lineRule="auto"/>
        <w:ind w:firstLine="420" w:firstLineChars="200"/>
        <w:rPr>
          <w:kern w:val="0"/>
          <w:szCs w:val="20"/>
        </w:rPr>
      </w:pPr>
      <w:r>
        <w:rPr>
          <w:kern w:val="0"/>
          <w:szCs w:val="20"/>
        </w:rPr>
        <w:t>产品评价结果所达到的绿色建材级别，由低到高分为一星级、二星级和三星级。</w:t>
      </w:r>
    </w:p>
    <w:p w14:paraId="30EC2FF4">
      <w:pPr>
        <w:pStyle w:val="73"/>
        <w:numPr>
          <w:ilvl w:val="0"/>
          <w:numId w:val="0"/>
        </w:numPr>
        <w:tabs>
          <w:tab w:val="left" w:pos="0"/>
        </w:tabs>
        <w:spacing w:before="156" w:beforeLines="50" w:after="156" w:afterLines="50" w:line="264" w:lineRule="auto"/>
        <w:outlineLvl w:val="9"/>
        <w:rPr>
          <w:rFonts w:ascii="Times New Roman"/>
          <w:color w:val="000000"/>
        </w:rPr>
      </w:pPr>
      <w:bookmarkStart w:id="67" w:name="_Toc30208"/>
      <w:bookmarkStart w:id="68" w:name="_Toc10204851"/>
      <w:r>
        <w:rPr>
          <w:rFonts w:ascii="Times New Roman"/>
        </w:rPr>
        <w:t>3.4</w:t>
      </w:r>
      <w:bookmarkEnd w:id="67"/>
      <w:bookmarkEnd w:id="68"/>
      <w:bookmarkStart w:id="69" w:name="OLE_LINK6"/>
      <w:bookmarkStart w:id="70" w:name="_Toc396134034"/>
      <w:bookmarkStart w:id="71" w:name="_Toc384816550"/>
      <w:bookmarkStart w:id="72" w:name="_Toc363024794"/>
      <w:bookmarkStart w:id="73" w:name="_Toc350863991"/>
      <w:bookmarkStart w:id="74" w:name="_Toc397348590"/>
      <w:bookmarkStart w:id="75" w:name="_Toc382580630"/>
      <w:bookmarkStart w:id="76" w:name="OLE_LINK5"/>
      <w:bookmarkStart w:id="77" w:name="_Toc406143967"/>
      <w:bookmarkStart w:id="78" w:name="_Toc396118203"/>
      <w:bookmarkStart w:id="79" w:name="_Toc397433562"/>
    </w:p>
    <w:p w14:paraId="1A66190A">
      <w:pPr>
        <w:widowControl/>
        <w:tabs>
          <w:tab w:val="center" w:pos="4201"/>
          <w:tab w:val="right" w:leader="dot" w:pos="9298"/>
        </w:tabs>
        <w:autoSpaceDE w:val="0"/>
        <w:autoSpaceDN w:val="0"/>
        <w:spacing w:line="264" w:lineRule="auto"/>
        <w:ind w:firstLine="420" w:firstLineChars="200"/>
        <w:rPr>
          <w:rFonts w:eastAsia="黑体"/>
        </w:rPr>
      </w:pPr>
      <w:r>
        <w:rPr>
          <w:rFonts w:eastAsia="黑体"/>
        </w:rPr>
        <w:t>环境产品声明 environmental product declaration</w:t>
      </w:r>
    </w:p>
    <w:p w14:paraId="433B71F4">
      <w:pPr>
        <w:pStyle w:val="25"/>
        <w:spacing w:line="264" w:lineRule="auto"/>
        <w:rPr>
          <w:rFonts w:ascii="Times New Roman"/>
        </w:rPr>
      </w:pPr>
      <w:r>
        <w:rPr>
          <w:rFonts w:ascii="Times New Roman"/>
        </w:rPr>
        <w:t>提供基于预设参数的量化环境数据的环境声明，必要时包括附加环境信息。</w:t>
      </w:r>
    </w:p>
    <w:p w14:paraId="3A59D5ED">
      <w:pPr>
        <w:pStyle w:val="73"/>
        <w:numPr>
          <w:ilvl w:val="0"/>
          <w:numId w:val="0"/>
        </w:numPr>
        <w:tabs>
          <w:tab w:val="left" w:pos="0"/>
        </w:tabs>
        <w:spacing w:before="156" w:beforeLines="50" w:after="156" w:afterLines="50" w:line="264" w:lineRule="auto"/>
        <w:outlineLvl w:val="9"/>
        <w:rPr>
          <w:rFonts w:ascii="Times New Roman"/>
          <w:color w:val="000000"/>
        </w:rPr>
      </w:pPr>
      <w:bookmarkStart w:id="80" w:name="_Toc462063256"/>
      <w:bookmarkStart w:id="81" w:name="_Toc408495875"/>
      <w:bookmarkStart w:id="82" w:name="_Toc23193"/>
      <w:bookmarkStart w:id="83" w:name="_Toc10204852"/>
      <w:bookmarkStart w:id="84" w:name="_Toc30452"/>
      <w:r>
        <w:rPr>
          <w:rFonts w:ascii="Times New Roman"/>
          <w:color w:val="000000"/>
        </w:rPr>
        <w:t>3.</w:t>
      </w:r>
      <w:bookmarkEnd w:id="80"/>
      <w:bookmarkEnd w:id="81"/>
      <w:r>
        <w:rPr>
          <w:rFonts w:ascii="Times New Roman"/>
          <w:color w:val="000000"/>
        </w:rPr>
        <w:t>5</w:t>
      </w:r>
      <w:bookmarkEnd w:id="82"/>
      <w:bookmarkEnd w:id="83"/>
    </w:p>
    <w:bookmarkEnd w:id="84"/>
    <w:p w14:paraId="7051FB4B">
      <w:pPr>
        <w:widowControl/>
        <w:tabs>
          <w:tab w:val="center" w:pos="4201"/>
          <w:tab w:val="right" w:leader="dot" w:pos="9298"/>
        </w:tabs>
        <w:autoSpaceDE w:val="0"/>
        <w:autoSpaceDN w:val="0"/>
        <w:spacing w:line="264" w:lineRule="auto"/>
        <w:ind w:firstLine="420" w:firstLineChars="200"/>
        <w:rPr>
          <w:rFonts w:eastAsia="黑体"/>
        </w:rPr>
      </w:pPr>
      <w:r>
        <w:rPr>
          <w:rFonts w:eastAsia="黑体"/>
        </w:rPr>
        <w:t xml:space="preserve">碳足迹 </w:t>
      </w:r>
      <w:r>
        <w:fldChar w:fldCharType="begin"/>
      </w:r>
      <w:r>
        <w:instrText xml:space="preserve"> HYPERLINK "http://www.baidu.com/link?url=NM-sDc8vF8f6LBJJjre3x3OgH29MNSR7nUOi6mno3-iVlHb3Zlvs9wTbxnKcKC6gPud9_XI7Qg3qobY6J2p3_MuxwSugBbZWQE3OggbMvUq" \t "https://www.baidu.com/_blank" </w:instrText>
      </w:r>
      <w:r>
        <w:fldChar w:fldCharType="separate"/>
      </w:r>
      <w:r>
        <w:rPr>
          <w:rFonts w:eastAsia="黑体"/>
        </w:rPr>
        <w:t>carbon footprint</w:t>
      </w:r>
      <w:r>
        <w:rPr>
          <w:rFonts w:eastAsia="黑体"/>
        </w:rPr>
        <w:fldChar w:fldCharType="end"/>
      </w:r>
    </w:p>
    <w:p w14:paraId="30F53E8C">
      <w:pPr>
        <w:pStyle w:val="25"/>
        <w:spacing w:line="264" w:lineRule="auto"/>
        <w:rPr>
          <w:rFonts w:ascii="Times New Roman"/>
        </w:rPr>
      </w:pPr>
      <w:r>
        <w:rPr>
          <w:rFonts w:ascii="Times New Roman"/>
        </w:rPr>
        <w:t>用以量化过程、过程系统或产品系统温室气体排放的参数，以表现它们对气候变化的贡献。</w:t>
      </w:r>
    </w:p>
    <w:bookmarkEnd w:id="62"/>
    <w:bookmarkEnd w:id="69"/>
    <w:bookmarkEnd w:id="70"/>
    <w:bookmarkEnd w:id="71"/>
    <w:bookmarkEnd w:id="72"/>
    <w:bookmarkEnd w:id="73"/>
    <w:bookmarkEnd w:id="74"/>
    <w:bookmarkEnd w:id="75"/>
    <w:bookmarkEnd w:id="76"/>
    <w:bookmarkEnd w:id="77"/>
    <w:bookmarkEnd w:id="78"/>
    <w:bookmarkEnd w:id="79"/>
    <w:p w14:paraId="7D2E54C8">
      <w:pPr>
        <w:pStyle w:val="73"/>
        <w:numPr>
          <w:ilvl w:val="0"/>
          <w:numId w:val="0"/>
        </w:numPr>
        <w:tabs>
          <w:tab w:val="left" w:pos="0"/>
        </w:tabs>
        <w:spacing w:before="156" w:beforeLines="50" w:after="156" w:afterLines="50" w:line="264" w:lineRule="auto"/>
        <w:outlineLvl w:val="9"/>
        <w:rPr>
          <w:rFonts w:ascii="Times New Roman"/>
          <w:color w:val="000000"/>
        </w:rPr>
      </w:pPr>
      <w:bookmarkStart w:id="85" w:name="_Toc10204853"/>
      <w:bookmarkStart w:id="86" w:name="_Toc9927"/>
      <w:bookmarkStart w:id="87" w:name="_Toc360436750"/>
      <w:bookmarkStart w:id="88" w:name="_Toc360632655"/>
      <w:bookmarkStart w:id="89" w:name="_Toc462063255"/>
      <w:bookmarkStart w:id="90" w:name="_Toc406143964"/>
      <w:bookmarkStart w:id="91" w:name="_Toc397433559"/>
      <w:bookmarkStart w:id="92" w:name="_Toc408495874"/>
      <w:bookmarkStart w:id="93" w:name="_Toc384816547"/>
      <w:bookmarkStart w:id="94" w:name="_Toc396134031"/>
      <w:bookmarkStart w:id="95" w:name="_Toc360632424"/>
      <w:bookmarkStart w:id="96" w:name="_Toc396118200"/>
      <w:bookmarkStart w:id="97" w:name="_Toc406486341"/>
      <w:bookmarkStart w:id="98" w:name="_Toc16661"/>
      <w:bookmarkStart w:id="99" w:name="_Toc360436836"/>
      <w:bookmarkStart w:id="100" w:name="_Toc350863988"/>
      <w:bookmarkStart w:id="101" w:name="_Toc397348587"/>
      <w:r>
        <w:rPr>
          <w:rFonts w:ascii="Times New Roman"/>
          <w:color w:val="000000"/>
        </w:rPr>
        <w:t>3.6</w:t>
      </w:r>
      <w:bookmarkEnd w:id="85"/>
      <w:bookmarkEnd w:id="86"/>
    </w:p>
    <w:p w14:paraId="2D38B6C3">
      <w:pPr>
        <w:widowControl/>
        <w:tabs>
          <w:tab w:val="center" w:pos="4201"/>
          <w:tab w:val="right" w:leader="dot" w:pos="9298"/>
        </w:tabs>
        <w:autoSpaceDE w:val="0"/>
        <w:autoSpaceDN w:val="0"/>
        <w:spacing w:line="264" w:lineRule="auto"/>
        <w:ind w:firstLine="420" w:firstLineChars="200"/>
        <w:rPr>
          <w:rFonts w:eastAsia="黑体"/>
          <w:color w:val="FF0000"/>
        </w:rPr>
      </w:pPr>
      <w:r>
        <w:rPr>
          <w:rFonts w:eastAsia="黑体"/>
        </w:rPr>
        <w:t>建筑隔震橡胶支座 rubber isolation bearing for buildings</w:t>
      </w:r>
    </w:p>
    <w:p w14:paraId="09298570">
      <w:pPr>
        <w:widowControl/>
        <w:tabs>
          <w:tab w:val="center" w:pos="4201"/>
          <w:tab w:val="right" w:leader="dot" w:pos="9298"/>
        </w:tabs>
        <w:autoSpaceDE w:val="0"/>
        <w:autoSpaceDN w:val="0"/>
        <w:spacing w:line="264" w:lineRule="auto"/>
        <w:ind w:firstLine="420" w:firstLineChars="200"/>
        <w:rPr>
          <w:color w:val="000000"/>
          <w:szCs w:val="21"/>
        </w:rPr>
      </w:pPr>
      <w:r>
        <w:rPr>
          <w:color w:val="000000"/>
          <w:szCs w:val="21"/>
        </w:rPr>
        <w:t>由多层橡胶和多层钢板或其他材料交替叠置结合而成的隔震装置，包括天然橡胶支座（LNR）、铅芯橡胶支座（LRB）和高阻尼橡胶支座（HDR）。</w:t>
      </w:r>
    </w:p>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14:paraId="4F697AC4">
      <w:pPr>
        <w:pStyle w:val="73"/>
        <w:tabs>
          <w:tab w:val="left" w:pos="0"/>
        </w:tabs>
        <w:outlineLvl w:val="0"/>
        <w:rPr>
          <w:rFonts w:ascii="Times New Roman"/>
          <w:color w:val="000000"/>
        </w:rPr>
      </w:pPr>
      <w:bookmarkStart w:id="102" w:name="_Toc406486353"/>
      <w:bookmarkStart w:id="103" w:name="_Toc18755"/>
      <w:bookmarkStart w:id="104" w:name="_Toc9914"/>
      <w:bookmarkStart w:id="105" w:name="_Toc126140652"/>
      <w:bookmarkStart w:id="106" w:name="_Toc462063257"/>
      <w:r>
        <w:rPr>
          <w:rFonts w:ascii="Times New Roman"/>
          <w:color w:val="000000"/>
        </w:rPr>
        <w:t>评价要求</w:t>
      </w:r>
      <w:bookmarkEnd w:id="102"/>
      <w:bookmarkEnd w:id="103"/>
      <w:bookmarkEnd w:id="104"/>
      <w:bookmarkEnd w:id="105"/>
      <w:bookmarkEnd w:id="106"/>
    </w:p>
    <w:p w14:paraId="3D797F2B">
      <w:pPr>
        <w:spacing w:before="156" w:beforeLines="50" w:after="156" w:afterLines="50"/>
        <w:rPr>
          <w:rFonts w:eastAsia="黑体"/>
          <w:color w:val="000000"/>
          <w:kern w:val="0"/>
        </w:rPr>
      </w:pPr>
      <w:bookmarkStart w:id="107" w:name="_Toc456611366"/>
      <w:bookmarkStart w:id="108" w:name="_Toc10204855"/>
      <w:bookmarkStart w:id="109" w:name="_Toc406486354"/>
      <w:bookmarkStart w:id="110" w:name="_Toc22141"/>
      <w:bookmarkStart w:id="111" w:name="_Toc459107153"/>
      <w:bookmarkStart w:id="112" w:name="_Toc360436848"/>
      <w:bookmarkStart w:id="113" w:name="_Toc350864000"/>
      <w:bookmarkStart w:id="114" w:name="_Toc396134049"/>
      <w:bookmarkStart w:id="115" w:name="_Toc360632439"/>
      <w:bookmarkStart w:id="116" w:name="_Toc384816564"/>
      <w:bookmarkStart w:id="117" w:name="_Toc360436761"/>
      <w:bookmarkStart w:id="118" w:name="_Toc406486355"/>
      <w:r>
        <w:rPr>
          <w:rFonts w:eastAsia="黑体"/>
          <w:color w:val="000000"/>
          <w:kern w:val="0"/>
        </w:rPr>
        <w:t>4.1 一般要求</w:t>
      </w:r>
      <w:bookmarkEnd w:id="107"/>
      <w:bookmarkEnd w:id="108"/>
      <w:bookmarkEnd w:id="109"/>
      <w:bookmarkEnd w:id="110"/>
      <w:bookmarkEnd w:id="111"/>
    </w:p>
    <w:p w14:paraId="77BF6DC4">
      <w:pPr>
        <w:autoSpaceDE w:val="0"/>
        <w:autoSpaceDN w:val="0"/>
        <w:adjustRightInd w:val="0"/>
        <w:spacing w:line="264" w:lineRule="auto"/>
        <w:jc w:val="left"/>
      </w:pPr>
      <w:bookmarkStart w:id="119" w:name="_Toc459106415"/>
      <w:bookmarkStart w:id="120" w:name="_Toc462063258"/>
      <w:bookmarkStart w:id="121" w:name="_Toc436234466"/>
      <w:r>
        <w:t>4.1.1</w:t>
      </w:r>
      <w:bookmarkEnd w:id="119"/>
      <w:bookmarkEnd w:id="120"/>
      <w:r>
        <w:t xml:space="preserve"> 建筑隔震橡胶支座的性能应符合JG∕T 118、</w:t>
      </w:r>
      <w:r>
        <w:rPr>
          <w:color w:val="000000"/>
          <w:kern w:val="0"/>
        </w:rPr>
        <w:t>GB 20688.1、GB 20688.3等</w:t>
      </w:r>
      <w:r>
        <w:t>的要求。</w:t>
      </w:r>
    </w:p>
    <w:bookmarkEnd w:id="121"/>
    <w:p w14:paraId="3C85EF4D">
      <w:pPr>
        <w:spacing w:before="312" w:beforeLines="100" w:after="312" w:afterLines="100"/>
      </w:pPr>
      <w:r>
        <w:t>4.1.2 生产企业近三年无重大环境污染事件和重大安全事故。</w:t>
      </w:r>
    </w:p>
    <w:p w14:paraId="477957D3">
      <w:pPr>
        <w:spacing w:before="312" w:beforeLines="100" w:after="312" w:afterLines="100"/>
      </w:pPr>
      <w:r>
        <w:t>4.1.3 一般固体废弃物的收集、贮存、处置应符合GB 18599的相关规定。危险废物的贮存应符合GB 18597的相关规定，后续应交付持有危险废物经营许可证的单位处置。</w:t>
      </w:r>
    </w:p>
    <w:p w14:paraId="65BD05E7">
      <w:pPr>
        <w:spacing w:before="312" w:beforeLines="100" w:after="312" w:afterLines="100"/>
      </w:pPr>
      <w:r>
        <w:t>4.1.4 生产企业应按照GB/T 19001、GB/T 24001要求分别建立并运行质量管理体系、环境管理体系。</w:t>
      </w:r>
    </w:p>
    <w:p w14:paraId="4F63DF7B">
      <w:pPr>
        <w:spacing w:before="312" w:beforeLines="100" w:after="312" w:afterLines="100"/>
      </w:pPr>
      <w:r>
        <w:t>4.1.5 生产企业应采用国家鼓励的先进技术工艺，不应使用国家或有关部门发布的淘汰或禁止的技术、工艺、装备及相关物质。</w:t>
      </w:r>
    </w:p>
    <w:p w14:paraId="372F243D">
      <w:pPr>
        <w:spacing w:before="156" w:beforeLines="50" w:after="156" w:afterLines="50"/>
        <w:rPr>
          <w:color w:val="000000"/>
        </w:rPr>
      </w:pPr>
      <w:bookmarkStart w:id="122" w:name="_Toc31135"/>
      <w:bookmarkStart w:id="123" w:name="_Toc462063260"/>
      <w:bookmarkStart w:id="124" w:name="_Toc10204856"/>
      <w:r>
        <w:rPr>
          <w:color w:val="000000"/>
        </w:rPr>
        <w:t>4.2 评价指标要求</w:t>
      </w:r>
      <w:bookmarkEnd w:id="112"/>
      <w:bookmarkEnd w:id="113"/>
      <w:bookmarkEnd w:id="114"/>
      <w:bookmarkEnd w:id="115"/>
      <w:bookmarkEnd w:id="116"/>
      <w:bookmarkEnd w:id="117"/>
      <w:bookmarkEnd w:id="118"/>
      <w:bookmarkEnd w:id="122"/>
      <w:bookmarkEnd w:id="123"/>
      <w:bookmarkEnd w:id="124"/>
    </w:p>
    <w:p w14:paraId="6CCFFF4B">
      <w:pPr>
        <w:spacing w:before="156" w:beforeLines="50" w:after="156" w:afterLines="50"/>
        <w:jc w:val="center"/>
      </w:pPr>
      <w:bookmarkStart w:id="125" w:name="_Toc360436768"/>
      <w:bookmarkStart w:id="126" w:name="_Toc406486359"/>
      <w:bookmarkStart w:id="127" w:name="_Toc31213"/>
      <w:bookmarkStart w:id="128" w:name="_Toc360436855"/>
      <w:bookmarkStart w:id="129" w:name="_Toc360632446"/>
      <w:bookmarkStart w:id="130" w:name="_Toc384816569"/>
      <w:bookmarkStart w:id="131" w:name="_Toc350864007"/>
      <w:bookmarkStart w:id="132" w:name="_Toc396134054"/>
      <w:r>
        <w:br w:type="page"/>
      </w:r>
    </w:p>
    <w:p w14:paraId="21170490">
      <w:pPr>
        <w:pStyle w:val="73"/>
        <w:numPr>
          <w:ilvl w:val="0"/>
          <w:numId w:val="0"/>
        </w:numPr>
        <w:spacing w:before="156" w:beforeLines="50" w:after="156" w:afterLines="50"/>
        <w:jc w:val="center"/>
        <w:outlineLvl w:val="9"/>
        <w:rPr>
          <w:rFonts w:ascii="Times New Roman"/>
        </w:rPr>
      </w:pPr>
      <w:bookmarkStart w:id="133" w:name="_Toc11754"/>
      <w:r>
        <w:rPr>
          <w:rFonts w:ascii="Times New Roman"/>
        </w:rPr>
        <w:t>表1  建筑隔震橡胶支座评价指标要求</w:t>
      </w:r>
      <w:bookmarkEnd w:id="133"/>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9"/>
        <w:gridCol w:w="996"/>
        <w:gridCol w:w="2424"/>
        <w:gridCol w:w="699"/>
        <w:gridCol w:w="773"/>
        <w:gridCol w:w="794"/>
        <w:gridCol w:w="796"/>
        <w:gridCol w:w="798"/>
        <w:gridCol w:w="1671"/>
      </w:tblGrid>
      <w:tr w14:paraId="478A4B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323" w:type="pct"/>
            <w:vMerge w:val="restart"/>
            <w:shd w:val="clear" w:color="auto" w:fill="auto"/>
            <w:vAlign w:val="center"/>
          </w:tcPr>
          <w:p w14:paraId="0E031F51">
            <w:pPr>
              <w:widowControl/>
              <w:adjustRightInd w:val="0"/>
              <w:jc w:val="center"/>
              <w:rPr>
                <w:kern w:val="0"/>
                <w:sz w:val="18"/>
                <w:szCs w:val="18"/>
              </w:rPr>
            </w:pPr>
            <w:r>
              <w:rPr>
                <w:kern w:val="0"/>
                <w:sz w:val="18"/>
                <w:szCs w:val="18"/>
              </w:rPr>
              <w:t>一级指标</w:t>
            </w:r>
          </w:p>
        </w:tc>
        <w:tc>
          <w:tcPr>
            <w:tcW w:w="2150" w:type="pct"/>
            <w:gridSpan w:val="3"/>
            <w:vMerge w:val="restart"/>
            <w:shd w:val="clear" w:color="auto" w:fill="auto"/>
            <w:vAlign w:val="center"/>
          </w:tcPr>
          <w:p w14:paraId="334C202F">
            <w:pPr>
              <w:widowControl/>
              <w:adjustRightInd w:val="0"/>
              <w:jc w:val="center"/>
              <w:rPr>
                <w:kern w:val="0"/>
                <w:sz w:val="18"/>
                <w:szCs w:val="18"/>
              </w:rPr>
            </w:pPr>
            <w:r>
              <w:rPr>
                <w:kern w:val="0"/>
                <w:sz w:val="18"/>
                <w:szCs w:val="18"/>
              </w:rPr>
              <w:t>二级指标</w:t>
            </w:r>
          </w:p>
        </w:tc>
        <w:tc>
          <w:tcPr>
            <w:tcW w:w="404" w:type="pct"/>
            <w:vMerge w:val="restart"/>
            <w:shd w:val="clear" w:color="auto" w:fill="auto"/>
            <w:vAlign w:val="center"/>
          </w:tcPr>
          <w:p w14:paraId="4B1DA01B">
            <w:pPr>
              <w:widowControl/>
              <w:adjustRightInd w:val="0"/>
              <w:jc w:val="center"/>
              <w:rPr>
                <w:kern w:val="0"/>
                <w:sz w:val="18"/>
                <w:szCs w:val="18"/>
              </w:rPr>
            </w:pPr>
            <w:r>
              <w:rPr>
                <w:kern w:val="0"/>
                <w:sz w:val="18"/>
                <w:szCs w:val="18"/>
              </w:rPr>
              <w:t>单位</w:t>
            </w:r>
          </w:p>
        </w:tc>
        <w:tc>
          <w:tcPr>
            <w:tcW w:w="1248" w:type="pct"/>
            <w:gridSpan w:val="3"/>
            <w:shd w:val="clear" w:color="auto" w:fill="auto"/>
            <w:vAlign w:val="center"/>
          </w:tcPr>
          <w:p w14:paraId="40A82DA0">
            <w:pPr>
              <w:widowControl/>
              <w:adjustRightInd w:val="0"/>
              <w:jc w:val="center"/>
              <w:rPr>
                <w:kern w:val="0"/>
                <w:sz w:val="18"/>
                <w:szCs w:val="18"/>
              </w:rPr>
            </w:pPr>
            <w:r>
              <w:rPr>
                <w:kern w:val="0"/>
                <w:sz w:val="18"/>
                <w:szCs w:val="18"/>
              </w:rPr>
              <w:t>基准值</w:t>
            </w:r>
          </w:p>
        </w:tc>
        <w:tc>
          <w:tcPr>
            <w:tcW w:w="872" w:type="pct"/>
            <w:vMerge w:val="restart"/>
            <w:shd w:val="clear" w:color="auto" w:fill="auto"/>
            <w:vAlign w:val="center"/>
          </w:tcPr>
          <w:p w14:paraId="3F62C4AF">
            <w:pPr>
              <w:widowControl/>
              <w:adjustRightInd w:val="0"/>
              <w:jc w:val="center"/>
              <w:rPr>
                <w:kern w:val="0"/>
                <w:sz w:val="18"/>
                <w:szCs w:val="18"/>
              </w:rPr>
            </w:pPr>
            <w:r>
              <w:rPr>
                <w:kern w:val="0"/>
                <w:sz w:val="18"/>
                <w:szCs w:val="18"/>
              </w:rPr>
              <w:t>评价依据</w:t>
            </w:r>
          </w:p>
        </w:tc>
      </w:tr>
      <w:tr w14:paraId="4C121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323" w:type="pct"/>
            <w:vMerge w:val="continue"/>
            <w:tcBorders>
              <w:bottom w:val="single" w:color="auto" w:sz="4" w:space="0"/>
            </w:tcBorders>
            <w:shd w:val="clear" w:color="auto" w:fill="auto"/>
            <w:vAlign w:val="center"/>
          </w:tcPr>
          <w:p w14:paraId="1C41D083">
            <w:pPr>
              <w:widowControl/>
              <w:adjustRightInd w:val="0"/>
              <w:jc w:val="center"/>
              <w:rPr>
                <w:kern w:val="0"/>
                <w:sz w:val="18"/>
                <w:szCs w:val="18"/>
              </w:rPr>
            </w:pPr>
          </w:p>
        </w:tc>
        <w:tc>
          <w:tcPr>
            <w:tcW w:w="2150" w:type="pct"/>
            <w:gridSpan w:val="3"/>
            <w:vMerge w:val="continue"/>
            <w:tcBorders>
              <w:bottom w:val="single" w:color="auto" w:sz="4" w:space="0"/>
            </w:tcBorders>
            <w:shd w:val="clear" w:color="auto" w:fill="auto"/>
            <w:vAlign w:val="center"/>
          </w:tcPr>
          <w:p w14:paraId="049BB204">
            <w:pPr>
              <w:widowControl/>
              <w:adjustRightInd w:val="0"/>
              <w:jc w:val="center"/>
              <w:rPr>
                <w:kern w:val="0"/>
                <w:sz w:val="18"/>
                <w:szCs w:val="18"/>
              </w:rPr>
            </w:pPr>
          </w:p>
        </w:tc>
        <w:tc>
          <w:tcPr>
            <w:tcW w:w="404" w:type="pct"/>
            <w:vMerge w:val="continue"/>
            <w:tcBorders>
              <w:bottom w:val="single" w:color="auto" w:sz="4" w:space="0"/>
            </w:tcBorders>
            <w:shd w:val="clear" w:color="auto" w:fill="auto"/>
            <w:vAlign w:val="center"/>
          </w:tcPr>
          <w:p w14:paraId="2A32601A">
            <w:pPr>
              <w:widowControl/>
              <w:adjustRightInd w:val="0"/>
              <w:jc w:val="center"/>
              <w:rPr>
                <w:kern w:val="0"/>
                <w:sz w:val="18"/>
                <w:szCs w:val="18"/>
              </w:rPr>
            </w:pPr>
          </w:p>
        </w:tc>
        <w:tc>
          <w:tcPr>
            <w:tcW w:w="415" w:type="pct"/>
            <w:tcBorders>
              <w:bottom w:val="single" w:color="auto" w:sz="4" w:space="0"/>
            </w:tcBorders>
            <w:shd w:val="clear" w:color="auto" w:fill="auto"/>
            <w:vAlign w:val="center"/>
          </w:tcPr>
          <w:p w14:paraId="42E138AA">
            <w:pPr>
              <w:widowControl/>
              <w:adjustRightInd w:val="0"/>
              <w:jc w:val="center"/>
              <w:rPr>
                <w:kern w:val="0"/>
                <w:sz w:val="18"/>
                <w:szCs w:val="18"/>
              </w:rPr>
            </w:pPr>
            <w:r>
              <w:rPr>
                <w:kern w:val="0"/>
                <w:sz w:val="18"/>
                <w:szCs w:val="18"/>
              </w:rPr>
              <w:t>一星级</w:t>
            </w:r>
          </w:p>
        </w:tc>
        <w:tc>
          <w:tcPr>
            <w:tcW w:w="415" w:type="pct"/>
            <w:tcBorders>
              <w:bottom w:val="single" w:color="auto" w:sz="4" w:space="0"/>
            </w:tcBorders>
            <w:shd w:val="clear" w:color="auto" w:fill="auto"/>
            <w:vAlign w:val="center"/>
          </w:tcPr>
          <w:p w14:paraId="3FED0001">
            <w:pPr>
              <w:widowControl/>
              <w:adjustRightInd w:val="0"/>
              <w:jc w:val="center"/>
              <w:rPr>
                <w:kern w:val="0"/>
                <w:sz w:val="18"/>
                <w:szCs w:val="18"/>
              </w:rPr>
            </w:pPr>
            <w:r>
              <w:rPr>
                <w:kern w:val="0"/>
                <w:sz w:val="18"/>
                <w:szCs w:val="18"/>
              </w:rPr>
              <w:t>二星级</w:t>
            </w:r>
          </w:p>
        </w:tc>
        <w:tc>
          <w:tcPr>
            <w:tcW w:w="416" w:type="pct"/>
            <w:tcBorders>
              <w:bottom w:val="single" w:color="auto" w:sz="4" w:space="0"/>
            </w:tcBorders>
            <w:shd w:val="clear" w:color="auto" w:fill="auto"/>
            <w:vAlign w:val="center"/>
          </w:tcPr>
          <w:p w14:paraId="0A55759C">
            <w:pPr>
              <w:widowControl/>
              <w:adjustRightInd w:val="0"/>
              <w:jc w:val="center"/>
              <w:rPr>
                <w:kern w:val="0"/>
                <w:sz w:val="18"/>
                <w:szCs w:val="18"/>
              </w:rPr>
            </w:pPr>
            <w:r>
              <w:rPr>
                <w:kern w:val="0"/>
                <w:sz w:val="18"/>
                <w:szCs w:val="18"/>
              </w:rPr>
              <w:t>三星级</w:t>
            </w:r>
          </w:p>
        </w:tc>
        <w:tc>
          <w:tcPr>
            <w:tcW w:w="872" w:type="pct"/>
            <w:vMerge w:val="continue"/>
            <w:tcBorders>
              <w:bottom w:val="single" w:color="auto" w:sz="4" w:space="0"/>
            </w:tcBorders>
            <w:shd w:val="clear" w:color="auto" w:fill="auto"/>
            <w:vAlign w:val="center"/>
          </w:tcPr>
          <w:p w14:paraId="3B098EEC">
            <w:pPr>
              <w:widowControl/>
              <w:adjustRightInd w:val="0"/>
              <w:jc w:val="center"/>
              <w:rPr>
                <w:kern w:val="0"/>
                <w:sz w:val="18"/>
                <w:szCs w:val="18"/>
              </w:rPr>
            </w:pPr>
          </w:p>
        </w:tc>
      </w:tr>
      <w:tr w14:paraId="44B1AD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3" w:type="pct"/>
            <w:vMerge w:val="restart"/>
            <w:tcBorders>
              <w:top w:val="single" w:color="auto" w:sz="4" w:space="0"/>
              <w:bottom w:val="single" w:color="auto" w:sz="4" w:space="0"/>
            </w:tcBorders>
            <w:shd w:val="clear" w:color="auto" w:fill="auto"/>
            <w:vAlign w:val="center"/>
          </w:tcPr>
          <w:p w14:paraId="563986F4">
            <w:pPr>
              <w:widowControl/>
              <w:adjustRightInd w:val="0"/>
              <w:jc w:val="center"/>
              <w:rPr>
                <w:kern w:val="0"/>
                <w:sz w:val="18"/>
                <w:szCs w:val="18"/>
              </w:rPr>
            </w:pPr>
            <w:r>
              <w:rPr>
                <w:kern w:val="0"/>
                <w:sz w:val="18"/>
                <w:szCs w:val="18"/>
              </w:rPr>
              <w:t>资源</w:t>
            </w:r>
          </w:p>
          <w:p w14:paraId="2236E4F8">
            <w:pPr>
              <w:widowControl/>
              <w:adjustRightInd w:val="0"/>
              <w:jc w:val="center"/>
              <w:rPr>
                <w:kern w:val="0"/>
                <w:sz w:val="18"/>
                <w:szCs w:val="18"/>
              </w:rPr>
            </w:pPr>
            <w:r>
              <w:rPr>
                <w:kern w:val="0"/>
                <w:sz w:val="18"/>
                <w:szCs w:val="18"/>
              </w:rPr>
              <w:t>属性</w:t>
            </w:r>
          </w:p>
        </w:tc>
        <w:tc>
          <w:tcPr>
            <w:tcW w:w="2150" w:type="pct"/>
            <w:gridSpan w:val="3"/>
            <w:tcBorders>
              <w:top w:val="single" w:color="auto" w:sz="4" w:space="0"/>
              <w:bottom w:val="single" w:color="auto" w:sz="4" w:space="0"/>
            </w:tcBorders>
            <w:shd w:val="clear" w:color="auto" w:fill="auto"/>
            <w:vAlign w:val="center"/>
          </w:tcPr>
          <w:p w14:paraId="637BBF41">
            <w:pPr>
              <w:pStyle w:val="145"/>
              <w:autoSpaceDE/>
              <w:autoSpaceDN/>
              <w:jc w:val="center"/>
              <w:rPr>
                <w:rFonts w:ascii="Times New Roman" w:cs="Times New Roman"/>
                <w:color w:val="auto"/>
                <w:sz w:val="18"/>
                <w:szCs w:val="18"/>
              </w:rPr>
            </w:pPr>
            <w:r>
              <w:rPr>
                <w:rFonts w:hint="eastAsia" w:ascii="Times New Roman" w:cs="Times New Roman"/>
                <w:color w:val="auto"/>
                <w:sz w:val="18"/>
                <w:szCs w:val="18"/>
              </w:rPr>
              <w:t>橡胶回收利用率</w:t>
            </w:r>
          </w:p>
        </w:tc>
        <w:tc>
          <w:tcPr>
            <w:tcW w:w="404" w:type="pct"/>
            <w:tcBorders>
              <w:top w:val="single" w:color="auto" w:sz="4" w:space="0"/>
              <w:bottom w:val="single" w:color="auto" w:sz="4" w:space="0"/>
            </w:tcBorders>
            <w:shd w:val="clear" w:color="auto" w:fill="auto"/>
            <w:vAlign w:val="center"/>
          </w:tcPr>
          <w:p w14:paraId="47CCA691">
            <w:pPr>
              <w:pStyle w:val="145"/>
              <w:autoSpaceDE/>
              <w:autoSpaceDN/>
              <w:jc w:val="center"/>
              <w:rPr>
                <w:rFonts w:ascii="Times New Roman" w:cs="Times New Roman"/>
                <w:color w:val="auto"/>
                <w:sz w:val="18"/>
                <w:szCs w:val="18"/>
              </w:rPr>
            </w:pPr>
            <w:r>
              <w:rPr>
                <w:rFonts w:ascii="Times New Roman" w:cs="Times New Roman"/>
                <w:color w:val="auto"/>
                <w:sz w:val="18"/>
                <w:szCs w:val="18"/>
              </w:rPr>
              <w:t>%</w:t>
            </w:r>
          </w:p>
        </w:tc>
        <w:tc>
          <w:tcPr>
            <w:tcW w:w="1248" w:type="pct"/>
            <w:gridSpan w:val="3"/>
            <w:tcBorders>
              <w:top w:val="single" w:color="auto" w:sz="4" w:space="0"/>
              <w:bottom w:val="single" w:color="auto" w:sz="4" w:space="0"/>
            </w:tcBorders>
            <w:shd w:val="clear" w:color="auto" w:fill="auto"/>
            <w:vAlign w:val="center"/>
          </w:tcPr>
          <w:p w14:paraId="089520C9">
            <w:pPr>
              <w:widowControl/>
              <w:adjustRightInd w:val="0"/>
              <w:jc w:val="center"/>
              <w:rPr>
                <w:kern w:val="0"/>
                <w:sz w:val="18"/>
                <w:szCs w:val="18"/>
              </w:rPr>
            </w:pPr>
            <w:r>
              <w:rPr>
                <w:rFonts w:hint="eastAsia"/>
                <w:kern w:val="0"/>
                <w:sz w:val="18"/>
                <w:szCs w:val="18"/>
              </w:rPr>
              <w:t>100</w:t>
            </w:r>
          </w:p>
        </w:tc>
        <w:tc>
          <w:tcPr>
            <w:tcW w:w="872" w:type="pct"/>
            <w:tcBorders>
              <w:top w:val="single" w:color="auto" w:sz="4" w:space="0"/>
              <w:bottom w:val="single" w:color="auto" w:sz="4" w:space="0"/>
            </w:tcBorders>
            <w:shd w:val="clear" w:color="auto" w:fill="auto"/>
            <w:vAlign w:val="center"/>
          </w:tcPr>
          <w:p w14:paraId="5626E15E">
            <w:pPr>
              <w:widowControl/>
              <w:adjustRightInd w:val="0"/>
              <w:jc w:val="center"/>
              <w:rPr>
                <w:kern w:val="0"/>
                <w:sz w:val="18"/>
                <w:szCs w:val="18"/>
              </w:rPr>
            </w:pPr>
            <w:r>
              <w:rPr>
                <w:rFonts w:hint="eastAsia"/>
                <w:sz w:val="18"/>
                <w:szCs w:val="18"/>
              </w:rPr>
              <w:t>附录A中的A.1</w:t>
            </w:r>
          </w:p>
        </w:tc>
      </w:tr>
      <w:tr w14:paraId="6109A8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3" w:type="pct"/>
            <w:vMerge w:val="continue"/>
            <w:tcBorders>
              <w:top w:val="single" w:color="auto" w:sz="4" w:space="0"/>
              <w:bottom w:val="single" w:color="auto" w:sz="4" w:space="0"/>
            </w:tcBorders>
            <w:shd w:val="clear" w:color="auto" w:fill="auto"/>
            <w:vAlign w:val="center"/>
          </w:tcPr>
          <w:p w14:paraId="33839C6B">
            <w:pPr>
              <w:widowControl/>
              <w:adjustRightInd w:val="0"/>
              <w:jc w:val="center"/>
              <w:rPr>
                <w:kern w:val="0"/>
                <w:sz w:val="18"/>
                <w:szCs w:val="18"/>
              </w:rPr>
            </w:pPr>
          </w:p>
        </w:tc>
        <w:tc>
          <w:tcPr>
            <w:tcW w:w="520" w:type="pct"/>
            <w:tcBorders>
              <w:top w:val="single" w:color="auto" w:sz="4" w:space="0"/>
              <w:bottom w:val="single" w:color="auto" w:sz="4" w:space="0"/>
            </w:tcBorders>
            <w:shd w:val="clear" w:color="auto" w:fill="auto"/>
            <w:vAlign w:val="center"/>
          </w:tcPr>
          <w:p w14:paraId="27474F6D">
            <w:pPr>
              <w:widowControl/>
              <w:jc w:val="center"/>
              <w:textAlignment w:val="center"/>
              <w:rPr>
                <w:kern w:val="0"/>
                <w:sz w:val="18"/>
                <w:szCs w:val="18"/>
              </w:rPr>
            </w:pPr>
            <w:r>
              <w:rPr>
                <w:rFonts w:hint="eastAsia"/>
                <w:kern w:val="0"/>
                <w:sz w:val="18"/>
                <w:szCs w:val="18"/>
                <w:lang w:bidi="ar"/>
              </w:rPr>
              <w:t>胶黏剂</w:t>
            </w:r>
          </w:p>
        </w:tc>
        <w:tc>
          <w:tcPr>
            <w:tcW w:w="1630" w:type="pct"/>
            <w:gridSpan w:val="2"/>
            <w:tcBorders>
              <w:top w:val="single" w:color="auto" w:sz="4" w:space="0"/>
              <w:bottom w:val="single" w:color="auto" w:sz="4" w:space="0"/>
            </w:tcBorders>
            <w:shd w:val="clear" w:color="auto" w:fill="auto"/>
            <w:vAlign w:val="center"/>
          </w:tcPr>
          <w:p w14:paraId="617FE5F1">
            <w:pPr>
              <w:widowControl/>
              <w:jc w:val="center"/>
              <w:textAlignment w:val="center"/>
              <w:rPr>
                <w:kern w:val="0"/>
                <w:sz w:val="18"/>
                <w:szCs w:val="18"/>
                <w:lang w:bidi="ar"/>
              </w:rPr>
            </w:pPr>
            <w:r>
              <w:rPr>
                <w:rFonts w:hint="eastAsia"/>
                <w:kern w:val="0"/>
                <w:sz w:val="18"/>
                <w:szCs w:val="18"/>
                <w:lang w:bidi="ar"/>
              </w:rPr>
              <w:t>挥发性有机化合物VOC</w:t>
            </w:r>
          </w:p>
        </w:tc>
        <w:tc>
          <w:tcPr>
            <w:tcW w:w="404" w:type="pct"/>
            <w:tcBorders>
              <w:top w:val="single" w:color="auto" w:sz="4" w:space="0"/>
              <w:bottom w:val="single" w:color="auto" w:sz="4" w:space="0"/>
            </w:tcBorders>
            <w:shd w:val="clear" w:color="auto" w:fill="auto"/>
            <w:vAlign w:val="center"/>
          </w:tcPr>
          <w:p w14:paraId="10450DDE">
            <w:pPr>
              <w:widowControl/>
              <w:jc w:val="center"/>
              <w:textAlignment w:val="center"/>
              <w:rPr>
                <w:kern w:val="0"/>
                <w:sz w:val="18"/>
                <w:szCs w:val="18"/>
              </w:rPr>
            </w:pPr>
            <w:r>
              <w:rPr>
                <w:rFonts w:hint="eastAsia"/>
                <w:kern w:val="0"/>
                <w:sz w:val="18"/>
                <w:szCs w:val="18"/>
              </w:rPr>
              <w:t>g/L</w:t>
            </w:r>
          </w:p>
        </w:tc>
        <w:tc>
          <w:tcPr>
            <w:tcW w:w="1248" w:type="pct"/>
            <w:gridSpan w:val="3"/>
            <w:tcBorders>
              <w:top w:val="single" w:color="auto" w:sz="4" w:space="0"/>
              <w:bottom w:val="single" w:color="auto" w:sz="4" w:space="0"/>
            </w:tcBorders>
            <w:shd w:val="clear" w:color="auto" w:fill="auto"/>
            <w:vAlign w:val="center"/>
          </w:tcPr>
          <w:p w14:paraId="4D3727AA">
            <w:pPr>
              <w:widowControl/>
              <w:jc w:val="center"/>
              <w:textAlignment w:val="center"/>
              <w:rPr>
                <w:kern w:val="0"/>
                <w:sz w:val="18"/>
                <w:szCs w:val="18"/>
              </w:rPr>
            </w:pPr>
            <w:r>
              <w:rPr>
                <w:rFonts w:hint="eastAsia"/>
                <w:sz w:val="18"/>
                <w:szCs w:val="18"/>
              </w:rPr>
              <w:t>≤700</w:t>
            </w:r>
          </w:p>
        </w:tc>
        <w:tc>
          <w:tcPr>
            <w:tcW w:w="872" w:type="pct"/>
            <w:tcBorders>
              <w:top w:val="single" w:color="auto" w:sz="4" w:space="0"/>
              <w:bottom w:val="single" w:color="auto" w:sz="4" w:space="0"/>
            </w:tcBorders>
            <w:shd w:val="clear" w:color="auto" w:fill="auto"/>
            <w:vAlign w:val="center"/>
          </w:tcPr>
          <w:p w14:paraId="194FCC97">
            <w:pPr>
              <w:widowControl/>
              <w:jc w:val="center"/>
              <w:textAlignment w:val="center"/>
              <w:rPr>
                <w:kern w:val="0"/>
                <w:sz w:val="18"/>
                <w:szCs w:val="18"/>
              </w:rPr>
            </w:pPr>
            <w:r>
              <w:rPr>
                <w:rFonts w:hint="eastAsia"/>
                <w:sz w:val="18"/>
                <w:szCs w:val="18"/>
              </w:rPr>
              <w:t>GB 33372</w:t>
            </w:r>
          </w:p>
        </w:tc>
      </w:tr>
      <w:tr w14:paraId="7D711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323" w:type="pct"/>
            <w:vMerge w:val="continue"/>
            <w:tcBorders>
              <w:top w:val="single" w:color="auto" w:sz="4" w:space="0"/>
              <w:bottom w:val="single" w:color="auto" w:sz="4" w:space="0"/>
            </w:tcBorders>
            <w:shd w:val="clear" w:color="auto" w:fill="auto"/>
            <w:vAlign w:val="center"/>
          </w:tcPr>
          <w:p w14:paraId="37DA56E9">
            <w:pPr>
              <w:widowControl/>
              <w:adjustRightInd w:val="0"/>
              <w:jc w:val="center"/>
              <w:rPr>
                <w:kern w:val="0"/>
                <w:sz w:val="18"/>
                <w:szCs w:val="18"/>
              </w:rPr>
            </w:pPr>
          </w:p>
        </w:tc>
        <w:tc>
          <w:tcPr>
            <w:tcW w:w="520" w:type="pct"/>
            <w:tcBorders>
              <w:top w:val="single" w:color="auto" w:sz="4" w:space="0"/>
              <w:bottom w:val="single" w:color="auto" w:sz="4" w:space="0"/>
            </w:tcBorders>
            <w:shd w:val="clear" w:color="auto" w:fill="auto"/>
            <w:vAlign w:val="center"/>
          </w:tcPr>
          <w:p w14:paraId="0454B92C">
            <w:pPr>
              <w:widowControl/>
              <w:jc w:val="center"/>
              <w:textAlignment w:val="center"/>
              <w:rPr>
                <w:kern w:val="0"/>
                <w:sz w:val="18"/>
                <w:szCs w:val="18"/>
                <w:lang w:bidi="ar"/>
              </w:rPr>
            </w:pPr>
            <w:r>
              <w:rPr>
                <w:rFonts w:hint="eastAsia"/>
                <w:kern w:val="0"/>
                <w:sz w:val="18"/>
                <w:szCs w:val="18"/>
                <w:lang w:bidi="ar"/>
              </w:rPr>
              <w:t>涂料</w:t>
            </w:r>
          </w:p>
        </w:tc>
        <w:tc>
          <w:tcPr>
            <w:tcW w:w="1630" w:type="pct"/>
            <w:gridSpan w:val="2"/>
            <w:tcBorders>
              <w:top w:val="single" w:color="auto" w:sz="4" w:space="0"/>
              <w:bottom w:val="single" w:color="auto" w:sz="4" w:space="0"/>
            </w:tcBorders>
            <w:shd w:val="clear" w:color="auto" w:fill="auto"/>
            <w:vAlign w:val="center"/>
          </w:tcPr>
          <w:p w14:paraId="2840F7EF">
            <w:pPr>
              <w:widowControl/>
              <w:jc w:val="center"/>
              <w:textAlignment w:val="center"/>
              <w:rPr>
                <w:kern w:val="0"/>
                <w:sz w:val="18"/>
                <w:szCs w:val="18"/>
                <w:lang w:bidi="ar"/>
              </w:rPr>
            </w:pPr>
            <w:r>
              <w:rPr>
                <w:rFonts w:hint="eastAsia"/>
                <w:kern w:val="0"/>
                <w:sz w:val="18"/>
                <w:szCs w:val="18"/>
                <w:lang w:bidi="ar"/>
              </w:rPr>
              <w:t>中性盐雾试验</w:t>
            </w:r>
          </w:p>
        </w:tc>
        <w:tc>
          <w:tcPr>
            <w:tcW w:w="404" w:type="pct"/>
            <w:tcBorders>
              <w:top w:val="single" w:color="auto" w:sz="4" w:space="0"/>
              <w:bottom w:val="single" w:color="auto" w:sz="4" w:space="0"/>
            </w:tcBorders>
            <w:shd w:val="clear" w:color="auto" w:fill="auto"/>
            <w:vAlign w:val="center"/>
          </w:tcPr>
          <w:p w14:paraId="12F82D92">
            <w:pPr>
              <w:widowControl/>
              <w:jc w:val="center"/>
              <w:textAlignment w:val="center"/>
              <w:rPr>
                <w:kern w:val="0"/>
                <w:sz w:val="18"/>
                <w:szCs w:val="18"/>
              </w:rPr>
            </w:pPr>
            <w:r>
              <w:rPr>
                <w:rFonts w:hint="eastAsia"/>
                <w:kern w:val="0"/>
                <w:sz w:val="18"/>
                <w:szCs w:val="18"/>
              </w:rPr>
              <w:t>h</w:t>
            </w:r>
          </w:p>
        </w:tc>
        <w:tc>
          <w:tcPr>
            <w:tcW w:w="415" w:type="pct"/>
            <w:tcBorders>
              <w:top w:val="single" w:color="auto" w:sz="4" w:space="0"/>
              <w:bottom w:val="single" w:color="auto" w:sz="4" w:space="0"/>
            </w:tcBorders>
            <w:shd w:val="clear" w:color="auto" w:fill="auto"/>
            <w:vAlign w:val="center"/>
          </w:tcPr>
          <w:p w14:paraId="54DB4FA6">
            <w:pPr>
              <w:widowControl/>
              <w:jc w:val="center"/>
              <w:textAlignment w:val="center"/>
              <w:rPr>
                <w:sz w:val="18"/>
                <w:szCs w:val="18"/>
              </w:rPr>
            </w:pPr>
            <w:r>
              <w:rPr>
                <w:rFonts w:hint="eastAsia"/>
                <w:sz w:val="18"/>
                <w:szCs w:val="18"/>
              </w:rPr>
              <w:t>300</w:t>
            </w:r>
          </w:p>
        </w:tc>
        <w:tc>
          <w:tcPr>
            <w:tcW w:w="415" w:type="pct"/>
            <w:tcBorders>
              <w:top w:val="single" w:color="auto" w:sz="4" w:space="0"/>
              <w:bottom w:val="single" w:color="auto" w:sz="4" w:space="0"/>
            </w:tcBorders>
            <w:shd w:val="clear" w:color="auto" w:fill="auto"/>
            <w:vAlign w:val="center"/>
          </w:tcPr>
          <w:p w14:paraId="46A2011A">
            <w:pPr>
              <w:widowControl/>
              <w:jc w:val="center"/>
              <w:textAlignment w:val="center"/>
              <w:rPr>
                <w:sz w:val="18"/>
                <w:szCs w:val="18"/>
              </w:rPr>
            </w:pPr>
            <w:r>
              <w:rPr>
                <w:rFonts w:hint="eastAsia"/>
                <w:sz w:val="18"/>
                <w:szCs w:val="18"/>
              </w:rPr>
              <w:t>400</w:t>
            </w:r>
          </w:p>
        </w:tc>
        <w:tc>
          <w:tcPr>
            <w:tcW w:w="416" w:type="pct"/>
            <w:tcBorders>
              <w:top w:val="single" w:color="auto" w:sz="4" w:space="0"/>
              <w:bottom w:val="single" w:color="auto" w:sz="4" w:space="0"/>
            </w:tcBorders>
            <w:shd w:val="clear" w:color="auto" w:fill="auto"/>
            <w:vAlign w:val="center"/>
          </w:tcPr>
          <w:p w14:paraId="6B52F149">
            <w:pPr>
              <w:widowControl/>
              <w:jc w:val="center"/>
              <w:textAlignment w:val="center"/>
              <w:rPr>
                <w:sz w:val="18"/>
                <w:szCs w:val="18"/>
              </w:rPr>
            </w:pPr>
            <w:r>
              <w:rPr>
                <w:rFonts w:hint="eastAsia"/>
                <w:sz w:val="18"/>
                <w:szCs w:val="18"/>
              </w:rPr>
              <w:t>1000</w:t>
            </w:r>
          </w:p>
        </w:tc>
        <w:tc>
          <w:tcPr>
            <w:tcW w:w="872" w:type="pct"/>
            <w:tcBorders>
              <w:top w:val="single" w:color="auto" w:sz="4" w:space="0"/>
              <w:bottom w:val="single" w:color="auto" w:sz="4" w:space="0"/>
            </w:tcBorders>
            <w:shd w:val="clear" w:color="auto" w:fill="auto"/>
            <w:vAlign w:val="center"/>
          </w:tcPr>
          <w:p w14:paraId="3FB5DC9A">
            <w:pPr>
              <w:widowControl/>
              <w:jc w:val="center"/>
              <w:textAlignment w:val="center"/>
              <w:rPr>
                <w:sz w:val="18"/>
                <w:szCs w:val="18"/>
              </w:rPr>
            </w:pPr>
            <w:r>
              <w:rPr>
                <w:rFonts w:hint="eastAsia"/>
                <w:sz w:val="18"/>
                <w:szCs w:val="18"/>
              </w:rPr>
              <w:t>GB/T 1771</w:t>
            </w:r>
          </w:p>
        </w:tc>
      </w:tr>
      <w:tr w14:paraId="2AC13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323" w:type="pct"/>
            <w:tcBorders>
              <w:top w:val="single" w:color="auto" w:sz="4" w:space="0"/>
              <w:bottom w:val="single" w:color="auto" w:sz="4" w:space="0"/>
            </w:tcBorders>
            <w:shd w:val="clear" w:color="auto" w:fill="auto"/>
            <w:vAlign w:val="center"/>
          </w:tcPr>
          <w:p w14:paraId="012F8C12">
            <w:pPr>
              <w:adjustRightInd w:val="0"/>
              <w:jc w:val="center"/>
              <w:rPr>
                <w:kern w:val="0"/>
                <w:sz w:val="18"/>
                <w:szCs w:val="18"/>
              </w:rPr>
            </w:pPr>
            <w:r>
              <w:rPr>
                <w:kern w:val="0"/>
                <w:sz w:val="18"/>
                <w:szCs w:val="18"/>
              </w:rPr>
              <w:t>能源</w:t>
            </w:r>
          </w:p>
          <w:p w14:paraId="26D7BC2F">
            <w:pPr>
              <w:adjustRightInd w:val="0"/>
              <w:jc w:val="center"/>
              <w:rPr>
                <w:kern w:val="0"/>
                <w:sz w:val="18"/>
                <w:szCs w:val="18"/>
              </w:rPr>
            </w:pPr>
            <w:r>
              <w:rPr>
                <w:kern w:val="0"/>
                <w:sz w:val="18"/>
                <w:szCs w:val="18"/>
              </w:rPr>
              <w:t>属性</w:t>
            </w:r>
          </w:p>
        </w:tc>
        <w:tc>
          <w:tcPr>
            <w:tcW w:w="2150" w:type="pct"/>
            <w:gridSpan w:val="3"/>
            <w:tcBorders>
              <w:top w:val="single" w:color="auto" w:sz="4" w:space="0"/>
              <w:bottom w:val="single" w:color="auto" w:sz="4" w:space="0"/>
            </w:tcBorders>
            <w:shd w:val="clear" w:color="auto" w:fill="auto"/>
            <w:vAlign w:val="center"/>
          </w:tcPr>
          <w:p w14:paraId="2423CFA4">
            <w:pPr>
              <w:adjustRightInd w:val="0"/>
              <w:jc w:val="center"/>
              <w:rPr>
                <w:kern w:val="0"/>
                <w:sz w:val="18"/>
                <w:szCs w:val="18"/>
              </w:rPr>
            </w:pPr>
            <w:r>
              <w:rPr>
                <w:kern w:val="0"/>
                <w:sz w:val="18"/>
                <w:szCs w:val="18"/>
              </w:rPr>
              <w:t>单位产品生产综合能耗</w:t>
            </w:r>
          </w:p>
        </w:tc>
        <w:tc>
          <w:tcPr>
            <w:tcW w:w="404" w:type="pct"/>
            <w:tcBorders>
              <w:top w:val="single" w:color="auto" w:sz="4" w:space="0"/>
              <w:bottom w:val="single" w:color="auto" w:sz="4" w:space="0"/>
            </w:tcBorders>
            <w:shd w:val="clear" w:color="auto" w:fill="auto"/>
            <w:vAlign w:val="center"/>
          </w:tcPr>
          <w:p w14:paraId="3B90F347">
            <w:pPr>
              <w:pStyle w:val="145"/>
              <w:autoSpaceDE/>
              <w:autoSpaceDN/>
              <w:jc w:val="center"/>
              <w:rPr>
                <w:rFonts w:ascii="Times New Roman" w:cs="Times New Roman"/>
                <w:color w:val="auto"/>
                <w:sz w:val="18"/>
                <w:szCs w:val="18"/>
              </w:rPr>
            </w:pPr>
            <w:r>
              <w:rPr>
                <w:rFonts w:hint="eastAsia" w:ascii="Times New Roman" w:cs="Times New Roman"/>
                <w:color w:val="auto"/>
                <w:sz w:val="18"/>
                <w:szCs w:val="18"/>
              </w:rPr>
              <w:t>k</w:t>
            </w:r>
            <w:r>
              <w:rPr>
                <w:rFonts w:ascii="Times New Roman" w:cs="Times New Roman"/>
                <w:color w:val="auto"/>
                <w:sz w:val="18"/>
                <w:szCs w:val="18"/>
              </w:rPr>
              <w:t>gce/</w:t>
            </w:r>
            <w:r>
              <w:rPr>
                <w:rFonts w:hint="eastAsia" w:ascii="Times New Roman" w:cs="Times New Roman"/>
                <w:color w:val="auto"/>
                <w:sz w:val="18"/>
                <w:szCs w:val="18"/>
              </w:rPr>
              <w:t>t</w:t>
            </w:r>
          </w:p>
        </w:tc>
        <w:tc>
          <w:tcPr>
            <w:tcW w:w="415" w:type="pct"/>
            <w:tcBorders>
              <w:top w:val="single" w:color="auto" w:sz="4" w:space="0"/>
              <w:bottom w:val="single" w:color="auto" w:sz="4" w:space="0"/>
            </w:tcBorders>
            <w:shd w:val="clear" w:color="auto" w:fill="auto"/>
            <w:vAlign w:val="center"/>
          </w:tcPr>
          <w:p w14:paraId="18375B9B">
            <w:pPr>
              <w:adjustRightInd w:val="0"/>
              <w:jc w:val="center"/>
              <w:rPr>
                <w:sz w:val="18"/>
                <w:szCs w:val="18"/>
              </w:rPr>
            </w:pPr>
            <w:r>
              <w:rPr>
                <w:rFonts w:hint="eastAsia"/>
                <w:sz w:val="18"/>
                <w:szCs w:val="18"/>
              </w:rPr>
              <w:t>160</w:t>
            </w:r>
          </w:p>
        </w:tc>
        <w:tc>
          <w:tcPr>
            <w:tcW w:w="415" w:type="pct"/>
            <w:tcBorders>
              <w:top w:val="single" w:color="auto" w:sz="4" w:space="0"/>
              <w:bottom w:val="single" w:color="auto" w:sz="4" w:space="0"/>
            </w:tcBorders>
            <w:shd w:val="clear" w:color="auto" w:fill="auto"/>
            <w:vAlign w:val="center"/>
          </w:tcPr>
          <w:p w14:paraId="6ABC9E05">
            <w:pPr>
              <w:adjustRightInd w:val="0"/>
              <w:jc w:val="center"/>
              <w:rPr>
                <w:sz w:val="18"/>
                <w:szCs w:val="18"/>
              </w:rPr>
            </w:pPr>
            <w:r>
              <w:rPr>
                <w:rFonts w:hint="eastAsia"/>
                <w:sz w:val="18"/>
                <w:szCs w:val="18"/>
              </w:rPr>
              <w:t>140</w:t>
            </w:r>
          </w:p>
        </w:tc>
        <w:tc>
          <w:tcPr>
            <w:tcW w:w="416" w:type="pct"/>
            <w:tcBorders>
              <w:top w:val="single" w:color="auto" w:sz="4" w:space="0"/>
              <w:bottom w:val="single" w:color="auto" w:sz="4" w:space="0"/>
            </w:tcBorders>
            <w:shd w:val="clear" w:color="auto" w:fill="auto"/>
            <w:vAlign w:val="center"/>
          </w:tcPr>
          <w:p w14:paraId="6472D0E7">
            <w:pPr>
              <w:adjustRightInd w:val="0"/>
              <w:jc w:val="center"/>
              <w:rPr>
                <w:sz w:val="18"/>
                <w:szCs w:val="18"/>
              </w:rPr>
            </w:pPr>
            <w:r>
              <w:rPr>
                <w:rFonts w:hint="eastAsia"/>
                <w:sz w:val="18"/>
                <w:szCs w:val="18"/>
              </w:rPr>
              <w:t>≤120</w:t>
            </w:r>
          </w:p>
        </w:tc>
        <w:tc>
          <w:tcPr>
            <w:tcW w:w="872" w:type="pct"/>
            <w:tcBorders>
              <w:top w:val="single" w:color="auto" w:sz="4" w:space="0"/>
              <w:bottom w:val="single" w:color="auto" w:sz="4" w:space="0"/>
            </w:tcBorders>
            <w:shd w:val="clear" w:color="auto" w:fill="auto"/>
            <w:vAlign w:val="center"/>
          </w:tcPr>
          <w:p w14:paraId="51E3EB4D">
            <w:pPr>
              <w:adjustRightInd w:val="0"/>
              <w:jc w:val="center"/>
              <w:rPr>
                <w:sz w:val="18"/>
                <w:szCs w:val="18"/>
              </w:rPr>
            </w:pPr>
            <w:r>
              <w:rPr>
                <w:rFonts w:hint="eastAsia"/>
                <w:sz w:val="18"/>
                <w:szCs w:val="18"/>
              </w:rPr>
              <w:t>附录A中的A.2</w:t>
            </w:r>
          </w:p>
        </w:tc>
      </w:tr>
      <w:tr w14:paraId="1D74F4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3" w:type="pct"/>
            <w:vMerge w:val="restart"/>
            <w:tcBorders>
              <w:top w:val="single" w:color="auto" w:sz="4" w:space="0"/>
            </w:tcBorders>
            <w:shd w:val="clear" w:color="auto" w:fill="auto"/>
            <w:vAlign w:val="center"/>
          </w:tcPr>
          <w:p w14:paraId="1516BC62">
            <w:pPr>
              <w:adjustRightInd w:val="0"/>
              <w:jc w:val="center"/>
              <w:rPr>
                <w:kern w:val="0"/>
                <w:sz w:val="18"/>
                <w:szCs w:val="18"/>
              </w:rPr>
            </w:pPr>
            <w:r>
              <w:rPr>
                <w:kern w:val="0"/>
                <w:sz w:val="18"/>
                <w:szCs w:val="18"/>
              </w:rPr>
              <w:t>环境</w:t>
            </w:r>
          </w:p>
          <w:p w14:paraId="3C0D35AB">
            <w:pPr>
              <w:adjustRightInd w:val="0"/>
              <w:jc w:val="center"/>
              <w:rPr>
                <w:kern w:val="0"/>
                <w:sz w:val="18"/>
                <w:szCs w:val="18"/>
              </w:rPr>
            </w:pPr>
            <w:r>
              <w:rPr>
                <w:kern w:val="0"/>
                <w:sz w:val="18"/>
                <w:szCs w:val="18"/>
              </w:rPr>
              <w:t>属性</w:t>
            </w:r>
          </w:p>
        </w:tc>
        <w:tc>
          <w:tcPr>
            <w:tcW w:w="2150" w:type="pct"/>
            <w:gridSpan w:val="3"/>
            <w:tcBorders>
              <w:top w:val="single" w:color="auto" w:sz="4" w:space="0"/>
            </w:tcBorders>
            <w:shd w:val="clear" w:color="auto" w:fill="auto"/>
            <w:vAlign w:val="center"/>
          </w:tcPr>
          <w:p w14:paraId="51593CD4">
            <w:pPr>
              <w:pStyle w:val="145"/>
              <w:autoSpaceDE/>
              <w:autoSpaceDN/>
              <w:jc w:val="center"/>
              <w:rPr>
                <w:rFonts w:ascii="Times New Roman" w:cs="Times New Roman"/>
                <w:color w:val="auto"/>
                <w:sz w:val="18"/>
                <w:szCs w:val="18"/>
              </w:rPr>
            </w:pPr>
            <w:r>
              <w:rPr>
                <w:rFonts w:ascii="Times New Roman" w:cs="Times New Roman"/>
                <w:color w:val="auto"/>
                <w:sz w:val="18"/>
                <w:szCs w:val="18"/>
              </w:rPr>
              <w:t>产品环境影响和碳足迹</w:t>
            </w:r>
          </w:p>
        </w:tc>
        <w:tc>
          <w:tcPr>
            <w:tcW w:w="404" w:type="pct"/>
            <w:tcBorders>
              <w:top w:val="single" w:color="auto" w:sz="4" w:space="0"/>
            </w:tcBorders>
            <w:shd w:val="clear" w:color="auto" w:fill="auto"/>
            <w:vAlign w:val="center"/>
          </w:tcPr>
          <w:p w14:paraId="1E5E8F6D">
            <w:pPr>
              <w:pStyle w:val="145"/>
              <w:autoSpaceDE/>
              <w:autoSpaceDN/>
              <w:jc w:val="center"/>
              <w:rPr>
                <w:rFonts w:ascii="Times New Roman" w:cs="Times New Roman"/>
                <w:color w:val="auto"/>
                <w:sz w:val="18"/>
                <w:szCs w:val="18"/>
              </w:rPr>
            </w:pPr>
            <w:r>
              <w:rPr>
                <w:rFonts w:ascii="Times New Roman" w:cs="Times New Roman"/>
                <w:color w:val="auto"/>
                <w:sz w:val="18"/>
                <w:szCs w:val="18"/>
              </w:rPr>
              <w:t>——</w:t>
            </w:r>
          </w:p>
        </w:tc>
        <w:tc>
          <w:tcPr>
            <w:tcW w:w="1248" w:type="pct"/>
            <w:gridSpan w:val="3"/>
            <w:tcBorders>
              <w:top w:val="single" w:color="auto" w:sz="4" w:space="0"/>
            </w:tcBorders>
            <w:shd w:val="clear" w:color="auto" w:fill="auto"/>
            <w:vAlign w:val="center"/>
          </w:tcPr>
          <w:p w14:paraId="650FAB33">
            <w:pPr>
              <w:adjustRightInd w:val="0"/>
              <w:jc w:val="center"/>
              <w:rPr>
                <w:sz w:val="18"/>
                <w:szCs w:val="18"/>
              </w:rPr>
            </w:pPr>
            <w:r>
              <w:rPr>
                <w:kern w:val="0"/>
                <w:sz w:val="18"/>
                <w:szCs w:val="18"/>
              </w:rPr>
              <w:t>进行环境产品声明</w:t>
            </w:r>
            <w:r>
              <w:rPr>
                <w:rFonts w:hint="eastAsia"/>
                <w:kern w:val="0"/>
                <w:sz w:val="18"/>
                <w:szCs w:val="18"/>
              </w:rPr>
              <w:t>（</w:t>
            </w:r>
            <w:r>
              <w:rPr>
                <w:kern w:val="0"/>
                <w:sz w:val="18"/>
                <w:szCs w:val="18"/>
              </w:rPr>
              <w:t>EPD</w:t>
            </w:r>
            <w:r>
              <w:rPr>
                <w:rFonts w:hint="eastAsia"/>
                <w:kern w:val="0"/>
                <w:sz w:val="18"/>
                <w:szCs w:val="18"/>
              </w:rPr>
              <w:t>）</w:t>
            </w:r>
            <w:r>
              <w:rPr>
                <w:kern w:val="0"/>
                <w:sz w:val="18"/>
                <w:szCs w:val="18"/>
              </w:rPr>
              <w:t>和碳足</w:t>
            </w:r>
            <w:r>
              <w:rPr>
                <w:sz w:val="18"/>
                <w:szCs w:val="18"/>
              </w:rPr>
              <w:t>迹</w:t>
            </w:r>
            <w:r>
              <w:rPr>
                <w:kern w:val="0"/>
                <w:sz w:val="18"/>
                <w:szCs w:val="18"/>
              </w:rPr>
              <w:t>分析</w:t>
            </w:r>
          </w:p>
        </w:tc>
        <w:tc>
          <w:tcPr>
            <w:tcW w:w="872" w:type="pct"/>
            <w:tcBorders>
              <w:top w:val="single" w:color="auto" w:sz="4" w:space="0"/>
            </w:tcBorders>
            <w:shd w:val="clear" w:color="auto" w:fill="auto"/>
            <w:vAlign w:val="center"/>
          </w:tcPr>
          <w:p w14:paraId="4FC3905A">
            <w:pPr>
              <w:adjustRightInd w:val="0"/>
              <w:jc w:val="center"/>
              <w:rPr>
                <w:kern w:val="0"/>
                <w:sz w:val="18"/>
                <w:szCs w:val="18"/>
              </w:rPr>
            </w:pPr>
            <w:r>
              <w:rPr>
                <w:kern w:val="0"/>
                <w:sz w:val="18"/>
                <w:szCs w:val="18"/>
              </w:rPr>
              <w:t>GB/T 24025</w:t>
            </w:r>
          </w:p>
        </w:tc>
      </w:tr>
      <w:tr w14:paraId="334CD0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323" w:type="pct"/>
            <w:vMerge w:val="continue"/>
            <w:shd w:val="clear" w:color="auto" w:fill="auto"/>
            <w:vAlign w:val="center"/>
          </w:tcPr>
          <w:p w14:paraId="017252A0">
            <w:pPr>
              <w:adjustRightInd w:val="0"/>
              <w:jc w:val="center"/>
              <w:rPr>
                <w:kern w:val="0"/>
                <w:sz w:val="18"/>
                <w:szCs w:val="18"/>
              </w:rPr>
            </w:pPr>
          </w:p>
        </w:tc>
        <w:tc>
          <w:tcPr>
            <w:tcW w:w="2150" w:type="pct"/>
            <w:gridSpan w:val="3"/>
            <w:shd w:val="clear" w:color="auto" w:fill="auto"/>
            <w:vAlign w:val="center"/>
          </w:tcPr>
          <w:p w14:paraId="0B5C953D">
            <w:pPr>
              <w:pStyle w:val="145"/>
              <w:autoSpaceDE/>
              <w:autoSpaceDN/>
              <w:jc w:val="center"/>
              <w:rPr>
                <w:rFonts w:ascii="Times New Roman" w:cs="Times New Roman"/>
                <w:color w:val="auto"/>
                <w:sz w:val="18"/>
                <w:szCs w:val="18"/>
              </w:rPr>
            </w:pPr>
            <w:r>
              <w:rPr>
                <w:rFonts w:ascii="Times New Roman" w:cs="Times New Roman"/>
                <w:color w:val="auto"/>
                <w:sz w:val="18"/>
                <w:szCs w:val="18"/>
              </w:rPr>
              <w:t>厂界硫化氢废气排放</w:t>
            </w:r>
          </w:p>
        </w:tc>
        <w:tc>
          <w:tcPr>
            <w:tcW w:w="404" w:type="pct"/>
            <w:shd w:val="clear" w:color="auto" w:fill="auto"/>
            <w:vAlign w:val="center"/>
          </w:tcPr>
          <w:p w14:paraId="7C4BF792">
            <w:pPr>
              <w:adjustRightInd w:val="0"/>
              <w:jc w:val="center"/>
              <w:rPr>
                <w:sz w:val="18"/>
                <w:szCs w:val="18"/>
              </w:rPr>
            </w:pPr>
            <w:r>
              <w:rPr>
                <w:sz w:val="18"/>
                <w:szCs w:val="18"/>
              </w:rPr>
              <w:t>mg/m³</w:t>
            </w:r>
          </w:p>
        </w:tc>
        <w:tc>
          <w:tcPr>
            <w:tcW w:w="831" w:type="pct"/>
            <w:gridSpan w:val="2"/>
            <w:shd w:val="clear" w:color="auto" w:fill="auto"/>
            <w:vAlign w:val="center"/>
          </w:tcPr>
          <w:p w14:paraId="407FD53F">
            <w:pPr>
              <w:adjustRightInd w:val="0"/>
              <w:jc w:val="center"/>
              <w:rPr>
                <w:sz w:val="18"/>
                <w:szCs w:val="18"/>
              </w:rPr>
            </w:pPr>
            <w:r>
              <w:rPr>
                <w:rFonts w:hint="eastAsia"/>
                <w:sz w:val="18"/>
                <w:szCs w:val="18"/>
              </w:rPr>
              <w:t>≤0.06</w:t>
            </w:r>
          </w:p>
        </w:tc>
        <w:tc>
          <w:tcPr>
            <w:tcW w:w="416" w:type="pct"/>
            <w:shd w:val="clear" w:color="auto" w:fill="auto"/>
            <w:vAlign w:val="center"/>
          </w:tcPr>
          <w:p w14:paraId="017F8163">
            <w:pPr>
              <w:adjustRightInd w:val="0"/>
              <w:jc w:val="center"/>
              <w:rPr>
                <w:sz w:val="18"/>
                <w:szCs w:val="18"/>
              </w:rPr>
            </w:pPr>
            <w:r>
              <w:rPr>
                <w:rFonts w:hint="eastAsia"/>
                <w:sz w:val="18"/>
                <w:szCs w:val="18"/>
              </w:rPr>
              <w:t>≤0.03</w:t>
            </w:r>
          </w:p>
        </w:tc>
        <w:tc>
          <w:tcPr>
            <w:tcW w:w="872" w:type="pct"/>
            <w:shd w:val="clear" w:color="auto" w:fill="auto"/>
            <w:vAlign w:val="center"/>
          </w:tcPr>
          <w:p w14:paraId="6466E7B9">
            <w:pPr>
              <w:adjustRightInd w:val="0"/>
              <w:jc w:val="center"/>
              <w:rPr>
                <w:kern w:val="0"/>
                <w:sz w:val="18"/>
                <w:szCs w:val="18"/>
              </w:rPr>
            </w:pPr>
            <w:r>
              <w:rPr>
                <w:rFonts w:hint="eastAsia"/>
                <w:sz w:val="18"/>
                <w:szCs w:val="18"/>
              </w:rPr>
              <w:t>GB 14554</w:t>
            </w:r>
          </w:p>
        </w:tc>
      </w:tr>
      <w:tr w14:paraId="66E81C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323" w:type="pct"/>
            <w:vMerge w:val="continue"/>
            <w:shd w:val="clear" w:color="auto" w:fill="auto"/>
            <w:vAlign w:val="center"/>
          </w:tcPr>
          <w:p w14:paraId="55B66DDC">
            <w:pPr>
              <w:pStyle w:val="145"/>
              <w:autoSpaceDE/>
              <w:autoSpaceDN/>
              <w:jc w:val="center"/>
              <w:rPr>
                <w:rFonts w:ascii="Times New Roman" w:cs="Times New Roman"/>
                <w:color w:val="auto"/>
                <w:sz w:val="18"/>
                <w:szCs w:val="18"/>
              </w:rPr>
            </w:pPr>
          </w:p>
        </w:tc>
        <w:tc>
          <w:tcPr>
            <w:tcW w:w="2150" w:type="pct"/>
            <w:gridSpan w:val="3"/>
            <w:shd w:val="clear" w:color="auto" w:fill="auto"/>
            <w:vAlign w:val="center"/>
          </w:tcPr>
          <w:p w14:paraId="79FADC48">
            <w:pPr>
              <w:pStyle w:val="145"/>
              <w:autoSpaceDE/>
              <w:autoSpaceDN/>
              <w:jc w:val="center"/>
              <w:rPr>
                <w:rFonts w:ascii="Times New Roman" w:cs="Times New Roman"/>
                <w:color w:val="auto"/>
                <w:sz w:val="18"/>
                <w:szCs w:val="18"/>
              </w:rPr>
            </w:pPr>
            <w:r>
              <w:rPr>
                <w:rFonts w:hAnsi="宋体"/>
                <w:color w:val="auto"/>
                <w:spacing w:val="-1"/>
                <w:sz w:val="18"/>
                <w:szCs w:val="18"/>
              </w:rPr>
              <w:t>单位产品工业废水排放量</w:t>
            </w:r>
          </w:p>
        </w:tc>
        <w:tc>
          <w:tcPr>
            <w:tcW w:w="404" w:type="pct"/>
            <w:shd w:val="clear" w:color="auto" w:fill="auto"/>
            <w:vAlign w:val="center"/>
          </w:tcPr>
          <w:p w14:paraId="6FA55267">
            <w:pPr>
              <w:pStyle w:val="145"/>
              <w:autoSpaceDE/>
              <w:autoSpaceDN/>
              <w:jc w:val="center"/>
              <w:rPr>
                <w:rFonts w:ascii="Times New Roman" w:cs="Times New Roman"/>
                <w:color w:val="auto"/>
                <w:sz w:val="18"/>
                <w:szCs w:val="18"/>
              </w:rPr>
            </w:pPr>
            <w:r>
              <w:rPr>
                <w:rFonts w:hAnsi="宋体"/>
                <w:color w:val="auto"/>
                <w:spacing w:val="-1"/>
                <w:sz w:val="18"/>
                <w:szCs w:val="18"/>
              </w:rPr>
              <w:t>kg/m³</w:t>
            </w:r>
          </w:p>
        </w:tc>
        <w:tc>
          <w:tcPr>
            <w:tcW w:w="1248" w:type="pct"/>
            <w:gridSpan w:val="3"/>
            <w:shd w:val="clear" w:color="auto" w:fill="auto"/>
            <w:vAlign w:val="center"/>
          </w:tcPr>
          <w:p w14:paraId="6A217D49">
            <w:pPr>
              <w:pStyle w:val="145"/>
              <w:autoSpaceDE/>
              <w:autoSpaceDN/>
              <w:jc w:val="center"/>
              <w:rPr>
                <w:rFonts w:ascii="Times New Roman" w:cs="Times New Roman"/>
                <w:color w:val="auto"/>
                <w:sz w:val="18"/>
                <w:szCs w:val="18"/>
              </w:rPr>
            </w:pPr>
            <w:r>
              <w:rPr>
                <w:rFonts w:hAnsi="宋体"/>
                <w:color w:val="auto"/>
                <w:sz w:val="18"/>
                <w:szCs w:val="18"/>
              </w:rPr>
              <w:t>0</w:t>
            </w:r>
          </w:p>
        </w:tc>
        <w:tc>
          <w:tcPr>
            <w:tcW w:w="872" w:type="pct"/>
            <w:shd w:val="clear" w:color="auto" w:fill="auto"/>
            <w:vAlign w:val="center"/>
          </w:tcPr>
          <w:p w14:paraId="48FD4E7B">
            <w:pPr>
              <w:jc w:val="center"/>
              <w:rPr>
                <w:sz w:val="18"/>
                <w:szCs w:val="18"/>
              </w:rPr>
            </w:pPr>
            <w:r>
              <w:rPr>
                <w:rFonts w:hint="eastAsia"/>
                <w:sz w:val="18"/>
                <w:szCs w:val="18"/>
              </w:rPr>
              <w:t>附录A中的A.3</w:t>
            </w:r>
          </w:p>
        </w:tc>
      </w:tr>
      <w:tr w14:paraId="19A102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323" w:type="pct"/>
            <w:vMerge w:val="restart"/>
            <w:shd w:val="clear" w:color="auto" w:fill="auto"/>
            <w:vAlign w:val="center"/>
          </w:tcPr>
          <w:p w14:paraId="693146C7">
            <w:pPr>
              <w:adjustRightInd w:val="0"/>
              <w:jc w:val="center"/>
              <w:rPr>
                <w:kern w:val="0"/>
                <w:sz w:val="18"/>
                <w:szCs w:val="18"/>
              </w:rPr>
            </w:pPr>
            <w:r>
              <w:rPr>
                <w:rFonts w:hint="eastAsia"/>
                <w:kern w:val="0"/>
                <w:sz w:val="18"/>
                <w:szCs w:val="18"/>
              </w:rPr>
              <w:t>品质属性</w:t>
            </w:r>
          </w:p>
        </w:tc>
        <w:tc>
          <w:tcPr>
            <w:tcW w:w="520" w:type="pct"/>
            <w:shd w:val="clear" w:color="auto" w:fill="auto"/>
            <w:vAlign w:val="center"/>
          </w:tcPr>
          <w:p w14:paraId="591A08F8">
            <w:pPr>
              <w:widowControl/>
              <w:adjustRightInd w:val="0"/>
              <w:jc w:val="center"/>
              <w:rPr>
                <w:kern w:val="0"/>
                <w:sz w:val="18"/>
                <w:szCs w:val="18"/>
              </w:rPr>
            </w:pPr>
            <w:r>
              <w:rPr>
                <w:kern w:val="0"/>
                <w:sz w:val="18"/>
                <w:szCs w:val="18"/>
              </w:rPr>
              <w:t>压缩性能</w:t>
            </w:r>
          </w:p>
        </w:tc>
        <w:tc>
          <w:tcPr>
            <w:tcW w:w="1630" w:type="pct"/>
            <w:gridSpan w:val="2"/>
            <w:shd w:val="clear" w:color="auto" w:fill="auto"/>
            <w:vAlign w:val="center"/>
          </w:tcPr>
          <w:p w14:paraId="71CE0E15">
            <w:pPr>
              <w:widowControl/>
              <w:adjustRightInd w:val="0"/>
              <w:jc w:val="center"/>
              <w:rPr>
                <w:kern w:val="0"/>
                <w:sz w:val="18"/>
                <w:szCs w:val="18"/>
              </w:rPr>
            </w:pPr>
            <w:r>
              <w:rPr>
                <w:kern w:val="0"/>
                <w:sz w:val="18"/>
                <w:szCs w:val="18"/>
              </w:rPr>
              <w:t>竖向压缩刚度实测值允许偏差</w:t>
            </w:r>
          </w:p>
        </w:tc>
        <w:tc>
          <w:tcPr>
            <w:tcW w:w="404" w:type="pct"/>
            <w:shd w:val="clear" w:color="auto" w:fill="auto"/>
            <w:vAlign w:val="center"/>
          </w:tcPr>
          <w:p w14:paraId="3A7C45F0">
            <w:pPr>
              <w:widowControl/>
              <w:adjustRightInd w:val="0"/>
              <w:jc w:val="center"/>
              <w:rPr>
                <w:kern w:val="0"/>
                <w:sz w:val="18"/>
                <w:szCs w:val="18"/>
              </w:rPr>
            </w:pPr>
            <w:r>
              <w:rPr>
                <w:kern w:val="0"/>
                <w:sz w:val="18"/>
                <w:szCs w:val="18"/>
              </w:rPr>
              <w:t>%</w:t>
            </w:r>
          </w:p>
        </w:tc>
        <w:tc>
          <w:tcPr>
            <w:tcW w:w="831" w:type="pct"/>
            <w:gridSpan w:val="2"/>
            <w:shd w:val="clear" w:color="auto" w:fill="auto"/>
            <w:vAlign w:val="center"/>
          </w:tcPr>
          <w:p w14:paraId="45B62275">
            <w:pPr>
              <w:widowControl/>
              <w:adjustRightInd w:val="0"/>
              <w:jc w:val="center"/>
              <w:rPr>
                <w:kern w:val="0"/>
                <w:sz w:val="18"/>
                <w:szCs w:val="18"/>
              </w:rPr>
            </w:pPr>
            <w:r>
              <w:rPr>
                <w:rFonts w:hint="eastAsia"/>
                <w:sz w:val="18"/>
                <w:szCs w:val="18"/>
              </w:rPr>
              <w:t>≤</w:t>
            </w:r>
            <w:r>
              <w:rPr>
                <w:kern w:val="0"/>
                <w:sz w:val="18"/>
                <w:szCs w:val="18"/>
              </w:rPr>
              <w:t>±30</w:t>
            </w:r>
          </w:p>
        </w:tc>
        <w:tc>
          <w:tcPr>
            <w:tcW w:w="416" w:type="pct"/>
            <w:shd w:val="clear" w:color="auto" w:fill="auto"/>
            <w:vAlign w:val="center"/>
          </w:tcPr>
          <w:p w14:paraId="75ADC5D5">
            <w:pPr>
              <w:widowControl/>
              <w:adjustRightInd w:val="0"/>
              <w:jc w:val="center"/>
              <w:rPr>
                <w:kern w:val="0"/>
                <w:sz w:val="18"/>
                <w:szCs w:val="18"/>
              </w:rPr>
            </w:pPr>
            <w:r>
              <w:rPr>
                <w:rFonts w:hint="eastAsia"/>
                <w:sz w:val="18"/>
                <w:szCs w:val="18"/>
              </w:rPr>
              <w:t>≤</w:t>
            </w:r>
            <w:r>
              <w:rPr>
                <w:kern w:val="0"/>
                <w:sz w:val="18"/>
                <w:szCs w:val="18"/>
              </w:rPr>
              <w:t>±20</w:t>
            </w:r>
          </w:p>
        </w:tc>
        <w:tc>
          <w:tcPr>
            <w:tcW w:w="872" w:type="pct"/>
            <w:vMerge w:val="restart"/>
            <w:shd w:val="clear" w:color="auto" w:fill="auto"/>
            <w:vAlign w:val="center"/>
          </w:tcPr>
          <w:p w14:paraId="29E18539">
            <w:pPr>
              <w:adjustRightInd w:val="0"/>
              <w:jc w:val="center"/>
              <w:rPr>
                <w:kern w:val="0"/>
                <w:sz w:val="18"/>
                <w:szCs w:val="18"/>
              </w:rPr>
            </w:pPr>
            <w:r>
              <w:rPr>
                <w:kern w:val="0"/>
                <w:sz w:val="18"/>
                <w:szCs w:val="18"/>
              </w:rPr>
              <w:t>GB/T 20688.1</w:t>
            </w:r>
          </w:p>
        </w:tc>
      </w:tr>
      <w:tr w14:paraId="04A03B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3" w:type="pct"/>
            <w:vMerge w:val="continue"/>
            <w:shd w:val="clear" w:color="auto" w:fill="auto"/>
            <w:vAlign w:val="center"/>
          </w:tcPr>
          <w:p w14:paraId="6E44C595">
            <w:pPr>
              <w:widowControl/>
              <w:adjustRightInd w:val="0"/>
              <w:jc w:val="center"/>
              <w:rPr>
                <w:kern w:val="0"/>
                <w:sz w:val="18"/>
                <w:szCs w:val="18"/>
              </w:rPr>
            </w:pPr>
          </w:p>
        </w:tc>
        <w:tc>
          <w:tcPr>
            <w:tcW w:w="520" w:type="pct"/>
            <w:vMerge w:val="restart"/>
            <w:shd w:val="clear" w:color="auto" w:fill="auto"/>
            <w:vAlign w:val="center"/>
          </w:tcPr>
          <w:p w14:paraId="49E1C1FF">
            <w:pPr>
              <w:widowControl/>
              <w:adjustRightInd w:val="0"/>
              <w:jc w:val="center"/>
              <w:rPr>
                <w:kern w:val="0"/>
                <w:sz w:val="18"/>
                <w:szCs w:val="18"/>
              </w:rPr>
            </w:pPr>
            <w:r>
              <w:rPr>
                <w:kern w:val="0"/>
                <w:sz w:val="18"/>
                <w:szCs w:val="18"/>
              </w:rPr>
              <w:t>剪切性能</w:t>
            </w:r>
          </w:p>
        </w:tc>
        <w:tc>
          <w:tcPr>
            <w:tcW w:w="1630" w:type="pct"/>
            <w:gridSpan w:val="2"/>
            <w:shd w:val="clear" w:color="auto" w:fill="auto"/>
            <w:vAlign w:val="center"/>
          </w:tcPr>
          <w:p w14:paraId="3E8E6B4C">
            <w:pPr>
              <w:widowControl/>
              <w:adjustRightInd w:val="0"/>
              <w:jc w:val="center"/>
              <w:rPr>
                <w:kern w:val="0"/>
                <w:sz w:val="18"/>
                <w:szCs w:val="18"/>
              </w:rPr>
            </w:pPr>
            <w:r>
              <w:rPr>
                <w:kern w:val="0"/>
                <w:sz w:val="18"/>
                <w:szCs w:val="18"/>
              </w:rPr>
              <w:t>水平等效刚度实测值允许偏差</w:t>
            </w:r>
          </w:p>
        </w:tc>
        <w:tc>
          <w:tcPr>
            <w:tcW w:w="404" w:type="pct"/>
            <w:shd w:val="clear" w:color="auto" w:fill="auto"/>
            <w:vAlign w:val="center"/>
          </w:tcPr>
          <w:p w14:paraId="5BA7E92C">
            <w:pPr>
              <w:widowControl/>
              <w:adjustRightInd w:val="0"/>
              <w:jc w:val="center"/>
              <w:rPr>
                <w:kern w:val="0"/>
                <w:sz w:val="18"/>
                <w:szCs w:val="18"/>
              </w:rPr>
            </w:pPr>
            <w:r>
              <w:rPr>
                <w:kern w:val="0"/>
                <w:sz w:val="18"/>
                <w:szCs w:val="18"/>
              </w:rPr>
              <w:t>%</w:t>
            </w:r>
          </w:p>
        </w:tc>
        <w:tc>
          <w:tcPr>
            <w:tcW w:w="831" w:type="pct"/>
            <w:gridSpan w:val="2"/>
            <w:shd w:val="clear" w:color="auto" w:fill="auto"/>
            <w:vAlign w:val="center"/>
          </w:tcPr>
          <w:p w14:paraId="0A3033BC">
            <w:pPr>
              <w:widowControl/>
              <w:adjustRightInd w:val="0"/>
              <w:jc w:val="center"/>
              <w:rPr>
                <w:kern w:val="0"/>
                <w:sz w:val="18"/>
                <w:szCs w:val="18"/>
              </w:rPr>
            </w:pPr>
            <w:r>
              <w:rPr>
                <w:rFonts w:hint="eastAsia"/>
                <w:sz w:val="18"/>
                <w:szCs w:val="18"/>
              </w:rPr>
              <w:t>≤</w:t>
            </w:r>
            <w:r>
              <w:rPr>
                <w:kern w:val="0"/>
                <w:sz w:val="18"/>
                <w:szCs w:val="18"/>
              </w:rPr>
              <w:t>±15</w:t>
            </w:r>
          </w:p>
        </w:tc>
        <w:tc>
          <w:tcPr>
            <w:tcW w:w="416" w:type="pct"/>
            <w:shd w:val="clear" w:color="auto" w:fill="auto"/>
            <w:vAlign w:val="center"/>
          </w:tcPr>
          <w:p w14:paraId="48036564">
            <w:pPr>
              <w:widowControl/>
              <w:adjustRightInd w:val="0"/>
              <w:jc w:val="center"/>
              <w:rPr>
                <w:kern w:val="0"/>
                <w:sz w:val="18"/>
                <w:szCs w:val="18"/>
              </w:rPr>
            </w:pPr>
            <w:r>
              <w:rPr>
                <w:rFonts w:hint="eastAsia"/>
                <w:sz w:val="18"/>
                <w:szCs w:val="18"/>
              </w:rPr>
              <w:t>≤</w:t>
            </w:r>
            <w:r>
              <w:rPr>
                <w:kern w:val="0"/>
                <w:sz w:val="18"/>
                <w:szCs w:val="18"/>
              </w:rPr>
              <w:t>±10</w:t>
            </w:r>
          </w:p>
        </w:tc>
        <w:tc>
          <w:tcPr>
            <w:tcW w:w="872" w:type="pct"/>
            <w:vMerge w:val="continue"/>
            <w:shd w:val="clear" w:color="auto" w:fill="auto"/>
            <w:vAlign w:val="center"/>
          </w:tcPr>
          <w:p w14:paraId="0FE0A085">
            <w:pPr>
              <w:widowControl/>
              <w:adjustRightInd w:val="0"/>
              <w:jc w:val="center"/>
              <w:rPr>
                <w:kern w:val="0"/>
                <w:sz w:val="18"/>
                <w:szCs w:val="18"/>
              </w:rPr>
            </w:pPr>
          </w:p>
        </w:tc>
      </w:tr>
      <w:tr w14:paraId="6FEE32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3" w:type="pct"/>
            <w:vMerge w:val="continue"/>
            <w:shd w:val="clear" w:color="auto" w:fill="auto"/>
            <w:vAlign w:val="center"/>
          </w:tcPr>
          <w:p w14:paraId="5EA6C940">
            <w:pPr>
              <w:adjustRightInd w:val="0"/>
              <w:jc w:val="center"/>
              <w:rPr>
                <w:kern w:val="0"/>
                <w:sz w:val="18"/>
                <w:szCs w:val="18"/>
              </w:rPr>
            </w:pPr>
          </w:p>
        </w:tc>
        <w:tc>
          <w:tcPr>
            <w:tcW w:w="520" w:type="pct"/>
            <w:vMerge w:val="continue"/>
            <w:shd w:val="clear" w:color="auto" w:fill="auto"/>
            <w:vAlign w:val="center"/>
          </w:tcPr>
          <w:p w14:paraId="461B0D73">
            <w:pPr>
              <w:widowControl/>
              <w:jc w:val="center"/>
              <w:rPr>
                <w:kern w:val="0"/>
                <w:sz w:val="18"/>
                <w:szCs w:val="18"/>
              </w:rPr>
            </w:pPr>
          </w:p>
        </w:tc>
        <w:tc>
          <w:tcPr>
            <w:tcW w:w="1265" w:type="pct"/>
            <w:vMerge w:val="restart"/>
            <w:shd w:val="clear" w:color="auto" w:fill="auto"/>
            <w:vAlign w:val="center"/>
          </w:tcPr>
          <w:p w14:paraId="11D6185C">
            <w:pPr>
              <w:widowControl/>
              <w:adjustRightInd w:val="0"/>
              <w:jc w:val="center"/>
              <w:rPr>
                <w:kern w:val="0"/>
                <w:sz w:val="18"/>
                <w:szCs w:val="18"/>
              </w:rPr>
            </w:pPr>
            <w:r>
              <w:rPr>
                <w:kern w:val="0"/>
                <w:sz w:val="18"/>
                <w:szCs w:val="18"/>
              </w:rPr>
              <w:t>等效阻尼比实测值允许偏差</w:t>
            </w:r>
          </w:p>
        </w:tc>
        <w:tc>
          <w:tcPr>
            <w:tcW w:w="364" w:type="pct"/>
            <w:shd w:val="clear" w:color="auto" w:fill="auto"/>
            <w:vAlign w:val="center"/>
          </w:tcPr>
          <w:p w14:paraId="3D88D4D1">
            <w:pPr>
              <w:widowControl/>
              <w:adjustRightInd w:val="0"/>
              <w:jc w:val="center"/>
              <w:rPr>
                <w:kern w:val="0"/>
                <w:sz w:val="18"/>
                <w:szCs w:val="18"/>
              </w:rPr>
            </w:pPr>
            <w:r>
              <w:rPr>
                <w:kern w:val="0"/>
                <w:sz w:val="18"/>
                <w:szCs w:val="18"/>
              </w:rPr>
              <w:t>LRB</w:t>
            </w:r>
          </w:p>
        </w:tc>
        <w:tc>
          <w:tcPr>
            <w:tcW w:w="404" w:type="pct"/>
            <w:shd w:val="clear" w:color="auto" w:fill="auto"/>
            <w:vAlign w:val="center"/>
          </w:tcPr>
          <w:p w14:paraId="3F241EA7">
            <w:pPr>
              <w:jc w:val="center"/>
              <w:rPr>
                <w:sz w:val="18"/>
                <w:szCs w:val="18"/>
              </w:rPr>
            </w:pPr>
            <w:r>
              <w:rPr>
                <w:kern w:val="0"/>
                <w:sz w:val="18"/>
                <w:szCs w:val="18"/>
              </w:rPr>
              <w:t>%</w:t>
            </w:r>
          </w:p>
        </w:tc>
        <w:tc>
          <w:tcPr>
            <w:tcW w:w="831" w:type="pct"/>
            <w:gridSpan w:val="2"/>
            <w:shd w:val="clear" w:color="auto" w:fill="auto"/>
            <w:vAlign w:val="center"/>
          </w:tcPr>
          <w:p w14:paraId="515742E3">
            <w:pPr>
              <w:widowControl/>
              <w:adjustRightInd w:val="0"/>
              <w:jc w:val="center"/>
              <w:rPr>
                <w:kern w:val="0"/>
                <w:sz w:val="18"/>
                <w:szCs w:val="18"/>
              </w:rPr>
            </w:pPr>
            <w:r>
              <w:rPr>
                <w:rFonts w:hint="eastAsia"/>
                <w:sz w:val="18"/>
                <w:szCs w:val="18"/>
              </w:rPr>
              <w:t>≤</w:t>
            </w:r>
            <w:r>
              <w:rPr>
                <w:kern w:val="0"/>
                <w:sz w:val="18"/>
                <w:szCs w:val="18"/>
              </w:rPr>
              <w:t>±15</w:t>
            </w:r>
          </w:p>
        </w:tc>
        <w:tc>
          <w:tcPr>
            <w:tcW w:w="416" w:type="pct"/>
            <w:shd w:val="clear" w:color="auto" w:fill="auto"/>
            <w:vAlign w:val="center"/>
          </w:tcPr>
          <w:p w14:paraId="6AA4EDE7">
            <w:pPr>
              <w:widowControl/>
              <w:adjustRightInd w:val="0"/>
              <w:jc w:val="center"/>
              <w:rPr>
                <w:kern w:val="0"/>
                <w:sz w:val="18"/>
                <w:szCs w:val="18"/>
              </w:rPr>
            </w:pPr>
            <w:r>
              <w:rPr>
                <w:rFonts w:hint="eastAsia"/>
                <w:sz w:val="18"/>
                <w:szCs w:val="18"/>
              </w:rPr>
              <w:t>≤</w:t>
            </w:r>
            <w:r>
              <w:rPr>
                <w:kern w:val="0"/>
                <w:sz w:val="18"/>
                <w:szCs w:val="18"/>
              </w:rPr>
              <w:t>±10</w:t>
            </w:r>
          </w:p>
        </w:tc>
        <w:tc>
          <w:tcPr>
            <w:tcW w:w="872" w:type="pct"/>
            <w:vMerge w:val="continue"/>
            <w:shd w:val="clear" w:color="auto" w:fill="auto"/>
            <w:vAlign w:val="center"/>
          </w:tcPr>
          <w:p w14:paraId="493AAFBC">
            <w:pPr>
              <w:widowControl/>
              <w:adjustRightInd w:val="0"/>
              <w:jc w:val="center"/>
              <w:rPr>
                <w:kern w:val="0"/>
                <w:sz w:val="18"/>
                <w:szCs w:val="18"/>
              </w:rPr>
            </w:pPr>
          </w:p>
        </w:tc>
      </w:tr>
      <w:tr w14:paraId="62A75A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3" w:type="pct"/>
            <w:vMerge w:val="continue"/>
            <w:shd w:val="clear" w:color="auto" w:fill="auto"/>
            <w:vAlign w:val="center"/>
          </w:tcPr>
          <w:p w14:paraId="71AF3F27">
            <w:pPr>
              <w:adjustRightInd w:val="0"/>
              <w:jc w:val="center"/>
              <w:rPr>
                <w:kern w:val="0"/>
                <w:sz w:val="18"/>
                <w:szCs w:val="18"/>
              </w:rPr>
            </w:pPr>
          </w:p>
        </w:tc>
        <w:tc>
          <w:tcPr>
            <w:tcW w:w="520" w:type="pct"/>
            <w:vMerge w:val="continue"/>
            <w:shd w:val="clear" w:color="auto" w:fill="auto"/>
            <w:vAlign w:val="center"/>
          </w:tcPr>
          <w:p w14:paraId="369EE27A">
            <w:pPr>
              <w:pStyle w:val="145"/>
              <w:autoSpaceDE/>
              <w:autoSpaceDN/>
              <w:jc w:val="center"/>
              <w:rPr>
                <w:rFonts w:ascii="Times New Roman" w:cs="Times New Roman"/>
                <w:color w:val="auto"/>
                <w:kern w:val="2"/>
                <w:sz w:val="18"/>
                <w:szCs w:val="18"/>
              </w:rPr>
            </w:pPr>
          </w:p>
        </w:tc>
        <w:tc>
          <w:tcPr>
            <w:tcW w:w="1265" w:type="pct"/>
            <w:vMerge w:val="continue"/>
            <w:shd w:val="clear" w:color="auto" w:fill="auto"/>
            <w:vAlign w:val="center"/>
          </w:tcPr>
          <w:p w14:paraId="7BBD42B3">
            <w:pPr>
              <w:widowControl/>
              <w:adjustRightInd w:val="0"/>
              <w:jc w:val="center"/>
              <w:rPr>
                <w:kern w:val="0"/>
                <w:sz w:val="18"/>
                <w:szCs w:val="18"/>
              </w:rPr>
            </w:pPr>
          </w:p>
        </w:tc>
        <w:tc>
          <w:tcPr>
            <w:tcW w:w="364" w:type="pct"/>
            <w:shd w:val="clear" w:color="auto" w:fill="auto"/>
            <w:vAlign w:val="center"/>
          </w:tcPr>
          <w:p w14:paraId="0155228C">
            <w:pPr>
              <w:widowControl/>
              <w:adjustRightInd w:val="0"/>
              <w:jc w:val="center"/>
              <w:rPr>
                <w:kern w:val="0"/>
                <w:sz w:val="18"/>
                <w:szCs w:val="18"/>
              </w:rPr>
            </w:pPr>
            <w:r>
              <w:rPr>
                <w:kern w:val="0"/>
                <w:sz w:val="18"/>
                <w:szCs w:val="18"/>
              </w:rPr>
              <w:t>HDR</w:t>
            </w:r>
          </w:p>
        </w:tc>
        <w:tc>
          <w:tcPr>
            <w:tcW w:w="404" w:type="pct"/>
            <w:shd w:val="clear" w:color="auto" w:fill="auto"/>
            <w:vAlign w:val="center"/>
          </w:tcPr>
          <w:p w14:paraId="2F381442">
            <w:pPr>
              <w:jc w:val="center"/>
              <w:rPr>
                <w:sz w:val="18"/>
                <w:szCs w:val="18"/>
              </w:rPr>
            </w:pPr>
            <w:r>
              <w:rPr>
                <w:kern w:val="0"/>
                <w:sz w:val="18"/>
                <w:szCs w:val="18"/>
              </w:rPr>
              <w:t>%</w:t>
            </w:r>
          </w:p>
        </w:tc>
        <w:tc>
          <w:tcPr>
            <w:tcW w:w="831" w:type="pct"/>
            <w:gridSpan w:val="2"/>
            <w:shd w:val="clear" w:color="auto" w:fill="auto"/>
            <w:vAlign w:val="center"/>
          </w:tcPr>
          <w:p w14:paraId="5333832E">
            <w:pPr>
              <w:widowControl/>
              <w:adjustRightInd w:val="0"/>
              <w:jc w:val="center"/>
              <w:rPr>
                <w:kern w:val="0"/>
                <w:sz w:val="18"/>
                <w:szCs w:val="18"/>
              </w:rPr>
            </w:pPr>
            <w:r>
              <w:rPr>
                <w:rFonts w:hint="eastAsia"/>
                <w:sz w:val="18"/>
                <w:szCs w:val="18"/>
              </w:rPr>
              <w:t>≤</w:t>
            </w:r>
            <w:r>
              <w:rPr>
                <w:kern w:val="0"/>
                <w:sz w:val="18"/>
                <w:szCs w:val="18"/>
              </w:rPr>
              <w:t>±20</w:t>
            </w:r>
          </w:p>
        </w:tc>
        <w:tc>
          <w:tcPr>
            <w:tcW w:w="416" w:type="pct"/>
            <w:shd w:val="clear" w:color="auto" w:fill="auto"/>
            <w:vAlign w:val="center"/>
          </w:tcPr>
          <w:p w14:paraId="036914EC">
            <w:pPr>
              <w:widowControl/>
              <w:adjustRightInd w:val="0"/>
              <w:jc w:val="center"/>
              <w:rPr>
                <w:kern w:val="0"/>
                <w:sz w:val="18"/>
                <w:szCs w:val="18"/>
              </w:rPr>
            </w:pPr>
            <w:r>
              <w:rPr>
                <w:rFonts w:hint="eastAsia"/>
                <w:sz w:val="18"/>
                <w:szCs w:val="18"/>
              </w:rPr>
              <w:t>≤</w:t>
            </w:r>
            <w:r>
              <w:rPr>
                <w:kern w:val="0"/>
                <w:sz w:val="18"/>
                <w:szCs w:val="18"/>
              </w:rPr>
              <w:t>±15</w:t>
            </w:r>
          </w:p>
        </w:tc>
        <w:tc>
          <w:tcPr>
            <w:tcW w:w="872" w:type="pct"/>
            <w:vMerge w:val="continue"/>
            <w:shd w:val="clear" w:color="auto" w:fill="auto"/>
            <w:vAlign w:val="center"/>
          </w:tcPr>
          <w:p w14:paraId="45F5A47C">
            <w:pPr>
              <w:widowControl/>
              <w:adjustRightInd w:val="0"/>
              <w:jc w:val="center"/>
              <w:rPr>
                <w:kern w:val="0"/>
                <w:sz w:val="18"/>
                <w:szCs w:val="18"/>
              </w:rPr>
            </w:pPr>
          </w:p>
        </w:tc>
      </w:tr>
      <w:tr w14:paraId="09A984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3" w:type="pct"/>
            <w:vMerge w:val="continue"/>
            <w:shd w:val="clear" w:color="auto" w:fill="auto"/>
            <w:vAlign w:val="center"/>
          </w:tcPr>
          <w:p w14:paraId="745C4C40">
            <w:pPr>
              <w:adjustRightInd w:val="0"/>
              <w:jc w:val="center"/>
              <w:rPr>
                <w:kern w:val="0"/>
                <w:sz w:val="18"/>
                <w:szCs w:val="18"/>
              </w:rPr>
            </w:pPr>
          </w:p>
        </w:tc>
        <w:tc>
          <w:tcPr>
            <w:tcW w:w="520" w:type="pct"/>
            <w:shd w:val="clear" w:color="auto" w:fill="auto"/>
            <w:vAlign w:val="center"/>
          </w:tcPr>
          <w:p w14:paraId="67C35017">
            <w:pPr>
              <w:pStyle w:val="145"/>
              <w:autoSpaceDE/>
              <w:autoSpaceDN/>
              <w:jc w:val="center"/>
              <w:rPr>
                <w:rFonts w:ascii="Times New Roman" w:cs="Times New Roman"/>
                <w:color w:val="auto"/>
                <w:kern w:val="2"/>
                <w:sz w:val="18"/>
                <w:szCs w:val="18"/>
              </w:rPr>
            </w:pPr>
            <w:r>
              <w:rPr>
                <w:rFonts w:ascii="Times New Roman" w:cs="Times New Roman"/>
                <w:color w:val="auto"/>
                <w:kern w:val="2"/>
                <w:sz w:val="18"/>
                <w:szCs w:val="18"/>
              </w:rPr>
              <w:t>极限剪切性能</w:t>
            </w:r>
          </w:p>
        </w:tc>
        <w:tc>
          <w:tcPr>
            <w:tcW w:w="1630" w:type="pct"/>
            <w:gridSpan w:val="2"/>
            <w:shd w:val="clear" w:color="auto" w:fill="auto"/>
            <w:vAlign w:val="center"/>
          </w:tcPr>
          <w:p w14:paraId="55013380">
            <w:pPr>
              <w:pStyle w:val="145"/>
              <w:autoSpaceDE/>
              <w:autoSpaceDN/>
              <w:jc w:val="center"/>
              <w:rPr>
                <w:rFonts w:ascii="Times New Roman" w:cs="Times New Roman"/>
                <w:color w:val="auto"/>
                <w:kern w:val="2"/>
                <w:sz w:val="18"/>
                <w:szCs w:val="18"/>
              </w:rPr>
            </w:pPr>
            <w:r>
              <w:rPr>
                <w:rFonts w:ascii="Times New Roman" w:cs="Times New Roman"/>
                <w:color w:val="auto"/>
                <w:kern w:val="2"/>
                <w:sz w:val="18"/>
                <w:szCs w:val="18"/>
              </w:rPr>
              <w:t>基准压应力下的极限剪应变</w:t>
            </w:r>
          </w:p>
        </w:tc>
        <w:tc>
          <w:tcPr>
            <w:tcW w:w="404" w:type="pct"/>
            <w:shd w:val="clear" w:color="auto" w:fill="auto"/>
            <w:vAlign w:val="center"/>
          </w:tcPr>
          <w:p w14:paraId="59F4670C">
            <w:pPr>
              <w:jc w:val="center"/>
              <w:rPr>
                <w:sz w:val="18"/>
                <w:szCs w:val="18"/>
              </w:rPr>
            </w:pPr>
            <w:r>
              <w:rPr>
                <w:kern w:val="0"/>
                <w:sz w:val="18"/>
                <w:szCs w:val="18"/>
              </w:rPr>
              <w:t>%</w:t>
            </w:r>
          </w:p>
        </w:tc>
        <w:tc>
          <w:tcPr>
            <w:tcW w:w="415" w:type="pct"/>
            <w:shd w:val="clear" w:color="auto" w:fill="auto"/>
            <w:vAlign w:val="center"/>
          </w:tcPr>
          <w:p w14:paraId="49CD634F">
            <w:pPr>
              <w:widowControl/>
              <w:jc w:val="center"/>
              <w:rPr>
                <w:kern w:val="0"/>
                <w:sz w:val="18"/>
                <w:szCs w:val="18"/>
              </w:rPr>
            </w:pPr>
            <w:r>
              <w:rPr>
                <w:rFonts w:hint="eastAsia"/>
                <w:sz w:val="18"/>
                <w:szCs w:val="18"/>
              </w:rPr>
              <w:t>≥</w:t>
            </w:r>
            <w:r>
              <w:rPr>
                <w:sz w:val="18"/>
                <w:szCs w:val="18"/>
              </w:rPr>
              <w:t>350</w:t>
            </w:r>
          </w:p>
        </w:tc>
        <w:tc>
          <w:tcPr>
            <w:tcW w:w="415" w:type="pct"/>
            <w:shd w:val="clear" w:color="auto" w:fill="auto"/>
            <w:vAlign w:val="center"/>
          </w:tcPr>
          <w:p w14:paraId="23B82423">
            <w:pPr>
              <w:widowControl/>
              <w:jc w:val="center"/>
              <w:rPr>
                <w:sz w:val="18"/>
                <w:szCs w:val="18"/>
              </w:rPr>
            </w:pPr>
            <w:r>
              <w:rPr>
                <w:rFonts w:hint="eastAsia"/>
                <w:sz w:val="18"/>
                <w:szCs w:val="18"/>
              </w:rPr>
              <w:t>≥</w:t>
            </w:r>
            <w:r>
              <w:rPr>
                <w:sz w:val="18"/>
                <w:szCs w:val="18"/>
              </w:rPr>
              <w:t>400</w:t>
            </w:r>
          </w:p>
        </w:tc>
        <w:tc>
          <w:tcPr>
            <w:tcW w:w="416" w:type="pct"/>
            <w:shd w:val="clear" w:color="auto" w:fill="auto"/>
            <w:vAlign w:val="center"/>
          </w:tcPr>
          <w:p w14:paraId="14E7E00D">
            <w:pPr>
              <w:widowControl/>
              <w:jc w:val="center"/>
              <w:rPr>
                <w:kern w:val="0"/>
                <w:sz w:val="18"/>
                <w:szCs w:val="18"/>
              </w:rPr>
            </w:pPr>
            <w:r>
              <w:rPr>
                <w:rFonts w:hint="eastAsia"/>
                <w:sz w:val="18"/>
                <w:szCs w:val="18"/>
              </w:rPr>
              <w:t>≥</w:t>
            </w:r>
            <w:r>
              <w:rPr>
                <w:kern w:val="0"/>
                <w:sz w:val="18"/>
                <w:szCs w:val="18"/>
              </w:rPr>
              <w:t>450</w:t>
            </w:r>
          </w:p>
        </w:tc>
        <w:tc>
          <w:tcPr>
            <w:tcW w:w="872" w:type="pct"/>
            <w:vMerge w:val="continue"/>
            <w:shd w:val="clear" w:color="auto" w:fill="auto"/>
            <w:vAlign w:val="center"/>
          </w:tcPr>
          <w:p w14:paraId="0B2FA0F3">
            <w:pPr>
              <w:widowControl/>
              <w:jc w:val="center"/>
              <w:rPr>
                <w:kern w:val="0"/>
                <w:sz w:val="18"/>
                <w:szCs w:val="18"/>
              </w:rPr>
            </w:pPr>
          </w:p>
        </w:tc>
      </w:tr>
      <w:tr w14:paraId="5AE005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3" w:type="pct"/>
            <w:vMerge w:val="continue"/>
            <w:shd w:val="clear" w:color="auto" w:fill="auto"/>
            <w:vAlign w:val="center"/>
          </w:tcPr>
          <w:p w14:paraId="284AE6F3">
            <w:pPr>
              <w:adjustRightInd w:val="0"/>
              <w:jc w:val="center"/>
              <w:rPr>
                <w:kern w:val="0"/>
                <w:sz w:val="18"/>
                <w:szCs w:val="18"/>
              </w:rPr>
            </w:pPr>
            <w:bookmarkStart w:id="134" w:name="_Toc14351"/>
            <w:bookmarkStart w:id="135" w:name="_Toc30047"/>
            <w:bookmarkStart w:id="136" w:name="_Toc396134056"/>
            <w:bookmarkStart w:id="137" w:name="_Toc360436771"/>
            <w:bookmarkStart w:id="138" w:name="_Toc360436858"/>
            <w:bookmarkStart w:id="139" w:name="_Toc384816571"/>
            <w:bookmarkStart w:id="140" w:name="_Toc360632449"/>
            <w:bookmarkStart w:id="141" w:name="_Toc350864010"/>
          </w:p>
        </w:tc>
        <w:tc>
          <w:tcPr>
            <w:tcW w:w="2150" w:type="pct"/>
            <w:gridSpan w:val="3"/>
            <w:shd w:val="clear" w:color="auto" w:fill="auto"/>
          </w:tcPr>
          <w:p w14:paraId="41B8381D">
            <w:pPr>
              <w:widowControl/>
              <w:adjustRightInd w:val="0"/>
              <w:jc w:val="center"/>
              <w:rPr>
                <w:kern w:val="0"/>
                <w:sz w:val="18"/>
                <w:szCs w:val="18"/>
              </w:rPr>
            </w:pPr>
            <w:r>
              <w:rPr>
                <w:rFonts w:hint="eastAsia" w:hAnsi="宋体"/>
                <w:kern w:val="0"/>
                <w:sz w:val="18"/>
                <w:szCs w:val="18"/>
              </w:rPr>
              <w:t>耐火试验前后压缩性能和剪切性能偏差</w:t>
            </w:r>
          </w:p>
        </w:tc>
        <w:tc>
          <w:tcPr>
            <w:tcW w:w="404" w:type="pct"/>
            <w:shd w:val="clear" w:color="auto" w:fill="auto"/>
            <w:vAlign w:val="center"/>
          </w:tcPr>
          <w:p w14:paraId="0C7386F3">
            <w:pPr>
              <w:jc w:val="center"/>
              <w:rPr>
                <w:kern w:val="0"/>
                <w:sz w:val="18"/>
                <w:szCs w:val="18"/>
              </w:rPr>
            </w:pPr>
            <w:r>
              <w:rPr>
                <w:rFonts w:hint="eastAsia" w:hAnsi="宋体"/>
                <w:kern w:val="0"/>
                <w:sz w:val="18"/>
                <w:szCs w:val="18"/>
              </w:rPr>
              <w:t>%</w:t>
            </w:r>
          </w:p>
        </w:tc>
        <w:tc>
          <w:tcPr>
            <w:tcW w:w="415" w:type="pct"/>
            <w:shd w:val="clear" w:color="auto" w:fill="auto"/>
            <w:vAlign w:val="center"/>
          </w:tcPr>
          <w:p w14:paraId="0624085C">
            <w:pPr>
              <w:widowControl/>
              <w:adjustRightInd w:val="0"/>
              <w:spacing w:line="200" w:lineRule="exact"/>
              <w:jc w:val="center"/>
              <w:rPr>
                <w:kern w:val="0"/>
                <w:sz w:val="18"/>
                <w:szCs w:val="18"/>
              </w:rPr>
            </w:pPr>
            <w:r>
              <w:rPr>
                <w:rFonts w:hint="eastAsia"/>
                <w:sz w:val="18"/>
                <w:szCs w:val="18"/>
              </w:rPr>
              <w:t>≤</w:t>
            </w:r>
            <w:r>
              <w:rPr>
                <w:kern w:val="0"/>
                <w:sz w:val="18"/>
                <w:szCs w:val="18"/>
              </w:rPr>
              <w:t>±</w:t>
            </w:r>
            <w:r>
              <w:rPr>
                <w:rFonts w:hint="eastAsia" w:hAnsi="宋体"/>
                <w:kern w:val="0"/>
                <w:sz w:val="18"/>
                <w:szCs w:val="18"/>
              </w:rPr>
              <w:t>20</w:t>
            </w:r>
          </w:p>
        </w:tc>
        <w:tc>
          <w:tcPr>
            <w:tcW w:w="415" w:type="pct"/>
            <w:shd w:val="clear" w:color="auto" w:fill="auto"/>
            <w:vAlign w:val="center"/>
          </w:tcPr>
          <w:p w14:paraId="682FA68F">
            <w:pPr>
              <w:widowControl/>
              <w:adjustRightInd w:val="0"/>
              <w:spacing w:line="200" w:lineRule="exact"/>
              <w:jc w:val="center"/>
              <w:rPr>
                <w:kern w:val="0"/>
                <w:sz w:val="18"/>
                <w:szCs w:val="18"/>
              </w:rPr>
            </w:pPr>
            <w:r>
              <w:rPr>
                <w:rFonts w:hint="eastAsia"/>
                <w:sz w:val="18"/>
                <w:szCs w:val="18"/>
              </w:rPr>
              <w:t>≤</w:t>
            </w:r>
            <w:r>
              <w:rPr>
                <w:kern w:val="0"/>
                <w:sz w:val="18"/>
                <w:szCs w:val="18"/>
              </w:rPr>
              <w:t>±</w:t>
            </w:r>
            <w:r>
              <w:rPr>
                <w:rFonts w:hint="eastAsia" w:hAnsi="宋体"/>
                <w:kern w:val="0"/>
                <w:sz w:val="18"/>
                <w:szCs w:val="18"/>
              </w:rPr>
              <w:t>15</w:t>
            </w:r>
          </w:p>
        </w:tc>
        <w:tc>
          <w:tcPr>
            <w:tcW w:w="416" w:type="pct"/>
            <w:shd w:val="clear" w:color="auto" w:fill="auto"/>
            <w:vAlign w:val="center"/>
          </w:tcPr>
          <w:p w14:paraId="77071C1A">
            <w:pPr>
              <w:widowControl/>
              <w:adjustRightInd w:val="0"/>
              <w:spacing w:line="200" w:lineRule="exact"/>
              <w:jc w:val="center"/>
              <w:rPr>
                <w:kern w:val="0"/>
                <w:sz w:val="18"/>
                <w:szCs w:val="18"/>
              </w:rPr>
            </w:pPr>
            <w:r>
              <w:rPr>
                <w:rFonts w:hint="eastAsia"/>
                <w:sz w:val="18"/>
                <w:szCs w:val="18"/>
              </w:rPr>
              <w:t>≤</w:t>
            </w:r>
            <w:r>
              <w:rPr>
                <w:kern w:val="0"/>
                <w:sz w:val="18"/>
                <w:szCs w:val="18"/>
              </w:rPr>
              <w:t>±</w:t>
            </w:r>
            <w:r>
              <w:rPr>
                <w:rFonts w:hint="eastAsia" w:hAnsi="宋体"/>
                <w:kern w:val="0"/>
                <w:sz w:val="18"/>
                <w:szCs w:val="18"/>
              </w:rPr>
              <w:t>10</w:t>
            </w:r>
          </w:p>
        </w:tc>
        <w:tc>
          <w:tcPr>
            <w:tcW w:w="872" w:type="pct"/>
            <w:shd w:val="clear" w:color="auto" w:fill="auto"/>
            <w:vAlign w:val="center"/>
          </w:tcPr>
          <w:p w14:paraId="70D9B388">
            <w:pPr>
              <w:widowControl/>
              <w:adjustRightInd w:val="0"/>
              <w:jc w:val="center"/>
            </w:pPr>
            <w:r>
              <w:rPr>
                <w:rFonts w:hint="eastAsia"/>
                <w:sz w:val="18"/>
                <w:szCs w:val="18"/>
              </w:rPr>
              <w:t>附录A中的A.4</w:t>
            </w:r>
          </w:p>
        </w:tc>
      </w:tr>
      <w:bookmarkEnd w:id="125"/>
      <w:bookmarkEnd w:id="126"/>
      <w:bookmarkEnd w:id="127"/>
      <w:bookmarkEnd w:id="128"/>
      <w:bookmarkEnd w:id="129"/>
      <w:bookmarkEnd w:id="130"/>
      <w:bookmarkEnd w:id="131"/>
      <w:bookmarkEnd w:id="132"/>
    </w:tbl>
    <w:p w14:paraId="41A9D97B">
      <w:pPr>
        <w:pStyle w:val="73"/>
        <w:tabs>
          <w:tab w:val="left" w:pos="0"/>
        </w:tabs>
        <w:outlineLvl w:val="0"/>
        <w:rPr>
          <w:rFonts w:ascii="Times New Roman"/>
          <w:color w:val="000000"/>
        </w:rPr>
      </w:pPr>
      <w:r>
        <w:rPr>
          <w:rFonts w:ascii="Times New Roman"/>
          <w:color w:val="000000"/>
        </w:rPr>
        <w:t>评价</w:t>
      </w:r>
      <w:r>
        <w:rPr>
          <w:rFonts w:hint="eastAsia" w:ascii="Times New Roman"/>
          <w:color w:val="000000"/>
        </w:rPr>
        <w:t>方法</w:t>
      </w:r>
      <w:bookmarkEnd w:id="134"/>
      <w:bookmarkEnd w:id="135"/>
    </w:p>
    <w:p w14:paraId="609C3E51">
      <w:pPr>
        <w:widowControl/>
        <w:tabs>
          <w:tab w:val="center" w:pos="4201"/>
          <w:tab w:val="right" w:leader="dot" w:pos="9298"/>
        </w:tabs>
        <w:autoSpaceDE w:val="0"/>
        <w:autoSpaceDN w:val="0"/>
        <w:spacing w:before="312" w:beforeLines="100" w:after="312" w:afterLines="100"/>
      </w:pPr>
      <w:r>
        <w:t>5.1 生产企业应按第4章的规定提供相关证明文件。</w:t>
      </w:r>
    </w:p>
    <w:p w14:paraId="2B5C731E">
      <w:pPr>
        <w:autoSpaceDE w:val="0"/>
        <w:autoSpaceDN w:val="0"/>
        <w:adjustRightInd w:val="0"/>
        <w:spacing w:line="264" w:lineRule="auto"/>
        <w:jc w:val="left"/>
      </w:pPr>
      <w:r>
        <w:t>5.</w:t>
      </w:r>
      <w:r>
        <w:rPr>
          <w:rFonts w:hint="eastAsia"/>
        </w:rPr>
        <w:t>2</w:t>
      </w:r>
      <w:r>
        <w:t xml:space="preserve"> 生产企业满足第4章对应评价等级的全部要求时，判定评价结果符合该评价等级规定。</w:t>
      </w:r>
      <w:bookmarkEnd w:id="136"/>
      <w:bookmarkEnd w:id="137"/>
      <w:bookmarkEnd w:id="138"/>
      <w:bookmarkEnd w:id="139"/>
      <w:bookmarkEnd w:id="140"/>
      <w:bookmarkEnd w:id="141"/>
    </w:p>
    <w:p w14:paraId="4B9037E2">
      <w:r>
        <w:br w:type="page"/>
      </w:r>
    </w:p>
    <w:p w14:paraId="7D3E42A9">
      <w:pPr>
        <w:pStyle w:val="128"/>
        <w:spacing w:before="0" w:after="0" w:line="360" w:lineRule="auto"/>
        <w:rPr>
          <w:rFonts w:ascii="Times New Roman"/>
        </w:rPr>
      </w:pPr>
      <w:bookmarkStart w:id="142" w:name="_Toc23553"/>
      <w:bookmarkStart w:id="143" w:name="_Toc13459"/>
      <w:r>
        <w:rPr>
          <w:rFonts w:ascii="Times New Roman"/>
        </w:rPr>
        <w:br w:type="textWrapping"/>
      </w:r>
      <w:bookmarkStart w:id="144" w:name="_Toc524004822"/>
      <w:bookmarkStart w:id="145" w:name="_Toc126140653"/>
      <w:bookmarkStart w:id="146" w:name="_Toc532820841"/>
      <w:r>
        <w:rPr>
          <w:rFonts w:ascii="Times New Roman"/>
        </w:rPr>
        <w:t>（规范性）</w:t>
      </w:r>
      <w:bookmarkEnd w:id="142"/>
      <w:bookmarkEnd w:id="143"/>
      <w:bookmarkEnd w:id="144"/>
      <w:bookmarkEnd w:id="145"/>
      <w:bookmarkEnd w:id="146"/>
    </w:p>
    <w:p w14:paraId="5425CE4B">
      <w:pPr>
        <w:pStyle w:val="25"/>
        <w:ind w:firstLine="0" w:firstLineChars="0"/>
        <w:jc w:val="center"/>
        <w:outlineLvl w:val="0"/>
        <w:rPr>
          <w:rFonts w:ascii="Times New Roman" w:eastAsia="黑体"/>
        </w:rPr>
      </w:pPr>
      <w:r>
        <w:rPr>
          <w:rFonts w:hint="eastAsia" w:ascii="Times New Roman" w:eastAsia="黑体"/>
        </w:rPr>
        <w:t>计算方法</w:t>
      </w:r>
    </w:p>
    <w:p w14:paraId="3BDC2E9D">
      <w:pPr>
        <w:widowControl/>
        <w:tabs>
          <w:tab w:val="center" w:pos="4201"/>
          <w:tab w:val="right" w:leader="dot" w:pos="9298"/>
        </w:tabs>
        <w:autoSpaceDE w:val="0"/>
        <w:autoSpaceDN w:val="0"/>
        <w:spacing w:before="156" w:beforeLines="50" w:after="156" w:afterLines="50"/>
        <w:ind w:left="424" w:firstLine="2"/>
        <w:rPr>
          <w:rFonts w:eastAsia="黑体"/>
        </w:rPr>
      </w:pPr>
      <w:r>
        <w:rPr>
          <w:rFonts w:eastAsia="黑体"/>
        </w:rPr>
        <w:t xml:space="preserve">A.1 </w:t>
      </w:r>
      <w:r>
        <w:rPr>
          <w:rFonts w:hint="eastAsia" w:eastAsia="黑体"/>
        </w:rPr>
        <w:t>废弃</w:t>
      </w:r>
      <w:r>
        <w:rPr>
          <w:rFonts w:eastAsia="黑体"/>
        </w:rPr>
        <w:t>橡胶回收利用率</w:t>
      </w:r>
    </w:p>
    <w:p w14:paraId="6BED9B67">
      <w:pPr>
        <w:pStyle w:val="82"/>
        <w:ind w:firstLine="420" w:firstLineChars="200"/>
        <w:jc w:val="left"/>
        <w:rPr>
          <w:rFonts w:ascii="Times New Roman"/>
        </w:rPr>
      </w:pPr>
      <w:r>
        <w:rPr>
          <w:rFonts w:hint="eastAsia" w:ascii="Times New Roman"/>
        </w:rPr>
        <w:t>橡胶回收利用率是评价期内回收再利用的橡胶重量占评价期内生产产生的废弃橡胶重量的百分比，生产过程产生的废弃橡胶回收利用率按式（A.1）计算：</w:t>
      </w:r>
    </w:p>
    <w:p w14:paraId="33E353D3">
      <w:pPr>
        <w:pStyle w:val="25"/>
        <w:jc w:val="right"/>
        <w:rPr>
          <w:rFonts w:ascii="Times New Roman"/>
        </w:rPr>
      </w:pPr>
      <w:r>
        <w:rPr>
          <w:rFonts w:hint="eastAsia" w:ascii="Times New Roman"/>
          <w:position w:val="-30"/>
        </w:rPr>
        <w:object>
          <v:shape id="_x0000_i1025" o:spt="75" type="#_x0000_t75" style="height:36pt;width:80pt;" o:ole="t" filled="f" o:preferrelative="t" stroked="f" coordsize="21600,21600">
            <v:path/>
            <v:fill on="f" focussize="0,0"/>
            <v:stroke on="f" joinstyle="miter"/>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ascii="Times New Roman"/>
        </w:rPr>
        <w:t>…………………………………………（A.1）</w:t>
      </w:r>
    </w:p>
    <w:p w14:paraId="65965682">
      <w:pPr>
        <w:pStyle w:val="25"/>
        <w:ind w:firstLine="0" w:firstLineChars="0"/>
        <w:rPr>
          <w:rFonts w:ascii="Times New Roman"/>
        </w:rPr>
      </w:pPr>
      <w:r>
        <w:rPr>
          <w:rFonts w:ascii="Times New Roman"/>
        </w:rPr>
        <w:t>式中：</w:t>
      </w:r>
    </w:p>
    <w:tbl>
      <w:tblPr>
        <w:tblStyle w:val="36"/>
        <w:tblW w:w="9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4"/>
        <w:gridCol w:w="474"/>
        <w:gridCol w:w="8461"/>
      </w:tblGrid>
      <w:tr w14:paraId="72DDD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4" w:type="dxa"/>
            <w:tcBorders>
              <w:tl2br w:val="nil"/>
              <w:tr2bl w:val="nil"/>
            </w:tcBorders>
          </w:tcPr>
          <w:p w14:paraId="57AD56F6">
            <w:pPr>
              <w:pStyle w:val="25"/>
              <w:snapToGrid w:val="0"/>
              <w:ind w:firstLine="0" w:firstLineChars="0"/>
              <w:rPr>
                <w:rFonts w:ascii="Times New Roman"/>
                <w:szCs w:val="18"/>
              </w:rPr>
            </w:pPr>
            <w:r>
              <w:rPr>
                <w:rFonts w:hint="eastAsia" w:ascii="Times New Roman"/>
                <w:position w:val="-14"/>
                <w:szCs w:val="18"/>
              </w:rPr>
              <w:object>
                <v:shape id="_x0000_i1026" o:spt="75" type="#_x0000_t75" style="height:19pt;width:12pt;" o:ole="t" filled="f" o:preferrelative="t" stroked="f" coordsize="21600,21600">
                  <v:path/>
                  <v:fill on="f" focussize="0,0"/>
                  <v:stroke on="f" joinstyle="miter"/>
                  <v:imagedata r:id="rId11" o:title=""/>
                  <o:lock v:ext="edit" aspectratio="t"/>
                  <w10:wrap type="none"/>
                  <w10:anchorlock/>
                </v:shape>
                <o:OLEObject Type="Embed" ProgID="Equation.KSEE3" ShapeID="_x0000_i1026" DrawAspect="Content" ObjectID="_1468075726" r:id="rId10">
                  <o:LockedField>false</o:LockedField>
                </o:OLEObject>
              </w:object>
            </w:r>
          </w:p>
        </w:tc>
        <w:tc>
          <w:tcPr>
            <w:tcW w:w="474" w:type="dxa"/>
            <w:tcBorders>
              <w:tl2br w:val="nil"/>
              <w:tr2bl w:val="nil"/>
            </w:tcBorders>
          </w:tcPr>
          <w:p w14:paraId="5DFA1FD0">
            <w:pPr>
              <w:snapToGrid w:val="0"/>
              <w:rPr>
                <w:rFonts w:ascii="宋体"/>
              </w:rPr>
            </w:pPr>
            <w:r>
              <w:rPr>
                <w:rFonts w:ascii="宋体"/>
                <w:szCs w:val="21"/>
              </w:rPr>
              <w:t>——</w:t>
            </w:r>
          </w:p>
        </w:tc>
        <w:tc>
          <w:tcPr>
            <w:tcW w:w="8461" w:type="dxa"/>
            <w:tcBorders>
              <w:tl2br w:val="nil"/>
              <w:tr2bl w:val="nil"/>
            </w:tcBorders>
            <w:vAlign w:val="center"/>
          </w:tcPr>
          <w:p w14:paraId="438DDD61">
            <w:pPr>
              <w:pStyle w:val="25"/>
              <w:snapToGrid w:val="0"/>
              <w:ind w:firstLine="0" w:firstLineChars="0"/>
              <w:rPr>
                <w:rFonts w:ascii="Times New Roman"/>
                <w:szCs w:val="18"/>
              </w:rPr>
            </w:pPr>
            <w:r>
              <w:rPr>
                <w:rFonts w:hint="eastAsia" w:ascii="Times New Roman"/>
                <w:szCs w:val="18"/>
              </w:rPr>
              <w:t>橡胶回收利用率</w:t>
            </w:r>
            <w:r>
              <w:rPr>
                <w:rFonts w:ascii="Times New Roman"/>
                <w:szCs w:val="18"/>
              </w:rPr>
              <w:t>；</w:t>
            </w:r>
          </w:p>
        </w:tc>
      </w:tr>
      <w:tr w14:paraId="64E36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4" w:type="dxa"/>
            <w:tcBorders>
              <w:tl2br w:val="nil"/>
              <w:tr2bl w:val="nil"/>
            </w:tcBorders>
          </w:tcPr>
          <w:p w14:paraId="3E75676D">
            <w:pPr>
              <w:pStyle w:val="25"/>
              <w:snapToGrid w:val="0"/>
              <w:ind w:firstLine="0" w:firstLineChars="0"/>
              <w:rPr>
                <w:rFonts w:ascii="Times New Roman"/>
                <w:szCs w:val="18"/>
              </w:rPr>
            </w:pPr>
            <w:r>
              <w:rPr>
                <w:rFonts w:hint="eastAsia" w:ascii="Times New Roman"/>
                <w:position w:val="-14"/>
                <w:szCs w:val="18"/>
              </w:rPr>
              <w:object>
                <v:shape id="_x0000_i1027" o:spt="75" type="#_x0000_t75" style="height:19pt;width:18pt;" o:ole="t" filled="f" o:preferrelative="t" stroked="f" coordsize="21600,21600">
                  <v:path/>
                  <v:fill on="f" focussize="0,0"/>
                  <v:stroke on="f" joinstyle="miter"/>
                  <v:imagedata r:id="rId13" o:title=""/>
                  <o:lock v:ext="edit" aspectratio="t"/>
                  <w10:wrap type="none"/>
                  <w10:anchorlock/>
                </v:shape>
                <o:OLEObject Type="Embed" ProgID="Equation.KSEE3" ShapeID="_x0000_i1027" DrawAspect="Content" ObjectID="_1468075727" r:id="rId12">
                  <o:LockedField>false</o:LockedField>
                </o:OLEObject>
              </w:object>
            </w:r>
          </w:p>
        </w:tc>
        <w:tc>
          <w:tcPr>
            <w:tcW w:w="474" w:type="dxa"/>
            <w:tcBorders>
              <w:tl2br w:val="nil"/>
              <w:tr2bl w:val="nil"/>
            </w:tcBorders>
          </w:tcPr>
          <w:p w14:paraId="6CC80592">
            <w:pPr>
              <w:snapToGrid w:val="0"/>
              <w:rPr>
                <w:rFonts w:ascii="宋体"/>
              </w:rPr>
            </w:pPr>
            <w:r>
              <w:rPr>
                <w:rFonts w:ascii="宋体"/>
                <w:szCs w:val="21"/>
              </w:rPr>
              <w:t>——</w:t>
            </w:r>
          </w:p>
        </w:tc>
        <w:tc>
          <w:tcPr>
            <w:tcW w:w="8461" w:type="dxa"/>
            <w:tcBorders>
              <w:tl2br w:val="nil"/>
              <w:tr2bl w:val="nil"/>
            </w:tcBorders>
            <w:vAlign w:val="center"/>
          </w:tcPr>
          <w:p w14:paraId="6F887086">
            <w:pPr>
              <w:pStyle w:val="25"/>
              <w:snapToGrid w:val="0"/>
              <w:ind w:firstLine="0" w:firstLineChars="0"/>
              <w:rPr>
                <w:rFonts w:ascii="Times New Roman"/>
                <w:szCs w:val="18"/>
              </w:rPr>
            </w:pPr>
            <w:r>
              <w:rPr>
                <w:rFonts w:hint="eastAsia" w:ascii="Times New Roman"/>
                <w:szCs w:val="18"/>
              </w:rPr>
              <w:t>评价期内回收再利用的橡胶重量，单位为千克</w:t>
            </w:r>
            <w:r>
              <w:rPr>
                <w:rFonts w:ascii="Times New Roman"/>
                <w:szCs w:val="18"/>
              </w:rPr>
              <w:t>（</w:t>
            </w:r>
            <w:r>
              <w:rPr>
                <w:rFonts w:hint="eastAsia" w:ascii="Times New Roman"/>
                <w:szCs w:val="18"/>
              </w:rPr>
              <w:t>kg</w:t>
            </w:r>
            <w:r>
              <w:rPr>
                <w:rFonts w:ascii="Times New Roman"/>
                <w:szCs w:val="18"/>
              </w:rPr>
              <w:t>）；</w:t>
            </w:r>
          </w:p>
        </w:tc>
      </w:tr>
      <w:tr w14:paraId="01DE0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4" w:type="dxa"/>
            <w:tcBorders>
              <w:tl2br w:val="nil"/>
              <w:tr2bl w:val="nil"/>
            </w:tcBorders>
          </w:tcPr>
          <w:p w14:paraId="7636FD2D">
            <w:pPr>
              <w:pStyle w:val="25"/>
              <w:snapToGrid w:val="0"/>
              <w:ind w:firstLine="0" w:firstLineChars="0"/>
              <w:rPr>
                <w:rFonts w:ascii="Times New Roman"/>
                <w:szCs w:val="18"/>
              </w:rPr>
            </w:pPr>
            <w:r>
              <w:rPr>
                <w:rFonts w:hint="eastAsia" w:ascii="Times New Roman"/>
                <w:position w:val="-12"/>
                <w:szCs w:val="18"/>
              </w:rPr>
              <w:object>
                <v:shape id="_x0000_i1028" o:spt="75" type="#_x0000_t75" style="height:18pt;width:19pt;" o:ole="t" filled="f" o:preferrelative="t" stroked="f" coordsize="21600,21600">
                  <v:path/>
                  <v:fill on="f" focussize="0,0"/>
                  <v:stroke on="f" joinstyle="miter"/>
                  <v:imagedata r:id="rId15" o:title=""/>
                  <o:lock v:ext="edit" aspectratio="t"/>
                  <w10:wrap type="none"/>
                  <w10:anchorlock/>
                </v:shape>
                <o:OLEObject Type="Embed" ProgID="Equation.KSEE3" ShapeID="_x0000_i1028" DrawAspect="Content" ObjectID="_1468075728" r:id="rId14">
                  <o:LockedField>false</o:LockedField>
                </o:OLEObject>
              </w:object>
            </w:r>
          </w:p>
        </w:tc>
        <w:tc>
          <w:tcPr>
            <w:tcW w:w="474" w:type="dxa"/>
            <w:tcBorders>
              <w:tl2br w:val="nil"/>
              <w:tr2bl w:val="nil"/>
            </w:tcBorders>
          </w:tcPr>
          <w:p w14:paraId="5BC32E79">
            <w:pPr>
              <w:snapToGrid w:val="0"/>
              <w:rPr>
                <w:rFonts w:ascii="宋体"/>
              </w:rPr>
            </w:pPr>
            <w:r>
              <w:rPr>
                <w:rFonts w:ascii="宋体"/>
                <w:szCs w:val="21"/>
              </w:rPr>
              <w:t>——</w:t>
            </w:r>
          </w:p>
        </w:tc>
        <w:tc>
          <w:tcPr>
            <w:tcW w:w="8461" w:type="dxa"/>
            <w:tcBorders>
              <w:tl2br w:val="nil"/>
              <w:tr2bl w:val="nil"/>
            </w:tcBorders>
            <w:vAlign w:val="center"/>
          </w:tcPr>
          <w:p w14:paraId="0BFA6ED0">
            <w:pPr>
              <w:pStyle w:val="25"/>
              <w:snapToGrid w:val="0"/>
              <w:ind w:firstLine="0" w:firstLineChars="0"/>
              <w:rPr>
                <w:rFonts w:ascii="Times New Roman"/>
                <w:szCs w:val="18"/>
              </w:rPr>
            </w:pPr>
            <w:r>
              <w:rPr>
                <w:rFonts w:hint="eastAsia" w:ascii="Times New Roman"/>
                <w:szCs w:val="18"/>
              </w:rPr>
              <w:t>评价期内生产产生的废弃橡胶重量</w:t>
            </w:r>
            <w:r>
              <w:rPr>
                <w:rFonts w:ascii="Times New Roman"/>
                <w:szCs w:val="18"/>
              </w:rPr>
              <w:t>，</w:t>
            </w:r>
            <w:r>
              <w:rPr>
                <w:rFonts w:hint="eastAsia" w:ascii="Times New Roman"/>
                <w:szCs w:val="18"/>
              </w:rPr>
              <w:t>单位为千克</w:t>
            </w:r>
            <w:r>
              <w:rPr>
                <w:rFonts w:ascii="Times New Roman"/>
                <w:szCs w:val="18"/>
              </w:rPr>
              <w:t>（</w:t>
            </w:r>
            <w:r>
              <w:rPr>
                <w:rFonts w:hint="eastAsia" w:ascii="Times New Roman"/>
                <w:szCs w:val="18"/>
              </w:rPr>
              <w:t>kg</w:t>
            </w:r>
            <w:r>
              <w:rPr>
                <w:rFonts w:ascii="Times New Roman"/>
                <w:szCs w:val="18"/>
              </w:rPr>
              <w:t>）。</w:t>
            </w:r>
          </w:p>
        </w:tc>
      </w:tr>
    </w:tbl>
    <w:p w14:paraId="608E2ECE">
      <w:pPr>
        <w:widowControl/>
        <w:tabs>
          <w:tab w:val="center" w:pos="4201"/>
          <w:tab w:val="right" w:leader="dot" w:pos="9298"/>
        </w:tabs>
        <w:autoSpaceDE w:val="0"/>
        <w:autoSpaceDN w:val="0"/>
        <w:spacing w:before="156" w:beforeLines="50" w:after="156" w:afterLines="50"/>
        <w:ind w:left="424" w:firstLine="2"/>
        <w:rPr>
          <w:rFonts w:eastAsia="黑体"/>
        </w:rPr>
      </w:pPr>
      <w:r>
        <w:rPr>
          <w:rFonts w:eastAsia="黑体"/>
        </w:rPr>
        <w:t>A.</w:t>
      </w:r>
      <w:r>
        <w:rPr>
          <w:rFonts w:hint="eastAsia" w:eastAsia="黑体"/>
        </w:rPr>
        <w:t>2</w:t>
      </w:r>
      <w:r>
        <w:rPr>
          <w:rFonts w:eastAsia="黑体"/>
        </w:rPr>
        <w:t xml:space="preserve"> 单位产品生产综合能耗</w:t>
      </w:r>
    </w:p>
    <w:p w14:paraId="2762AAE2">
      <w:pPr>
        <w:pStyle w:val="82"/>
        <w:ind w:firstLine="420" w:firstLineChars="200"/>
        <w:jc w:val="left"/>
        <w:rPr>
          <w:rFonts w:ascii="Times New Roman"/>
        </w:rPr>
      </w:pPr>
      <w:r>
        <w:rPr>
          <w:rFonts w:hint="eastAsia" w:ascii="Times New Roman"/>
        </w:rPr>
        <w:t>单位产品生产综合能耗是在评价期内产品能耗总量与符合相关标准的合个产品产量的比值，单位产品生产综合能耗按式（A.2）：</w:t>
      </w:r>
    </w:p>
    <w:p w14:paraId="34C7865D">
      <w:pPr>
        <w:pStyle w:val="25"/>
        <w:jc w:val="right"/>
        <w:rPr>
          <w:rFonts w:ascii="Times New Roman"/>
        </w:rPr>
      </w:pPr>
      <w:r>
        <w:rPr>
          <w:rFonts w:hint="eastAsia" w:ascii="Times New Roman"/>
          <w:position w:val="-24"/>
        </w:rPr>
        <w:object>
          <v:shape id="_x0000_i1029" o:spt="75" type="#_x0000_t75" style="height:31pt;width:56pt;" o:ole="t" filled="f" o:preferrelative="t" stroked="f" coordsize="21600,21600">
            <v:path/>
            <v:fill on="f" focussize="0,0"/>
            <v:stroke on="f" joinstyle="miter"/>
            <v:imagedata r:id="rId17" o:title=""/>
            <o:lock v:ext="edit" aspectratio="t"/>
            <w10:wrap type="none"/>
            <w10:anchorlock/>
          </v:shape>
          <o:OLEObject Type="Embed" ProgID="Equation.KSEE3" ShapeID="_x0000_i1029" DrawAspect="Content" ObjectID="_1468075729" r:id="rId16">
            <o:LockedField>false</o:LockedField>
          </o:OLEObject>
        </w:object>
      </w:r>
      <w:r>
        <w:rPr>
          <w:rFonts w:hint="eastAsia" w:ascii="Times New Roman"/>
        </w:rPr>
        <w:t>…………………………………………（A.2）</w:t>
      </w:r>
    </w:p>
    <w:p w14:paraId="11612B56">
      <w:pPr>
        <w:pStyle w:val="25"/>
        <w:spacing w:line="520" w:lineRule="exact"/>
        <w:ind w:firstLine="0" w:firstLineChars="0"/>
        <w:rPr>
          <w:rFonts w:ascii="Times New Roman"/>
        </w:rPr>
      </w:pPr>
      <w:r>
        <w:rPr>
          <w:rFonts w:ascii="Times New Roman"/>
        </w:rPr>
        <w:t>式中：</w:t>
      </w:r>
    </w:p>
    <w:tbl>
      <w:tblPr>
        <w:tblStyle w:val="36"/>
        <w:tblW w:w="9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0"/>
        <w:gridCol w:w="506"/>
        <w:gridCol w:w="8373"/>
      </w:tblGrid>
      <w:tr w14:paraId="4B6FA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 w:type="dxa"/>
            <w:tcBorders>
              <w:tl2br w:val="nil"/>
              <w:tr2bl w:val="nil"/>
            </w:tcBorders>
          </w:tcPr>
          <w:p w14:paraId="21D2F7DE">
            <w:pPr>
              <w:pStyle w:val="25"/>
              <w:snapToGrid w:val="0"/>
              <w:ind w:firstLine="0" w:firstLineChars="0"/>
              <w:rPr>
                <w:rFonts w:ascii="Times New Roman"/>
                <w:szCs w:val="18"/>
              </w:rPr>
            </w:pPr>
            <w:r>
              <w:rPr>
                <w:rFonts w:hint="eastAsia" w:ascii="Times New Roman"/>
                <w:position w:val="-12"/>
                <w:szCs w:val="18"/>
              </w:rPr>
              <w:object>
                <v:shape id="_x0000_i1030" o:spt="75" type="#_x0000_t75" style="height:18pt;width:22pt;" o:ole="t" filled="f" o:preferrelative="t" stroked="f" coordsize="21600,21600">
                  <v:path/>
                  <v:fill on="f" focussize="0,0"/>
                  <v:stroke on="f" joinstyle="miter"/>
                  <v:imagedata r:id="rId19" o:title=""/>
                  <o:lock v:ext="edit" aspectratio="t"/>
                  <w10:wrap type="none"/>
                  <w10:anchorlock/>
                </v:shape>
                <o:OLEObject Type="Embed" ProgID="Equation.KSEE3" ShapeID="_x0000_i1030" DrawAspect="Content" ObjectID="_1468075730" r:id="rId18">
                  <o:LockedField>false</o:LockedField>
                </o:OLEObject>
              </w:object>
            </w:r>
          </w:p>
        </w:tc>
        <w:tc>
          <w:tcPr>
            <w:tcW w:w="506" w:type="dxa"/>
            <w:tcBorders>
              <w:tl2br w:val="nil"/>
              <w:tr2bl w:val="nil"/>
            </w:tcBorders>
          </w:tcPr>
          <w:p w14:paraId="3FBAF01C">
            <w:pPr>
              <w:snapToGrid w:val="0"/>
              <w:rPr>
                <w:rFonts w:ascii="宋体"/>
              </w:rPr>
            </w:pPr>
            <w:r>
              <w:rPr>
                <w:rFonts w:ascii="宋体"/>
                <w:szCs w:val="21"/>
              </w:rPr>
              <w:t>——</w:t>
            </w:r>
          </w:p>
        </w:tc>
        <w:tc>
          <w:tcPr>
            <w:tcW w:w="8373" w:type="dxa"/>
            <w:tcBorders>
              <w:tl2br w:val="nil"/>
              <w:tr2bl w:val="nil"/>
            </w:tcBorders>
            <w:vAlign w:val="center"/>
          </w:tcPr>
          <w:p w14:paraId="04D1352A">
            <w:pPr>
              <w:pStyle w:val="25"/>
              <w:snapToGrid w:val="0"/>
              <w:ind w:firstLine="0" w:firstLineChars="0"/>
              <w:rPr>
                <w:rFonts w:ascii="Times New Roman"/>
                <w:szCs w:val="18"/>
              </w:rPr>
            </w:pPr>
            <w:r>
              <w:rPr>
                <w:rFonts w:hint="eastAsia" w:ascii="Times New Roman"/>
                <w:szCs w:val="18"/>
              </w:rPr>
              <w:t>单位产品生产综合能耗，单位为千克标准煤每吨（</w:t>
            </w:r>
            <w:r>
              <w:rPr>
                <w:rFonts w:hint="eastAsia" w:ascii="Times New Roman"/>
                <w:sz w:val="18"/>
                <w:szCs w:val="18"/>
              </w:rPr>
              <w:t>k</w:t>
            </w:r>
            <w:r>
              <w:rPr>
                <w:rFonts w:ascii="Times New Roman"/>
                <w:sz w:val="18"/>
                <w:szCs w:val="18"/>
              </w:rPr>
              <w:t>gce/</w:t>
            </w:r>
            <w:r>
              <w:rPr>
                <w:rFonts w:hint="eastAsia" w:ascii="Times New Roman"/>
                <w:sz w:val="18"/>
                <w:szCs w:val="18"/>
              </w:rPr>
              <w:t>t</w:t>
            </w:r>
            <w:r>
              <w:rPr>
                <w:rFonts w:hint="eastAsia" w:ascii="Times New Roman"/>
                <w:szCs w:val="18"/>
              </w:rPr>
              <w:t>）</w:t>
            </w:r>
            <w:r>
              <w:rPr>
                <w:rFonts w:ascii="Times New Roman"/>
                <w:szCs w:val="18"/>
              </w:rPr>
              <w:t>；</w:t>
            </w:r>
          </w:p>
        </w:tc>
      </w:tr>
      <w:tr w14:paraId="675E8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 w:type="dxa"/>
            <w:tcBorders>
              <w:tl2br w:val="nil"/>
              <w:tr2bl w:val="nil"/>
            </w:tcBorders>
          </w:tcPr>
          <w:p w14:paraId="40DE7FA9">
            <w:pPr>
              <w:pStyle w:val="25"/>
              <w:snapToGrid w:val="0"/>
              <w:ind w:firstLine="0" w:firstLineChars="0"/>
              <w:rPr>
                <w:rFonts w:ascii="Times New Roman"/>
                <w:szCs w:val="18"/>
              </w:rPr>
            </w:pPr>
            <w:r>
              <w:rPr>
                <w:rFonts w:hint="eastAsia" w:ascii="Times New Roman"/>
                <w:position w:val="-12"/>
                <w:szCs w:val="18"/>
              </w:rPr>
              <w:object>
                <v:shape id="_x0000_i1031" o:spt="75" type="#_x0000_t75" style="height:18pt;width:21pt;" o:ole="t" filled="f" o:preferrelative="t" stroked="f" coordsize="21600,21600">
                  <v:path/>
                  <v:fill on="f" focussize="0,0"/>
                  <v:stroke on="f" joinstyle="miter"/>
                  <v:imagedata r:id="rId21" o:title=""/>
                  <o:lock v:ext="edit" aspectratio="t"/>
                  <w10:wrap type="none"/>
                  <w10:anchorlock/>
                </v:shape>
                <o:OLEObject Type="Embed" ProgID="Equation.KSEE3" ShapeID="_x0000_i1031" DrawAspect="Content" ObjectID="_1468075731" r:id="rId20">
                  <o:LockedField>false</o:LockedField>
                </o:OLEObject>
              </w:object>
            </w:r>
          </w:p>
        </w:tc>
        <w:tc>
          <w:tcPr>
            <w:tcW w:w="506" w:type="dxa"/>
            <w:tcBorders>
              <w:tl2br w:val="nil"/>
              <w:tr2bl w:val="nil"/>
            </w:tcBorders>
          </w:tcPr>
          <w:p w14:paraId="046B50A3">
            <w:pPr>
              <w:snapToGrid w:val="0"/>
              <w:rPr>
                <w:rFonts w:ascii="宋体"/>
              </w:rPr>
            </w:pPr>
            <w:r>
              <w:rPr>
                <w:rFonts w:ascii="宋体"/>
                <w:szCs w:val="21"/>
              </w:rPr>
              <w:t>——</w:t>
            </w:r>
          </w:p>
        </w:tc>
        <w:tc>
          <w:tcPr>
            <w:tcW w:w="8373" w:type="dxa"/>
            <w:tcBorders>
              <w:tl2br w:val="nil"/>
              <w:tr2bl w:val="nil"/>
            </w:tcBorders>
            <w:vAlign w:val="center"/>
          </w:tcPr>
          <w:p w14:paraId="76E4D0D2">
            <w:pPr>
              <w:pStyle w:val="25"/>
              <w:snapToGrid w:val="0"/>
              <w:ind w:firstLine="0" w:firstLineChars="0"/>
              <w:rPr>
                <w:rFonts w:ascii="Times New Roman"/>
                <w:szCs w:val="18"/>
              </w:rPr>
            </w:pPr>
            <w:r>
              <w:rPr>
                <w:rFonts w:hint="eastAsia" w:ascii="Times New Roman"/>
                <w:szCs w:val="18"/>
              </w:rPr>
              <w:t>评价期内产品能耗总量，单位为千克标准煤</w:t>
            </w:r>
            <w:r>
              <w:rPr>
                <w:rFonts w:ascii="Times New Roman"/>
                <w:szCs w:val="18"/>
              </w:rPr>
              <w:t>（</w:t>
            </w:r>
            <w:r>
              <w:rPr>
                <w:rFonts w:hint="eastAsia" w:ascii="Times New Roman"/>
                <w:sz w:val="18"/>
                <w:szCs w:val="18"/>
              </w:rPr>
              <w:t>k</w:t>
            </w:r>
            <w:r>
              <w:rPr>
                <w:rFonts w:ascii="Times New Roman"/>
                <w:sz w:val="18"/>
                <w:szCs w:val="18"/>
              </w:rPr>
              <w:t>gce</w:t>
            </w:r>
            <w:r>
              <w:rPr>
                <w:rFonts w:ascii="Times New Roman"/>
                <w:szCs w:val="18"/>
              </w:rPr>
              <w:t>）；</w:t>
            </w:r>
          </w:p>
        </w:tc>
      </w:tr>
      <w:tr w14:paraId="6CB9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 w:type="dxa"/>
            <w:tcBorders>
              <w:tl2br w:val="nil"/>
              <w:tr2bl w:val="nil"/>
            </w:tcBorders>
          </w:tcPr>
          <w:p w14:paraId="21313F7D">
            <w:pPr>
              <w:pStyle w:val="25"/>
              <w:snapToGrid w:val="0"/>
              <w:ind w:firstLine="0" w:firstLineChars="0"/>
              <w:rPr>
                <w:rFonts w:ascii="Times New Roman"/>
                <w:szCs w:val="18"/>
              </w:rPr>
            </w:pPr>
            <w:r>
              <w:rPr>
                <w:rFonts w:hint="eastAsia" w:ascii="Times New Roman"/>
                <w:position w:val="-4"/>
                <w:szCs w:val="18"/>
              </w:rPr>
              <w:object>
                <v:shape id="_x0000_i1032" o:spt="75" type="#_x0000_t75" style="height:13pt;width:12pt;" o:ole="t" filled="f" o:preferrelative="t" stroked="f" coordsize="21600,21600">
                  <v:path/>
                  <v:fill on="f" focussize="0,0"/>
                  <v:stroke on="f" joinstyle="miter"/>
                  <v:imagedata r:id="rId23" o:title=""/>
                  <o:lock v:ext="edit" aspectratio="t"/>
                  <w10:wrap type="none"/>
                  <w10:anchorlock/>
                </v:shape>
                <o:OLEObject Type="Embed" ProgID="Equation.KSEE3" ShapeID="_x0000_i1032" DrawAspect="Content" ObjectID="_1468075732" r:id="rId22">
                  <o:LockedField>false</o:LockedField>
                </o:OLEObject>
              </w:object>
            </w:r>
          </w:p>
        </w:tc>
        <w:tc>
          <w:tcPr>
            <w:tcW w:w="506" w:type="dxa"/>
            <w:tcBorders>
              <w:tl2br w:val="nil"/>
              <w:tr2bl w:val="nil"/>
            </w:tcBorders>
          </w:tcPr>
          <w:p w14:paraId="1F0FC923">
            <w:pPr>
              <w:snapToGrid w:val="0"/>
              <w:rPr>
                <w:rFonts w:ascii="宋体"/>
              </w:rPr>
            </w:pPr>
            <w:r>
              <w:rPr>
                <w:rFonts w:ascii="宋体"/>
                <w:szCs w:val="21"/>
              </w:rPr>
              <w:t>——</w:t>
            </w:r>
          </w:p>
        </w:tc>
        <w:tc>
          <w:tcPr>
            <w:tcW w:w="8373" w:type="dxa"/>
            <w:tcBorders>
              <w:tl2br w:val="nil"/>
              <w:tr2bl w:val="nil"/>
            </w:tcBorders>
            <w:vAlign w:val="center"/>
          </w:tcPr>
          <w:p w14:paraId="191F0C4A">
            <w:pPr>
              <w:pStyle w:val="25"/>
              <w:snapToGrid w:val="0"/>
              <w:ind w:firstLine="0" w:firstLineChars="0"/>
              <w:rPr>
                <w:rFonts w:ascii="Times New Roman"/>
                <w:szCs w:val="18"/>
              </w:rPr>
            </w:pPr>
            <w:r>
              <w:rPr>
                <w:rFonts w:hint="eastAsia" w:ascii="Times New Roman"/>
                <w:szCs w:val="18"/>
              </w:rPr>
              <w:t>符合相关标准的合格产品产量</w:t>
            </w:r>
            <w:r>
              <w:rPr>
                <w:rFonts w:ascii="Times New Roman"/>
                <w:szCs w:val="18"/>
              </w:rPr>
              <w:t>，</w:t>
            </w:r>
            <w:r>
              <w:rPr>
                <w:rFonts w:hint="eastAsia" w:ascii="Times New Roman"/>
                <w:szCs w:val="18"/>
              </w:rPr>
              <w:t>单位为吨</w:t>
            </w:r>
            <w:r>
              <w:rPr>
                <w:rFonts w:ascii="Times New Roman"/>
                <w:szCs w:val="18"/>
              </w:rPr>
              <w:t>（</w:t>
            </w:r>
            <w:r>
              <w:rPr>
                <w:rFonts w:hint="eastAsia" w:ascii="Times New Roman"/>
                <w:sz w:val="18"/>
                <w:szCs w:val="18"/>
              </w:rPr>
              <w:t>t</w:t>
            </w:r>
            <w:r>
              <w:rPr>
                <w:rFonts w:ascii="Times New Roman"/>
                <w:szCs w:val="18"/>
              </w:rPr>
              <w:t>）。</w:t>
            </w:r>
          </w:p>
        </w:tc>
      </w:tr>
    </w:tbl>
    <w:p w14:paraId="712932AB">
      <w:pPr>
        <w:widowControl/>
        <w:tabs>
          <w:tab w:val="center" w:pos="4201"/>
          <w:tab w:val="right" w:leader="dot" w:pos="9298"/>
        </w:tabs>
        <w:autoSpaceDE w:val="0"/>
        <w:autoSpaceDN w:val="0"/>
        <w:spacing w:before="156" w:beforeLines="50" w:after="156" w:afterLines="50"/>
        <w:ind w:left="424" w:firstLine="2"/>
        <w:rPr>
          <w:rFonts w:eastAsia="黑体"/>
        </w:rPr>
      </w:pPr>
      <w:r>
        <w:rPr>
          <w:rFonts w:eastAsia="黑体"/>
        </w:rPr>
        <w:t>A.</w:t>
      </w:r>
      <w:r>
        <w:rPr>
          <w:rFonts w:hint="eastAsia" w:eastAsia="黑体"/>
        </w:rPr>
        <w:t>3</w:t>
      </w:r>
      <w:r>
        <w:rPr>
          <w:rFonts w:eastAsia="黑体"/>
        </w:rPr>
        <w:t xml:space="preserve"> 生产废水</w:t>
      </w:r>
    </w:p>
    <w:p w14:paraId="7B1B4A25">
      <w:pPr>
        <w:pStyle w:val="82"/>
        <w:ind w:firstLine="420" w:firstLineChars="200"/>
        <w:jc w:val="left"/>
        <w:rPr>
          <w:rFonts w:ascii="Times New Roman"/>
        </w:rPr>
      </w:pPr>
      <w:r>
        <w:rPr>
          <w:rFonts w:hint="eastAsia" w:ascii="Times New Roman"/>
        </w:rPr>
        <w:t>宜以近12个月作为统计期计算单位产品废水排放量的平均值。企业正式投产不足12个月时，统计期可适当缩短，但应不少于6个月。每生产1t建筑隔震橡胶支座产品排放的废水量，按式(A.3)计算：</w:t>
      </w:r>
    </w:p>
    <w:p w14:paraId="0D68E7D9">
      <w:pPr>
        <w:pStyle w:val="25"/>
        <w:snapToGrid w:val="0"/>
        <w:jc w:val="right"/>
        <w:rPr>
          <w:rFonts w:ascii="Times New Roman"/>
        </w:rPr>
      </w:pPr>
      <w:r>
        <w:rPr>
          <w:rFonts w:hint="eastAsia" w:ascii="Times New Roman"/>
          <w:position w:val="-30"/>
        </w:rPr>
        <w:object>
          <v:shape id="_x0000_i1033" o:spt="75" type="#_x0000_t75" style="height:34pt;width:53pt;" o:ole="t" filled="f" o:preferrelative="t" stroked="f" coordsize="21600,21600">
            <v:path/>
            <v:fill on="f" focussize="0,0"/>
            <v:stroke on="f" joinstyle="miter"/>
            <v:imagedata r:id="rId25" o:title=""/>
            <o:lock v:ext="edit" aspectratio="t"/>
            <w10:wrap type="none"/>
            <w10:anchorlock/>
          </v:shape>
          <o:OLEObject Type="Embed" ProgID="Equation.KSEE3" ShapeID="_x0000_i1033" DrawAspect="Content" ObjectID="_1468075733" r:id="rId24">
            <o:LockedField>false</o:LockedField>
          </o:OLEObject>
        </w:object>
      </w:r>
      <w:r>
        <w:rPr>
          <w:rFonts w:hint="eastAsia" w:ascii="Times New Roman"/>
        </w:rPr>
        <w:t>…………………………………………（A.3）</w:t>
      </w:r>
    </w:p>
    <w:p w14:paraId="7A4ADCA0">
      <w:pPr>
        <w:pStyle w:val="25"/>
        <w:spacing w:line="520" w:lineRule="exact"/>
        <w:ind w:firstLine="0" w:firstLineChars="0"/>
        <w:rPr>
          <w:rFonts w:ascii="Times New Roman"/>
        </w:rPr>
      </w:pPr>
      <w:r>
        <w:rPr>
          <w:rFonts w:ascii="Times New Roman"/>
        </w:rPr>
        <w:t>式中：</w:t>
      </w:r>
    </w:p>
    <w:tbl>
      <w:tblPr>
        <w:tblStyle w:val="36"/>
        <w:tblW w:w="9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0"/>
        <w:gridCol w:w="473"/>
        <w:gridCol w:w="8306"/>
      </w:tblGrid>
      <w:tr w14:paraId="220E8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0" w:type="dxa"/>
            <w:tcBorders>
              <w:tl2br w:val="nil"/>
              <w:tr2bl w:val="nil"/>
            </w:tcBorders>
          </w:tcPr>
          <w:p w14:paraId="63FF80B9">
            <w:pPr>
              <w:pStyle w:val="25"/>
              <w:snapToGrid w:val="0"/>
              <w:ind w:firstLine="0" w:firstLineChars="0"/>
              <w:rPr>
                <w:rFonts w:ascii="Times New Roman"/>
                <w:szCs w:val="18"/>
              </w:rPr>
            </w:pPr>
            <w:r>
              <w:rPr>
                <w:rFonts w:hint="eastAsia" w:ascii="Times New Roman"/>
                <w:position w:val="-4"/>
                <w:szCs w:val="18"/>
              </w:rPr>
              <w:object>
                <v:shape id="_x0000_i1034" o:spt="75" type="#_x0000_t75" style="height:13pt;width:13pt;" o:ole="t" filled="f" o:preferrelative="t" stroked="f" coordsize="21600,21600">
                  <v:path/>
                  <v:fill on="f" focussize="0,0"/>
                  <v:stroke on="f" joinstyle="miter"/>
                  <v:imagedata r:id="rId27" o:title=""/>
                  <o:lock v:ext="edit" aspectratio="t"/>
                  <w10:wrap type="none"/>
                  <w10:anchorlock/>
                </v:shape>
                <o:OLEObject Type="Embed" ProgID="Equation.KSEE3" ShapeID="_x0000_i1034" DrawAspect="Content" ObjectID="_1468075734" r:id="rId26">
                  <o:LockedField>false</o:LockedField>
                </o:OLEObject>
              </w:object>
            </w:r>
          </w:p>
        </w:tc>
        <w:tc>
          <w:tcPr>
            <w:tcW w:w="473" w:type="dxa"/>
            <w:tcBorders>
              <w:tl2br w:val="nil"/>
              <w:tr2bl w:val="nil"/>
            </w:tcBorders>
          </w:tcPr>
          <w:p w14:paraId="5E1D2878">
            <w:pPr>
              <w:snapToGrid w:val="0"/>
              <w:rPr>
                <w:rFonts w:ascii="宋体"/>
              </w:rPr>
            </w:pPr>
            <w:r>
              <w:rPr>
                <w:rFonts w:ascii="宋体"/>
                <w:szCs w:val="21"/>
              </w:rPr>
              <w:t>——</w:t>
            </w:r>
          </w:p>
        </w:tc>
        <w:tc>
          <w:tcPr>
            <w:tcW w:w="8306" w:type="dxa"/>
            <w:tcBorders>
              <w:tl2br w:val="nil"/>
              <w:tr2bl w:val="nil"/>
            </w:tcBorders>
            <w:vAlign w:val="center"/>
          </w:tcPr>
          <w:p w14:paraId="187D599C">
            <w:pPr>
              <w:pStyle w:val="25"/>
              <w:snapToGrid w:val="0"/>
              <w:ind w:firstLine="0" w:firstLineChars="0"/>
              <w:rPr>
                <w:rFonts w:ascii="Times New Roman"/>
                <w:szCs w:val="18"/>
              </w:rPr>
            </w:pPr>
            <w:r>
              <w:rPr>
                <w:rFonts w:hAnsi="宋体" w:cs="宋体"/>
                <w:spacing w:val="-3"/>
                <w:szCs w:val="21"/>
              </w:rPr>
              <w:t>每生产</w:t>
            </w:r>
            <w:r>
              <w:rPr>
                <w:rFonts w:ascii="Times New Roman"/>
                <w:spacing w:val="-3"/>
                <w:szCs w:val="21"/>
              </w:rPr>
              <w:t>1</w:t>
            </w:r>
            <w:r>
              <w:rPr>
                <w:rFonts w:hint="eastAsia" w:ascii="Times New Roman"/>
                <w:szCs w:val="18"/>
              </w:rPr>
              <w:t>t建筑隔震橡胶支座产品</w:t>
            </w:r>
            <w:r>
              <w:rPr>
                <w:rFonts w:hAnsi="宋体" w:cs="宋体"/>
                <w:spacing w:val="-3"/>
                <w:szCs w:val="21"/>
              </w:rPr>
              <w:t>产生的废水量，单位为千克每立方米</w:t>
            </w:r>
            <w:r>
              <w:rPr>
                <w:rFonts w:ascii="Times New Roman" w:eastAsia="Times New Roman"/>
                <w:spacing w:val="-3"/>
                <w:szCs w:val="21"/>
              </w:rPr>
              <w:t>(</w:t>
            </w:r>
            <w:r>
              <w:rPr>
                <w:rFonts w:hint="eastAsia" w:ascii="Times New Roman"/>
                <w:sz w:val="18"/>
                <w:szCs w:val="18"/>
              </w:rPr>
              <w:t>k</w:t>
            </w:r>
            <w:r>
              <w:rPr>
                <w:rFonts w:ascii="Times New Roman"/>
                <w:sz w:val="18"/>
                <w:szCs w:val="18"/>
              </w:rPr>
              <w:t>g</w:t>
            </w:r>
            <w:r>
              <w:rPr>
                <w:rFonts w:ascii="Times New Roman" w:eastAsia="Times New Roman"/>
                <w:spacing w:val="-3"/>
                <w:szCs w:val="21"/>
              </w:rPr>
              <w:t>/</w:t>
            </w:r>
            <w:r>
              <w:rPr>
                <w:rFonts w:hint="eastAsia" w:ascii="Times New Roman"/>
                <w:spacing w:val="-3"/>
                <w:szCs w:val="21"/>
              </w:rPr>
              <w:t>t</w:t>
            </w:r>
            <w:r>
              <w:rPr>
                <w:rFonts w:ascii="Times New Roman" w:eastAsia="Times New Roman"/>
                <w:spacing w:val="-3"/>
                <w:szCs w:val="21"/>
              </w:rPr>
              <w:t>)</w:t>
            </w:r>
            <w:r>
              <w:rPr>
                <w:rFonts w:ascii="Times New Roman"/>
                <w:szCs w:val="18"/>
              </w:rPr>
              <w:t>；</w:t>
            </w:r>
          </w:p>
        </w:tc>
      </w:tr>
      <w:tr w14:paraId="33BF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0" w:type="dxa"/>
            <w:tcBorders>
              <w:tl2br w:val="nil"/>
              <w:tr2bl w:val="nil"/>
            </w:tcBorders>
          </w:tcPr>
          <w:p w14:paraId="218DA38A">
            <w:pPr>
              <w:pStyle w:val="25"/>
              <w:snapToGrid w:val="0"/>
              <w:ind w:firstLine="0" w:firstLineChars="0"/>
              <w:rPr>
                <w:rFonts w:ascii="Times New Roman"/>
                <w:szCs w:val="18"/>
              </w:rPr>
            </w:pPr>
            <w:r>
              <w:rPr>
                <w:rFonts w:hint="eastAsia" w:ascii="Times New Roman"/>
                <w:position w:val="-12"/>
                <w:szCs w:val="18"/>
              </w:rPr>
              <w:object>
                <v:shape id="_x0000_i1035" o:spt="75" type="#_x0000_t75" style="height:18pt;width:28pt;" o:ole="t" filled="f" o:preferrelative="t" stroked="f" coordsize="21600,21600">
                  <v:path/>
                  <v:fill on="f" focussize="0,0"/>
                  <v:stroke on="f" joinstyle="miter"/>
                  <v:imagedata r:id="rId29" o:title=""/>
                  <o:lock v:ext="edit" aspectratio="t"/>
                  <w10:wrap type="none"/>
                  <w10:anchorlock/>
                </v:shape>
                <o:OLEObject Type="Embed" ProgID="Equation.KSEE3" ShapeID="_x0000_i1035" DrawAspect="Content" ObjectID="_1468075735" r:id="rId28">
                  <o:LockedField>false</o:LockedField>
                </o:OLEObject>
              </w:object>
            </w:r>
          </w:p>
        </w:tc>
        <w:tc>
          <w:tcPr>
            <w:tcW w:w="473" w:type="dxa"/>
            <w:tcBorders>
              <w:tl2br w:val="nil"/>
              <w:tr2bl w:val="nil"/>
            </w:tcBorders>
          </w:tcPr>
          <w:p w14:paraId="304BC3B9">
            <w:pPr>
              <w:snapToGrid w:val="0"/>
              <w:rPr>
                <w:rFonts w:ascii="宋体"/>
              </w:rPr>
            </w:pPr>
            <w:r>
              <w:rPr>
                <w:rFonts w:ascii="宋体"/>
                <w:szCs w:val="21"/>
              </w:rPr>
              <w:t>——</w:t>
            </w:r>
          </w:p>
        </w:tc>
        <w:tc>
          <w:tcPr>
            <w:tcW w:w="8306" w:type="dxa"/>
            <w:tcBorders>
              <w:tl2br w:val="nil"/>
              <w:tr2bl w:val="nil"/>
            </w:tcBorders>
            <w:vAlign w:val="center"/>
          </w:tcPr>
          <w:p w14:paraId="12D38D11">
            <w:pPr>
              <w:pStyle w:val="25"/>
              <w:snapToGrid w:val="0"/>
              <w:ind w:firstLine="0" w:firstLineChars="0"/>
              <w:rPr>
                <w:rFonts w:ascii="Times New Roman"/>
                <w:szCs w:val="18"/>
              </w:rPr>
            </w:pPr>
            <w:r>
              <w:rPr>
                <w:rFonts w:hint="eastAsia" w:ascii="Times New Roman"/>
                <w:szCs w:val="18"/>
              </w:rPr>
              <w:t>统计期内产品生产废水排放量，单位为千克</w:t>
            </w:r>
            <w:r>
              <w:rPr>
                <w:rFonts w:ascii="Times New Roman"/>
                <w:szCs w:val="18"/>
              </w:rPr>
              <w:t>（</w:t>
            </w:r>
            <w:r>
              <w:rPr>
                <w:rFonts w:hint="eastAsia" w:ascii="Times New Roman"/>
                <w:sz w:val="18"/>
                <w:szCs w:val="18"/>
              </w:rPr>
              <w:t>k</w:t>
            </w:r>
            <w:r>
              <w:rPr>
                <w:rFonts w:ascii="Times New Roman"/>
                <w:sz w:val="18"/>
                <w:szCs w:val="18"/>
              </w:rPr>
              <w:t>g</w:t>
            </w:r>
            <w:r>
              <w:rPr>
                <w:rFonts w:ascii="Times New Roman"/>
                <w:szCs w:val="18"/>
              </w:rPr>
              <w:t>）；</w:t>
            </w:r>
          </w:p>
        </w:tc>
      </w:tr>
      <w:tr w14:paraId="6F8C6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0" w:type="dxa"/>
            <w:tcBorders>
              <w:tl2br w:val="nil"/>
              <w:tr2bl w:val="nil"/>
            </w:tcBorders>
          </w:tcPr>
          <w:p w14:paraId="74CA3D3F">
            <w:pPr>
              <w:pStyle w:val="25"/>
              <w:snapToGrid w:val="0"/>
              <w:ind w:firstLine="0" w:firstLineChars="0"/>
              <w:rPr>
                <w:rFonts w:ascii="Times New Roman"/>
                <w:szCs w:val="18"/>
              </w:rPr>
            </w:pPr>
            <w:r>
              <w:rPr>
                <w:rFonts w:hint="eastAsia" w:ascii="Times New Roman"/>
                <w:position w:val="-12"/>
                <w:szCs w:val="18"/>
              </w:rPr>
              <w:object>
                <v:shape id="_x0000_i1036" o:spt="75" type="#_x0000_t75" style="height:18pt;width:12pt;" o:ole="t" filled="f" o:preferrelative="t" stroked="f" coordsize="21600,21600">
                  <v:path/>
                  <v:fill on="f" focussize="0,0"/>
                  <v:stroke on="f" joinstyle="miter"/>
                  <v:imagedata r:id="rId31" o:title=""/>
                  <o:lock v:ext="edit" aspectratio="t"/>
                  <w10:wrap type="none"/>
                  <w10:anchorlock/>
                </v:shape>
                <o:OLEObject Type="Embed" ProgID="Equation.KSEE3" ShapeID="_x0000_i1036" DrawAspect="Content" ObjectID="_1468075736" r:id="rId30">
                  <o:LockedField>false</o:LockedField>
                </o:OLEObject>
              </w:object>
            </w:r>
          </w:p>
        </w:tc>
        <w:tc>
          <w:tcPr>
            <w:tcW w:w="473" w:type="dxa"/>
            <w:tcBorders>
              <w:tl2br w:val="nil"/>
              <w:tr2bl w:val="nil"/>
            </w:tcBorders>
          </w:tcPr>
          <w:p w14:paraId="7A42A898">
            <w:pPr>
              <w:snapToGrid w:val="0"/>
              <w:rPr>
                <w:rFonts w:ascii="宋体"/>
              </w:rPr>
            </w:pPr>
            <w:r>
              <w:rPr>
                <w:rFonts w:ascii="宋体"/>
                <w:szCs w:val="21"/>
              </w:rPr>
              <w:t>——</w:t>
            </w:r>
          </w:p>
        </w:tc>
        <w:tc>
          <w:tcPr>
            <w:tcW w:w="8306" w:type="dxa"/>
            <w:tcBorders>
              <w:tl2br w:val="nil"/>
              <w:tr2bl w:val="nil"/>
            </w:tcBorders>
            <w:vAlign w:val="center"/>
          </w:tcPr>
          <w:p w14:paraId="3D83459B">
            <w:pPr>
              <w:pStyle w:val="25"/>
              <w:snapToGrid w:val="0"/>
              <w:ind w:firstLine="0" w:firstLineChars="0"/>
              <w:rPr>
                <w:rFonts w:ascii="Times New Roman"/>
                <w:szCs w:val="18"/>
              </w:rPr>
            </w:pPr>
            <w:r>
              <w:rPr>
                <w:rFonts w:hint="eastAsia" w:ascii="Times New Roman"/>
                <w:szCs w:val="18"/>
              </w:rPr>
              <w:t>统计期内符合相关标准的合格产品产量</w:t>
            </w:r>
            <w:r>
              <w:rPr>
                <w:rFonts w:ascii="Times New Roman"/>
                <w:szCs w:val="18"/>
              </w:rPr>
              <w:t>，</w:t>
            </w:r>
            <w:r>
              <w:rPr>
                <w:rFonts w:hint="eastAsia" w:ascii="Times New Roman"/>
                <w:szCs w:val="18"/>
              </w:rPr>
              <w:t>单位为吨</w:t>
            </w:r>
            <w:r>
              <w:rPr>
                <w:rFonts w:ascii="Times New Roman"/>
                <w:szCs w:val="18"/>
              </w:rPr>
              <w:t>（</w:t>
            </w:r>
            <w:r>
              <w:rPr>
                <w:rFonts w:hint="eastAsia" w:ascii="Times New Roman"/>
                <w:sz w:val="18"/>
                <w:szCs w:val="18"/>
              </w:rPr>
              <w:t>t</w:t>
            </w:r>
            <w:r>
              <w:rPr>
                <w:rFonts w:ascii="Times New Roman"/>
                <w:szCs w:val="18"/>
              </w:rPr>
              <w:t>）。</w:t>
            </w:r>
          </w:p>
        </w:tc>
      </w:tr>
    </w:tbl>
    <w:p w14:paraId="54E09C71">
      <w:pPr>
        <w:widowControl/>
        <w:tabs>
          <w:tab w:val="center" w:pos="4201"/>
          <w:tab w:val="right" w:leader="dot" w:pos="9298"/>
        </w:tabs>
        <w:autoSpaceDE w:val="0"/>
        <w:autoSpaceDN w:val="0"/>
        <w:spacing w:before="156" w:beforeLines="50" w:after="156" w:afterLines="50"/>
        <w:ind w:left="424" w:firstLine="2"/>
        <w:rPr>
          <w:rFonts w:eastAsia="黑体"/>
        </w:rPr>
      </w:pPr>
      <w:r>
        <w:rPr>
          <w:rFonts w:eastAsia="黑体"/>
        </w:rPr>
        <w:t>A.</w:t>
      </w:r>
      <w:r>
        <w:rPr>
          <w:rFonts w:hint="eastAsia" w:eastAsia="黑体"/>
        </w:rPr>
        <w:t>4</w:t>
      </w:r>
      <w:r>
        <w:rPr>
          <w:rFonts w:eastAsia="黑体"/>
        </w:rPr>
        <w:t xml:space="preserve"> 耐火试验前后压缩性能和剪切性能偏差</w:t>
      </w:r>
    </w:p>
    <w:p w14:paraId="427E9627">
      <w:pPr>
        <w:pStyle w:val="82"/>
        <w:ind w:firstLine="420" w:firstLineChars="200"/>
        <w:jc w:val="left"/>
        <w:rPr>
          <w:rFonts w:ascii="Times New Roman"/>
        </w:rPr>
      </w:pPr>
      <w:r>
        <w:rPr>
          <w:rFonts w:hint="eastAsia" w:ascii="Times New Roman"/>
        </w:rPr>
        <w:t>耐火试验前后压缩性能和剪切性能偏差是指建筑隔震橡胶支座耐火试验前后力学性能性能差值与耐火试验前力学性能的比值，按式(A.4)计算：</w:t>
      </w:r>
    </w:p>
    <w:p w14:paraId="4AF91938">
      <w:pPr>
        <w:pStyle w:val="25"/>
        <w:snapToGrid w:val="0"/>
        <w:ind w:right="840"/>
        <w:rPr>
          <w:rFonts w:ascii="Times New Roman"/>
        </w:rPr>
      </w:pPr>
      <w:r>
        <w:rPr>
          <w:rFonts w:hint="eastAsia" w:ascii="Times New Roman"/>
          <w:position w:val="-30"/>
        </w:rPr>
        <w:object>
          <v:shape id="_x0000_i1037" o:spt="75" type="#_x0000_t75" style="height:34pt;width:73pt;" o:ole="t" filled="f" o:preferrelative="t" stroked="f" coordsize="21600,21600">
            <v:path/>
            <v:fill on="f" focussize="0,0"/>
            <v:stroke on="f" joinstyle="miter"/>
            <v:imagedata r:id="rId33" o:title=""/>
            <o:lock v:ext="edit" aspectratio="t"/>
            <w10:wrap type="none"/>
            <w10:anchorlock/>
          </v:shape>
          <o:OLEObject Type="Embed" ProgID="Equation.KSEE3" ShapeID="_x0000_i1037" DrawAspect="Content" ObjectID="_1468075737" r:id="rId32">
            <o:LockedField>false</o:LockedField>
          </o:OLEObject>
        </w:object>
      </w:r>
      <w:r>
        <w:rPr>
          <w:rFonts w:hint="eastAsia" w:ascii="Times New Roman"/>
        </w:rPr>
        <w:t>…………………………………………（A.4-1）</w:t>
      </w:r>
    </w:p>
    <w:p w14:paraId="4E249467">
      <w:pPr>
        <w:pStyle w:val="25"/>
        <w:snapToGrid w:val="0"/>
        <w:ind w:right="840"/>
        <w:rPr>
          <w:rFonts w:ascii="Times New Roman"/>
        </w:rPr>
      </w:pPr>
      <w:r>
        <w:rPr>
          <w:rFonts w:hint="eastAsia" w:ascii="Times New Roman"/>
          <w:position w:val="-30"/>
        </w:rPr>
        <w:object>
          <v:shape id="_x0000_i1038" o:spt="75" type="#_x0000_t75" style="height:34pt;width:75pt;" o:ole="t" filled="f" o:preferrelative="t" stroked="f" coordsize="21600,21600">
            <v:path/>
            <v:fill on="f" focussize="0,0"/>
            <v:stroke on="f" joinstyle="miter"/>
            <v:imagedata r:id="rId35" o:title=""/>
            <o:lock v:ext="edit" aspectratio="t"/>
            <w10:wrap type="none"/>
            <w10:anchorlock/>
          </v:shape>
          <o:OLEObject Type="Embed" ProgID="Equation.KSEE3" ShapeID="_x0000_i1038" DrawAspect="Content" ObjectID="_1468075738" r:id="rId34">
            <o:LockedField>false</o:LockedField>
          </o:OLEObject>
        </w:object>
      </w:r>
      <w:r>
        <w:rPr>
          <w:rFonts w:hint="eastAsia" w:ascii="Times New Roman"/>
        </w:rPr>
        <w:t>…………………………………………（A.4-2）</w:t>
      </w:r>
    </w:p>
    <w:p w14:paraId="5FE99317">
      <w:pPr>
        <w:pStyle w:val="25"/>
        <w:snapToGrid w:val="0"/>
        <w:ind w:right="840"/>
        <w:rPr>
          <w:rFonts w:ascii="Times New Roman"/>
        </w:rPr>
      </w:pPr>
      <w:r>
        <w:rPr>
          <w:rFonts w:hint="eastAsia" w:ascii="Times New Roman"/>
          <w:position w:val="-32"/>
        </w:rPr>
        <w:object>
          <v:shape id="_x0000_i1039" o:spt="75" type="#_x0000_t75" style="height:37pt;width:73pt;" o:ole="t" filled="f" o:preferrelative="t" stroked="f" coordsize="21600,21600">
            <v:path/>
            <v:fill on="f" focussize="0,0"/>
            <v:stroke on="f" joinstyle="miter"/>
            <v:imagedata r:id="rId37" o:title=""/>
            <o:lock v:ext="edit" aspectratio="t"/>
            <w10:wrap type="none"/>
            <w10:anchorlock/>
          </v:shape>
          <o:OLEObject Type="Embed" ProgID="Equation.KSEE3" ShapeID="_x0000_i1039" DrawAspect="Content" ObjectID="_1468075739" r:id="rId36">
            <o:LockedField>false</o:LockedField>
          </o:OLEObject>
        </w:object>
      </w:r>
      <w:r>
        <w:rPr>
          <w:rFonts w:hint="eastAsia" w:ascii="Times New Roman"/>
        </w:rPr>
        <w:t>…………………………………………（A.4-3）</w:t>
      </w:r>
    </w:p>
    <w:p w14:paraId="15744227">
      <w:pPr>
        <w:pStyle w:val="25"/>
        <w:spacing w:line="520" w:lineRule="exact"/>
        <w:ind w:firstLine="0" w:firstLineChars="0"/>
        <w:rPr>
          <w:rFonts w:ascii="Times New Roman"/>
        </w:rPr>
      </w:pPr>
      <w:r>
        <w:rPr>
          <w:rFonts w:ascii="Times New Roman"/>
        </w:rPr>
        <w:t>式中：</w:t>
      </w:r>
    </w:p>
    <w:tbl>
      <w:tblPr>
        <w:tblStyle w:val="36"/>
        <w:tblW w:w="9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40"/>
        <w:gridCol w:w="458"/>
        <w:gridCol w:w="7361"/>
      </w:tblGrid>
      <w:tr w14:paraId="757FD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40" w:type="dxa"/>
            <w:tcBorders>
              <w:tl2br w:val="nil"/>
              <w:tr2bl w:val="nil"/>
            </w:tcBorders>
          </w:tcPr>
          <w:p w14:paraId="53B09820">
            <w:pPr>
              <w:snapToGrid w:val="0"/>
              <w:rPr>
                <w:rFonts w:ascii="宋体"/>
              </w:rPr>
            </w:pPr>
            <w:r>
              <w:rPr>
                <w:rFonts w:hint="eastAsia" w:ascii="宋体"/>
              </w:rPr>
              <w:object>
                <v:shape id="_x0000_i1040" o:spt="75" type="#_x0000_t75" style="height:17pt;width:12pt;" o:ole="t" filled="f" o:preferrelative="t" stroked="f" coordsize="21600,21600">
                  <v:path/>
                  <v:fill on="f" focussize="0,0"/>
                  <v:stroke on="f" joinstyle="miter"/>
                  <v:imagedata r:id="rId39" o:title=""/>
                  <o:lock v:ext="edit" aspectratio="t"/>
                  <w10:wrap type="none"/>
                  <w10:anchorlock/>
                </v:shape>
                <o:OLEObject Type="Embed" ProgID="Equation.KSEE3" ShapeID="_x0000_i1040" DrawAspect="Content" ObjectID="_1468075740" r:id="rId38">
                  <o:LockedField>false</o:LockedField>
                </o:OLEObject>
              </w:object>
            </w:r>
            <w:r>
              <w:rPr>
                <w:rFonts w:hint="eastAsia" w:ascii="宋体"/>
              </w:rPr>
              <w:t>、</w:t>
            </w:r>
            <w:r>
              <w:rPr>
                <w:rFonts w:hint="eastAsia" w:ascii="宋体"/>
              </w:rPr>
              <w:object>
                <v:shape id="_x0000_i1041" o:spt="75" type="#_x0000_t75" style="height:17pt;width:13.95pt;" o:ole="t" filled="f" o:preferrelative="t" stroked="f" coordsize="21600,21600">
                  <v:path/>
                  <v:fill on="f" focussize="0,0"/>
                  <v:stroke on="f" joinstyle="miter"/>
                  <v:imagedata r:id="rId41" o:title=""/>
                  <o:lock v:ext="edit" aspectratio="t"/>
                  <w10:wrap type="none"/>
                  <w10:anchorlock/>
                </v:shape>
                <o:OLEObject Type="Embed" ProgID="Equation.KSEE3" ShapeID="_x0000_i1041" DrawAspect="Content" ObjectID="_1468075741" r:id="rId40">
                  <o:LockedField>false</o:LockedField>
                </o:OLEObject>
              </w:object>
            </w:r>
            <w:r>
              <w:rPr>
                <w:rFonts w:hint="eastAsia" w:ascii="宋体"/>
              </w:rPr>
              <w:t>、</w:t>
            </w:r>
            <w:r>
              <w:rPr>
                <w:rFonts w:hint="eastAsia" w:ascii="宋体"/>
              </w:rPr>
              <w:object>
                <v:shape id="_x0000_i1042" o:spt="75" type="#_x0000_t75" style="height:18pt;width:13pt;" o:ole="t" filled="f" o:preferrelative="t" stroked="f" coordsize="21600,21600">
                  <v:path/>
                  <v:fill on="f" focussize="0,0"/>
                  <v:stroke on="f" joinstyle="miter"/>
                  <v:imagedata r:id="rId43" o:title=""/>
                  <o:lock v:ext="edit" aspectratio="t"/>
                  <w10:wrap type="none"/>
                  <w10:anchorlock/>
                </v:shape>
                <o:OLEObject Type="Embed" ProgID="Equation.KSEE3" ShapeID="_x0000_i1042" DrawAspect="Content" ObjectID="_1468075742" r:id="rId42">
                  <o:LockedField>false</o:LockedField>
                </o:OLEObject>
              </w:object>
            </w:r>
          </w:p>
        </w:tc>
        <w:tc>
          <w:tcPr>
            <w:tcW w:w="458" w:type="dxa"/>
            <w:tcBorders>
              <w:tl2br w:val="nil"/>
              <w:tr2bl w:val="nil"/>
            </w:tcBorders>
            <w:vAlign w:val="center"/>
          </w:tcPr>
          <w:p w14:paraId="71A72BA8">
            <w:pPr>
              <w:snapToGrid w:val="0"/>
              <w:rPr>
                <w:rFonts w:ascii="宋体"/>
              </w:rPr>
            </w:pPr>
            <w:r>
              <w:rPr>
                <w:rFonts w:ascii="宋体"/>
              </w:rPr>
              <w:t>——</w:t>
            </w:r>
          </w:p>
        </w:tc>
        <w:tc>
          <w:tcPr>
            <w:tcW w:w="7361" w:type="dxa"/>
            <w:tcBorders>
              <w:tl2br w:val="nil"/>
              <w:tr2bl w:val="nil"/>
            </w:tcBorders>
            <w:vAlign w:val="center"/>
          </w:tcPr>
          <w:p w14:paraId="36C7CDCD">
            <w:pPr>
              <w:snapToGrid w:val="0"/>
              <w:rPr>
                <w:rFonts w:ascii="宋体"/>
              </w:rPr>
            </w:pPr>
            <w:r>
              <w:rPr>
                <w:rFonts w:hint="eastAsia" w:ascii="宋体"/>
              </w:rPr>
              <w:t>建筑隔震橡胶支座耐火试验前后竖向压缩刚度、水平等效刚度、等效阻尼比偏差</w:t>
            </w:r>
            <w:r>
              <w:rPr>
                <w:rFonts w:ascii="宋体"/>
              </w:rPr>
              <w:t>；</w:t>
            </w:r>
          </w:p>
        </w:tc>
      </w:tr>
      <w:tr w14:paraId="24C41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40" w:type="dxa"/>
            <w:tcBorders>
              <w:tl2br w:val="nil"/>
              <w:tr2bl w:val="nil"/>
            </w:tcBorders>
          </w:tcPr>
          <w:p w14:paraId="5E11ED77">
            <w:pPr>
              <w:snapToGrid w:val="0"/>
              <w:rPr>
                <w:rFonts w:ascii="宋体"/>
              </w:rPr>
            </w:pPr>
            <w:r>
              <w:rPr>
                <w:rFonts w:hint="eastAsia" w:ascii="宋体"/>
              </w:rPr>
              <w:drawing>
                <wp:inline distT="0" distB="0" distL="114300" distR="114300">
                  <wp:extent cx="247650" cy="228600"/>
                  <wp:effectExtent l="0" t="0" r="11430" b="0"/>
                  <wp:docPr id="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9"/>
                          <pic:cNvPicPr>
                            <a:picLocks noChangeAspect="1"/>
                          </pic:cNvPicPr>
                        </pic:nvPicPr>
                        <pic:blipFill>
                          <a:blip r:embed="rId44"/>
                          <a:stretch>
                            <a:fillRect/>
                          </a:stretch>
                        </pic:blipFill>
                        <pic:spPr>
                          <a:xfrm>
                            <a:off x="0" y="0"/>
                            <a:ext cx="247650" cy="228600"/>
                          </a:xfrm>
                          <a:prstGeom prst="rect">
                            <a:avLst/>
                          </a:prstGeom>
                          <a:noFill/>
                          <a:ln>
                            <a:noFill/>
                          </a:ln>
                        </pic:spPr>
                      </pic:pic>
                    </a:graphicData>
                  </a:graphic>
                </wp:inline>
              </w:drawing>
            </w:r>
            <w:r>
              <w:rPr>
                <w:rFonts w:hint="eastAsia" w:ascii="宋体"/>
              </w:rPr>
              <w:t>、</w:t>
            </w:r>
            <w:r>
              <w:rPr>
                <w:rFonts w:hint="eastAsia" w:ascii="宋体"/>
              </w:rPr>
              <w:drawing>
                <wp:inline distT="0" distB="0" distL="114300" distR="114300">
                  <wp:extent cx="247650" cy="209550"/>
                  <wp:effectExtent l="0" t="0" r="11430" b="3175"/>
                  <wp:docPr id="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0"/>
                          <pic:cNvPicPr>
                            <a:picLocks noChangeAspect="1"/>
                          </pic:cNvPicPr>
                        </pic:nvPicPr>
                        <pic:blipFill>
                          <a:blip r:embed="rId45"/>
                          <a:stretch>
                            <a:fillRect/>
                          </a:stretch>
                        </pic:blipFill>
                        <pic:spPr>
                          <a:xfrm>
                            <a:off x="0" y="0"/>
                            <a:ext cx="247650" cy="209550"/>
                          </a:xfrm>
                          <a:prstGeom prst="rect">
                            <a:avLst/>
                          </a:prstGeom>
                          <a:noFill/>
                          <a:ln>
                            <a:noFill/>
                          </a:ln>
                        </pic:spPr>
                      </pic:pic>
                    </a:graphicData>
                  </a:graphic>
                </wp:inline>
              </w:drawing>
            </w:r>
            <w:r>
              <w:rPr>
                <w:rFonts w:hint="eastAsia" w:ascii="宋体"/>
              </w:rPr>
              <w:t>、</w:t>
            </w:r>
            <w:r>
              <w:rPr>
                <w:rFonts w:hint="eastAsia" w:ascii="宋体"/>
              </w:rPr>
              <w:drawing>
                <wp:inline distT="0" distB="0" distL="114300" distR="114300">
                  <wp:extent cx="238125" cy="238125"/>
                  <wp:effectExtent l="0" t="0" r="5715" b="4445"/>
                  <wp:docPr id="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1"/>
                          <pic:cNvPicPr>
                            <a:picLocks noChangeAspect="1"/>
                          </pic:cNvPicPr>
                        </pic:nvPicPr>
                        <pic:blipFill>
                          <a:blip r:embed="rId46"/>
                          <a:stretch>
                            <a:fillRect/>
                          </a:stretch>
                        </pic:blipFill>
                        <pic:spPr>
                          <a:xfrm>
                            <a:off x="0" y="0"/>
                            <a:ext cx="238125" cy="238125"/>
                          </a:xfrm>
                          <a:prstGeom prst="rect">
                            <a:avLst/>
                          </a:prstGeom>
                          <a:noFill/>
                          <a:ln>
                            <a:noFill/>
                          </a:ln>
                        </pic:spPr>
                      </pic:pic>
                    </a:graphicData>
                  </a:graphic>
                </wp:inline>
              </w:drawing>
            </w:r>
          </w:p>
        </w:tc>
        <w:tc>
          <w:tcPr>
            <w:tcW w:w="458" w:type="dxa"/>
            <w:tcBorders>
              <w:tl2br w:val="nil"/>
              <w:tr2bl w:val="nil"/>
            </w:tcBorders>
            <w:vAlign w:val="center"/>
          </w:tcPr>
          <w:p w14:paraId="00ED8ECC">
            <w:pPr>
              <w:snapToGrid w:val="0"/>
              <w:rPr>
                <w:rFonts w:ascii="宋体"/>
              </w:rPr>
            </w:pPr>
            <w:r>
              <w:rPr>
                <w:rFonts w:hint="eastAsia" w:ascii="宋体"/>
              </w:rPr>
              <w:t>——</w:t>
            </w:r>
          </w:p>
        </w:tc>
        <w:tc>
          <w:tcPr>
            <w:tcW w:w="7361" w:type="dxa"/>
            <w:tcBorders>
              <w:tl2br w:val="nil"/>
              <w:tr2bl w:val="nil"/>
            </w:tcBorders>
            <w:vAlign w:val="center"/>
          </w:tcPr>
          <w:p w14:paraId="2A8B27B9">
            <w:pPr>
              <w:snapToGrid w:val="0"/>
              <w:rPr>
                <w:rFonts w:ascii="宋体"/>
              </w:rPr>
            </w:pPr>
            <w:r>
              <w:rPr>
                <w:rFonts w:hint="eastAsia" w:ascii="宋体"/>
              </w:rPr>
              <w:t>建筑隔震橡胶支座耐火试验前竖向压缩刚度、水平等效刚度、等效阻尼比；</w:t>
            </w:r>
          </w:p>
        </w:tc>
      </w:tr>
      <w:tr w14:paraId="00102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40" w:type="dxa"/>
            <w:tcBorders>
              <w:tl2br w:val="nil"/>
              <w:tr2bl w:val="nil"/>
            </w:tcBorders>
          </w:tcPr>
          <w:p w14:paraId="360070B6">
            <w:pPr>
              <w:snapToGrid w:val="0"/>
              <w:rPr>
                <w:rFonts w:ascii="宋体"/>
              </w:rPr>
            </w:pPr>
            <w:r>
              <w:rPr>
                <w:rFonts w:ascii="宋体"/>
              </w:rPr>
              <w:drawing>
                <wp:inline distT="0" distB="0" distL="114300" distR="114300">
                  <wp:extent cx="257175" cy="228600"/>
                  <wp:effectExtent l="0" t="0" r="1905" b="0"/>
                  <wp:docPr id="1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2"/>
                          <pic:cNvPicPr>
                            <a:picLocks noChangeAspect="1"/>
                          </pic:cNvPicPr>
                        </pic:nvPicPr>
                        <pic:blipFill>
                          <a:blip r:embed="rId47"/>
                          <a:stretch>
                            <a:fillRect/>
                          </a:stretch>
                        </pic:blipFill>
                        <pic:spPr>
                          <a:xfrm>
                            <a:off x="0" y="0"/>
                            <a:ext cx="257175" cy="228600"/>
                          </a:xfrm>
                          <a:prstGeom prst="rect">
                            <a:avLst/>
                          </a:prstGeom>
                          <a:noFill/>
                          <a:ln>
                            <a:noFill/>
                          </a:ln>
                        </pic:spPr>
                      </pic:pic>
                    </a:graphicData>
                  </a:graphic>
                </wp:inline>
              </w:drawing>
            </w:r>
            <w:r>
              <w:rPr>
                <w:rFonts w:hint="eastAsia" w:ascii="宋体"/>
              </w:rPr>
              <w:t>、</w:t>
            </w:r>
            <w:r>
              <w:rPr>
                <w:rFonts w:ascii="宋体"/>
              </w:rPr>
              <w:drawing>
                <wp:inline distT="0" distB="0" distL="114300" distR="114300">
                  <wp:extent cx="257175" cy="209550"/>
                  <wp:effectExtent l="0" t="0" r="1905" b="3175"/>
                  <wp:docPr id="1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3"/>
                          <pic:cNvPicPr>
                            <a:picLocks noChangeAspect="1"/>
                          </pic:cNvPicPr>
                        </pic:nvPicPr>
                        <pic:blipFill>
                          <a:blip r:embed="rId48"/>
                          <a:stretch>
                            <a:fillRect/>
                          </a:stretch>
                        </pic:blipFill>
                        <pic:spPr>
                          <a:xfrm>
                            <a:off x="0" y="0"/>
                            <a:ext cx="257175" cy="209550"/>
                          </a:xfrm>
                          <a:prstGeom prst="rect">
                            <a:avLst/>
                          </a:prstGeom>
                          <a:noFill/>
                          <a:ln>
                            <a:noFill/>
                          </a:ln>
                        </pic:spPr>
                      </pic:pic>
                    </a:graphicData>
                  </a:graphic>
                </wp:inline>
              </w:drawing>
            </w:r>
            <w:r>
              <w:rPr>
                <w:rFonts w:hint="eastAsia" w:ascii="宋体"/>
              </w:rPr>
              <w:t>、</w:t>
            </w:r>
            <w:r>
              <w:rPr>
                <w:rFonts w:ascii="宋体"/>
              </w:rPr>
              <w:drawing>
                <wp:inline distT="0" distB="0" distL="114300" distR="114300">
                  <wp:extent cx="247650" cy="238125"/>
                  <wp:effectExtent l="0" t="0" r="11430" b="4445"/>
                  <wp:docPr id="1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4"/>
                          <pic:cNvPicPr>
                            <a:picLocks noChangeAspect="1"/>
                          </pic:cNvPicPr>
                        </pic:nvPicPr>
                        <pic:blipFill>
                          <a:blip r:embed="rId49"/>
                          <a:stretch>
                            <a:fillRect/>
                          </a:stretch>
                        </pic:blipFill>
                        <pic:spPr>
                          <a:xfrm>
                            <a:off x="0" y="0"/>
                            <a:ext cx="247650" cy="238125"/>
                          </a:xfrm>
                          <a:prstGeom prst="rect">
                            <a:avLst/>
                          </a:prstGeom>
                          <a:noFill/>
                          <a:ln>
                            <a:noFill/>
                          </a:ln>
                        </pic:spPr>
                      </pic:pic>
                    </a:graphicData>
                  </a:graphic>
                </wp:inline>
              </w:drawing>
            </w:r>
          </w:p>
        </w:tc>
        <w:tc>
          <w:tcPr>
            <w:tcW w:w="458" w:type="dxa"/>
            <w:tcBorders>
              <w:tl2br w:val="nil"/>
              <w:tr2bl w:val="nil"/>
            </w:tcBorders>
            <w:vAlign w:val="center"/>
          </w:tcPr>
          <w:p w14:paraId="3AD4C8CE">
            <w:pPr>
              <w:snapToGrid w:val="0"/>
              <w:rPr>
                <w:rFonts w:ascii="宋体"/>
              </w:rPr>
            </w:pPr>
            <w:r>
              <w:rPr>
                <w:rFonts w:ascii="宋体"/>
              </w:rPr>
              <w:t>——</w:t>
            </w:r>
          </w:p>
        </w:tc>
        <w:tc>
          <w:tcPr>
            <w:tcW w:w="7361" w:type="dxa"/>
            <w:tcBorders>
              <w:tl2br w:val="nil"/>
              <w:tr2bl w:val="nil"/>
            </w:tcBorders>
            <w:vAlign w:val="center"/>
          </w:tcPr>
          <w:p w14:paraId="42C5A29E">
            <w:pPr>
              <w:snapToGrid w:val="0"/>
              <w:rPr>
                <w:rFonts w:ascii="宋体"/>
              </w:rPr>
            </w:pPr>
            <w:r>
              <w:rPr>
                <w:rFonts w:hint="eastAsia" w:ascii="宋体"/>
              </w:rPr>
              <w:t>建筑隔震橡胶支座耐火试验后竖向压缩刚度、水平等效刚度、等效阻尼比。</w:t>
            </w:r>
          </w:p>
        </w:tc>
      </w:tr>
    </w:tbl>
    <w:p w14:paraId="503424EE">
      <w:pPr>
        <w:pStyle w:val="130"/>
        <w:numPr>
          <w:ilvl w:val="0"/>
          <w:numId w:val="0"/>
        </w:numPr>
        <w:ind w:left="811"/>
        <w:jc w:val="both"/>
        <w:outlineLvl w:val="9"/>
      </w:pPr>
    </w:p>
    <w:p w14:paraId="584F056C">
      <w:pPr>
        <w:pStyle w:val="133"/>
        <w:framePr w:wrap="around"/>
      </w:pPr>
      <w:r>
        <w:t>_________________________________</w:t>
      </w:r>
    </w:p>
    <w:sectPr>
      <w:footerReference r:id="rId6"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CFBA7">
    <w:pPr>
      <w:pStyle w:val="10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25615">
    <w:pPr>
      <w:pStyle w:val="10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9682BE">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89682BE">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E0F56">
    <w:pPr>
      <w:pStyle w:val="10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49B4C">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B749B4C">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BF380">
    <w:pPr>
      <w:pStyle w:val="108"/>
    </w:pPr>
    <w:r>
      <w:rPr>
        <w:rFonts w:hint="eastAsia"/>
      </w:rPr>
      <w:t>T</w:t>
    </w:r>
    <w:r>
      <w:t xml:space="preserve">/ </w:t>
    </w:r>
    <w:r>
      <w:rPr>
        <w:rFonts w:hint="eastAsia"/>
      </w:rPr>
      <w:t>CECS 1000</w:t>
    </w:r>
    <w:r>
      <w:t>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5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9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3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5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7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9"/>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8"/>
      <w:suff w:val="nothing"/>
      <w:lvlText w:val="%1.%2.%3　"/>
      <w:lvlJc w:val="left"/>
      <w:pPr>
        <w:ind w:left="851" w:firstLine="0"/>
      </w:pPr>
      <w:rPr>
        <w:rFonts w:hint="eastAsia" w:ascii="黑体" w:hAnsi="Times New Roman" w:eastAsia="黑体"/>
        <w:b w:val="0"/>
        <w:i w:val="0"/>
        <w:sz w:val="21"/>
      </w:rPr>
    </w:lvl>
    <w:lvl w:ilvl="3" w:tentative="0">
      <w:start w:val="1"/>
      <w:numFmt w:val="decimal"/>
      <w:pStyle w:val="57"/>
      <w:suff w:val="nothing"/>
      <w:lvlText w:val="%1.%2.%3.%4　"/>
      <w:lvlJc w:val="left"/>
      <w:pPr>
        <w:ind w:left="-142" w:firstLine="0"/>
      </w:pPr>
      <w:rPr>
        <w:rFonts w:hint="eastAsia" w:ascii="黑体" w:hAnsi="Times New Roman" w:eastAsia="黑体"/>
        <w:b w:val="0"/>
        <w:i w:val="0"/>
        <w:sz w:val="21"/>
      </w:rPr>
    </w:lvl>
    <w:lvl w:ilvl="4" w:tentative="0">
      <w:start w:val="1"/>
      <w:numFmt w:val="decimal"/>
      <w:pStyle w:val="86"/>
      <w:suff w:val="nothing"/>
      <w:lvlText w:val="%1.%2.%3.%4.%5　"/>
      <w:lvlJc w:val="left"/>
      <w:pPr>
        <w:ind w:left="-142" w:firstLine="0"/>
      </w:pPr>
      <w:rPr>
        <w:rFonts w:hint="eastAsia" w:ascii="黑体" w:hAnsi="Times New Roman" w:eastAsia="黑体"/>
        <w:b w:val="0"/>
        <w:i w:val="0"/>
        <w:sz w:val="21"/>
      </w:rPr>
    </w:lvl>
    <w:lvl w:ilvl="5" w:tentative="0">
      <w:start w:val="1"/>
      <w:numFmt w:val="decimal"/>
      <w:pStyle w:val="111"/>
      <w:suff w:val="nothing"/>
      <w:lvlText w:val="%1.%2.%3.%4.%5.%6　"/>
      <w:lvlJc w:val="left"/>
      <w:pPr>
        <w:ind w:left="-142" w:firstLine="0"/>
      </w:pPr>
      <w:rPr>
        <w:rFonts w:hint="eastAsia" w:ascii="黑体" w:hAnsi="Times New Roman" w:eastAsia="黑体"/>
        <w:b w:val="0"/>
        <w:i w:val="0"/>
        <w:sz w:val="21"/>
      </w:rPr>
    </w:lvl>
    <w:lvl w:ilvl="6" w:tentative="0">
      <w:start w:val="1"/>
      <w:numFmt w:val="decimal"/>
      <w:suff w:val="nothing"/>
      <w:lvlText w:val="%1%2.%3.%4.%5.%6.%7　"/>
      <w:lvlJc w:val="left"/>
      <w:pPr>
        <w:ind w:left="-142" w:firstLine="0"/>
      </w:pPr>
      <w:rPr>
        <w:rFonts w:hint="eastAsia" w:ascii="黑体" w:hAnsi="Times New Roman" w:eastAsia="黑体"/>
        <w:b w:val="0"/>
        <w:i w:val="0"/>
        <w:sz w:val="21"/>
      </w:rPr>
    </w:lvl>
    <w:lvl w:ilvl="7" w:tentative="0">
      <w:start w:val="1"/>
      <w:numFmt w:val="decimal"/>
      <w:lvlText w:val="%1.%2.%3.%4.%5.%6.%7.%8"/>
      <w:lvlJc w:val="left"/>
      <w:pPr>
        <w:tabs>
          <w:tab w:val="left" w:pos="4209"/>
        </w:tabs>
        <w:ind w:left="3827" w:hanging="1418"/>
      </w:pPr>
      <w:rPr>
        <w:rFonts w:hint="eastAsia"/>
      </w:rPr>
    </w:lvl>
    <w:lvl w:ilvl="8" w:tentative="0">
      <w:start w:val="1"/>
      <w:numFmt w:val="decimal"/>
      <w:lvlText w:val="%1.%2.%3.%4.%5.%6.%7.%8.%9"/>
      <w:lvlJc w:val="left"/>
      <w:pPr>
        <w:tabs>
          <w:tab w:val="left" w:pos="4635"/>
        </w:tabs>
        <w:ind w:left="4535" w:hanging="1700"/>
      </w:pPr>
      <w:rPr>
        <w:rFonts w:hint="eastAsia"/>
      </w:rPr>
    </w:lvl>
  </w:abstractNum>
  <w:abstractNum w:abstractNumId="6">
    <w:nsid w:val="2A8F7113"/>
    <w:multiLevelType w:val="multilevel"/>
    <w:tmpl w:val="2A8F7113"/>
    <w:lvl w:ilvl="0" w:tentative="0">
      <w:start w:val="1"/>
      <w:numFmt w:val="upperLetter"/>
      <w:pStyle w:val="90"/>
      <w:suff w:val="space"/>
      <w:lvlText w:val="%1"/>
      <w:lvlJc w:val="left"/>
      <w:pPr>
        <w:ind w:left="623" w:hanging="425"/>
      </w:pPr>
      <w:rPr>
        <w:rFonts w:hint="eastAsia"/>
      </w:rPr>
    </w:lvl>
    <w:lvl w:ilvl="1" w:tentative="0">
      <w:start w:val="1"/>
      <w:numFmt w:val="decimal"/>
      <w:pStyle w:val="13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09"/>
      <w:suff w:val="nothing"/>
      <w:lvlText w:val="%1——"/>
      <w:lvlJc w:val="left"/>
      <w:pPr>
        <w:ind w:left="833" w:hanging="408"/>
      </w:pPr>
      <w:rPr>
        <w:rFonts w:hint="eastAsia"/>
      </w:rPr>
    </w:lvl>
    <w:lvl w:ilvl="1" w:tentative="0">
      <w:start w:val="1"/>
      <w:numFmt w:val="bullet"/>
      <w:pStyle w:val="117"/>
      <w:lvlText w:val=""/>
      <w:lvlJc w:val="left"/>
      <w:pPr>
        <w:tabs>
          <w:tab w:val="left" w:pos="760"/>
        </w:tabs>
        <w:ind w:left="1264" w:hanging="413"/>
      </w:pPr>
      <w:rPr>
        <w:rFonts w:hint="default" w:ascii="Symbol" w:hAnsi="Symbol"/>
        <w:color w:val="auto"/>
      </w:rPr>
    </w:lvl>
    <w:lvl w:ilvl="2" w:tentative="0">
      <w:start w:val="1"/>
      <w:numFmt w:val="bullet"/>
      <w:pStyle w:val="6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8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71"/>
      <w:lvlText w:val="%2)"/>
      <w:lvlJc w:val="left"/>
      <w:pPr>
        <w:tabs>
          <w:tab w:val="left" w:pos="1260"/>
        </w:tabs>
        <w:ind w:left="1259" w:hanging="419"/>
      </w:pPr>
      <w:rPr>
        <w:rFonts w:hint="eastAsia"/>
      </w:rPr>
    </w:lvl>
    <w:lvl w:ilvl="2" w:tentative="0">
      <w:start w:val="1"/>
      <w:numFmt w:val="decimal"/>
      <w:pStyle w:val="75"/>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7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8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130"/>
      <w:lvlText w:val="%1"/>
      <w:lvlJc w:val="left"/>
      <w:pPr>
        <w:tabs>
          <w:tab w:val="left" w:pos="0"/>
        </w:tabs>
        <w:ind w:left="0" w:hanging="425"/>
      </w:pPr>
      <w:rPr>
        <w:rFonts w:hint="eastAsia"/>
      </w:rPr>
    </w:lvl>
    <w:lvl w:ilvl="1" w:tentative="0">
      <w:start w:val="1"/>
      <w:numFmt w:val="decimal"/>
      <w:pStyle w:val="13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4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2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63"/>
      <w:suff w:val="nothing"/>
      <w:lvlText w:val="%1.%2　"/>
      <w:lvlJc w:val="left"/>
      <w:pPr>
        <w:ind w:left="0" w:firstLine="0"/>
      </w:pPr>
      <w:rPr>
        <w:rFonts w:hint="default" w:ascii="Times New Roman" w:hAnsi="Times New Roman" w:eastAsia="黑体" w:cs="Times New Roman"/>
        <w:b w:val="0"/>
        <w:i w:val="0"/>
        <w:snapToGrid/>
        <w:spacing w:val="0"/>
        <w:w w:val="100"/>
        <w:kern w:val="21"/>
        <w:sz w:val="21"/>
      </w:rPr>
    </w:lvl>
    <w:lvl w:ilvl="2" w:tentative="0">
      <w:start w:val="1"/>
      <w:numFmt w:val="decimal"/>
      <w:pStyle w:val="62"/>
      <w:suff w:val="nothing"/>
      <w:lvlText w:val="%1.%2.%3　"/>
      <w:lvlJc w:val="left"/>
      <w:pPr>
        <w:ind w:left="0" w:firstLine="0"/>
      </w:pPr>
      <w:rPr>
        <w:rFonts w:hint="eastAsia" w:ascii="黑体" w:hAnsi="Times New Roman" w:eastAsia="黑体"/>
        <w:b w:val="0"/>
        <w:i w:val="0"/>
        <w:sz w:val="21"/>
      </w:rPr>
    </w:lvl>
    <w:lvl w:ilvl="3" w:tentative="0">
      <w:start w:val="1"/>
      <w:numFmt w:val="decimal"/>
      <w:pStyle w:val="80"/>
      <w:suff w:val="nothing"/>
      <w:lvlText w:val="%1.%2.%3.%4　"/>
      <w:lvlJc w:val="left"/>
      <w:pPr>
        <w:ind w:left="0" w:firstLine="0"/>
      </w:pPr>
      <w:rPr>
        <w:rFonts w:hint="eastAsia" w:ascii="黑体" w:hAnsi="Times New Roman" w:eastAsia="黑体"/>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78"/>
      <w:suff w:val="nothing"/>
      <w:lvlText w:val="%1.%2.%3.%4.%5.%6　"/>
      <w:lvlJc w:val="left"/>
      <w:pPr>
        <w:ind w:left="0" w:firstLine="0"/>
      </w:pPr>
      <w:rPr>
        <w:rFonts w:hint="eastAsia" w:ascii="黑体" w:hAnsi="Times New Roman" w:eastAsia="黑体"/>
        <w:b w:val="0"/>
        <w:i w:val="0"/>
        <w:sz w:val="21"/>
      </w:rPr>
    </w:lvl>
    <w:lvl w:ilvl="6" w:tentative="0">
      <w:start w:val="1"/>
      <w:numFmt w:val="decimal"/>
      <w:pStyle w:val="11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40"/>
      <w:lvlText w:val="%1)"/>
      <w:lvlJc w:val="left"/>
      <w:pPr>
        <w:tabs>
          <w:tab w:val="left" w:pos="839"/>
        </w:tabs>
        <w:ind w:left="839" w:hanging="419"/>
      </w:pPr>
      <w:rPr>
        <w:rFonts w:hint="eastAsia" w:ascii="宋体" w:eastAsia="宋体"/>
        <w:b w:val="0"/>
        <w:i w:val="0"/>
        <w:sz w:val="21"/>
      </w:rPr>
    </w:lvl>
    <w:lvl w:ilvl="1" w:tentative="0">
      <w:start w:val="1"/>
      <w:numFmt w:val="decimal"/>
      <w:pStyle w:val="13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6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
  </w:num>
  <w:num w:numId="3">
    <w:abstractNumId w:val="4"/>
  </w:num>
  <w:num w:numId="4">
    <w:abstractNumId w:val="5"/>
  </w:num>
  <w:num w:numId="5">
    <w:abstractNumId w:val="16"/>
  </w:num>
  <w:num w:numId="6">
    <w:abstractNumId w:val="14"/>
  </w:num>
  <w:num w:numId="7">
    <w:abstractNumId w:val="7"/>
  </w:num>
  <w:num w:numId="8">
    <w:abstractNumId w:val="0"/>
  </w:num>
  <w:num w:numId="9">
    <w:abstractNumId w:val="9"/>
  </w:num>
  <w:num w:numId="10">
    <w:abstractNumId w:val="10"/>
  </w:num>
  <w:num w:numId="11">
    <w:abstractNumId w:val="11"/>
  </w:num>
  <w:num w:numId="12">
    <w:abstractNumId w:val="6"/>
  </w:num>
  <w:num w:numId="13">
    <w:abstractNumId w:val="2"/>
  </w:num>
  <w:num w:numId="14">
    <w:abstractNumId w:val="12"/>
  </w:num>
  <w:num w:numId="15">
    <w:abstractNumId w:val="3"/>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WY2OTRlYmE0YTFmZmFkZDJmZTFiMTk0ZDAxNjEifQ=="/>
  </w:docVars>
  <w:rsids>
    <w:rsidRoot w:val="00172A27"/>
    <w:rsid w:val="00000244"/>
    <w:rsid w:val="0000185F"/>
    <w:rsid w:val="0000364D"/>
    <w:rsid w:val="0000586F"/>
    <w:rsid w:val="00007D81"/>
    <w:rsid w:val="0001001C"/>
    <w:rsid w:val="00013D86"/>
    <w:rsid w:val="00013E02"/>
    <w:rsid w:val="0002143C"/>
    <w:rsid w:val="000252E8"/>
    <w:rsid w:val="00025A65"/>
    <w:rsid w:val="00025E2E"/>
    <w:rsid w:val="00026C31"/>
    <w:rsid w:val="00026F4A"/>
    <w:rsid w:val="00027280"/>
    <w:rsid w:val="000320A7"/>
    <w:rsid w:val="00035925"/>
    <w:rsid w:val="00046C89"/>
    <w:rsid w:val="0004726A"/>
    <w:rsid w:val="00050101"/>
    <w:rsid w:val="000513CD"/>
    <w:rsid w:val="00053A5F"/>
    <w:rsid w:val="000550AF"/>
    <w:rsid w:val="0005677B"/>
    <w:rsid w:val="0006059F"/>
    <w:rsid w:val="00062F31"/>
    <w:rsid w:val="00065AF6"/>
    <w:rsid w:val="00067CDF"/>
    <w:rsid w:val="00074FBE"/>
    <w:rsid w:val="00083A09"/>
    <w:rsid w:val="0009005E"/>
    <w:rsid w:val="00092857"/>
    <w:rsid w:val="00096CBA"/>
    <w:rsid w:val="000A20A9"/>
    <w:rsid w:val="000A48B1"/>
    <w:rsid w:val="000A7BFC"/>
    <w:rsid w:val="000B0F47"/>
    <w:rsid w:val="000B3143"/>
    <w:rsid w:val="000B62B0"/>
    <w:rsid w:val="000C43FB"/>
    <w:rsid w:val="000C6B05"/>
    <w:rsid w:val="000C6DD6"/>
    <w:rsid w:val="000C73D4"/>
    <w:rsid w:val="000D1E72"/>
    <w:rsid w:val="000D3D4C"/>
    <w:rsid w:val="000D4F51"/>
    <w:rsid w:val="000D7055"/>
    <w:rsid w:val="000D718B"/>
    <w:rsid w:val="000E0C46"/>
    <w:rsid w:val="000F030C"/>
    <w:rsid w:val="000F0F01"/>
    <w:rsid w:val="000F129C"/>
    <w:rsid w:val="000F6C19"/>
    <w:rsid w:val="00100643"/>
    <w:rsid w:val="001049E5"/>
    <w:rsid w:val="001056DE"/>
    <w:rsid w:val="001124C0"/>
    <w:rsid w:val="00114F28"/>
    <w:rsid w:val="0012163B"/>
    <w:rsid w:val="00124CF5"/>
    <w:rsid w:val="0013175F"/>
    <w:rsid w:val="001332E0"/>
    <w:rsid w:val="00133498"/>
    <w:rsid w:val="00141864"/>
    <w:rsid w:val="00143D3E"/>
    <w:rsid w:val="001512B4"/>
    <w:rsid w:val="001620A5"/>
    <w:rsid w:val="00164E53"/>
    <w:rsid w:val="0016699D"/>
    <w:rsid w:val="00172A27"/>
    <w:rsid w:val="00175159"/>
    <w:rsid w:val="00176208"/>
    <w:rsid w:val="0018211B"/>
    <w:rsid w:val="001840D3"/>
    <w:rsid w:val="001900F8"/>
    <w:rsid w:val="00191258"/>
    <w:rsid w:val="00192680"/>
    <w:rsid w:val="00193037"/>
    <w:rsid w:val="00193A2C"/>
    <w:rsid w:val="001A288E"/>
    <w:rsid w:val="001A7997"/>
    <w:rsid w:val="001B0310"/>
    <w:rsid w:val="001B6DC2"/>
    <w:rsid w:val="001C149C"/>
    <w:rsid w:val="001C21AC"/>
    <w:rsid w:val="001C47BA"/>
    <w:rsid w:val="001C59EA"/>
    <w:rsid w:val="001C6DEA"/>
    <w:rsid w:val="001D0167"/>
    <w:rsid w:val="001D406C"/>
    <w:rsid w:val="001D41EE"/>
    <w:rsid w:val="001E0380"/>
    <w:rsid w:val="001E13B1"/>
    <w:rsid w:val="001E3CBB"/>
    <w:rsid w:val="001F3A19"/>
    <w:rsid w:val="001F50AF"/>
    <w:rsid w:val="00210FBD"/>
    <w:rsid w:val="00224E9C"/>
    <w:rsid w:val="00226D7C"/>
    <w:rsid w:val="00230F11"/>
    <w:rsid w:val="00234467"/>
    <w:rsid w:val="00234F6A"/>
    <w:rsid w:val="00237D8D"/>
    <w:rsid w:val="00240458"/>
    <w:rsid w:val="00241DA2"/>
    <w:rsid w:val="0024214A"/>
    <w:rsid w:val="00247FEE"/>
    <w:rsid w:val="002504A3"/>
    <w:rsid w:val="00250E7D"/>
    <w:rsid w:val="002541A8"/>
    <w:rsid w:val="002565D5"/>
    <w:rsid w:val="00256DEC"/>
    <w:rsid w:val="0025791D"/>
    <w:rsid w:val="002622C0"/>
    <w:rsid w:val="00262E2F"/>
    <w:rsid w:val="002759CB"/>
    <w:rsid w:val="00277856"/>
    <w:rsid w:val="002778AE"/>
    <w:rsid w:val="00280A00"/>
    <w:rsid w:val="0028269A"/>
    <w:rsid w:val="00283590"/>
    <w:rsid w:val="00286973"/>
    <w:rsid w:val="00286B3C"/>
    <w:rsid w:val="00294E70"/>
    <w:rsid w:val="002A067C"/>
    <w:rsid w:val="002A1924"/>
    <w:rsid w:val="002A1C09"/>
    <w:rsid w:val="002A2E62"/>
    <w:rsid w:val="002A7420"/>
    <w:rsid w:val="002B01A6"/>
    <w:rsid w:val="002B0F12"/>
    <w:rsid w:val="002B1308"/>
    <w:rsid w:val="002B403D"/>
    <w:rsid w:val="002B4554"/>
    <w:rsid w:val="002B4CDA"/>
    <w:rsid w:val="002B4E10"/>
    <w:rsid w:val="002B55EA"/>
    <w:rsid w:val="002C0DD2"/>
    <w:rsid w:val="002C72D8"/>
    <w:rsid w:val="002D11FA"/>
    <w:rsid w:val="002E0DDF"/>
    <w:rsid w:val="002E2532"/>
    <w:rsid w:val="002E2906"/>
    <w:rsid w:val="002E5635"/>
    <w:rsid w:val="002E64C3"/>
    <w:rsid w:val="002E6A2C"/>
    <w:rsid w:val="002F1D8C"/>
    <w:rsid w:val="002F21DA"/>
    <w:rsid w:val="002F63DC"/>
    <w:rsid w:val="002F7320"/>
    <w:rsid w:val="003010DD"/>
    <w:rsid w:val="00301F39"/>
    <w:rsid w:val="00311892"/>
    <w:rsid w:val="00312AC2"/>
    <w:rsid w:val="003179B6"/>
    <w:rsid w:val="00325926"/>
    <w:rsid w:val="00327A8A"/>
    <w:rsid w:val="0033017C"/>
    <w:rsid w:val="00330775"/>
    <w:rsid w:val="00336610"/>
    <w:rsid w:val="003378B6"/>
    <w:rsid w:val="0033798A"/>
    <w:rsid w:val="00343F73"/>
    <w:rsid w:val="00344517"/>
    <w:rsid w:val="00345060"/>
    <w:rsid w:val="00346BC5"/>
    <w:rsid w:val="00346EE9"/>
    <w:rsid w:val="0035323B"/>
    <w:rsid w:val="003609D2"/>
    <w:rsid w:val="0036226F"/>
    <w:rsid w:val="00363F22"/>
    <w:rsid w:val="003650D1"/>
    <w:rsid w:val="00375564"/>
    <w:rsid w:val="003772D5"/>
    <w:rsid w:val="00377980"/>
    <w:rsid w:val="00383191"/>
    <w:rsid w:val="00386DED"/>
    <w:rsid w:val="003912E7"/>
    <w:rsid w:val="00392884"/>
    <w:rsid w:val="00393947"/>
    <w:rsid w:val="003A2275"/>
    <w:rsid w:val="003A6A4F"/>
    <w:rsid w:val="003A7088"/>
    <w:rsid w:val="003A7145"/>
    <w:rsid w:val="003A719D"/>
    <w:rsid w:val="003B00DF"/>
    <w:rsid w:val="003B1275"/>
    <w:rsid w:val="003B1778"/>
    <w:rsid w:val="003B6718"/>
    <w:rsid w:val="003C11CB"/>
    <w:rsid w:val="003C75F3"/>
    <w:rsid w:val="003C78A3"/>
    <w:rsid w:val="003D4F89"/>
    <w:rsid w:val="003E1867"/>
    <w:rsid w:val="003E5729"/>
    <w:rsid w:val="003F201A"/>
    <w:rsid w:val="003F2283"/>
    <w:rsid w:val="003F25B0"/>
    <w:rsid w:val="003F4EE0"/>
    <w:rsid w:val="00402153"/>
    <w:rsid w:val="00402FC1"/>
    <w:rsid w:val="00403130"/>
    <w:rsid w:val="00416C88"/>
    <w:rsid w:val="00417CAD"/>
    <w:rsid w:val="00425082"/>
    <w:rsid w:val="00425530"/>
    <w:rsid w:val="004270EC"/>
    <w:rsid w:val="0042796C"/>
    <w:rsid w:val="00431585"/>
    <w:rsid w:val="00431DEB"/>
    <w:rsid w:val="004362A4"/>
    <w:rsid w:val="00446B29"/>
    <w:rsid w:val="00450E3C"/>
    <w:rsid w:val="00453F9A"/>
    <w:rsid w:val="00454726"/>
    <w:rsid w:val="00455E3D"/>
    <w:rsid w:val="004641CF"/>
    <w:rsid w:val="00471E91"/>
    <w:rsid w:val="00474675"/>
    <w:rsid w:val="0047470C"/>
    <w:rsid w:val="00496011"/>
    <w:rsid w:val="004A10CA"/>
    <w:rsid w:val="004A35F9"/>
    <w:rsid w:val="004B07F2"/>
    <w:rsid w:val="004B24C1"/>
    <w:rsid w:val="004C260E"/>
    <w:rsid w:val="004C292F"/>
    <w:rsid w:val="004C5B2F"/>
    <w:rsid w:val="004C658A"/>
    <w:rsid w:val="004C7AA8"/>
    <w:rsid w:val="004F521F"/>
    <w:rsid w:val="00510280"/>
    <w:rsid w:val="00513D73"/>
    <w:rsid w:val="00513ED3"/>
    <w:rsid w:val="00514A43"/>
    <w:rsid w:val="0051674C"/>
    <w:rsid w:val="005174E5"/>
    <w:rsid w:val="00522393"/>
    <w:rsid w:val="00522620"/>
    <w:rsid w:val="00525656"/>
    <w:rsid w:val="00534C02"/>
    <w:rsid w:val="0054264B"/>
    <w:rsid w:val="00543533"/>
    <w:rsid w:val="00543786"/>
    <w:rsid w:val="005533D7"/>
    <w:rsid w:val="0055385F"/>
    <w:rsid w:val="005552F0"/>
    <w:rsid w:val="0055552B"/>
    <w:rsid w:val="0055735D"/>
    <w:rsid w:val="00565E0A"/>
    <w:rsid w:val="00566CD1"/>
    <w:rsid w:val="00570184"/>
    <w:rsid w:val="005703DE"/>
    <w:rsid w:val="005769A5"/>
    <w:rsid w:val="0058018A"/>
    <w:rsid w:val="005843FF"/>
    <w:rsid w:val="0058464E"/>
    <w:rsid w:val="005919D4"/>
    <w:rsid w:val="005A01CB"/>
    <w:rsid w:val="005A58FF"/>
    <w:rsid w:val="005A5EAF"/>
    <w:rsid w:val="005A64C0"/>
    <w:rsid w:val="005B1AD6"/>
    <w:rsid w:val="005B3C11"/>
    <w:rsid w:val="005B4C32"/>
    <w:rsid w:val="005C1C28"/>
    <w:rsid w:val="005C6082"/>
    <w:rsid w:val="005C6DB5"/>
    <w:rsid w:val="005D2437"/>
    <w:rsid w:val="005D32C2"/>
    <w:rsid w:val="005D5302"/>
    <w:rsid w:val="005E19E7"/>
    <w:rsid w:val="005E3463"/>
    <w:rsid w:val="005E55B7"/>
    <w:rsid w:val="005E718D"/>
    <w:rsid w:val="005F1815"/>
    <w:rsid w:val="005F4BA9"/>
    <w:rsid w:val="005F65BA"/>
    <w:rsid w:val="006007AD"/>
    <w:rsid w:val="006065B7"/>
    <w:rsid w:val="00612B96"/>
    <w:rsid w:val="0061716C"/>
    <w:rsid w:val="006243A1"/>
    <w:rsid w:val="006310D7"/>
    <w:rsid w:val="00632E56"/>
    <w:rsid w:val="00635CBA"/>
    <w:rsid w:val="00636E62"/>
    <w:rsid w:val="006407A3"/>
    <w:rsid w:val="0064338B"/>
    <w:rsid w:val="00646542"/>
    <w:rsid w:val="006504F4"/>
    <w:rsid w:val="00653AEB"/>
    <w:rsid w:val="00654BC9"/>
    <w:rsid w:val="006552FD"/>
    <w:rsid w:val="0065728F"/>
    <w:rsid w:val="00662FDD"/>
    <w:rsid w:val="00663AF3"/>
    <w:rsid w:val="00666B6C"/>
    <w:rsid w:val="00667160"/>
    <w:rsid w:val="0066791F"/>
    <w:rsid w:val="00674D60"/>
    <w:rsid w:val="00676A77"/>
    <w:rsid w:val="00682682"/>
    <w:rsid w:val="00682702"/>
    <w:rsid w:val="006902AF"/>
    <w:rsid w:val="00692368"/>
    <w:rsid w:val="006953C0"/>
    <w:rsid w:val="006A1154"/>
    <w:rsid w:val="006A2EBC"/>
    <w:rsid w:val="006A3199"/>
    <w:rsid w:val="006A429F"/>
    <w:rsid w:val="006A5EA0"/>
    <w:rsid w:val="006A783B"/>
    <w:rsid w:val="006A7B33"/>
    <w:rsid w:val="006B4E13"/>
    <w:rsid w:val="006B75DD"/>
    <w:rsid w:val="006C0230"/>
    <w:rsid w:val="006C1BFE"/>
    <w:rsid w:val="006C67E0"/>
    <w:rsid w:val="006C7ABA"/>
    <w:rsid w:val="006D0D60"/>
    <w:rsid w:val="006D1122"/>
    <w:rsid w:val="006D12FA"/>
    <w:rsid w:val="006D1BD8"/>
    <w:rsid w:val="006D3C00"/>
    <w:rsid w:val="006D4741"/>
    <w:rsid w:val="006E2BFC"/>
    <w:rsid w:val="006E3675"/>
    <w:rsid w:val="006E4A38"/>
    <w:rsid w:val="006E4A7F"/>
    <w:rsid w:val="006F137A"/>
    <w:rsid w:val="00704DF6"/>
    <w:rsid w:val="00706297"/>
    <w:rsid w:val="0070651C"/>
    <w:rsid w:val="007132A3"/>
    <w:rsid w:val="00715411"/>
    <w:rsid w:val="00716421"/>
    <w:rsid w:val="007213AF"/>
    <w:rsid w:val="00724EFB"/>
    <w:rsid w:val="0072746A"/>
    <w:rsid w:val="0074045A"/>
    <w:rsid w:val="007419C3"/>
    <w:rsid w:val="007421B5"/>
    <w:rsid w:val="007467A7"/>
    <w:rsid w:val="007469DD"/>
    <w:rsid w:val="0074741B"/>
    <w:rsid w:val="0074759E"/>
    <w:rsid w:val="007478EA"/>
    <w:rsid w:val="00753AC9"/>
    <w:rsid w:val="0075415C"/>
    <w:rsid w:val="00760D0A"/>
    <w:rsid w:val="00763502"/>
    <w:rsid w:val="00764359"/>
    <w:rsid w:val="00765BFF"/>
    <w:rsid w:val="007913AB"/>
    <w:rsid w:val="007914F7"/>
    <w:rsid w:val="007A71BE"/>
    <w:rsid w:val="007B1625"/>
    <w:rsid w:val="007B6FD0"/>
    <w:rsid w:val="007B706E"/>
    <w:rsid w:val="007B71EB"/>
    <w:rsid w:val="007C0C97"/>
    <w:rsid w:val="007C4F42"/>
    <w:rsid w:val="007C6205"/>
    <w:rsid w:val="007C686A"/>
    <w:rsid w:val="007C728E"/>
    <w:rsid w:val="007C736F"/>
    <w:rsid w:val="007D2507"/>
    <w:rsid w:val="007D2C53"/>
    <w:rsid w:val="007D3A4C"/>
    <w:rsid w:val="007D3D60"/>
    <w:rsid w:val="007D5B9D"/>
    <w:rsid w:val="007D67AC"/>
    <w:rsid w:val="007E0104"/>
    <w:rsid w:val="007E0843"/>
    <w:rsid w:val="007E1980"/>
    <w:rsid w:val="007E4B76"/>
    <w:rsid w:val="007E5EA8"/>
    <w:rsid w:val="007F0CF1"/>
    <w:rsid w:val="007F12A5"/>
    <w:rsid w:val="007F4CF1"/>
    <w:rsid w:val="007F758D"/>
    <w:rsid w:val="007F7D52"/>
    <w:rsid w:val="008032BA"/>
    <w:rsid w:val="0080654C"/>
    <w:rsid w:val="008071C6"/>
    <w:rsid w:val="00812A73"/>
    <w:rsid w:val="00812D9B"/>
    <w:rsid w:val="00813E15"/>
    <w:rsid w:val="00817A00"/>
    <w:rsid w:val="00822F66"/>
    <w:rsid w:val="00831FFF"/>
    <w:rsid w:val="00835DB3"/>
    <w:rsid w:val="0083617B"/>
    <w:rsid w:val="008371BD"/>
    <w:rsid w:val="00843831"/>
    <w:rsid w:val="008504A8"/>
    <w:rsid w:val="00851C0D"/>
    <w:rsid w:val="0085282E"/>
    <w:rsid w:val="00860467"/>
    <w:rsid w:val="00871039"/>
    <w:rsid w:val="0087198C"/>
    <w:rsid w:val="00872C1F"/>
    <w:rsid w:val="00873163"/>
    <w:rsid w:val="00873B42"/>
    <w:rsid w:val="00882C04"/>
    <w:rsid w:val="008856D8"/>
    <w:rsid w:val="00886903"/>
    <w:rsid w:val="00892143"/>
    <w:rsid w:val="00892E82"/>
    <w:rsid w:val="008A3CB2"/>
    <w:rsid w:val="008A6E5F"/>
    <w:rsid w:val="008C1B58"/>
    <w:rsid w:val="008C39AE"/>
    <w:rsid w:val="008C590D"/>
    <w:rsid w:val="008E031B"/>
    <w:rsid w:val="008E7029"/>
    <w:rsid w:val="008E7EF6"/>
    <w:rsid w:val="008F1F98"/>
    <w:rsid w:val="008F63E0"/>
    <w:rsid w:val="008F6758"/>
    <w:rsid w:val="008F7C2D"/>
    <w:rsid w:val="00901DC3"/>
    <w:rsid w:val="00903019"/>
    <w:rsid w:val="009040DD"/>
    <w:rsid w:val="00905B47"/>
    <w:rsid w:val="00911579"/>
    <w:rsid w:val="0091331C"/>
    <w:rsid w:val="009148A7"/>
    <w:rsid w:val="00915947"/>
    <w:rsid w:val="00925F22"/>
    <w:rsid w:val="009279DE"/>
    <w:rsid w:val="00930116"/>
    <w:rsid w:val="00930FA8"/>
    <w:rsid w:val="0094212C"/>
    <w:rsid w:val="009437F0"/>
    <w:rsid w:val="009515F2"/>
    <w:rsid w:val="00954689"/>
    <w:rsid w:val="00960231"/>
    <w:rsid w:val="0096154F"/>
    <w:rsid w:val="009617C9"/>
    <w:rsid w:val="00961C93"/>
    <w:rsid w:val="0096373D"/>
    <w:rsid w:val="00965324"/>
    <w:rsid w:val="0097091E"/>
    <w:rsid w:val="0097118A"/>
    <w:rsid w:val="009760D3"/>
    <w:rsid w:val="00977132"/>
    <w:rsid w:val="00981A4B"/>
    <w:rsid w:val="00982501"/>
    <w:rsid w:val="0098482C"/>
    <w:rsid w:val="009877D3"/>
    <w:rsid w:val="00990C41"/>
    <w:rsid w:val="00994E8F"/>
    <w:rsid w:val="009951DC"/>
    <w:rsid w:val="009959BB"/>
    <w:rsid w:val="00997158"/>
    <w:rsid w:val="009A3A7C"/>
    <w:rsid w:val="009A586A"/>
    <w:rsid w:val="009B2ADB"/>
    <w:rsid w:val="009B36F5"/>
    <w:rsid w:val="009B603A"/>
    <w:rsid w:val="009B7CF1"/>
    <w:rsid w:val="009C2D0E"/>
    <w:rsid w:val="009C3DAC"/>
    <w:rsid w:val="009C42E0"/>
    <w:rsid w:val="009D5362"/>
    <w:rsid w:val="009E0C96"/>
    <w:rsid w:val="009E1415"/>
    <w:rsid w:val="009E2CBB"/>
    <w:rsid w:val="009E6116"/>
    <w:rsid w:val="009F0B6A"/>
    <w:rsid w:val="00A02E43"/>
    <w:rsid w:val="00A065F9"/>
    <w:rsid w:val="00A075B1"/>
    <w:rsid w:val="00A07F34"/>
    <w:rsid w:val="00A22154"/>
    <w:rsid w:val="00A25116"/>
    <w:rsid w:val="00A25C38"/>
    <w:rsid w:val="00A33B92"/>
    <w:rsid w:val="00A35668"/>
    <w:rsid w:val="00A36BBE"/>
    <w:rsid w:val="00A4307A"/>
    <w:rsid w:val="00A4763B"/>
    <w:rsid w:val="00A47EBB"/>
    <w:rsid w:val="00A51CDD"/>
    <w:rsid w:val="00A52289"/>
    <w:rsid w:val="00A5307F"/>
    <w:rsid w:val="00A5410B"/>
    <w:rsid w:val="00A56753"/>
    <w:rsid w:val="00A6730D"/>
    <w:rsid w:val="00A71625"/>
    <w:rsid w:val="00A71B9B"/>
    <w:rsid w:val="00A751C7"/>
    <w:rsid w:val="00A82C13"/>
    <w:rsid w:val="00A85E5D"/>
    <w:rsid w:val="00A875EC"/>
    <w:rsid w:val="00A87844"/>
    <w:rsid w:val="00AA038C"/>
    <w:rsid w:val="00AA49E6"/>
    <w:rsid w:val="00AA7A09"/>
    <w:rsid w:val="00AB3B50"/>
    <w:rsid w:val="00AC05B1"/>
    <w:rsid w:val="00AD19FF"/>
    <w:rsid w:val="00AD283D"/>
    <w:rsid w:val="00AD356C"/>
    <w:rsid w:val="00AD395C"/>
    <w:rsid w:val="00AD3CBC"/>
    <w:rsid w:val="00AD4D47"/>
    <w:rsid w:val="00AD6099"/>
    <w:rsid w:val="00AE2914"/>
    <w:rsid w:val="00AE34E9"/>
    <w:rsid w:val="00AE6D15"/>
    <w:rsid w:val="00AE6EB7"/>
    <w:rsid w:val="00AF30C4"/>
    <w:rsid w:val="00B04182"/>
    <w:rsid w:val="00B07AE3"/>
    <w:rsid w:val="00B11430"/>
    <w:rsid w:val="00B13597"/>
    <w:rsid w:val="00B14DF2"/>
    <w:rsid w:val="00B2591D"/>
    <w:rsid w:val="00B261D0"/>
    <w:rsid w:val="00B31F3F"/>
    <w:rsid w:val="00B33D3E"/>
    <w:rsid w:val="00B353EB"/>
    <w:rsid w:val="00B439C4"/>
    <w:rsid w:val="00B44F93"/>
    <w:rsid w:val="00B4535E"/>
    <w:rsid w:val="00B455E8"/>
    <w:rsid w:val="00B45F82"/>
    <w:rsid w:val="00B51592"/>
    <w:rsid w:val="00B52A8C"/>
    <w:rsid w:val="00B53EEA"/>
    <w:rsid w:val="00B55FA3"/>
    <w:rsid w:val="00B6068D"/>
    <w:rsid w:val="00B623D9"/>
    <w:rsid w:val="00B625BF"/>
    <w:rsid w:val="00B636A8"/>
    <w:rsid w:val="00B665C6"/>
    <w:rsid w:val="00B72BC8"/>
    <w:rsid w:val="00B736EE"/>
    <w:rsid w:val="00B805AF"/>
    <w:rsid w:val="00B80A5D"/>
    <w:rsid w:val="00B82905"/>
    <w:rsid w:val="00B83E15"/>
    <w:rsid w:val="00B869EC"/>
    <w:rsid w:val="00B9397A"/>
    <w:rsid w:val="00B9633D"/>
    <w:rsid w:val="00BA1003"/>
    <w:rsid w:val="00BA1BA3"/>
    <w:rsid w:val="00BA2EBE"/>
    <w:rsid w:val="00BB0628"/>
    <w:rsid w:val="00BB0F28"/>
    <w:rsid w:val="00BB458A"/>
    <w:rsid w:val="00BB7BCA"/>
    <w:rsid w:val="00BC30B0"/>
    <w:rsid w:val="00BC68B8"/>
    <w:rsid w:val="00BC6CA1"/>
    <w:rsid w:val="00BD00D3"/>
    <w:rsid w:val="00BD1659"/>
    <w:rsid w:val="00BD179A"/>
    <w:rsid w:val="00BD3AA9"/>
    <w:rsid w:val="00BD4A18"/>
    <w:rsid w:val="00BD4C72"/>
    <w:rsid w:val="00BD57FE"/>
    <w:rsid w:val="00BD6233"/>
    <w:rsid w:val="00BD6DB2"/>
    <w:rsid w:val="00BE11CF"/>
    <w:rsid w:val="00BE21AB"/>
    <w:rsid w:val="00BE2F0B"/>
    <w:rsid w:val="00BE55CB"/>
    <w:rsid w:val="00BE6616"/>
    <w:rsid w:val="00BF47D3"/>
    <w:rsid w:val="00BF5CA8"/>
    <w:rsid w:val="00BF617A"/>
    <w:rsid w:val="00C00200"/>
    <w:rsid w:val="00C0317D"/>
    <w:rsid w:val="00C0379D"/>
    <w:rsid w:val="00C03931"/>
    <w:rsid w:val="00C05FE3"/>
    <w:rsid w:val="00C2136D"/>
    <w:rsid w:val="00C214EE"/>
    <w:rsid w:val="00C21511"/>
    <w:rsid w:val="00C2314B"/>
    <w:rsid w:val="00C231DC"/>
    <w:rsid w:val="00C24971"/>
    <w:rsid w:val="00C26BE5"/>
    <w:rsid w:val="00C26E4D"/>
    <w:rsid w:val="00C2776C"/>
    <w:rsid w:val="00C27909"/>
    <w:rsid w:val="00C27B03"/>
    <w:rsid w:val="00C30D94"/>
    <w:rsid w:val="00C314E1"/>
    <w:rsid w:val="00C34397"/>
    <w:rsid w:val="00C4095D"/>
    <w:rsid w:val="00C601D2"/>
    <w:rsid w:val="00C63AC4"/>
    <w:rsid w:val="00C65BCC"/>
    <w:rsid w:val="00C66970"/>
    <w:rsid w:val="00C671CD"/>
    <w:rsid w:val="00C81B4C"/>
    <w:rsid w:val="00C85DEC"/>
    <w:rsid w:val="00C8691C"/>
    <w:rsid w:val="00C92071"/>
    <w:rsid w:val="00CA168A"/>
    <w:rsid w:val="00CA357E"/>
    <w:rsid w:val="00CA44F9"/>
    <w:rsid w:val="00CA4A69"/>
    <w:rsid w:val="00CB09C5"/>
    <w:rsid w:val="00CB10B3"/>
    <w:rsid w:val="00CB4AF2"/>
    <w:rsid w:val="00CC0DCE"/>
    <w:rsid w:val="00CC3E0C"/>
    <w:rsid w:val="00CC58D3"/>
    <w:rsid w:val="00CC784D"/>
    <w:rsid w:val="00CE0321"/>
    <w:rsid w:val="00CE0BBC"/>
    <w:rsid w:val="00CE69A3"/>
    <w:rsid w:val="00CF33D2"/>
    <w:rsid w:val="00D01CCE"/>
    <w:rsid w:val="00D0337B"/>
    <w:rsid w:val="00D079B2"/>
    <w:rsid w:val="00D114E9"/>
    <w:rsid w:val="00D2276E"/>
    <w:rsid w:val="00D24D05"/>
    <w:rsid w:val="00D27413"/>
    <w:rsid w:val="00D429C6"/>
    <w:rsid w:val="00D434DA"/>
    <w:rsid w:val="00D46FB6"/>
    <w:rsid w:val="00D47748"/>
    <w:rsid w:val="00D47A67"/>
    <w:rsid w:val="00D54CC3"/>
    <w:rsid w:val="00D6041A"/>
    <w:rsid w:val="00D633EB"/>
    <w:rsid w:val="00D806A6"/>
    <w:rsid w:val="00D82FF7"/>
    <w:rsid w:val="00D832FE"/>
    <w:rsid w:val="00D847FE"/>
    <w:rsid w:val="00D87D00"/>
    <w:rsid w:val="00D91CE9"/>
    <w:rsid w:val="00D95E95"/>
    <w:rsid w:val="00D964EA"/>
    <w:rsid w:val="00D966D0"/>
    <w:rsid w:val="00DA0C59"/>
    <w:rsid w:val="00DA18D4"/>
    <w:rsid w:val="00DA38FC"/>
    <w:rsid w:val="00DA3991"/>
    <w:rsid w:val="00DA3AB4"/>
    <w:rsid w:val="00DB0476"/>
    <w:rsid w:val="00DB432F"/>
    <w:rsid w:val="00DB7E6C"/>
    <w:rsid w:val="00DD5A29"/>
    <w:rsid w:val="00DD5D9D"/>
    <w:rsid w:val="00DE2183"/>
    <w:rsid w:val="00DE2CC6"/>
    <w:rsid w:val="00DE35CB"/>
    <w:rsid w:val="00DF21E9"/>
    <w:rsid w:val="00DF7A2F"/>
    <w:rsid w:val="00E00F14"/>
    <w:rsid w:val="00E06386"/>
    <w:rsid w:val="00E14237"/>
    <w:rsid w:val="00E177FD"/>
    <w:rsid w:val="00E2207C"/>
    <w:rsid w:val="00E248D9"/>
    <w:rsid w:val="00E24EB4"/>
    <w:rsid w:val="00E25F79"/>
    <w:rsid w:val="00E320ED"/>
    <w:rsid w:val="00E33AFB"/>
    <w:rsid w:val="00E34218"/>
    <w:rsid w:val="00E40058"/>
    <w:rsid w:val="00E42619"/>
    <w:rsid w:val="00E46282"/>
    <w:rsid w:val="00E5026F"/>
    <w:rsid w:val="00E5216E"/>
    <w:rsid w:val="00E6066D"/>
    <w:rsid w:val="00E70AA3"/>
    <w:rsid w:val="00E73953"/>
    <w:rsid w:val="00E74526"/>
    <w:rsid w:val="00E75D30"/>
    <w:rsid w:val="00E763C3"/>
    <w:rsid w:val="00E82344"/>
    <w:rsid w:val="00E84C82"/>
    <w:rsid w:val="00E84D64"/>
    <w:rsid w:val="00E8590F"/>
    <w:rsid w:val="00E8649F"/>
    <w:rsid w:val="00E87408"/>
    <w:rsid w:val="00E914C4"/>
    <w:rsid w:val="00E92BC6"/>
    <w:rsid w:val="00E934F5"/>
    <w:rsid w:val="00E96961"/>
    <w:rsid w:val="00EA2CAB"/>
    <w:rsid w:val="00EA44EF"/>
    <w:rsid w:val="00EA465E"/>
    <w:rsid w:val="00EA4F84"/>
    <w:rsid w:val="00EA66FE"/>
    <w:rsid w:val="00EA72EC"/>
    <w:rsid w:val="00EA7611"/>
    <w:rsid w:val="00EB11CB"/>
    <w:rsid w:val="00EB275A"/>
    <w:rsid w:val="00EB786A"/>
    <w:rsid w:val="00EB7FE7"/>
    <w:rsid w:val="00EC1578"/>
    <w:rsid w:val="00EC1C72"/>
    <w:rsid w:val="00EC3669"/>
    <w:rsid w:val="00EC3CC9"/>
    <w:rsid w:val="00EC63E5"/>
    <w:rsid w:val="00EC680A"/>
    <w:rsid w:val="00ED55E8"/>
    <w:rsid w:val="00EE2BED"/>
    <w:rsid w:val="00EE3425"/>
    <w:rsid w:val="00EE374B"/>
    <w:rsid w:val="00EF7970"/>
    <w:rsid w:val="00F03EE4"/>
    <w:rsid w:val="00F11BB5"/>
    <w:rsid w:val="00F1417B"/>
    <w:rsid w:val="00F1437F"/>
    <w:rsid w:val="00F34B99"/>
    <w:rsid w:val="00F4562B"/>
    <w:rsid w:val="00F47D57"/>
    <w:rsid w:val="00F52DAB"/>
    <w:rsid w:val="00F543F0"/>
    <w:rsid w:val="00F565F7"/>
    <w:rsid w:val="00F65E2E"/>
    <w:rsid w:val="00F66ED7"/>
    <w:rsid w:val="00F730D1"/>
    <w:rsid w:val="00F81D29"/>
    <w:rsid w:val="00F83BE8"/>
    <w:rsid w:val="00F91C4D"/>
    <w:rsid w:val="00F92557"/>
    <w:rsid w:val="00F92FD9"/>
    <w:rsid w:val="00FA6684"/>
    <w:rsid w:val="00FA6A17"/>
    <w:rsid w:val="00FA731E"/>
    <w:rsid w:val="00FB2B38"/>
    <w:rsid w:val="00FB34A8"/>
    <w:rsid w:val="00FC6358"/>
    <w:rsid w:val="00FD320D"/>
    <w:rsid w:val="00FD3B1E"/>
    <w:rsid w:val="00FD546D"/>
    <w:rsid w:val="00FE23DE"/>
    <w:rsid w:val="00FF240B"/>
    <w:rsid w:val="06E0120F"/>
    <w:rsid w:val="0A4A55F2"/>
    <w:rsid w:val="0CCF0636"/>
    <w:rsid w:val="0E0C2B30"/>
    <w:rsid w:val="10202B37"/>
    <w:rsid w:val="10EC2CB3"/>
    <w:rsid w:val="153F5C56"/>
    <w:rsid w:val="16D71681"/>
    <w:rsid w:val="17162EE9"/>
    <w:rsid w:val="18F201A4"/>
    <w:rsid w:val="1C37082D"/>
    <w:rsid w:val="1CC35CE9"/>
    <w:rsid w:val="1EA453F3"/>
    <w:rsid w:val="235456A9"/>
    <w:rsid w:val="2354768D"/>
    <w:rsid w:val="24403663"/>
    <w:rsid w:val="2471134B"/>
    <w:rsid w:val="27E31A18"/>
    <w:rsid w:val="280A3985"/>
    <w:rsid w:val="29C37FBC"/>
    <w:rsid w:val="2A8F64A0"/>
    <w:rsid w:val="2B615F51"/>
    <w:rsid w:val="2D410C84"/>
    <w:rsid w:val="2DDB61D0"/>
    <w:rsid w:val="31507002"/>
    <w:rsid w:val="31791EE3"/>
    <w:rsid w:val="33E37DC2"/>
    <w:rsid w:val="34755987"/>
    <w:rsid w:val="36607CD1"/>
    <w:rsid w:val="38B42B40"/>
    <w:rsid w:val="394E3F66"/>
    <w:rsid w:val="3B292834"/>
    <w:rsid w:val="3DC322DA"/>
    <w:rsid w:val="3F1A6B5E"/>
    <w:rsid w:val="414D170D"/>
    <w:rsid w:val="42EC3BF8"/>
    <w:rsid w:val="42F01425"/>
    <w:rsid w:val="442B25D3"/>
    <w:rsid w:val="44824DC4"/>
    <w:rsid w:val="45F648A5"/>
    <w:rsid w:val="460F33E5"/>
    <w:rsid w:val="4C227327"/>
    <w:rsid w:val="4C76404F"/>
    <w:rsid w:val="534374F3"/>
    <w:rsid w:val="54AB2D04"/>
    <w:rsid w:val="56C500AD"/>
    <w:rsid w:val="585227B7"/>
    <w:rsid w:val="58E620A4"/>
    <w:rsid w:val="59764B2D"/>
    <w:rsid w:val="5C5D2B35"/>
    <w:rsid w:val="5C7E6354"/>
    <w:rsid w:val="5DE82F86"/>
    <w:rsid w:val="5DE913F3"/>
    <w:rsid w:val="5DF13A77"/>
    <w:rsid w:val="5E791CF4"/>
    <w:rsid w:val="5F5368AC"/>
    <w:rsid w:val="602C123A"/>
    <w:rsid w:val="638B728D"/>
    <w:rsid w:val="64CF1141"/>
    <w:rsid w:val="66396451"/>
    <w:rsid w:val="6A2D21BF"/>
    <w:rsid w:val="6BA10428"/>
    <w:rsid w:val="6E001B2B"/>
    <w:rsid w:val="6F11452C"/>
    <w:rsid w:val="6F305CC2"/>
    <w:rsid w:val="6F4565CD"/>
    <w:rsid w:val="6FAE6EDF"/>
    <w:rsid w:val="70141DEC"/>
    <w:rsid w:val="71C643B9"/>
    <w:rsid w:val="77170059"/>
    <w:rsid w:val="779D6479"/>
    <w:rsid w:val="77C17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37">
    <w:name w:val="Default Paragraph Font"/>
    <w:semiHidden/>
    <w:unhideWhenUsed/>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45"/>
    <w:qFormat/>
    <w:uiPriority w:val="0"/>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qFormat/>
    <w:uiPriority w:val="39"/>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2"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46"/>
    <w:qFormat/>
    <w:uiPriority w:val="0"/>
    <w:rPr>
      <w:sz w:val="18"/>
      <w:szCs w:val="18"/>
    </w:rPr>
  </w:style>
  <w:style w:type="paragraph" w:styleId="19">
    <w:name w:val="footer"/>
    <w:basedOn w:val="1"/>
    <w:link w:val="47"/>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2">
    <w:name w:val="toc 4"/>
    <w:basedOn w:val="1"/>
    <w:next w:val="1"/>
    <w:qFormat/>
    <w:uiPriority w:val="39"/>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qFormat/>
    <w:uiPriority w:val="0"/>
    <w:pPr>
      <w:spacing w:beforeAutospacing="1" w:afterAutospacing="1"/>
      <w:jc w:val="left"/>
    </w:pPr>
    <w:rPr>
      <w:kern w:val="0"/>
      <w:sz w:val="24"/>
    </w:rPr>
  </w:style>
  <w:style w:type="paragraph" w:styleId="33">
    <w:name w:val="index 2"/>
    <w:basedOn w:val="1"/>
    <w:next w:val="1"/>
    <w:qFormat/>
    <w:uiPriority w:val="0"/>
    <w:pPr>
      <w:ind w:left="420" w:hanging="210"/>
      <w:jc w:val="left"/>
    </w:pPr>
    <w:rPr>
      <w:rFonts w:ascii="Calibri" w:hAnsi="Calibri"/>
      <w:sz w:val="20"/>
      <w:szCs w:val="20"/>
    </w:rPr>
  </w:style>
  <w:style w:type="paragraph" w:styleId="34">
    <w:name w:val="annotation subject"/>
    <w:basedOn w:val="10"/>
    <w:next w:val="10"/>
    <w:link w:val="49"/>
    <w:qFormat/>
    <w:uiPriority w:val="0"/>
    <w:rPr>
      <w:b/>
      <w:bCs/>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Hyperlink"/>
    <w:qFormat/>
    <w:uiPriority w:val="99"/>
    <w:rPr>
      <w:color w:val="0000FF"/>
      <w:spacing w:val="0"/>
      <w:w w:val="100"/>
      <w:szCs w:val="21"/>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标题 1 字符"/>
    <w:link w:val="3"/>
    <w:qFormat/>
    <w:uiPriority w:val="0"/>
    <w:rPr>
      <w:b/>
      <w:bCs/>
      <w:kern w:val="44"/>
      <w:sz w:val="44"/>
      <w:szCs w:val="44"/>
    </w:rPr>
  </w:style>
  <w:style w:type="character" w:customStyle="1" w:styleId="45">
    <w:name w:val="批注文字 字符"/>
    <w:link w:val="10"/>
    <w:qFormat/>
    <w:uiPriority w:val="0"/>
    <w:rPr>
      <w:kern w:val="2"/>
      <w:sz w:val="21"/>
      <w:szCs w:val="24"/>
    </w:rPr>
  </w:style>
  <w:style w:type="character" w:customStyle="1" w:styleId="46">
    <w:name w:val="批注框文本 字符"/>
    <w:link w:val="18"/>
    <w:qFormat/>
    <w:uiPriority w:val="0"/>
    <w:rPr>
      <w:kern w:val="2"/>
      <w:sz w:val="18"/>
      <w:szCs w:val="18"/>
    </w:rPr>
  </w:style>
  <w:style w:type="character" w:customStyle="1" w:styleId="47">
    <w:name w:val="页脚 字符"/>
    <w:link w:val="19"/>
    <w:qFormat/>
    <w:uiPriority w:val="99"/>
    <w:rPr>
      <w:kern w:val="2"/>
      <w:sz w:val="18"/>
      <w:szCs w:val="18"/>
    </w:rPr>
  </w:style>
  <w:style w:type="character" w:customStyle="1" w:styleId="48">
    <w:name w:val="段 Char"/>
    <w:link w:val="25"/>
    <w:qFormat/>
    <w:uiPriority w:val="0"/>
    <w:rPr>
      <w:rFonts w:ascii="宋体"/>
      <w:sz w:val="21"/>
      <w:lang w:val="en-US" w:eastAsia="zh-CN" w:bidi="ar-SA"/>
    </w:rPr>
  </w:style>
  <w:style w:type="character" w:customStyle="1" w:styleId="49">
    <w:name w:val="批注主题 字符"/>
    <w:link w:val="34"/>
    <w:qFormat/>
    <w:uiPriority w:val="0"/>
    <w:rPr>
      <w:b/>
      <w:bCs/>
      <w:kern w:val="2"/>
      <w:sz w:val="21"/>
      <w:szCs w:val="24"/>
    </w:rPr>
  </w:style>
  <w:style w:type="character" w:customStyle="1" w:styleId="50">
    <w:name w:val="首示例 Char"/>
    <w:link w:val="51"/>
    <w:qFormat/>
    <w:uiPriority w:val="0"/>
    <w:rPr>
      <w:rFonts w:ascii="宋体" w:hAnsi="宋体"/>
      <w:kern w:val="2"/>
      <w:sz w:val="18"/>
      <w:szCs w:val="18"/>
      <w:lang w:val="en-US" w:eastAsia="zh-CN" w:bidi="ar-SA"/>
    </w:rPr>
  </w:style>
  <w:style w:type="paragraph" w:customStyle="1" w:styleId="51">
    <w:name w:val="首示例"/>
    <w:next w:val="25"/>
    <w:link w:val="50"/>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2">
    <w:name w:val="发布"/>
    <w:qFormat/>
    <w:uiPriority w:val="0"/>
    <w:rPr>
      <w:rFonts w:ascii="黑体" w:eastAsia="黑体"/>
      <w:spacing w:val="85"/>
      <w:w w:val="100"/>
      <w:position w:val="3"/>
      <w:sz w:val="28"/>
      <w:szCs w:val="28"/>
    </w:rPr>
  </w:style>
  <w:style w:type="character" w:customStyle="1" w:styleId="53">
    <w:name w:val="附录公式 Char"/>
    <w:basedOn w:val="48"/>
    <w:link w:val="54"/>
    <w:qFormat/>
    <w:uiPriority w:val="0"/>
    <w:rPr>
      <w:rFonts w:ascii="宋体"/>
      <w:sz w:val="21"/>
      <w:lang w:val="en-US" w:eastAsia="zh-CN" w:bidi="ar-SA"/>
    </w:rPr>
  </w:style>
  <w:style w:type="paragraph" w:customStyle="1" w:styleId="54">
    <w:name w:val="附录公式"/>
    <w:basedOn w:val="25"/>
    <w:next w:val="25"/>
    <w:link w:val="53"/>
    <w:qFormat/>
    <w:uiPriority w:val="0"/>
  </w:style>
  <w:style w:type="paragraph" w:customStyle="1" w:styleId="55">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56">
    <w:name w:val="注×：（正文）"/>
    <w:qFormat/>
    <w:uiPriority w:val="0"/>
    <w:pPr>
      <w:numPr>
        <w:ilvl w:val="0"/>
        <w:numId w:val="3"/>
      </w:numPr>
      <w:jc w:val="both"/>
    </w:pPr>
    <w:rPr>
      <w:rFonts w:ascii="宋体" w:hAnsi="Times New Roman" w:eastAsia="宋体" w:cs="Times New Roman"/>
      <w:sz w:val="18"/>
      <w:szCs w:val="18"/>
      <w:lang w:val="en-US" w:eastAsia="zh-CN" w:bidi="ar-SA"/>
    </w:rPr>
  </w:style>
  <w:style w:type="paragraph" w:customStyle="1" w:styleId="57">
    <w:name w:val="三级条标题"/>
    <w:basedOn w:val="58"/>
    <w:next w:val="25"/>
    <w:qFormat/>
    <w:uiPriority w:val="0"/>
    <w:pPr>
      <w:numPr>
        <w:ilvl w:val="3"/>
      </w:numPr>
      <w:outlineLvl w:val="4"/>
    </w:pPr>
  </w:style>
  <w:style w:type="paragraph" w:customStyle="1" w:styleId="58">
    <w:name w:val="二级条标题"/>
    <w:basedOn w:val="59"/>
    <w:next w:val="25"/>
    <w:qFormat/>
    <w:uiPriority w:val="0"/>
    <w:pPr>
      <w:numPr>
        <w:ilvl w:val="2"/>
      </w:numPr>
      <w:spacing w:before="50" w:after="50"/>
      <w:outlineLvl w:val="3"/>
    </w:pPr>
  </w:style>
  <w:style w:type="paragraph" w:customStyle="1" w:styleId="59">
    <w:name w:val="一级条标题"/>
    <w:next w:val="25"/>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0">
    <w:name w:val="注：（正文）"/>
    <w:basedOn w:val="61"/>
    <w:next w:val="25"/>
    <w:qFormat/>
    <w:uiPriority w:val="0"/>
  </w:style>
  <w:style w:type="paragraph" w:customStyle="1" w:styleId="61">
    <w:name w:val="注："/>
    <w:next w:val="25"/>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62">
    <w:name w:val="附录一级条标题"/>
    <w:basedOn w:val="63"/>
    <w:next w:val="25"/>
    <w:qFormat/>
    <w:uiPriority w:val="0"/>
    <w:pPr>
      <w:numPr>
        <w:ilvl w:val="2"/>
      </w:numPr>
      <w:tabs>
        <w:tab w:val="left" w:pos="360"/>
      </w:tabs>
      <w:autoSpaceDN w:val="0"/>
      <w:spacing w:before="50" w:beforeLines="50" w:after="50" w:afterLines="50"/>
      <w:outlineLvl w:val="2"/>
    </w:pPr>
  </w:style>
  <w:style w:type="paragraph" w:customStyle="1" w:styleId="63">
    <w:name w:val="附录章标题"/>
    <w:next w:val="25"/>
    <w:qFormat/>
    <w:uiPriority w:val="0"/>
    <w:pPr>
      <w:numPr>
        <w:ilvl w:val="1"/>
        <w:numId w:val="6"/>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4">
    <w:name w:val="列项◆（三级）"/>
    <w:basedOn w:val="1"/>
    <w:qFormat/>
    <w:uiPriority w:val="0"/>
    <w:pPr>
      <w:numPr>
        <w:ilvl w:val="2"/>
        <w:numId w:val="7"/>
      </w:numPr>
    </w:pPr>
    <w:rPr>
      <w:rFonts w:ascii="宋体"/>
      <w:szCs w:val="21"/>
    </w:rPr>
  </w:style>
  <w:style w:type="paragraph" w:customStyle="1" w:styleId="65">
    <w:name w:val="封面一致性程度标识"/>
    <w:basedOn w:val="66"/>
    <w:qFormat/>
    <w:uiPriority w:val="0"/>
    <w:pPr>
      <w:framePr w:wrap="around"/>
      <w:spacing w:before="440"/>
    </w:pPr>
    <w:rPr>
      <w:rFonts w:ascii="宋体" w:eastAsia="宋体"/>
    </w:rPr>
  </w:style>
  <w:style w:type="paragraph" w:customStyle="1" w:styleId="66">
    <w:name w:val="封面标准英文名称"/>
    <w:basedOn w:val="67"/>
    <w:qFormat/>
    <w:uiPriority w:val="0"/>
    <w:pPr>
      <w:framePr w:wrap="around"/>
      <w:spacing w:before="370" w:line="400" w:lineRule="exact"/>
    </w:pPr>
    <w:rPr>
      <w:rFonts w:ascii="Times New Roman"/>
      <w:sz w:val="28"/>
      <w:szCs w:val="28"/>
    </w:rPr>
  </w:style>
  <w:style w:type="paragraph" w:customStyle="1" w:styleId="6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8">
    <w:name w:val="注×："/>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6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0">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1">
    <w:name w:val="数字编号列项（二级）"/>
    <w:qFormat/>
    <w:uiPriority w:val="0"/>
    <w:pPr>
      <w:numPr>
        <w:ilvl w:val="1"/>
        <w:numId w:val="9"/>
      </w:numPr>
      <w:jc w:val="both"/>
    </w:pPr>
    <w:rPr>
      <w:rFonts w:ascii="宋体" w:hAnsi="Times New Roman" w:eastAsia="宋体" w:cs="Times New Roman"/>
      <w:sz w:val="21"/>
      <w:lang w:val="en-US" w:eastAsia="zh-CN" w:bidi="ar-SA"/>
    </w:rPr>
  </w:style>
  <w:style w:type="paragraph" w:customStyle="1" w:styleId="72">
    <w:name w:val="示例×："/>
    <w:basedOn w:val="73"/>
    <w:qFormat/>
    <w:uiPriority w:val="0"/>
    <w:pPr>
      <w:numPr>
        <w:numId w:val="10"/>
      </w:numPr>
      <w:spacing w:before="0" w:beforeLines="0" w:after="0" w:afterLines="0"/>
      <w:outlineLvl w:val="9"/>
    </w:pPr>
    <w:rPr>
      <w:rFonts w:ascii="宋体" w:eastAsia="宋体"/>
      <w:sz w:val="18"/>
      <w:szCs w:val="18"/>
    </w:rPr>
  </w:style>
  <w:style w:type="paragraph" w:customStyle="1" w:styleId="73">
    <w:name w:val="章标题"/>
    <w:next w:val="25"/>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7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75">
    <w:name w:val="编号列项（三级）"/>
    <w:qFormat/>
    <w:uiPriority w:val="0"/>
    <w:pPr>
      <w:numPr>
        <w:ilvl w:val="2"/>
        <w:numId w:val="9"/>
      </w:numPr>
    </w:pPr>
    <w:rPr>
      <w:rFonts w:ascii="宋体" w:hAnsi="Times New Roman" w:eastAsia="宋体" w:cs="Times New Roman"/>
      <w:sz w:val="21"/>
      <w:lang w:val="en-US" w:eastAsia="zh-CN" w:bidi="ar-SA"/>
    </w:rPr>
  </w:style>
  <w:style w:type="paragraph" w:customStyle="1" w:styleId="76">
    <w:name w:val="图标脚注说明"/>
    <w:basedOn w:val="25"/>
    <w:qFormat/>
    <w:uiPriority w:val="0"/>
    <w:pPr>
      <w:ind w:left="840" w:hanging="420" w:firstLineChars="0"/>
    </w:pPr>
    <w:rPr>
      <w:sz w:val="18"/>
      <w:szCs w:val="18"/>
    </w:rPr>
  </w:style>
  <w:style w:type="paragraph" w:customStyle="1" w:styleId="77">
    <w:name w:val="附录四级无"/>
    <w:basedOn w:val="78"/>
    <w:qFormat/>
    <w:uiPriority w:val="0"/>
    <w:pPr>
      <w:tabs>
        <w:tab w:val="left" w:pos="360"/>
      </w:tabs>
      <w:spacing w:before="0" w:beforeLines="0" w:after="0" w:afterLines="0"/>
    </w:pPr>
    <w:rPr>
      <w:rFonts w:ascii="宋体" w:eastAsia="宋体"/>
      <w:szCs w:val="21"/>
    </w:rPr>
  </w:style>
  <w:style w:type="paragraph" w:customStyle="1" w:styleId="78">
    <w:name w:val="附录四级条标题"/>
    <w:basedOn w:val="79"/>
    <w:next w:val="25"/>
    <w:qFormat/>
    <w:uiPriority w:val="0"/>
    <w:pPr>
      <w:numPr>
        <w:ilvl w:val="5"/>
      </w:numPr>
      <w:tabs>
        <w:tab w:val="left" w:pos="360"/>
      </w:tabs>
      <w:outlineLvl w:val="5"/>
    </w:pPr>
  </w:style>
  <w:style w:type="paragraph" w:customStyle="1" w:styleId="79">
    <w:name w:val="附录三级条标题"/>
    <w:basedOn w:val="80"/>
    <w:next w:val="25"/>
    <w:qFormat/>
    <w:uiPriority w:val="0"/>
    <w:pPr>
      <w:numPr>
        <w:ilvl w:val="4"/>
      </w:numPr>
      <w:tabs>
        <w:tab w:val="left" w:pos="360"/>
      </w:tabs>
      <w:outlineLvl w:val="4"/>
    </w:pPr>
  </w:style>
  <w:style w:type="paragraph" w:customStyle="1" w:styleId="80">
    <w:name w:val="附录二级条标题"/>
    <w:basedOn w:val="1"/>
    <w:next w:val="25"/>
    <w:qFormat/>
    <w:uiPriority w:val="0"/>
    <w:pPr>
      <w:widowControl/>
      <w:numPr>
        <w:ilvl w:val="3"/>
        <w:numId w:val="6"/>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1">
    <w:name w:val="正文图标题"/>
    <w:next w:val="25"/>
    <w:qFormat/>
    <w:uiPriority w:val="0"/>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82">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83">
    <w:name w:val="标准书眉一"/>
    <w:qFormat/>
    <w:uiPriority w:val="0"/>
    <w:pPr>
      <w:jc w:val="both"/>
    </w:pPr>
    <w:rPr>
      <w:rFonts w:ascii="Times New Roman" w:hAnsi="Times New Roman" w:eastAsia="宋体" w:cs="Times New Roman"/>
      <w:lang w:val="en-US" w:eastAsia="zh-CN" w:bidi="ar-SA"/>
    </w:rPr>
  </w:style>
  <w:style w:type="paragraph" w:customStyle="1" w:styleId="8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6">
    <w:name w:val="四级条标题"/>
    <w:basedOn w:val="57"/>
    <w:next w:val="25"/>
    <w:qFormat/>
    <w:uiPriority w:val="0"/>
    <w:pPr>
      <w:numPr>
        <w:ilvl w:val="4"/>
      </w:numPr>
      <w:outlineLvl w:val="5"/>
    </w:pPr>
  </w:style>
  <w:style w:type="paragraph" w:customStyle="1" w:styleId="87">
    <w:name w:val="正文公式编号制表符"/>
    <w:basedOn w:val="25"/>
    <w:next w:val="25"/>
    <w:qFormat/>
    <w:uiPriority w:val="0"/>
    <w:pPr>
      <w:ind w:firstLine="0" w:firstLineChars="0"/>
    </w:pPr>
  </w:style>
  <w:style w:type="paragraph" w:customStyle="1" w:styleId="88">
    <w:name w:val="字母编号列项（一级）"/>
    <w:qFormat/>
    <w:uiPriority w:val="0"/>
    <w:pPr>
      <w:numPr>
        <w:ilvl w:val="0"/>
        <w:numId w:val="9"/>
      </w:numPr>
      <w:jc w:val="both"/>
    </w:pPr>
    <w:rPr>
      <w:rFonts w:ascii="宋体" w:hAnsi="Times New Roman" w:eastAsia="宋体" w:cs="Times New Roman"/>
      <w:sz w:val="21"/>
      <w:lang w:val="en-US" w:eastAsia="zh-CN" w:bidi="ar-SA"/>
    </w:rPr>
  </w:style>
  <w:style w:type="paragraph" w:customStyle="1" w:styleId="89">
    <w:name w:val="条文脚注"/>
    <w:basedOn w:val="26"/>
    <w:qFormat/>
    <w:uiPriority w:val="0"/>
    <w:pPr>
      <w:numPr>
        <w:numId w:val="0"/>
      </w:numPr>
      <w:jc w:val="both"/>
    </w:pPr>
  </w:style>
  <w:style w:type="paragraph" w:customStyle="1" w:styleId="90">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91">
    <w:name w:val="示例后文字"/>
    <w:basedOn w:val="25"/>
    <w:next w:val="25"/>
    <w:qFormat/>
    <w:uiPriority w:val="0"/>
    <w:pPr>
      <w:ind w:firstLine="360"/>
    </w:pPr>
    <w:rPr>
      <w:sz w:val="18"/>
    </w:rPr>
  </w:style>
  <w:style w:type="paragraph" w:customStyle="1" w:styleId="92">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3">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6">
    <w:name w:val="示例"/>
    <w:next w:val="69"/>
    <w:qFormat/>
    <w:uiPriority w:val="0"/>
    <w:pPr>
      <w:widowControl w:val="0"/>
      <w:numPr>
        <w:ilvl w:val="0"/>
        <w:numId w:val="13"/>
      </w:numPr>
      <w:jc w:val="both"/>
    </w:pPr>
    <w:rPr>
      <w:rFonts w:ascii="宋体" w:hAnsi="Times New Roman" w:eastAsia="宋体" w:cs="Times New Roman"/>
      <w:sz w:val="18"/>
      <w:szCs w:val="18"/>
      <w:lang w:val="en-US" w:eastAsia="zh-CN" w:bidi="ar-SA"/>
    </w:rPr>
  </w:style>
  <w:style w:type="paragraph" w:customStyle="1" w:styleId="97">
    <w:name w:val="封面标准文稿编辑信息"/>
    <w:basedOn w:val="98"/>
    <w:qFormat/>
    <w:uiPriority w:val="0"/>
    <w:pPr>
      <w:framePr w:wrap="around"/>
      <w:spacing w:before="180" w:line="180" w:lineRule="exact"/>
    </w:pPr>
    <w:rPr>
      <w:sz w:val="21"/>
    </w:rPr>
  </w:style>
  <w:style w:type="paragraph" w:customStyle="1" w:styleId="98">
    <w:name w:val="封面标准文稿类别"/>
    <w:basedOn w:val="65"/>
    <w:qFormat/>
    <w:uiPriority w:val="0"/>
    <w:pPr>
      <w:framePr w:wrap="around"/>
      <w:spacing w:after="160" w:line="240" w:lineRule="auto"/>
    </w:pPr>
    <w:rPr>
      <w:sz w:val="24"/>
    </w:rPr>
  </w:style>
  <w:style w:type="paragraph" w:customStyle="1" w:styleId="99">
    <w:name w:val="实施日期"/>
    <w:basedOn w:val="100"/>
    <w:qFormat/>
    <w:uiPriority w:val="0"/>
    <w:pPr>
      <w:framePr w:wrap="around" w:vAnchor="page" w:hAnchor="text"/>
      <w:jc w:val="right"/>
    </w:pPr>
  </w:style>
  <w:style w:type="paragraph" w:customStyle="1" w:styleId="10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01">
    <w:name w:val="附录标题"/>
    <w:basedOn w:val="25"/>
    <w:next w:val="25"/>
    <w:qFormat/>
    <w:uiPriority w:val="0"/>
    <w:pPr>
      <w:ind w:firstLine="0" w:firstLineChars="0"/>
      <w:jc w:val="center"/>
    </w:pPr>
    <w:rPr>
      <w:rFonts w:ascii="黑体" w:eastAsia="黑体"/>
    </w:rPr>
  </w:style>
  <w:style w:type="paragraph" w:customStyle="1" w:styleId="10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3">
    <w:name w:val="一级无"/>
    <w:basedOn w:val="59"/>
    <w:qFormat/>
    <w:uiPriority w:val="0"/>
    <w:pPr>
      <w:spacing w:before="0" w:beforeLines="0" w:after="0" w:afterLines="0"/>
    </w:pPr>
    <w:rPr>
      <w:rFonts w:ascii="宋体" w:eastAsia="宋体"/>
    </w:rPr>
  </w:style>
  <w:style w:type="paragraph" w:customStyle="1" w:styleId="10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5">
    <w:name w:val="附录一级无"/>
    <w:basedOn w:val="62"/>
    <w:qFormat/>
    <w:uiPriority w:val="0"/>
    <w:pPr>
      <w:tabs>
        <w:tab w:val="clear" w:pos="360"/>
      </w:tabs>
      <w:spacing w:before="0" w:beforeLines="0" w:after="0" w:afterLines="0"/>
    </w:pPr>
    <w:rPr>
      <w:rFonts w:ascii="宋体" w:eastAsia="宋体"/>
      <w:szCs w:val="21"/>
    </w:rPr>
  </w:style>
  <w:style w:type="paragraph" w:customStyle="1" w:styleId="106">
    <w:name w:val="封面标准英文名称2"/>
    <w:basedOn w:val="66"/>
    <w:qFormat/>
    <w:uiPriority w:val="0"/>
    <w:pPr>
      <w:framePr w:wrap="around" w:y="4469"/>
    </w:pPr>
  </w:style>
  <w:style w:type="paragraph" w:customStyle="1" w:styleId="10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9">
    <w:name w:val="列项——（一级）"/>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110">
    <w:name w:val="封面正文"/>
    <w:qFormat/>
    <w:uiPriority w:val="0"/>
    <w:pPr>
      <w:jc w:val="both"/>
    </w:pPr>
    <w:rPr>
      <w:rFonts w:ascii="Times New Roman" w:hAnsi="Times New Roman" w:eastAsia="宋体" w:cs="Times New Roman"/>
      <w:lang w:val="en-US" w:eastAsia="zh-CN" w:bidi="ar-SA"/>
    </w:rPr>
  </w:style>
  <w:style w:type="paragraph" w:customStyle="1" w:styleId="111">
    <w:name w:val="五级条标题"/>
    <w:basedOn w:val="86"/>
    <w:next w:val="25"/>
    <w:qFormat/>
    <w:uiPriority w:val="0"/>
    <w:pPr>
      <w:numPr>
        <w:ilvl w:val="5"/>
      </w:numPr>
      <w:outlineLvl w:val="6"/>
    </w:pPr>
  </w:style>
  <w:style w:type="paragraph" w:customStyle="1" w:styleId="112">
    <w:name w:val="标准书眉_偶数页"/>
    <w:basedOn w:val="108"/>
    <w:next w:val="1"/>
    <w:qFormat/>
    <w:uiPriority w:val="0"/>
    <w:pPr>
      <w:jc w:val="left"/>
    </w:pPr>
  </w:style>
  <w:style w:type="paragraph" w:customStyle="1" w:styleId="113">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4">
    <w:name w:val="封面标准名称2"/>
    <w:basedOn w:val="67"/>
    <w:qFormat/>
    <w:uiPriority w:val="0"/>
    <w:pPr>
      <w:framePr w:wrap="around" w:y="4469"/>
      <w:spacing w:before="630" w:beforeLines="630"/>
    </w:pPr>
  </w:style>
  <w:style w:type="paragraph" w:customStyle="1" w:styleId="115">
    <w:name w:val="附录五级无"/>
    <w:basedOn w:val="116"/>
    <w:qFormat/>
    <w:uiPriority w:val="0"/>
    <w:pPr>
      <w:tabs>
        <w:tab w:val="left" w:pos="360"/>
      </w:tabs>
      <w:spacing w:before="0" w:beforeLines="0" w:after="0" w:afterLines="0"/>
    </w:pPr>
    <w:rPr>
      <w:rFonts w:ascii="宋体" w:eastAsia="宋体"/>
      <w:szCs w:val="21"/>
    </w:rPr>
  </w:style>
  <w:style w:type="paragraph" w:customStyle="1" w:styleId="116">
    <w:name w:val="附录五级条标题"/>
    <w:basedOn w:val="78"/>
    <w:next w:val="25"/>
    <w:qFormat/>
    <w:uiPriority w:val="0"/>
    <w:pPr>
      <w:numPr>
        <w:ilvl w:val="6"/>
      </w:numPr>
      <w:outlineLvl w:val="6"/>
    </w:pPr>
  </w:style>
  <w:style w:type="paragraph" w:customStyle="1" w:styleId="117">
    <w:name w:val="列项●（二级）"/>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118">
    <w:name w:val="其他发布日期"/>
    <w:basedOn w:val="100"/>
    <w:qFormat/>
    <w:uiPriority w:val="0"/>
    <w:pPr>
      <w:framePr w:wrap="around" w:vAnchor="page" w:hAnchor="text" w:x="1419"/>
    </w:pPr>
  </w:style>
  <w:style w:type="paragraph" w:customStyle="1" w:styleId="11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20">
    <w:name w:val="三级无"/>
    <w:basedOn w:val="57"/>
    <w:qFormat/>
    <w:uiPriority w:val="0"/>
    <w:pPr>
      <w:spacing w:before="0" w:beforeLines="0" w:after="0" w:afterLines="0"/>
    </w:pPr>
    <w:rPr>
      <w:rFonts w:ascii="宋体" w:eastAsia="宋体"/>
    </w:rPr>
  </w:style>
  <w:style w:type="paragraph" w:customStyle="1" w:styleId="121">
    <w:name w:val="二级无"/>
    <w:basedOn w:val="58"/>
    <w:qFormat/>
    <w:uiPriority w:val="0"/>
    <w:pPr>
      <w:spacing w:before="0" w:beforeLines="0" w:after="0" w:afterLines="0"/>
      <w:ind w:left="0"/>
    </w:pPr>
    <w:rPr>
      <w:rFonts w:ascii="宋体" w:eastAsia="宋体"/>
    </w:rPr>
  </w:style>
  <w:style w:type="paragraph" w:customStyle="1" w:styleId="122">
    <w:name w:val="封面一致性程度标识2"/>
    <w:basedOn w:val="65"/>
    <w:qFormat/>
    <w:uiPriority w:val="0"/>
    <w:pPr>
      <w:framePr w:wrap="around" w:y="4469"/>
    </w:pPr>
  </w:style>
  <w:style w:type="paragraph" w:customStyle="1" w:styleId="12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4">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5">
    <w:name w:val="其他发布部门"/>
    <w:basedOn w:val="92"/>
    <w:qFormat/>
    <w:uiPriority w:val="0"/>
    <w:pPr>
      <w:framePr w:wrap="around" w:y="15310"/>
      <w:spacing w:line="0" w:lineRule="atLeast"/>
    </w:pPr>
    <w:rPr>
      <w:rFonts w:ascii="黑体" w:eastAsia="黑体"/>
      <w:b w:val="0"/>
    </w:rPr>
  </w:style>
  <w:style w:type="paragraph" w:customStyle="1" w:styleId="126">
    <w:name w:val="封面标准文稿编辑信息2"/>
    <w:basedOn w:val="97"/>
    <w:qFormat/>
    <w:uiPriority w:val="0"/>
    <w:pPr>
      <w:framePr w:wrap="around" w:y="4469"/>
    </w:pPr>
  </w:style>
  <w:style w:type="paragraph" w:customStyle="1" w:styleId="12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8">
    <w:name w:val="附录标识"/>
    <w:basedOn w:val="1"/>
    <w:next w:val="25"/>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9">
    <w:name w:val="四级无"/>
    <w:basedOn w:val="86"/>
    <w:qFormat/>
    <w:uiPriority w:val="0"/>
    <w:pPr>
      <w:spacing w:before="0" w:beforeLines="0" w:after="0" w:afterLines="0"/>
    </w:pPr>
    <w:rPr>
      <w:rFonts w:ascii="宋体" w:eastAsia="宋体"/>
    </w:rPr>
  </w:style>
  <w:style w:type="paragraph" w:customStyle="1" w:styleId="130">
    <w:name w:val="附录表标号"/>
    <w:basedOn w:val="1"/>
    <w:next w:val="25"/>
    <w:qFormat/>
    <w:uiPriority w:val="0"/>
    <w:pPr>
      <w:numPr>
        <w:ilvl w:val="0"/>
        <w:numId w:val="14"/>
      </w:numPr>
      <w:tabs>
        <w:tab w:val="clear" w:pos="0"/>
      </w:tabs>
      <w:spacing w:line="14" w:lineRule="exact"/>
      <w:ind w:left="811" w:hanging="448"/>
      <w:jc w:val="center"/>
      <w:outlineLvl w:val="0"/>
    </w:pPr>
    <w:rPr>
      <w:color w:val="FFFFFF"/>
    </w:rPr>
  </w:style>
  <w:style w:type="paragraph" w:customStyle="1" w:styleId="131">
    <w:name w:val="图表脚注说明"/>
    <w:basedOn w:val="1"/>
    <w:qFormat/>
    <w:uiPriority w:val="0"/>
    <w:pPr>
      <w:numPr>
        <w:ilvl w:val="0"/>
        <w:numId w:val="15"/>
      </w:numPr>
    </w:pPr>
    <w:rPr>
      <w:rFonts w:ascii="宋体"/>
      <w:sz w:val="18"/>
      <w:szCs w:val="18"/>
    </w:rPr>
  </w:style>
  <w:style w:type="paragraph" w:customStyle="1" w:styleId="132">
    <w:name w:val="附录表标题"/>
    <w:basedOn w:val="1"/>
    <w:next w:val="25"/>
    <w:qFormat/>
    <w:uiPriority w:val="0"/>
    <w:pPr>
      <w:numPr>
        <w:ilvl w:val="1"/>
        <w:numId w:val="14"/>
      </w:numPr>
      <w:tabs>
        <w:tab w:val="left" w:pos="180"/>
      </w:tabs>
      <w:spacing w:before="50" w:beforeLines="50" w:after="50" w:afterLines="50"/>
      <w:ind w:left="0" w:firstLine="0"/>
      <w:jc w:val="center"/>
    </w:pPr>
    <w:rPr>
      <w:rFonts w:ascii="黑体" w:eastAsia="黑体"/>
      <w:szCs w:val="21"/>
    </w:rPr>
  </w:style>
  <w:style w:type="paragraph" w:customStyle="1" w:styleId="133">
    <w:name w:val="终结线"/>
    <w:basedOn w:val="1"/>
    <w:qFormat/>
    <w:uiPriority w:val="0"/>
    <w:pPr>
      <w:framePr w:hSpace="181" w:vSpace="181" w:wrap="around" w:vAnchor="text" w:hAnchor="margin" w:xAlign="center" w:y="285"/>
    </w:pPr>
  </w:style>
  <w:style w:type="paragraph" w:customStyle="1" w:styleId="134">
    <w:name w:val="附录二级无"/>
    <w:basedOn w:val="80"/>
    <w:qFormat/>
    <w:uiPriority w:val="0"/>
    <w:pPr>
      <w:tabs>
        <w:tab w:val="clear" w:pos="360"/>
      </w:tabs>
      <w:spacing w:before="0" w:beforeLines="0" w:after="0" w:afterLines="0"/>
    </w:pPr>
    <w:rPr>
      <w:rFonts w:ascii="宋体" w:eastAsia="宋体"/>
      <w:szCs w:val="21"/>
    </w:rPr>
  </w:style>
  <w:style w:type="paragraph" w:customStyle="1" w:styleId="135">
    <w:name w:val="其他标准标志"/>
    <w:basedOn w:val="85"/>
    <w:qFormat/>
    <w:uiPriority w:val="0"/>
    <w:pPr>
      <w:framePr w:w="6101" w:wrap="around" w:vAnchor="page" w:hAnchor="page" w:x="4673" w:y="942"/>
    </w:pPr>
    <w:rPr>
      <w:w w:val="130"/>
    </w:rPr>
  </w:style>
  <w:style w:type="paragraph" w:customStyle="1" w:styleId="136">
    <w:name w:val="附录三级无"/>
    <w:basedOn w:val="79"/>
    <w:qFormat/>
    <w:uiPriority w:val="0"/>
    <w:pPr>
      <w:tabs>
        <w:tab w:val="clear" w:pos="360"/>
      </w:tabs>
      <w:spacing w:before="0" w:beforeLines="0" w:after="0" w:afterLines="0"/>
    </w:pPr>
    <w:rPr>
      <w:rFonts w:ascii="宋体" w:eastAsia="宋体"/>
      <w:szCs w:val="21"/>
    </w:rPr>
  </w:style>
  <w:style w:type="paragraph" w:customStyle="1" w:styleId="137">
    <w:name w:val="附录数字编号列项（二级）"/>
    <w:qFormat/>
    <w:uiPriority w:val="0"/>
    <w:pPr>
      <w:numPr>
        <w:ilvl w:val="1"/>
        <w:numId w:val="16"/>
      </w:numPr>
    </w:pPr>
    <w:rPr>
      <w:rFonts w:ascii="宋体" w:hAnsi="Times New Roman" w:eastAsia="宋体" w:cs="Times New Roman"/>
      <w:sz w:val="21"/>
      <w:lang w:val="en-US" w:eastAsia="zh-CN" w:bidi="ar-SA"/>
    </w:rPr>
  </w:style>
  <w:style w:type="paragraph" w:customStyle="1" w:styleId="138">
    <w:name w:val="五级无"/>
    <w:basedOn w:val="111"/>
    <w:qFormat/>
    <w:uiPriority w:val="0"/>
    <w:pPr>
      <w:spacing w:before="0" w:beforeLines="0" w:after="0" w:afterLines="0"/>
    </w:pPr>
    <w:rPr>
      <w:rFonts w:ascii="宋体" w:eastAsia="宋体"/>
    </w:rPr>
  </w:style>
  <w:style w:type="paragraph" w:customStyle="1" w:styleId="139">
    <w:name w:val="附录图标题"/>
    <w:basedOn w:val="1"/>
    <w:next w:val="25"/>
    <w:qFormat/>
    <w:uiPriority w:val="0"/>
    <w:pPr>
      <w:numPr>
        <w:ilvl w:val="1"/>
        <w:numId w:val="12"/>
      </w:numPr>
      <w:tabs>
        <w:tab w:val="left" w:pos="363"/>
      </w:tabs>
      <w:spacing w:before="50" w:beforeLines="50" w:after="50" w:afterLines="50"/>
      <w:ind w:left="0" w:firstLine="0"/>
      <w:jc w:val="center"/>
    </w:pPr>
    <w:rPr>
      <w:rFonts w:ascii="黑体" w:eastAsia="黑体"/>
      <w:szCs w:val="21"/>
    </w:rPr>
  </w:style>
  <w:style w:type="paragraph" w:customStyle="1" w:styleId="140">
    <w:name w:val="附录字母编号列项（一级）"/>
    <w:qFormat/>
    <w:uiPriority w:val="0"/>
    <w:pPr>
      <w:numPr>
        <w:ilvl w:val="0"/>
        <w:numId w:val="16"/>
      </w:numPr>
    </w:pPr>
    <w:rPr>
      <w:rFonts w:ascii="宋体" w:hAnsi="Times New Roman" w:eastAsia="宋体" w:cs="Times New Roman"/>
      <w:sz w:val="21"/>
      <w:lang w:val="en-US" w:eastAsia="zh-CN" w:bidi="ar-SA"/>
    </w:rPr>
  </w:style>
  <w:style w:type="paragraph" w:customStyle="1" w:styleId="14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2">
    <w:name w:val="正文表标题"/>
    <w:next w:val="25"/>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3">
    <w:name w:val="其他实施日期"/>
    <w:basedOn w:val="99"/>
    <w:qFormat/>
    <w:uiPriority w:val="0"/>
    <w:pPr>
      <w:framePr w:wrap="around"/>
    </w:pPr>
  </w:style>
  <w:style w:type="paragraph" w:customStyle="1" w:styleId="144">
    <w:name w:val="封面标准文稿类别2"/>
    <w:basedOn w:val="98"/>
    <w:qFormat/>
    <w:uiPriority w:val="0"/>
    <w:pPr>
      <w:framePr w:wrap="around" w:y="4469"/>
    </w:pPr>
  </w:style>
  <w:style w:type="paragraph" w:customStyle="1" w:styleId="1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6">
    <w:name w:val="表文字"/>
    <w:basedOn w:val="145"/>
    <w:next w:val="145"/>
    <w:qFormat/>
    <w:uiPriority w:val="99"/>
    <w:rPr>
      <w:rFonts w:cs="Times New Roman"/>
      <w:color w:val="auto"/>
    </w:rPr>
  </w:style>
  <w:style w:type="paragraph" w:customStyle="1" w:styleId="147">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48">
    <w:name w:val="font11"/>
    <w:basedOn w:val="37"/>
    <w:qFormat/>
    <w:uiPriority w:val="0"/>
    <w:rPr>
      <w:rFonts w:ascii="宋体" w:hAnsi="宋体" w:eastAsia="宋体" w:cs="宋体"/>
      <w:color w:val="000000"/>
      <w:sz w:val="37"/>
      <w:szCs w:val="37"/>
      <w:u w:val="none"/>
    </w:rPr>
  </w:style>
  <w:style w:type="paragraph" w:customStyle="1" w:styleId="14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WPSOffice手动目录 1"/>
    <w:qFormat/>
    <w:uiPriority w:val="0"/>
    <w:rPr>
      <w:rFonts w:ascii="Times New Roman" w:hAnsi="Times New Roman" w:eastAsia="宋体" w:cs="Times New Roman"/>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3" Type="http://schemas.openxmlformats.org/officeDocument/2006/relationships/fontTable" Target="fontTable.xml"/><Relationship Id="rId52" Type="http://schemas.microsoft.com/office/2006/relationships/keyMapCustomizations" Target="customizations.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footer" Target="footer2.xml"/><Relationship Id="rId49" Type="http://schemas.openxmlformats.org/officeDocument/2006/relationships/image" Target="media/image24.wmf"/><Relationship Id="rId48" Type="http://schemas.openxmlformats.org/officeDocument/2006/relationships/image" Target="media/image23.wmf"/><Relationship Id="rId47" Type="http://schemas.openxmlformats.org/officeDocument/2006/relationships/image" Target="media/image22.wmf"/><Relationship Id="rId46" Type="http://schemas.openxmlformats.org/officeDocument/2006/relationships/image" Target="media/image21.wmf"/><Relationship Id="rId45" Type="http://schemas.openxmlformats.org/officeDocument/2006/relationships/image" Target="media/image20.wmf"/><Relationship Id="rId44" Type="http://schemas.openxmlformats.org/officeDocument/2006/relationships/image" Target="media/image19.wmf"/><Relationship Id="rId43" Type="http://schemas.openxmlformats.org/officeDocument/2006/relationships/image" Target="media/image18.wmf"/><Relationship Id="rId42" Type="http://schemas.openxmlformats.org/officeDocument/2006/relationships/oleObject" Target="embeddings/oleObject18.bin"/><Relationship Id="rId41" Type="http://schemas.openxmlformats.org/officeDocument/2006/relationships/image" Target="media/image17.wmf"/><Relationship Id="rId40" Type="http://schemas.openxmlformats.org/officeDocument/2006/relationships/oleObject" Target="embeddings/oleObject17.bin"/><Relationship Id="rId4" Type="http://schemas.openxmlformats.org/officeDocument/2006/relationships/footer" Target="footer1.xml"/><Relationship Id="rId39" Type="http://schemas.openxmlformats.org/officeDocument/2006/relationships/image" Target="media/image16.wmf"/><Relationship Id="rId38" Type="http://schemas.openxmlformats.org/officeDocument/2006/relationships/oleObject" Target="embeddings/oleObject16.bin"/><Relationship Id="rId37" Type="http://schemas.openxmlformats.org/officeDocument/2006/relationships/image" Target="media/image15.wmf"/><Relationship Id="rId36" Type="http://schemas.openxmlformats.org/officeDocument/2006/relationships/oleObject" Target="embeddings/oleObject15.bin"/><Relationship Id="rId35" Type="http://schemas.openxmlformats.org/officeDocument/2006/relationships/image" Target="media/image14.wmf"/><Relationship Id="rId34" Type="http://schemas.openxmlformats.org/officeDocument/2006/relationships/oleObject" Target="embeddings/oleObject14.bin"/><Relationship Id="rId33" Type="http://schemas.openxmlformats.org/officeDocument/2006/relationships/image" Target="media/image13.wmf"/><Relationship Id="rId32" Type="http://schemas.openxmlformats.org/officeDocument/2006/relationships/oleObject" Target="embeddings/oleObject13.bin"/><Relationship Id="rId31" Type="http://schemas.openxmlformats.org/officeDocument/2006/relationships/image" Target="media/image12.w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1.wmf"/><Relationship Id="rId28" Type="http://schemas.openxmlformats.org/officeDocument/2006/relationships/oleObject" Target="embeddings/oleObject11.bin"/><Relationship Id="rId27" Type="http://schemas.openxmlformats.org/officeDocument/2006/relationships/image" Target="media/image10.wmf"/><Relationship Id="rId26" Type="http://schemas.openxmlformats.org/officeDocument/2006/relationships/oleObject" Target="embeddings/oleObject10.bin"/><Relationship Id="rId25" Type="http://schemas.openxmlformats.org/officeDocument/2006/relationships/image" Target="media/image9.wmf"/><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8</Pages>
  <Words>2422</Words>
  <Characters>3049</Characters>
  <Lines>33</Lines>
  <Paragraphs>9</Paragraphs>
  <TotalTime>5</TotalTime>
  <ScaleCrop>false</ScaleCrop>
  <LinksUpToDate>false</LinksUpToDate>
  <CharactersWithSpaces>3178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2021-07-15T03:54:00Z</dcterms:created>
  <dc:creator>CNIS</dc:creator>
  <cp:lastModifiedBy>邵高峰</cp:lastModifiedBy>
  <cp:lastPrinted>2022-08-30T05:25:00Z</cp:lastPrinted>
  <dcterms:modified xsi:type="dcterms:W3CDTF">2024-07-15T01:12:58Z</dcterms:modified>
  <dc:title>标准名称</dc:title>
  <cp:revision>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A35051ABF061424F9E6C8C533613CAAF_13</vt:lpwstr>
  </property>
</Properties>
</file>