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844C0C" w:rsidRPr="00844C0C">
        <w:rPr>
          <w:rFonts w:ascii="宋体" w:hAnsi="宋体" w:hint="eastAsia"/>
          <w:b/>
          <w:sz w:val="28"/>
          <w:szCs w:val="32"/>
        </w:rPr>
        <w:t>建筑排水用改性丙烯酸共聚聚氯乙烯（AGR+）管道工程技术规程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A87" w:rsidRDefault="007C2A87" w:rsidP="00892971">
      <w:r>
        <w:separator/>
      </w:r>
    </w:p>
  </w:endnote>
  <w:endnote w:type="continuationSeparator" w:id="0">
    <w:p w:rsidR="007C2A87" w:rsidRDefault="007C2A87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A87" w:rsidRDefault="007C2A87" w:rsidP="00892971">
      <w:r>
        <w:separator/>
      </w:r>
    </w:p>
  </w:footnote>
  <w:footnote w:type="continuationSeparator" w:id="0">
    <w:p w:rsidR="007C2A87" w:rsidRDefault="007C2A87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2A87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4C0C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0D80D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熊建辉</cp:lastModifiedBy>
  <cp:revision>2</cp:revision>
  <dcterms:created xsi:type="dcterms:W3CDTF">2024-08-21T06:29:00Z</dcterms:created>
  <dcterms:modified xsi:type="dcterms:W3CDTF">2024-08-21T06:29:00Z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