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B052D">
        <w:rPr>
          <w:rFonts w:ascii="宋体" w:hAnsi="宋体" w:hint="eastAsia"/>
          <w:b/>
          <w:sz w:val="28"/>
          <w:szCs w:val="32"/>
        </w:rPr>
        <w:t>县域城乡一体化公共服务设施规划导则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ED" w:rsidRDefault="005679ED" w:rsidP="00892971">
      <w:r>
        <w:separator/>
      </w:r>
    </w:p>
  </w:endnote>
  <w:endnote w:type="continuationSeparator" w:id="0">
    <w:p w:rsidR="005679ED" w:rsidRDefault="005679E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ED" w:rsidRDefault="005679ED" w:rsidP="00892971">
      <w:r>
        <w:separator/>
      </w:r>
    </w:p>
  </w:footnote>
  <w:footnote w:type="continuationSeparator" w:id="0">
    <w:p w:rsidR="005679ED" w:rsidRDefault="005679E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052D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0107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679ED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68C2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崔婷婷</cp:lastModifiedBy>
  <cp:revision>3</cp:revision>
  <dcterms:created xsi:type="dcterms:W3CDTF">2024-09-11T03:15:00Z</dcterms:created>
  <dcterms:modified xsi:type="dcterms:W3CDTF">2024-09-11T03:15:00Z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