
<file path=[Content_Types].xml><?xml version="1.0" encoding="utf-8"?>
<Types xmlns="http://schemas.openxmlformats.org/package/2006/content-types">
  <Default Extension="xml" ContentType="application/xml"/>
  <Default Extension="emf" ContentType="image/x-e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bCs/>
          <w:sz w:val="30"/>
        </w:rPr>
      </w:pPr>
      <w:bookmarkStart w:id="0" w:name="_Toc151391103"/>
      <w:bookmarkStart w:id="1" w:name="_Toc16414"/>
      <w:bookmarkStart w:id="2" w:name="_Toc152074777"/>
      <w:r>
        <w:rPr>
          <w:rFonts w:eastAsia="仿宋_GB2312"/>
          <w:b/>
          <w:bCs/>
          <w:sz w:val="84"/>
          <w:szCs w:val="84"/>
        </w:rPr>
        <w:drawing>
          <wp:anchor distT="0" distB="0" distL="114300" distR="114300" simplePos="0" relativeHeight="251659264" behindDoc="0" locked="0" layoutInCell="1" allowOverlap="1">
            <wp:simplePos x="0" y="0"/>
            <wp:positionH relativeFrom="column">
              <wp:posOffset>43815</wp:posOffset>
            </wp:positionH>
            <wp:positionV relativeFrom="paragraph">
              <wp:posOffset>-566420</wp:posOffset>
            </wp:positionV>
            <wp:extent cx="1591310" cy="1035050"/>
            <wp:effectExtent l="0" t="0" r="8890" b="12700"/>
            <wp:wrapNone/>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591310" cy="1035050"/>
                    </a:xfrm>
                    <a:prstGeom prst="rect">
                      <a:avLst/>
                    </a:prstGeom>
                    <a:noFill/>
                    <a:ln>
                      <a:noFill/>
                    </a:ln>
                  </pic:spPr>
                </pic:pic>
              </a:graphicData>
            </a:graphic>
          </wp:anchor>
        </w:drawing>
      </w:r>
      <w:r>
        <w:rPr>
          <w:rFonts w:eastAsia="仿宋_GB2312"/>
          <w:b/>
          <w:bCs/>
          <w:sz w:val="84"/>
          <w:szCs w:val="84"/>
        </w:rPr>
        <w:tab/>
      </w:r>
      <w:bookmarkStart w:id="3" w:name="_Toc370997668"/>
      <w:bookmarkStart w:id="4" w:name="_Toc371095478"/>
      <w:bookmarkStart w:id="5" w:name="_Toc375993700"/>
      <w:bookmarkStart w:id="6" w:name="_Toc375993544"/>
      <w:bookmarkStart w:id="7" w:name="_Toc370997583"/>
      <w:bookmarkStart w:id="8" w:name="_Toc371095596"/>
      <w:r>
        <w:rPr>
          <w:b/>
          <w:bCs/>
          <w:sz w:val="30"/>
          <w:szCs w:val="30"/>
        </w:rPr>
        <w:t xml:space="preserve"> </w:t>
      </w:r>
      <w:bookmarkEnd w:id="3"/>
      <w:bookmarkEnd w:id="4"/>
      <w:bookmarkEnd w:id="5"/>
      <w:bookmarkEnd w:id="6"/>
      <w:bookmarkEnd w:id="7"/>
      <w:bookmarkEnd w:id="8"/>
      <w:r>
        <w:rPr>
          <w:b/>
          <w:bCs/>
          <w:sz w:val="30"/>
          <w:szCs w:val="30"/>
        </w:rPr>
        <w:t xml:space="preserve">                              </w:t>
      </w:r>
      <w:r>
        <w:rPr>
          <w:rFonts w:hint="eastAsia" w:ascii="宋体" w:hAnsi="宋体"/>
          <w:b/>
          <w:bCs/>
          <w:sz w:val="32"/>
        </w:rPr>
        <w:t xml:space="preserve">T/CECS </w:t>
      </w:r>
      <w:r>
        <w:rPr>
          <w:rFonts w:ascii="宋体" w:hAnsi="宋体"/>
          <w:b/>
          <w:bCs/>
          <w:sz w:val="32"/>
        </w:rPr>
        <w:t>XXX</w:t>
      </w:r>
      <w:r>
        <w:rPr>
          <w:rFonts w:hint="eastAsia" w:ascii="宋体" w:hAnsi="宋体"/>
          <w:b/>
          <w:bCs/>
          <w:sz w:val="32"/>
        </w:rPr>
        <w:t>—20</w:t>
      </w:r>
      <w:r>
        <w:rPr>
          <w:rFonts w:ascii="宋体" w:hAnsi="宋体"/>
          <w:b/>
          <w:bCs/>
          <w:sz w:val="32"/>
        </w:rPr>
        <w:t>2</w:t>
      </w:r>
      <w:r>
        <w:rPr>
          <w:rFonts w:hint="eastAsia" w:ascii="宋体" w:hAnsi="宋体"/>
          <w:b/>
          <w:bCs/>
          <w:sz w:val="30"/>
        </w:rPr>
        <w:t>X</w:t>
      </w:r>
    </w:p>
    <w:p>
      <w:pPr>
        <w:spacing w:line="480" w:lineRule="auto"/>
        <w:rPr>
          <w:rFonts w:ascii="宋体" w:hAnsi="宋体"/>
          <w:u w:val="single"/>
        </w:rPr>
      </w:pPr>
      <w:r>
        <w:rPr>
          <w:rFonts w:hint="eastAsia" w:ascii="宋体" w:hAnsi="宋体"/>
          <w:u w:val="single"/>
        </w:rPr>
        <w:t xml:space="preserve">                                                                                </w:t>
      </w:r>
    </w:p>
    <w:p>
      <w:pPr>
        <w:jc w:val="center"/>
        <w:rPr>
          <w:b/>
          <w:bCs/>
          <w:spacing w:val="20"/>
          <w:sz w:val="44"/>
          <w:szCs w:val="44"/>
        </w:rPr>
      </w:pPr>
    </w:p>
    <w:p>
      <w:pPr>
        <w:jc w:val="center"/>
        <w:rPr>
          <w:b/>
          <w:bCs/>
          <w:spacing w:val="20"/>
          <w:sz w:val="44"/>
          <w:szCs w:val="44"/>
        </w:rPr>
      </w:pPr>
      <w:r>
        <w:rPr>
          <w:b/>
          <w:bCs/>
          <w:spacing w:val="20"/>
          <w:sz w:val="44"/>
          <w:szCs w:val="44"/>
        </w:rPr>
        <w:t xml:space="preserve">          </w:t>
      </w:r>
    </w:p>
    <w:p>
      <w:pPr>
        <w:jc w:val="center"/>
        <w:rPr>
          <w:rFonts w:eastAsia="黑体"/>
          <w:b/>
          <w:sz w:val="44"/>
          <w:szCs w:val="44"/>
        </w:rPr>
      </w:pPr>
      <w:r>
        <w:rPr>
          <w:rFonts w:hint="eastAsia"/>
          <w:b/>
          <w:bCs/>
          <w:spacing w:val="20"/>
          <w:sz w:val="44"/>
          <w:szCs w:val="44"/>
        </w:rPr>
        <w:t>中国工程建设标准化协会标准</w:t>
      </w:r>
    </w:p>
    <w:p>
      <w:pPr>
        <w:jc w:val="center"/>
        <w:rPr>
          <w:rFonts w:eastAsia="黑体"/>
          <w:b/>
          <w:sz w:val="44"/>
          <w:szCs w:val="44"/>
        </w:rPr>
      </w:pPr>
    </w:p>
    <w:p>
      <w:pPr>
        <w:jc w:val="center"/>
        <w:rPr>
          <w:rFonts w:hint="eastAsia" w:eastAsia="黑体"/>
          <w:b/>
          <w:sz w:val="44"/>
          <w:szCs w:val="44"/>
        </w:rPr>
      </w:pPr>
      <w:r>
        <w:rPr>
          <w:rFonts w:hint="eastAsia" w:eastAsia="黑体"/>
          <w:b/>
          <w:sz w:val="44"/>
          <w:szCs w:val="44"/>
        </w:rPr>
        <w:t>高效能标准化钢结构评价标准</w:t>
      </w:r>
    </w:p>
    <w:p>
      <w:pPr>
        <w:jc w:val="center"/>
        <w:rPr>
          <w:rFonts w:hint="default" w:eastAsia="黑体"/>
          <w:b w:val="0"/>
          <w:bCs/>
          <w:sz w:val="32"/>
          <w:szCs w:val="32"/>
          <w:lang w:val="en-US" w:eastAsia="zh-CN"/>
        </w:rPr>
      </w:pPr>
      <w:r>
        <w:rPr>
          <w:rFonts w:hint="eastAsia" w:eastAsia="黑体"/>
          <w:b w:val="0"/>
          <w:bCs/>
          <w:sz w:val="32"/>
          <w:szCs w:val="32"/>
          <w:lang w:val="en-US" w:eastAsia="zh-CN"/>
        </w:rPr>
        <w:t>（征求意见稿）</w:t>
      </w:r>
    </w:p>
    <w:p>
      <w:pPr>
        <w:jc w:val="center"/>
      </w:pPr>
    </w:p>
    <w:p>
      <w:pPr>
        <w:jc w:val="center"/>
      </w:pPr>
    </w:p>
    <w:p>
      <w:pPr>
        <w:jc w:val="center"/>
      </w:pPr>
    </w:p>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b/>
        </w:rPr>
      </w:pPr>
    </w:p>
    <w:p>
      <w:pPr>
        <w:jc w:val="center"/>
        <w:rPr>
          <w:sz w:val="28"/>
          <w:szCs w:val="24"/>
        </w:rPr>
      </w:pPr>
      <w:r>
        <w:rPr>
          <w:rFonts w:hint="eastAsia"/>
          <w:sz w:val="28"/>
          <w:szCs w:val="24"/>
        </w:rPr>
        <w:t>中 国 计 划 出 版 社</w:t>
      </w:r>
    </w:p>
    <w:p>
      <w:pPr>
        <w:jc w:val="center"/>
        <w:rPr>
          <w:sz w:val="28"/>
          <w:szCs w:val="24"/>
        </w:rPr>
      </w:pPr>
    </w:p>
    <w:p>
      <w:pPr>
        <w:widowControl/>
        <w:spacing w:line="240" w:lineRule="auto"/>
        <w:jc w:val="left"/>
        <w:rPr>
          <w:b/>
          <w:bCs/>
          <w:kern w:val="44"/>
          <w:sz w:val="32"/>
          <w:szCs w:val="44"/>
        </w:rPr>
        <w:sectPr>
          <w:footerReference r:id="rId5" w:type="default"/>
          <w:pgSz w:w="11906" w:h="16838"/>
          <w:pgMar w:top="1440" w:right="1418" w:bottom="1440" w:left="1797"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p>
    <w:p>
      <w:pPr>
        <w:widowControl/>
        <w:spacing w:line="240" w:lineRule="auto"/>
        <w:jc w:val="left"/>
        <w:rPr>
          <w:b/>
          <w:bCs/>
          <w:kern w:val="44"/>
          <w:sz w:val="32"/>
          <w:szCs w:val="44"/>
        </w:rPr>
      </w:pPr>
    </w:p>
    <w:p>
      <w:pPr>
        <w:pStyle w:val="3"/>
      </w:pPr>
      <w:bookmarkStart w:id="9" w:name="_Toc3033"/>
      <w:r>
        <w:rPr>
          <w:rFonts w:hint="eastAsia"/>
        </w:rPr>
        <w:t xml:space="preserve">公 </w:t>
      </w:r>
      <w:r>
        <w:t xml:space="preserve">  </w:t>
      </w:r>
      <w:r>
        <w:rPr>
          <w:rFonts w:hint="eastAsia"/>
        </w:rPr>
        <w:t>告</w:t>
      </w:r>
      <w:bookmarkEnd w:id="0"/>
      <w:bookmarkEnd w:id="1"/>
      <w:bookmarkEnd w:id="2"/>
      <w:bookmarkEnd w:id="9"/>
    </w:p>
    <w:p>
      <w:pPr>
        <w:widowControl/>
        <w:spacing w:line="240" w:lineRule="auto"/>
        <w:jc w:val="left"/>
        <w:rPr>
          <w:b/>
          <w:bCs/>
          <w:kern w:val="44"/>
          <w:sz w:val="32"/>
          <w:szCs w:val="44"/>
        </w:rPr>
      </w:pPr>
      <w:r>
        <w:br w:type="page"/>
      </w:r>
    </w:p>
    <w:p>
      <w:pPr>
        <w:pStyle w:val="3"/>
      </w:pPr>
      <w:bookmarkStart w:id="10" w:name="_Toc151391104"/>
      <w:bookmarkStart w:id="11" w:name="_Toc19435"/>
      <w:bookmarkStart w:id="12" w:name="_Toc152074778"/>
      <w:bookmarkStart w:id="13" w:name="_Toc17538"/>
      <w:r>
        <w:t>前</w:t>
      </w:r>
      <w:r>
        <w:rPr>
          <w:rFonts w:hint="eastAsia"/>
        </w:rPr>
        <w:t xml:space="preserve"> </w:t>
      </w:r>
      <w:r>
        <w:t xml:space="preserve">  言</w:t>
      </w:r>
      <w:bookmarkEnd w:id="10"/>
      <w:bookmarkEnd w:id="11"/>
      <w:bookmarkEnd w:id="12"/>
      <w:bookmarkEnd w:id="13"/>
    </w:p>
    <w:p>
      <w:pPr>
        <w:spacing w:before="93" w:beforeLines="30" w:line="560" w:lineRule="exact"/>
        <w:ind w:firstLine="560" w:firstLineChars="200"/>
        <w:jc w:val="left"/>
        <w:rPr>
          <w:rFonts w:ascii="宋体" w:hAnsi="宋体"/>
          <w:sz w:val="28"/>
          <w:szCs w:val="28"/>
        </w:rPr>
      </w:pPr>
      <w:r>
        <w:rPr>
          <w:rFonts w:hint="eastAsia" w:ascii="宋体" w:hAnsi="宋体"/>
          <w:sz w:val="28"/>
          <w:szCs w:val="28"/>
        </w:rPr>
        <w:t>根据中国工程建设标准化协会文件《关于印发&lt;2023年第一批协会标准制订、修订计划&gt;的通知》，标准编制组经广泛调查研究，认真总结实践经验，参考有关国内外标准，并在广泛征集意见的基础上，编制了本标准。</w:t>
      </w:r>
    </w:p>
    <w:p>
      <w:pPr>
        <w:spacing w:before="93" w:beforeLines="30" w:line="560" w:lineRule="exact"/>
        <w:ind w:firstLine="560" w:firstLineChars="200"/>
        <w:jc w:val="left"/>
        <w:rPr>
          <w:rFonts w:ascii="宋体" w:hAnsi="宋体"/>
          <w:sz w:val="28"/>
          <w:szCs w:val="28"/>
        </w:rPr>
      </w:pPr>
      <w:r>
        <w:rPr>
          <w:rFonts w:hint="eastAsia" w:ascii="宋体" w:hAnsi="宋体"/>
          <w:sz w:val="28"/>
          <w:szCs w:val="28"/>
        </w:rPr>
        <w:t>本标准主要技术内容是:1 总则；2 术语；3 基本规定；</w:t>
      </w:r>
      <w:r>
        <w:rPr>
          <w:rFonts w:ascii="宋体" w:hAnsi="宋体"/>
          <w:sz w:val="28"/>
          <w:szCs w:val="28"/>
        </w:rPr>
        <w:t>4</w:t>
      </w:r>
      <w:r>
        <w:rPr>
          <w:rFonts w:hint="eastAsia" w:ascii="宋体" w:hAnsi="宋体"/>
          <w:sz w:val="28"/>
          <w:szCs w:val="28"/>
        </w:rPr>
        <w:t xml:space="preserve"> 评价指标体系与等级划分。</w:t>
      </w:r>
    </w:p>
    <w:p>
      <w:pPr>
        <w:spacing w:before="93" w:beforeLines="30" w:line="560" w:lineRule="exact"/>
        <w:ind w:firstLine="560" w:firstLineChars="200"/>
        <w:jc w:val="left"/>
        <w:rPr>
          <w:rFonts w:ascii="宋体" w:hAnsi="宋体"/>
          <w:sz w:val="28"/>
          <w:szCs w:val="28"/>
        </w:rPr>
      </w:pPr>
      <w:r>
        <w:rPr>
          <w:rFonts w:hint="eastAsia" w:ascii="宋体" w:hAnsi="宋体"/>
          <w:sz w:val="28"/>
          <w:szCs w:val="28"/>
        </w:rPr>
        <w:t>请注意本标准的某些内容可能直接或间接涉及专利，本标准的发布机构不承担识别这些专利的责任。</w:t>
      </w:r>
    </w:p>
    <w:p>
      <w:pPr>
        <w:spacing w:before="93" w:beforeLines="30" w:line="560" w:lineRule="exact"/>
        <w:ind w:firstLine="560" w:firstLineChars="200"/>
        <w:jc w:val="left"/>
        <w:rPr>
          <w:rFonts w:ascii="宋体" w:hAnsi="宋体"/>
          <w:sz w:val="28"/>
          <w:szCs w:val="28"/>
        </w:rPr>
      </w:pPr>
      <w:r>
        <w:rPr>
          <w:rFonts w:hint="eastAsia" w:ascii="宋体" w:hAnsi="宋体"/>
          <w:sz w:val="28"/>
          <w:szCs w:val="28"/>
        </w:rPr>
        <w:t>本标准由中国工程建设标准化协会负责管理，由中国建筑标准设计研究院有限公司负责具体技术内容的解释。为了提高本规程的编制质量和水平，请各单位在执行本规程的过程中注意总结经验，积累资料，并将意见或建议资料寄送至中国建筑标准设计研究院有限公司(地址：北京市首体南路9号主语国际2号楼，邮政编码：1</w:t>
      </w:r>
      <w:r>
        <w:rPr>
          <w:rFonts w:ascii="宋体" w:hAnsi="宋体"/>
          <w:sz w:val="28"/>
          <w:szCs w:val="28"/>
        </w:rPr>
        <w:t>00048</w:t>
      </w:r>
      <w:r>
        <w:rPr>
          <w:rFonts w:hint="eastAsia" w:ascii="宋体" w:hAnsi="宋体"/>
          <w:sz w:val="28"/>
          <w:szCs w:val="28"/>
        </w:rPr>
        <w:t>)。</w:t>
      </w:r>
    </w:p>
    <w:p>
      <w:pPr>
        <w:spacing w:before="93" w:beforeLines="30"/>
        <w:ind w:left="558"/>
        <w:rPr>
          <w:sz w:val="28"/>
          <w:szCs w:val="28"/>
        </w:rPr>
      </w:pPr>
      <w:r>
        <w:rPr>
          <w:rFonts w:hint="eastAsia"/>
          <w:sz w:val="28"/>
          <w:szCs w:val="28"/>
        </w:rPr>
        <w:t xml:space="preserve">主编单位： </w:t>
      </w:r>
      <w:r>
        <w:rPr>
          <w:sz w:val="28"/>
          <w:szCs w:val="28"/>
        </w:rPr>
        <w:t xml:space="preserve">   </w:t>
      </w:r>
      <w:r>
        <w:rPr>
          <w:rFonts w:hint="eastAsia"/>
          <w:sz w:val="28"/>
          <w:szCs w:val="28"/>
        </w:rPr>
        <w:t>中国建筑标准设计研究院有限公司</w:t>
      </w:r>
    </w:p>
    <w:p>
      <w:pPr>
        <w:spacing w:before="93" w:beforeLines="30"/>
        <w:ind w:left="558"/>
        <w:rPr>
          <w:sz w:val="28"/>
          <w:szCs w:val="28"/>
        </w:rPr>
      </w:pPr>
      <w:r>
        <w:rPr>
          <w:rFonts w:hint="eastAsia"/>
          <w:sz w:val="28"/>
          <w:szCs w:val="28"/>
        </w:rPr>
        <w:t xml:space="preserve">参编单位： </w:t>
      </w:r>
      <w:r>
        <w:rPr>
          <w:sz w:val="28"/>
          <w:szCs w:val="28"/>
        </w:rPr>
        <w:t xml:space="preserve">   </w:t>
      </w:r>
    </w:p>
    <w:p>
      <w:pPr>
        <w:spacing w:before="93" w:beforeLines="30"/>
        <w:ind w:left="-2" w:leftChars="-1" w:firstLine="560" w:firstLineChars="200"/>
        <w:jc w:val="left"/>
        <w:rPr>
          <w:color w:val="000000" w:themeColor="text1"/>
          <w:sz w:val="28"/>
          <w:szCs w:val="28"/>
          <w14:textFill>
            <w14:solidFill>
              <w14:schemeClr w14:val="tx1"/>
            </w14:solidFill>
          </w14:textFill>
        </w:rPr>
      </w:pPr>
      <w:r>
        <w:rPr>
          <w:rFonts w:hint="eastAsia"/>
          <w:sz w:val="28"/>
          <w:szCs w:val="28"/>
        </w:rPr>
        <w:t xml:space="preserve">主要起草人员：    </w:t>
      </w:r>
    </w:p>
    <w:p>
      <w:pPr>
        <w:spacing w:before="93" w:beforeLines="30"/>
        <w:ind w:firstLine="560" w:firstLineChars="200"/>
        <w:jc w:val="left"/>
        <w:rPr>
          <w:sz w:val="28"/>
          <w:szCs w:val="28"/>
        </w:rPr>
      </w:pPr>
      <w:r>
        <w:rPr>
          <w:rFonts w:hint="eastAsia"/>
          <w:sz w:val="28"/>
          <w:szCs w:val="28"/>
        </w:rPr>
        <w:t>主要审查人员：</w:t>
      </w:r>
    </w:p>
    <w:p>
      <w:pPr>
        <w:spacing w:before="93" w:beforeLines="30"/>
        <w:ind w:left="-2" w:leftChars="-1" w:firstLine="2520" w:firstLineChars="900"/>
        <w:jc w:val="left"/>
        <w:rPr>
          <w:sz w:val="28"/>
          <w:szCs w:val="28"/>
        </w:rPr>
      </w:pPr>
    </w:p>
    <w:p>
      <w:pPr>
        <w:widowControl/>
        <w:spacing w:line="240" w:lineRule="auto"/>
        <w:jc w:val="left"/>
        <w:rPr>
          <w:szCs w:val="24"/>
        </w:rPr>
      </w:pPr>
    </w:p>
    <w:p>
      <w:pPr>
        <w:jc w:val="left"/>
        <w:rPr>
          <w:szCs w:val="24"/>
        </w:rPr>
      </w:pPr>
    </w:p>
    <w:p>
      <w:pPr>
        <w:widowControl/>
        <w:spacing w:line="240" w:lineRule="auto"/>
        <w:jc w:val="left"/>
        <w:rPr>
          <w:rFonts w:eastAsia="黑体"/>
          <w:sz w:val="30"/>
          <w:szCs w:val="30"/>
        </w:rPr>
      </w:pPr>
      <w:bookmarkStart w:id="14" w:name="_Toc60149493"/>
      <w:bookmarkStart w:id="15" w:name="_Toc60621957"/>
      <w:bookmarkStart w:id="16" w:name="_Toc138833196"/>
      <w:bookmarkStart w:id="17" w:name="_Toc139200815"/>
      <w:bookmarkStart w:id="18" w:name="_Toc64416718"/>
      <w:bookmarkStart w:id="19" w:name="_Toc110908368"/>
      <w:bookmarkStart w:id="20" w:name="_Toc138833770"/>
      <w:bookmarkStart w:id="21" w:name="_Toc64848868"/>
      <w:bookmarkStart w:id="22" w:name="_Toc60998852"/>
      <w:bookmarkStart w:id="23" w:name="_Toc110908104"/>
      <w:bookmarkStart w:id="24" w:name="_Toc110908127"/>
      <w:bookmarkStart w:id="25" w:name="_Toc144859242"/>
      <w:r>
        <w:rPr>
          <w:rFonts w:eastAsia="黑体"/>
          <w:sz w:val="30"/>
          <w:szCs w:val="30"/>
        </w:rPr>
        <w:br w:type="page"/>
      </w:r>
    </w:p>
    <w:p>
      <w:pPr>
        <w:rPr>
          <w:sz w:val="30"/>
          <w:szCs w:val="30"/>
        </w:rPr>
      </w:pPr>
      <w:bookmarkStart w:id="26" w:name="_Toc150727164"/>
      <w:bookmarkStart w:id="27" w:name="_Toc150763789"/>
      <w:bookmarkStart w:id="28" w:name="_Toc148545705"/>
      <w:bookmarkStart w:id="29" w:name="_Toc151391105"/>
      <w:bookmarkStart w:id="30" w:name="_Toc150721414"/>
      <w:bookmarkStart w:id="31" w:name="_Toc152074779"/>
      <w:bookmarkStart w:id="32" w:name="_Toc19143"/>
      <w:bookmarkStart w:id="33" w:name="_Toc150545398"/>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sdt>
      <w:sdtPr>
        <w:rPr>
          <w:rFonts w:ascii="宋体" w:hAnsi="宋体"/>
          <w:sz w:val="30"/>
          <w:szCs w:val="30"/>
        </w:rPr>
        <w:id w:val="147467691"/>
        <w15:color w:val="DBDBDB"/>
        <w:docPartObj>
          <w:docPartGallery w:val="Table of Contents"/>
          <w:docPartUnique/>
        </w:docPartObj>
      </w:sdtPr>
      <w:sdtEndPr>
        <w:rPr>
          <w:rFonts w:ascii="宋体" w:hAnsi="宋体"/>
          <w:sz w:val="30"/>
          <w:szCs w:val="30"/>
        </w:rPr>
      </w:sdtEndPr>
      <w:sdtContent>
        <w:p>
          <w:pPr>
            <w:spacing w:line="240" w:lineRule="auto"/>
            <w:jc w:val="center"/>
            <w:rPr>
              <w:sz w:val="30"/>
              <w:szCs w:val="30"/>
            </w:rPr>
          </w:pPr>
          <w:r>
            <w:rPr>
              <w:rFonts w:ascii="宋体" w:hAnsi="宋体"/>
              <w:sz w:val="30"/>
              <w:szCs w:val="30"/>
            </w:rPr>
            <w:t>目</w:t>
          </w:r>
          <w:r>
            <w:rPr>
              <w:rFonts w:hint="eastAsia" w:ascii="宋体" w:hAnsi="宋体"/>
              <w:sz w:val="30"/>
              <w:szCs w:val="30"/>
            </w:rPr>
            <w:t xml:space="preserve"> </w:t>
          </w:r>
          <w:r>
            <w:rPr>
              <w:rFonts w:ascii="宋体" w:hAnsi="宋体"/>
              <w:sz w:val="30"/>
              <w:szCs w:val="30"/>
            </w:rPr>
            <w:t>录</w:t>
          </w:r>
        </w:p>
        <w:p>
          <w:pPr>
            <w:pStyle w:val="15"/>
            <w:tabs>
              <w:tab w:val="right" w:leader="dot" w:pos="8691"/>
              <w:tab w:val="clear" w:pos="8296"/>
            </w:tabs>
          </w:pPr>
          <w:r>
            <w:rPr>
              <w:rFonts w:ascii="宋体" w:hAnsi="宋体"/>
              <w:b w:val="0"/>
            </w:rPr>
            <w:fldChar w:fldCharType="begin"/>
          </w:r>
          <w:r>
            <w:rPr>
              <w:rFonts w:ascii="宋体" w:hAnsi="宋体"/>
              <w:b w:val="0"/>
            </w:rPr>
            <w:instrText xml:space="preserve">TOC \o "1-3" \h \u </w:instrText>
          </w:r>
          <w:r>
            <w:rPr>
              <w:rFonts w:ascii="宋体" w:hAnsi="宋体"/>
              <w:b w:val="0"/>
            </w:rPr>
            <w:fldChar w:fldCharType="separate"/>
          </w:r>
          <w:r>
            <w:rPr>
              <w:rFonts w:ascii="宋体" w:hAnsi="宋体"/>
            </w:rPr>
            <w:fldChar w:fldCharType="begin"/>
          </w:r>
          <w:r>
            <w:rPr>
              <w:rFonts w:ascii="宋体" w:hAnsi="宋体"/>
            </w:rPr>
            <w:instrText xml:space="preserve"> HYPERLINK \l _Toc3033 </w:instrText>
          </w:r>
          <w:r>
            <w:rPr>
              <w:rFonts w:ascii="宋体" w:hAnsi="宋体"/>
            </w:rPr>
            <w:fldChar w:fldCharType="separate"/>
          </w:r>
          <w:r>
            <w:rPr>
              <w:rFonts w:hint="eastAsia"/>
            </w:rPr>
            <w:t xml:space="preserve">公 </w:t>
          </w:r>
          <w:r>
            <w:t xml:space="preserve">  </w:t>
          </w:r>
          <w:r>
            <w:rPr>
              <w:rFonts w:hint="eastAsia"/>
            </w:rPr>
            <w:t>告</w:t>
          </w:r>
          <w:r>
            <w:tab/>
          </w:r>
          <w:r>
            <w:fldChar w:fldCharType="begin"/>
          </w:r>
          <w:r>
            <w:instrText xml:space="preserve"> PAGEREF _Toc3033 \h </w:instrText>
          </w:r>
          <w:r>
            <w:fldChar w:fldCharType="separate"/>
          </w:r>
          <w:r>
            <w:t>I</w:t>
          </w:r>
          <w:r>
            <w:fldChar w:fldCharType="end"/>
          </w:r>
          <w:r>
            <w:rPr>
              <w:rFonts w:ascii="宋体" w:hAnsi="宋体"/>
            </w:rPr>
            <w:fldChar w:fldCharType="end"/>
          </w:r>
        </w:p>
        <w:p>
          <w:pPr>
            <w:pStyle w:val="15"/>
            <w:tabs>
              <w:tab w:val="right" w:leader="dot" w:pos="8691"/>
              <w:tab w:val="clear" w:pos="8296"/>
            </w:tabs>
          </w:pPr>
          <w:r>
            <w:rPr>
              <w:rFonts w:ascii="宋体" w:hAnsi="宋体"/>
              <w:szCs w:val="24"/>
            </w:rPr>
            <w:fldChar w:fldCharType="begin"/>
          </w:r>
          <w:r>
            <w:rPr>
              <w:rFonts w:ascii="宋体" w:hAnsi="宋体"/>
              <w:szCs w:val="24"/>
            </w:rPr>
            <w:instrText xml:space="preserve"> HYPERLINK \l _Toc17538 </w:instrText>
          </w:r>
          <w:r>
            <w:rPr>
              <w:rFonts w:ascii="宋体" w:hAnsi="宋体"/>
              <w:szCs w:val="24"/>
            </w:rPr>
            <w:fldChar w:fldCharType="separate"/>
          </w:r>
          <w:r>
            <w:t>前</w:t>
          </w:r>
          <w:r>
            <w:rPr>
              <w:rFonts w:hint="eastAsia"/>
            </w:rPr>
            <w:t xml:space="preserve"> </w:t>
          </w:r>
          <w:r>
            <w:t xml:space="preserve">  言</w:t>
          </w:r>
          <w:r>
            <w:tab/>
          </w:r>
          <w:r>
            <w:fldChar w:fldCharType="begin"/>
          </w:r>
          <w:r>
            <w:instrText xml:space="preserve"> PAGEREF _Toc17538 \h </w:instrText>
          </w:r>
          <w:r>
            <w:fldChar w:fldCharType="separate"/>
          </w:r>
          <w:r>
            <w:t>II</w:t>
          </w:r>
          <w:r>
            <w:fldChar w:fldCharType="end"/>
          </w:r>
          <w:r>
            <w:rPr>
              <w:rFonts w:ascii="宋体" w:hAnsi="宋体"/>
              <w:szCs w:val="24"/>
            </w:rPr>
            <w:fldChar w:fldCharType="end"/>
          </w:r>
        </w:p>
        <w:p>
          <w:pPr>
            <w:pStyle w:val="15"/>
            <w:tabs>
              <w:tab w:val="right" w:leader="dot" w:pos="8691"/>
              <w:tab w:val="clear" w:pos="8296"/>
            </w:tabs>
          </w:pPr>
          <w:r>
            <w:rPr>
              <w:rFonts w:ascii="宋体" w:hAnsi="宋体"/>
              <w:szCs w:val="24"/>
            </w:rPr>
            <w:fldChar w:fldCharType="begin"/>
          </w:r>
          <w:r>
            <w:rPr>
              <w:rFonts w:ascii="宋体" w:hAnsi="宋体"/>
              <w:szCs w:val="24"/>
            </w:rPr>
            <w:instrText xml:space="preserve"> HYPERLINK \l _Toc21373 </w:instrText>
          </w:r>
          <w:r>
            <w:rPr>
              <w:rFonts w:ascii="宋体" w:hAnsi="宋体"/>
              <w:szCs w:val="24"/>
            </w:rPr>
            <w:fldChar w:fldCharType="separate"/>
          </w:r>
          <w:r>
            <w:rPr>
              <w:rFonts w:hint="eastAsia"/>
              <w:szCs w:val="30"/>
            </w:rPr>
            <w:t>1</w:t>
          </w:r>
          <w:r>
            <w:rPr>
              <w:szCs w:val="30"/>
            </w:rPr>
            <w:t xml:space="preserve">  </w:t>
          </w:r>
          <w:r>
            <w:rPr>
              <w:rFonts w:hint="eastAsia"/>
              <w:szCs w:val="30"/>
            </w:rPr>
            <w:t>总则</w:t>
          </w:r>
          <w:r>
            <w:tab/>
          </w:r>
          <w:r>
            <w:fldChar w:fldCharType="begin"/>
          </w:r>
          <w:r>
            <w:instrText xml:space="preserve"> PAGEREF _Toc21373 \h </w:instrText>
          </w:r>
          <w:r>
            <w:fldChar w:fldCharType="separate"/>
          </w:r>
          <w:r>
            <w:t>1</w:t>
          </w:r>
          <w:r>
            <w:fldChar w:fldCharType="end"/>
          </w:r>
          <w:r>
            <w:rPr>
              <w:rFonts w:ascii="宋体" w:hAnsi="宋体"/>
              <w:szCs w:val="24"/>
            </w:rPr>
            <w:fldChar w:fldCharType="end"/>
          </w:r>
        </w:p>
        <w:p>
          <w:pPr>
            <w:pStyle w:val="15"/>
            <w:tabs>
              <w:tab w:val="right" w:leader="dot" w:pos="8691"/>
              <w:tab w:val="clear" w:pos="8296"/>
            </w:tabs>
          </w:pPr>
          <w:r>
            <w:rPr>
              <w:rFonts w:ascii="宋体" w:hAnsi="宋体"/>
              <w:szCs w:val="24"/>
            </w:rPr>
            <w:fldChar w:fldCharType="begin"/>
          </w:r>
          <w:r>
            <w:rPr>
              <w:rFonts w:ascii="宋体" w:hAnsi="宋体"/>
              <w:szCs w:val="24"/>
            </w:rPr>
            <w:instrText xml:space="preserve"> HYPERLINK \l _Toc32093 </w:instrText>
          </w:r>
          <w:r>
            <w:rPr>
              <w:rFonts w:ascii="宋体" w:hAnsi="宋体"/>
              <w:szCs w:val="24"/>
            </w:rPr>
            <w:fldChar w:fldCharType="separate"/>
          </w:r>
          <w:r>
            <w:rPr>
              <w:szCs w:val="30"/>
            </w:rPr>
            <w:t xml:space="preserve">2  </w:t>
          </w:r>
          <w:r>
            <w:rPr>
              <w:rFonts w:hint="eastAsia"/>
              <w:szCs w:val="30"/>
            </w:rPr>
            <w:t>术语</w:t>
          </w:r>
          <w:r>
            <w:tab/>
          </w:r>
          <w:r>
            <w:fldChar w:fldCharType="begin"/>
          </w:r>
          <w:r>
            <w:instrText xml:space="preserve"> PAGEREF _Toc32093 \h </w:instrText>
          </w:r>
          <w:r>
            <w:fldChar w:fldCharType="separate"/>
          </w:r>
          <w:r>
            <w:t>2</w:t>
          </w:r>
          <w:r>
            <w:fldChar w:fldCharType="end"/>
          </w:r>
          <w:r>
            <w:rPr>
              <w:rFonts w:ascii="宋体" w:hAnsi="宋体"/>
              <w:szCs w:val="24"/>
            </w:rPr>
            <w:fldChar w:fldCharType="end"/>
          </w:r>
        </w:p>
        <w:p>
          <w:pPr>
            <w:pStyle w:val="15"/>
            <w:tabs>
              <w:tab w:val="right" w:leader="dot" w:pos="8691"/>
              <w:tab w:val="clear" w:pos="8296"/>
            </w:tabs>
          </w:pPr>
          <w:r>
            <w:rPr>
              <w:rFonts w:ascii="宋体" w:hAnsi="宋体"/>
              <w:szCs w:val="24"/>
            </w:rPr>
            <w:fldChar w:fldCharType="begin"/>
          </w:r>
          <w:r>
            <w:rPr>
              <w:rFonts w:ascii="宋体" w:hAnsi="宋体"/>
              <w:szCs w:val="24"/>
            </w:rPr>
            <w:instrText xml:space="preserve"> HYPERLINK \l _Toc13878 </w:instrText>
          </w:r>
          <w:r>
            <w:rPr>
              <w:rFonts w:ascii="宋体" w:hAnsi="宋体"/>
              <w:szCs w:val="24"/>
            </w:rPr>
            <w:fldChar w:fldCharType="separate"/>
          </w:r>
          <w:r>
            <w:rPr>
              <w:rFonts w:hint="eastAsia"/>
              <w:szCs w:val="30"/>
            </w:rPr>
            <w:t>3</w:t>
          </w:r>
          <w:r>
            <w:rPr>
              <w:szCs w:val="30"/>
            </w:rPr>
            <w:t xml:space="preserve">  </w:t>
          </w:r>
          <w:r>
            <w:rPr>
              <w:rFonts w:hint="eastAsia"/>
              <w:szCs w:val="30"/>
            </w:rPr>
            <w:t>基本规定</w:t>
          </w:r>
          <w:r>
            <w:tab/>
          </w:r>
          <w:r>
            <w:fldChar w:fldCharType="begin"/>
          </w:r>
          <w:r>
            <w:instrText xml:space="preserve"> PAGEREF _Toc13878 \h </w:instrText>
          </w:r>
          <w:r>
            <w:fldChar w:fldCharType="separate"/>
          </w:r>
          <w:r>
            <w:t>4</w:t>
          </w:r>
          <w:r>
            <w:fldChar w:fldCharType="end"/>
          </w:r>
          <w:r>
            <w:rPr>
              <w:rFonts w:ascii="宋体" w:hAnsi="宋体"/>
              <w:szCs w:val="24"/>
            </w:rPr>
            <w:fldChar w:fldCharType="end"/>
          </w:r>
        </w:p>
        <w:p>
          <w:pPr>
            <w:pStyle w:val="15"/>
            <w:tabs>
              <w:tab w:val="right" w:leader="dot" w:pos="8691"/>
              <w:tab w:val="clear" w:pos="8296"/>
            </w:tabs>
          </w:pPr>
          <w:r>
            <w:rPr>
              <w:rFonts w:ascii="宋体" w:hAnsi="宋体"/>
              <w:szCs w:val="24"/>
            </w:rPr>
            <w:fldChar w:fldCharType="begin"/>
          </w:r>
          <w:r>
            <w:rPr>
              <w:rFonts w:ascii="宋体" w:hAnsi="宋体"/>
              <w:szCs w:val="24"/>
            </w:rPr>
            <w:instrText xml:space="preserve"> HYPERLINK \l _Toc30573 </w:instrText>
          </w:r>
          <w:r>
            <w:rPr>
              <w:rFonts w:ascii="宋体" w:hAnsi="宋体"/>
              <w:szCs w:val="24"/>
            </w:rPr>
            <w:fldChar w:fldCharType="separate"/>
          </w:r>
          <w:r>
            <w:rPr>
              <w:rFonts w:hint="eastAsia"/>
              <w:szCs w:val="30"/>
            </w:rPr>
            <w:t>4</w:t>
          </w:r>
          <w:r>
            <w:rPr>
              <w:szCs w:val="30"/>
            </w:rPr>
            <w:t xml:space="preserve">  </w:t>
          </w:r>
          <w:r>
            <w:rPr>
              <w:rFonts w:hint="eastAsia"/>
              <w:szCs w:val="30"/>
            </w:rPr>
            <w:t>评价指标体系与等级划分</w:t>
          </w:r>
          <w:r>
            <w:tab/>
          </w:r>
          <w:r>
            <w:fldChar w:fldCharType="begin"/>
          </w:r>
          <w:r>
            <w:instrText xml:space="preserve"> PAGEREF _Toc30573 \h </w:instrText>
          </w:r>
          <w:r>
            <w:fldChar w:fldCharType="separate"/>
          </w:r>
          <w:r>
            <w:t>6</w:t>
          </w:r>
          <w:r>
            <w:fldChar w:fldCharType="end"/>
          </w:r>
          <w:r>
            <w:rPr>
              <w:rFonts w:ascii="宋体" w:hAnsi="宋体"/>
              <w:szCs w:val="24"/>
            </w:rPr>
            <w:fldChar w:fldCharType="end"/>
          </w:r>
        </w:p>
        <w:p>
          <w:pPr>
            <w:pStyle w:val="16"/>
            <w:tabs>
              <w:tab w:val="right" w:leader="dot" w:pos="8691"/>
              <w:tab w:val="clear" w:pos="8296"/>
            </w:tabs>
          </w:pPr>
          <w:r>
            <w:rPr>
              <w:rFonts w:ascii="宋体" w:hAnsi="宋体"/>
              <w:szCs w:val="24"/>
            </w:rPr>
            <w:fldChar w:fldCharType="begin"/>
          </w:r>
          <w:r>
            <w:rPr>
              <w:rFonts w:ascii="宋体" w:hAnsi="宋体"/>
              <w:szCs w:val="24"/>
            </w:rPr>
            <w:instrText xml:space="preserve"> HYPERLINK \l _Toc754 </w:instrText>
          </w:r>
          <w:r>
            <w:rPr>
              <w:rFonts w:ascii="宋体" w:hAnsi="宋体"/>
              <w:szCs w:val="24"/>
            </w:rPr>
            <w:fldChar w:fldCharType="separate"/>
          </w:r>
          <w:r>
            <w:rPr>
              <w:rFonts w:ascii="Times New Roman" w:hAnsi="Times New Roman" w:cs="Times New Roman"/>
            </w:rPr>
            <w:t>4.1</w:t>
          </w:r>
          <w:r>
            <w:t xml:space="preserve">  </w:t>
          </w:r>
          <w:r>
            <w:rPr>
              <w:rFonts w:hint="eastAsia" w:ascii="黑体" w:hAnsi="黑体" w:eastAsia="黑体" w:cs="黑体"/>
            </w:rPr>
            <w:t>一般规定</w:t>
          </w:r>
          <w:r>
            <w:tab/>
          </w:r>
          <w:r>
            <w:fldChar w:fldCharType="begin"/>
          </w:r>
          <w:r>
            <w:instrText xml:space="preserve"> PAGEREF _Toc754 \h </w:instrText>
          </w:r>
          <w:r>
            <w:fldChar w:fldCharType="separate"/>
          </w:r>
          <w:r>
            <w:t>6</w:t>
          </w:r>
          <w:r>
            <w:fldChar w:fldCharType="end"/>
          </w:r>
          <w:r>
            <w:rPr>
              <w:rFonts w:ascii="宋体" w:hAnsi="宋体"/>
              <w:szCs w:val="24"/>
            </w:rPr>
            <w:fldChar w:fldCharType="end"/>
          </w:r>
        </w:p>
        <w:p>
          <w:pPr>
            <w:pStyle w:val="16"/>
            <w:tabs>
              <w:tab w:val="right" w:leader="dot" w:pos="8691"/>
              <w:tab w:val="clear" w:pos="8296"/>
            </w:tabs>
          </w:pPr>
          <w:r>
            <w:rPr>
              <w:rFonts w:ascii="宋体" w:hAnsi="宋体"/>
              <w:szCs w:val="24"/>
            </w:rPr>
            <w:fldChar w:fldCharType="begin"/>
          </w:r>
          <w:r>
            <w:rPr>
              <w:rFonts w:ascii="宋体" w:hAnsi="宋体"/>
              <w:szCs w:val="24"/>
            </w:rPr>
            <w:instrText xml:space="preserve"> HYPERLINK \l _Toc31635 </w:instrText>
          </w:r>
          <w:r>
            <w:rPr>
              <w:rFonts w:ascii="宋体" w:hAnsi="宋体"/>
              <w:szCs w:val="24"/>
            </w:rPr>
            <w:fldChar w:fldCharType="separate"/>
          </w:r>
          <w:r>
            <w:rPr>
              <w:rFonts w:ascii="Times New Roman" w:hAnsi="Times New Roman" w:cs="Times New Roman"/>
            </w:rPr>
            <w:t>4.2</w:t>
          </w:r>
          <w:r>
            <w:t xml:space="preserve">  </w:t>
          </w:r>
          <w:r>
            <w:rPr>
              <w:rFonts w:hint="eastAsia" w:ascii="黑体" w:hAnsi="黑体" w:eastAsia="黑体" w:cs="黑体"/>
              <w:bCs/>
            </w:rPr>
            <w:t>效率</w:t>
          </w:r>
          <w:r>
            <w:tab/>
          </w:r>
          <w:r>
            <w:fldChar w:fldCharType="begin"/>
          </w:r>
          <w:r>
            <w:instrText xml:space="preserve"> PAGEREF _Toc31635 \h </w:instrText>
          </w:r>
          <w:r>
            <w:fldChar w:fldCharType="separate"/>
          </w:r>
          <w:r>
            <w:t>8</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_Toc26126 </w:instrText>
          </w:r>
          <w:r>
            <w:rPr>
              <w:rFonts w:ascii="宋体" w:hAnsi="宋体"/>
              <w:szCs w:val="24"/>
            </w:rPr>
            <w:fldChar w:fldCharType="separate"/>
          </w:r>
          <w:r>
            <w:rPr>
              <w:rFonts w:hint="eastAsia" w:ascii="仿宋_GB2312" w:hAnsi="仿宋_GB2312" w:eastAsia="仿宋_GB2312" w:cs="仿宋_GB2312"/>
              <w:bCs w:val="0"/>
              <w:szCs w:val="28"/>
              <w:lang w:val="en-US" w:eastAsia="zh-CN"/>
            </w:rPr>
            <w:t>Ⅰ</w:t>
          </w:r>
          <w:r>
            <w:rPr>
              <w:rFonts w:hint="eastAsia" w:ascii="仿宋_GB2312" w:hAnsi="仿宋_GB2312" w:eastAsia="仿宋_GB2312" w:cs="仿宋_GB2312"/>
              <w:bCs w:val="0"/>
              <w:szCs w:val="28"/>
            </w:rPr>
            <w:t xml:space="preserve"> 设计效率</w:t>
          </w:r>
          <w:r>
            <w:tab/>
          </w:r>
          <w:r>
            <w:fldChar w:fldCharType="begin"/>
          </w:r>
          <w:r>
            <w:instrText xml:space="preserve"> PAGEREF _Toc26126 \h </w:instrText>
          </w:r>
          <w:r>
            <w:fldChar w:fldCharType="separate"/>
          </w:r>
          <w:r>
            <w:t>8</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_Toc30644 </w:instrText>
          </w:r>
          <w:r>
            <w:rPr>
              <w:rFonts w:ascii="宋体" w:hAnsi="宋体"/>
              <w:szCs w:val="24"/>
            </w:rPr>
            <w:fldChar w:fldCharType="separate"/>
          </w:r>
          <w:r>
            <w:rPr>
              <w:rFonts w:hint="eastAsia" w:ascii="仿宋_GB2312" w:hAnsi="仿宋_GB2312" w:eastAsia="仿宋_GB2312" w:cs="仿宋_GB2312"/>
              <w:bCs w:val="0"/>
              <w:szCs w:val="28"/>
              <w:lang w:val="en-US" w:eastAsia="zh-CN"/>
            </w:rPr>
            <w:t>Ⅱ</w:t>
          </w:r>
          <w:r>
            <w:rPr>
              <w:rFonts w:hint="eastAsia" w:ascii="仿宋_GB2312" w:hAnsi="仿宋_GB2312" w:eastAsia="仿宋_GB2312" w:cs="仿宋_GB2312"/>
              <w:bCs w:val="0"/>
              <w:szCs w:val="28"/>
            </w:rPr>
            <w:t xml:space="preserve"> 加工效率</w:t>
          </w:r>
          <w:r>
            <w:tab/>
          </w:r>
          <w:r>
            <w:fldChar w:fldCharType="begin"/>
          </w:r>
          <w:r>
            <w:instrText xml:space="preserve"> PAGEREF _Toc30644 \h </w:instrText>
          </w:r>
          <w:r>
            <w:fldChar w:fldCharType="separate"/>
          </w:r>
          <w:r>
            <w:t>9</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_Toc9453 </w:instrText>
          </w:r>
          <w:r>
            <w:rPr>
              <w:rFonts w:ascii="宋体" w:hAnsi="宋体"/>
              <w:szCs w:val="24"/>
            </w:rPr>
            <w:fldChar w:fldCharType="separate"/>
          </w:r>
          <w:r>
            <w:rPr>
              <w:rFonts w:hint="eastAsia" w:ascii="仿宋_GB2312" w:hAnsi="仿宋_GB2312" w:eastAsia="仿宋_GB2312" w:cs="仿宋_GB2312"/>
              <w:bCs w:val="0"/>
              <w:szCs w:val="28"/>
            </w:rPr>
            <w:t>Ⅲ 运输效率</w:t>
          </w:r>
          <w:r>
            <w:tab/>
          </w:r>
          <w:r>
            <w:fldChar w:fldCharType="begin"/>
          </w:r>
          <w:r>
            <w:instrText xml:space="preserve"> PAGEREF _Toc9453 \h </w:instrText>
          </w:r>
          <w:r>
            <w:fldChar w:fldCharType="separate"/>
          </w:r>
          <w:r>
            <w:t>10</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_Toc13934 </w:instrText>
          </w:r>
          <w:r>
            <w:rPr>
              <w:rFonts w:ascii="宋体" w:hAnsi="宋体"/>
              <w:szCs w:val="24"/>
            </w:rPr>
            <w:fldChar w:fldCharType="separate"/>
          </w:r>
          <w:r>
            <w:rPr>
              <w:rFonts w:hint="eastAsia" w:ascii="仿宋_GB2312" w:hAnsi="仿宋_GB2312" w:eastAsia="仿宋_GB2312" w:cs="仿宋_GB2312"/>
              <w:bCs w:val="0"/>
              <w:szCs w:val="28"/>
              <w:lang w:val="en-US" w:eastAsia="zh-CN"/>
            </w:rPr>
            <w:t>Ⅳ</w:t>
          </w:r>
          <w:r>
            <w:rPr>
              <w:rFonts w:hint="eastAsia" w:ascii="仿宋_GB2312" w:hAnsi="仿宋_GB2312" w:eastAsia="仿宋_GB2312" w:cs="仿宋_GB2312"/>
              <w:bCs w:val="0"/>
              <w:szCs w:val="28"/>
            </w:rPr>
            <w:t xml:space="preserve"> 施工效率</w:t>
          </w:r>
          <w:r>
            <w:tab/>
          </w:r>
          <w:r>
            <w:fldChar w:fldCharType="begin"/>
          </w:r>
          <w:r>
            <w:instrText xml:space="preserve"> PAGEREF _Toc13934 \h </w:instrText>
          </w:r>
          <w:r>
            <w:fldChar w:fldCharType="separate"/>
          </w:r>
          <w:r>
            <w:t>10</w:t>
          </w:r>
          <w:r>
            <w:fldChar w:fldCharType="end"/>
          </w:r>
          <w:r>
            <w:rPr>
              <w:rFonts w:ascii="宋体" w:hAnsi="宋体"/>
              <w:szCs w:val="24"/>
            </w:rPr>
            <w:fldChar w:fldCharType="end"/>
          </w:r>
        </w:p>
        <w:p>
          <w:pPr>
            <w:pStyle w:val="16"/>
            <w:tabs>
              <w:tab w:val="right" w:leader="dot" w:pos="8691"/>
              <w:tab w:val="clear" w:pos="8296"/>
            </w:tabs>
          </w:pPr>
          <w:r>
            <w:rPr>
              <w:rFonts w:ascii="宋体" w:hAnsi="宋体"/>
              <w:szCs w:val="24"/>
            </w:rPr>
            <w:fldChar w:fldCharType="begin"/>
          </w:r>
          <w:r>
            <w:rPr>
              <w:rFonts w:ascii="宋体" w:hAnsi="宋体"/>
              <w:szCs w:val="24"/>
            </w:rPr>
            <w:instrText xml:space="preserve"> HYPERLINK \l _Toc14170 </w:instrText>
          </w:r>
          <w:r>
            <w:rPr>
              <w:rFonts w:ascii="宋体" w:hAnsi="宋体"/>
              <w:szCs w:val="24"/>
            </w:rPr>
            <w:fldChar w:fldCharType="separate"/>
          </w:r>
          <w:r>
            <w:rPr>
              <w:rFonts w:ascii="Times New Roman" w:hAnsi="Times New Roman" w:cs="Times New Roman"/>
            </w:rPr>
            <w:t>4.3</w:t>
          </w:r>
          <w:r>
            <w:t xml:space="preserve"> </w:t>
          </w:r>
          <w:r>
            <w:rPr>
              <w:rFonts w:hint="eastAsia" w:ascii="黑体" w:hAnsi="黑体" w:eastAsia="黑体" w:cs="黑体"/>
            </w:rPr>
            <w:t xml:space="preserve"> 性能</w:t>
          </w:r>
          <w:r>
            <w:tab/>
          </w:r>
          <w:r>
            <w:fldChar w:fldCharType="begin"/>
          </w:r>
          <w:r>
            <w:instrText xml:space="preserve"> PAGEREF _Toc14170 \h </w:instrText>
          </w:r>
          <w:r>
            <w:fldChar w:fldCharType="separate"/>
          </w:r>
          <w:r>
            <w:t>12</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_Toc20861 </w:instrText>
          </w:r>
          <w:r>
            <w:rPr>
              <w:rFonts w:ascii="宋体" w:hAnsi="宋体"/>
              <w:szCs w:val="24"/>
            </w:rPr>
            <w:fldChar w:fldCharType="separate"/>
          </w:r>
          <w:r>
            <w:rPr>
              <w:rFonts w:hint="eastAsia" w:ascii="仿宋_GB2312" w:hAnsi="仿宋_GB2312" w:eastAsia="仿宋_GB2312" w:cs="仿宋_GB2312"/>
              <w:bCs w:val="0"/>
              <w:szCs w:val="28"/>
            </w:rPr>
            <w:t>Ⅰ</w:t>
          </w:r>
          <w:r>
            <w:rPr>
              <w:rFonts w:hint="eastAsia" w:ascii="仿宋_GB2312" w:hAnsi="仿宋_GB2312" w:eastAsia="仿宋_GB2312" w:cs="仿宋_GB2312"/>
              <w:bCs w:val="0"/>
              <w:szCs w:val="28"/>
              <w:lang w:val="en-US" w:eastAsia="zh-CN"/>
            </w:rPr>
            <w:t xml:space="preserve"> </w:t>
          </w:r>
          <w:r>
            <w:rPr>
              <w:rFonts w:hint="eastAsia" w:ascii="仿宋_GB2312" w:hAnsi="仿宋_GB2312" w:eastAsia="仿宋_GB2312" w:cs="仿宋_GB2312"/>
              <w:bCs w:val="0"/>
              <w:szCs w:val="28"/>
            </w:rPr>
            <w:t>材料性能</w:t>
          </w:r>
          <w:r>
            <w:tab/>
          </w:r>
          <w:r>
            <w:fldChar w:fldCharType="begin"/>
          </w:r>
          <w:r>
            <w:instrText xml:space="preserve"> PAGEREF _Toc20861 \h </w:instrText>
          </w:r>
          <w:r>
            <w:fldChar w:fldCharType="separate"/>
          </w:r>
          <w:r>
            <w:t>12</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_Toc13517 </w:instrText>
          </w:r>
          <w:r>
            <w:rPr>
              <w:rFonts w:ascii="宋体" w:hAnsi="宋体"/>
              <w:szCs w:val="24"/>
            </w:rPr>
            <w:fldChar w:fldCharType="separate"/>
          </w:r>
          <w:r>
            <w:rPr>
              <w:rFonts w:hint="eastAsia" w:ascii="仿宋_GB2312" w:hAnsi="仿宋_GB2312" w:eastAsia="仿宋_GB2312" w:cs="仿宋_GB2312"/>
              <w:bCs w:val="0"/>
              <w:szCs w:val="28"/>
            </w:rPr>
            <w:t>Ⅱ 抗震性能</w:t>
          </w:r>
          <w:r>
            <w:tab/>
          </w:r>
          <w:r>
            <w:fldChar w:fldCharType="begin"/>
          </w:r>
          <w:r>
            <w:instrText xml:space="preserve"> PAGEREF _Toc13517 \h </w:instrText>
          </w:r>
          <w:r>
            <w:fldChar w:fldCharType="separate"/>
          </w:r>
          <w:r>
            <w:t>13</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_Toc7264 </w:instrText>
          </w:r>
          <w:r>
            <w:rPr>
              <w:rFonts w:ascii="宋体" w:hAnsi="宋体"/>
              <w:szCs w:val="24"/>
            </w:rPr>
            <w:fldChar w:fldCharType="separate"/>
          </w:r>
          <w:r>
            <w:rPr>
              <w:rFonts w:hint="eastAsia" w:ascii="仿宋_GB2312" w:hAnsi="仿宋_GB2312" w:eastAsia="仿宋_GB2312" w:cs="仿宋_GB2312"/>
              <w:bCs w:val="0"/>
              <w:szCs w:val="28"/>
            </w:rPr>
            <w:t>Ⅲ 耐久性能</w:t>
          </w:r>
          <w:r>
            <w:tab/>
          </w:r>
          <w:r>
            <w:fldChar w:fldCharType="begin"/>
          </w:r>
          <w:r>
            <w:instrText xml:space="preserve"> PAGEREF _Toc7264 \h </w:instrText>
          </w:r>
          <w:r>
            <w:fldChar w:fldCharType="separate"/>
          </w:r>
          <w:r>
            <w:t>13</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_Toc32016 </w:instrText>
          </w:r>
          <w:r>
            <w:rPr>
              <w:rFonts w:ascii="宋体" w:hAnsi="宋体"/>
              <w:szCs w:val="24"/>
            </w:rPr>
            <w:fldChar w:fldCharType="separate"/>
          </w:r>
          <w:r>
            <w:rPr>
              <w:rFonts w:hint="eastAsia" w:ascii="仿宋_GB2312" w:hAnsi="仿宋_GB2312" w:eastAsia="仿宋_GB2312" w:cs="仿宋_GB2312"/>
              <w:bCs w:val="0"/>
              <w:szCs w:val="28"/>
            </w:rPr>
            <w:t>Ⅳ 防火性能</w:t>
          </w:r>
          <w:r>
            <w:tab/>
          </w:r>
          <w:r>
            <w:fldChar w:fldCharType="begin"/>
          </w:r>
          <w:r>
            <w:instrText xml:space="preserve"> PAGEREF _Toc32016 \h </w:instrText>
          </w:r>
          <w:r>
            <w:fldChar w:fldCharType="separate"/>
          </w:r>
          <w:r>
            <w:t>13</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_Toc28918 </w:instrText>
          </w:r>
          <w:r>
            <w:rPr>
              <w:rFonts w:ascii="宋体" w:hAnsi="宋体"/>
              <w:szCs w:val="24"/>
            </w:rPr>
            <w:fldChar w:fldCharType="separate"/>
          </w:r>
          <w:r>
            <w:rPr>
              <w:rFonts w:hint="eastAsia" w:ascii="仿宋_GB2312" w:hAnsi="仿宋_GB2312" w:eastAsia="仿宋_GB2312" w:cs="仿宋_GB2312"/>
              <w:bCs w:val="0"/>
              <w:szCs w:val="28"/>
            </w:rPr>
            <w:t>Ⅴ 舒适性能</w:t>
          </w:r>
          <w:r>
            <w:tab/>
          </w:r>
          <w:r>
            <w:fldChar w:fldCharType="begin"/>
          </w:r>
          <w:r>
            <w:instrText xml:space="preserve"> PAGEREF _Toc28918 \h </w:instrText>
          </w:r>
          <w:r>
            <w:fldChar w:fldCharType="separate"/>
          </w:r>
          <w:r>
            <w:t>14</w:t>
          </w:r>
          <w:r>
            <w:fldChar w:fldCharType="end"/>
          </w:r>
          <w:r>
            <w:rPr>
              <w:rFonts w:ascii="宋体" w:hAnsi="宋体"/>
              <w:szCs w:val="24"/>
            </w:rPr>
            <w:fldChar w:fldCharType="end"/>
          </w:r>
        </w:p>
        <w:p>
          <w:pPr>
            <w:pStyle w:val="16"/>
            <w:tabs>
              <w:tab w:val="right" w:leader="dot" w:pos="8691"/>
              <w:tab w:val="clear" w:pos="8296"/>
            </w:tabs>
          </w:pPr>
          <w:r>
            <w:rPr>
              <w:rFonts w:ascii="宋体" w:hAnsi="宋体"/>
              <w:szCs w:val="24"/>
            </w:rPr>
            <w:fldChar w:fldCharType="begin"/>
          </w:r>
          <w:r>
            <w:rPr>
              <w:rFonts w:ascii="宋体" w:hAnsi="宋体"/>
              <w:szCs w:val="24"/>
            </w:rPr>
            <w:instrText xml:space="preserve"> HYPERLINK \l _Toc32471 </w:instrText>
          </w:r>
          <w:r>
            <w:rPr>
              <w:rFonts w:ascii="宋体" w:hAnsi="宋体"/>
              <w:szCs w:val="24"/>
            </w:rPr>
            <w:fldChar w:fldCharType="separate"/>
          </w:r>
          <w:r>
            <w:rPr>
              <w:rFonts w:ascii="Times New Roman" w:hAnsi="Times New Roman" w:cs="Times New Roman"/>
            </w:rPr>
            <w:t>4.4</w:t>
          </w:r>
          <w:r>
            <w:t xml:space="preserve">  </w:t>
          </w:r>
          <w:r>
            <w:rPr>
              <w:rFonts w:hint="eastAsia" w:ascii="黑体" w:hAnsi="黑体" w:eastAsia="黑体" w:cs="黑体"/>
            </w:rPr>
            <w:t>标准化</w:t>
          </w:r>
          <w:r>
            <w:tab/>
          </w:r>
          <w:r>
            <w:fldChar w:fldCharType="begin"/>
          </w:r>
          <w:r>
            <w:instrText xml:space="preserve"> PAGEREF _Toc32471 \h </w:instrText>
          </w:r>
          <w:r>
            <w:fldChar w:fldCharType="separate"/>
          </w:r>
          <w:r>
            <w:t>15</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_Toc22056 </w:instrText>
          </w:r>
          <w:r>
            <w:rPr>
              <w:rFonts w:ascii="宋体" w:hAnsi="宋体"/>
              <w:szCs w:val="24"/>
            </w:rPr>
            <w:fldChar w:fldCharType="separate"/>
          </w:r>
          <w:r>
            <w:rPr>
              <w:rFonts w:hint="eastAsia" w:ascii="仿宋_GB2312" w:hAnsi="仿宋_GB2312" w:eastAsia="仿宋_GB2312" w:cs="仿宋_GB2312"/>
              <w:bCs w:val="0"/>
              <w:szCs w:val="28"/>
            </w:rPr>
            <w:t>Ⅰ 建筑标准化</w:t>
          </w:r>
          <w:r>
            <w:tab/>
          </w:r>
          <w:r>
            <w:fldChar w:fldCharType="begin"/>
          </w:r>
          <w:r>
            <w:instrText xml:space="preserve"> PAGEREF _Toc22056 \h </w:instrText>
          </w:r>
          <w:r>
            <w:fldChar w:fldCharType="separate"/>
          </w:r>
          <w:r>
            <w:t>15</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_Toc21575 </w:instrText>
          </w:r>
          <w:r>
            <w:rPr>
              <w:rFonts w:ascii="宋体" w:hAnsi="宋体"/>
              <w:szCs w:val="24"/>
            </w:rPr>
            <w:fldChar w:fldCharType="separate"/>
          </w:r>
          <w:r>
            <w:rPr>
              <w:rFonts w:hint="eastAsia" w:ascii="仿宋_GB2312" w:hAnsi="仿宋_GB2312" w:eastAsia="仿宋_GB2312" w:cs="仿宋_GB2312"/>
              <w:bCs w:val="0"/>
              <w:szCs w:val="28"/>
            </w:rPr>
            <w:t>Ⅱ 结构标准化</w:t>
          </w:r>
          <w:r>
            <w:tab/>
          </w:r>
          <w:r>
            <w:fldChar w:fldCharType="begin"/>
          </w:r>
          <w:r>
            <w:instrText xml:space="preserve"> PAGEREF _Toc21575 \h </w:instrText>
          </w:r>
          <w:r>
            <w:fldChar w:fldCharType="separate"/>
          </w:r>
          <w:r>
            <w:t>15</w:t>
          </w:r>
          <w:r>
            <w:fldChar w:fldCharType="end"/>
          </w:r>
          <w:r>
            <w:rPr>
              <w:rFonts w:ascii="宋体" w:hAnsi="宋体"/>
              <w:szCs w:val="24"/>
            </w:rPr>
            <w:fldChar w:fldCharType="end"/>
          </w:r>
        </w:p>
        <w:p>
          <w:pPr>
            <w:pStyle w:val="16"/>
            <w:tabs>
              <w:tab w:val="right" w:leader="dot" w:pos="8691"/>
              <w:tab w:val="clear" w:pos="8296"/>
            </w:tabs>
          </w:pPr>
          <w:r>
            <w:rPr>
              <w:rFonts w:ascii="宋体" w:hAnsi="宋体"/>
              <w:szCs w:val="24"/>
            </w:rPr>
            <w:fldChar w:fldCharType="begin"/>
          </w:r>
          <w:r>
            <w:rPr>
              <w:rFonts w:ascii="宋体" w:hAnsi="宋体"/>
              <w:szCs w:val="24"/>
            </w:rPr>
            <w:instrText xml:space="preserve"> HYPERLINK \l _Toc30952 </w:instrText>
          </w:r>
          <w:r>
            <w:rPr>
              <w:rFonts w:ascii="宋体" w:hAnsi="宋体"/>
              <w:szCs w:val="24"/>
            </w:rPr>
            <w:fldChar w:fldCharType="separate"/>
          </w:r>
          <w:r>
            <w:rPr>
              <w:rFonts w:hint="default" w:ascii="Times New Roman" w:hAnsi="Times New Roman" w:cs="Times New Roman"/>
            </w:rPr>
            <w:t>4.5</w:t>
          </w:r>
          <w:r>
            <w:rPr>
              <w:rFonts w:hint="eastAsia"/>
            </w:rPr>
            <w:t xml:space="preserve">  </w:t>
          </w:r>
          <w:r>
            <w:rPr>
              <w:rFonts w:hint="eastAsia" w:ascii="黑体" w:hAnsi="黑体" w:eastAsia="黑体" w:cs="黑体"/>
            </w:rPr>
            <w:t>质量</w:t>
          </w:r>
          <w:r>
            <w:tab/>
          </w:r>
          <w:r>
            <w:fldChar w:fldCharType="begin"/>
          </w:r>
          <w:r>
            <w:instrText xml:space="preserve"> PAGEREF _Toc30952 \h </w:instrText>
          </w:r>
          <w:r>
            <w:fldChar w:fldCharType="separate"/>
          </w:r>
          <w:r>
            <w:t>17</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_Toc27773 </w:instrText>
          </w:r>
          <w:r>
            <w:rPr>
              <w:rFonts w:ascii="宋体" w:hAnsi="宋体"/>
              <w:szCs w:val="24"/>
            </w:rPr>
            <w:fldChar w:fldCharType="separate"/>
          </w:r>
          <w:r>
            <w:rPr>
              <w:rFonts w:hint="eastAsia" w:ascii="仿宋_GB2312" w:hAnsi="仿宋_GB2312" w:eastAsia="仿宋_GB2312" w:cs="仿宋_GB2312"/>
              <w:bCs w:val="0"/>
              <w:szCs w:val="28"/>
            </w:rPr>
            <w:t>Ⅰ 产品和服务认证</w:t>
          </w:r>
          <w:r>
            <w:tab/>
          </w:r>
          <w:r>
            <w:fldChar w:fldCharType="begin"/>
          </w:r>
          <w:r>
            <w:instrText xml:space="preserve"> PAGEREF _Toc27773 \h </w:instrText>
          </w:r>
          <w:r>
            <w:fldChar w:fldCharType="separate"/>
          </w:r>
          <w:r>
            <w:t>17</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_Toc29185 </w:instrText>
          </w:r>
          <w:r>
            <w:rPr>
              <w:rFonts w:ascii="宋体" w:hAnsi="宋体"/>
              <w:szCs w:val="24"/>
            </w:rPr>
            <w:fldChar w:fldCharType="separate"/>
          </w:r>
          <w:r>
            <w:rPr>
              <w:rFonts w:hint="eastAsia" w:ascii="仿宋_GB2312" w:hAnsi="仿宋_GB2312" w:eastAsia="仿宋_GB2312" w:cs="仿宋_GB2312"/>
              <w:bCs w:val="0"/>
              <w:szCs w:val="24"/>
            </w:rPr>
            <w:t>Ⅱ 第三方评估</w:t>
          </w:r>
          <w:r>
            <w:tab/>
          </w:r>
          <w:r>
            <w:fldChar w:fldCharType="begin"/>
          </w:r>
          <w:r>
            <w:instrText xml:space="preserve"> PAGEREF _Toc29185 \h </w:instrText>
          </w:r>
          <w:r>
            <w:fldChar w:fldCharType="separate"/>
          </w:r>
          <w:r>
            <w:t>17</w:t>
          </w:r>
          <w:r>
            <w:fldChar w:fldCharType="end"/>
          </w:r>
          <w:r>
            <w:rPr>
              <w:rFonts w:ascii="宋体" w:hAnsi="宋体"/>
              <w:szCs w:val="24"/>
            </w:rPr>
            <w:fldChar w:fldCharType="end"/>
          </w:r>
        </w:p>
        <w:p>
          <w:pPr>
            <w:pStyle w:val="16"/>
            <w:tabs>
              <w:tab w:val="right" w:leader="dot" w:pos="8691"/>
              <w:tab w:val="clear" w:pos="8296"/>
            </w:tabs>
          </w:pPr>
          <w:r>
            <w:rPr>
              <w:rFonts w:ascii="宋体" w:hAnsi="宋体"/>
              <w:szCs w:val="24"/>
            </w:rPr>
            <w:fldChar w:fldCharType="begin"/>
          </w:r>
          <w:r>
            <w:rPr>
              <w:rFonts w:ascii="宋体" w:hAnsi="宋体"/>
              <w:szCs w:val="24"/>
            </w:rPr>
            <w:instrText xml:space="preserve"> HYPERLINK \l _Toc29339 </w:instrText>
          </w:r>
          <w:r>
            <w:rPr>
              <w:rFonts w:ascii="宋体" w:hAnsi="宋体"/>
              <w:szCs w:val="24"/>
            </w:rPr>
            <w:fldChar w:fldCharType="separate"/>
          </w:r>
          <w:r>
            <w:rPr>
              <w:rFonts w:hint="default" w:ascii="Times New Roman" w:hAnsi="Times New Roman" w:cs="Times New Roman"/>
            </w:rPr>
            <w:t>4.6</w:t>
          </w:r>
          <w:r>
            <w:rPr>
              <w:rFonts w:hint="eastAsia"/>
            </w:rPr>
            <w:t xml:space="preserve">  </w:t>
          </w:r>
          <w:r>
            <w:rPr>
              <w:rFonts w:hint="eastAsia" w:ascii="黑体" w:hAnsi="黑体" w:eastAsia="黑体" w:cs="黑体"/>
            </w:rPr>
            <w:t>效益</w:t>
          </w:r>
          <w:r>
            <w:tab/>
          </w:r>
          <w:r>
            <w:fldChar w:fldCharType="begin"/>
          </w:r>
          <w:r>
            <w:instrText xml:space="preserve"> PAGEREF _Toc29339 \h </w:instrText>
          </w:r>
          <w:r>
            <w:fldChar w:fldCharType="separate"/>
          </w:r>
          <w:r>
            <w:t>17</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_Toc26510 </w:instrText>
          </w:r>
          <w:r>
            <w:rPr>
              <w:rFonts w:ascii="宋体" w:hAnsi="宋体"/>
              <w:szCs w:val="24"/>
            </w:rPr>
            <w:fldChar w:fldCharType="separate"/>
          </w:r>
          <w:r>
            <w:rPr>
              <w:rFonts w:hint="eastAsia" w:ascii="仿宋_GB2312" w:hAnsi="仿宋_GB2312" w:eastAsia="仿宋_GB2312" w:cs="仿宋_GB2312"/>
              <w:bCs w:val="0"/>
              <w:szCs w:val="28"/>
            </w:rPr>
            <w:t>Ⅰ 环境效益</w:t>
          </w:r>
          <w:r>
            <w:tab/>
          </w:r>
          <w:r>
            <w:fldChar w:fldCharType="begin"/>
          </w:r>
          <w:r>
            <w:instrText xml:space="preserve"> PAGEREF _Toc26510 \h </w:instrText>
          </w:r>
          <w:r>
            <w:fldChar w:fldCharType="separate"/>
          </w:r>
          <w:r>
            <w:t>17</w:t>
          </w:r>
          <w:r>
            <w:fldChar w:fldCharType="end"/>
          </w:r>
          <w:r>
            <w:rPr>
              <w:rFonts w:ascii="宋体" w:hAnsi="宋体"/>
              <w:szCs w:val="24"/>
            </w:rPr>
            <w:fldChar w:fldCharType="end"/>
          </w:r>
        </w:p>
        <w:p>
          <w:pPr>
            <w:pStyle w:val="9"/>
            <w:tabs>
              <w:tab w:val="right" w:leader="dot" w:pos="8691"/>
            </w:tabs>
          </w:pPr>
          <w:r>
            <w:rPr>
              <w:rFonts w:ascii="宋体" w:hAnsi="宋体"/>
              <w:szCs w:val="24"/>
            </w:rPr>
            <w:fldChar w:fldCharType="begin"/>
          </w:r>
          <w:r>
            <w:rPr>
              <w:rFonts w:ascii="宋体" w:hAnsi="宋体"/>
              <w:szCs w:val="24"/>
            </w:rPr>
            <w:instrText xml:space="preserve"> HYPERLINK \l _Toc26080 </w:instrText>
          </w:r>
          <w:r>
            <w:rPr>
              <w:rFonts w:ascii="宋体" w:hAnsi="宋体"/>
              <w:szCs w:val="24"/>
            </w:rPr>
            <w:fldChar w:fldCharType="separate"/>
          </w:r>
          <w:r>
            <w:rPr>
              <w:rFonts w:hint="eastAsia" w:ascii="仿宋_GB2312" w:hAnsi="仿宋_GB2312" w:eastAsia="仿宋_GB2312" w:cs="仿宋_GB2312"/>
              <w:bCs w:val="0"/>
              <w:szCs w:val="28"/>
            </w:rPr>
            <w:t>Ⅱ 经济效益</w:t>
          </w:r>
          <w:r>
            <w:tab/>
          </w:r>
          <w:r>
            <w:fldChar w:fldCharType="begin"/>
          </w:r>
          <w:r>
            <w:instrText xml:space="preserve"> PAGEREF _Toc26080 \h </w:instrText>
          </w:r>
          <w:r>
            <w:fldChar w:fldCharType="separate"/>
          </w:r>
          <w:r>
            <w:t>18</w:t>
          </w:r>
          <w:r>
            <w:fldChar w:fldCharType="end"/>
          </w:r>
          <w:r>
            <w:rPr>
              <w:rFonts w:ascii="宋体" w:hAnsi="宋体"/>
              <w:szCs w:val="24"/>
            </w:rPr>
            <w:fldChar w:fldCharType="end"/>
          </w:r>
        </w:p>
        <w:p>
          <w:pPr>
            <w:pStyle w:val="15"/>
            <w:tabs>
              <w:tab w:val="right" w:leader="dot" w:pos="8691"/>
              <w:tab w:val="clear" w:pos="8296"/>
            </w:tabs>
          </w:pPr>
          <w:r>
            <w:rPr>
              <w:rFonts w:ascii="宋体" w:hAnsi="宋体"/>
              <w:szCs w:val="24"/>
            </w:rPr>
            <w:fldChar w:fldCharType="begin"/>
          </w:r>
          <w:r>
            <w:rPr>
              <w:rFonts w:ascii="宋体" w:hAnsi="宋体"/>
              <w:szCs w:val="24"/>
            </w:rPr>
            <w:instrText xml:space="preserve"> HYPERLINK \l _Toc20249 </w:instrText>
          </w:r>
          <w:r>
            <w:rPr>
              <w:rFonts w:ascii="宋体" w:hAnsi="宋体"/>
              <w:szCs w:val="24"/>
            </w:rPr>
            <w:fldChar w:fldCharType="separate"/>
          </w:r>
          <w:r>
            <w:rPr>
              <w:rFonts w:hint="eastAsia"/>
            </w:rPr>
            <w:t>本</w:t>
          </w:r>
          <w:r>
            <w:t>标准用词说明</w:t>
          </w:r>
          <w:r>
            <w:tab/>
          </w:r>
          <w:r>
            <w:fldChar w:fldCharType="begin"/>
          </w:r>
          <w:r>
            <w:instrText xml:space="preserve"> PAGEREF _Toc20249 \h </w:instrText>
          </w:r>
          <w:r>
            <w:fldChar w:fldCharType="separate"/>
          </w:r>
          <w:r>
            <w:t>20</w:t>
          </w:r>
          <w:r>
            <w:fldChar w:fldCharType="end"/>
          </w:r>
          <w:r>
            <w:rPr>
              <w:rFonts w:ascii="宋体" w:hAnsi="宋体"/>
              <w:szCs w:val="24"/>
            </w:rPr>
            <w:fldChar w:fldCharType="end"/>
          </w:r>
        </w:p>
        <w:p>
          <w:pPr>
            <w:pStyle w:val="15"/>
            <w:tabs>
              <w:tab w:val="right" w:leader="dot" w:pos="8691"/>
              <w:tab w:val="clear" w:pos="8296"/>
            </w:tabs>
          </w:pPr>
          <w:r>
            <w:rPr>
              <w:rFonts w:ascii="宋体" w:hAnsi="宋体"/>
              <w:szCs w:val="24"/>
            </w:rPr>
            <w:fldChar w:fldCharType="begin"/>
          </w:r>
          <w:r>
            <w:rPr>
              <w:rFonts w:ascii="宋体" w:hAnsi="宋体"/>
              <w:szCs w:val="24"/>
            </w:rPr>
            <w:instrText xml:space="preserve"> HYPERLINK \l _Toc13267 </w:instrText>
          </w:r>
          <w:r>
            <w:rPr>
              <w:rFonts w:ascii="宋体" w:hAnsi="宋体"/>
              <w:szCs w:val="24"/>
            </w:rPr>
            <w:fldChar w:fldCharType="separate"/>
          </w:r>
          <w:r>
            <w:rPr>
              <w:rFonts w:hint="eastAsia"/>
            </w:rPr>
            <w:t>引用标准名录</w:t>
          </w:r>
          <w:r>
            <w:tab/>
          </w:r>
          <w:r>
            <w:fldChar w:fldCharType="begin"/>
          </w:r>
          <w:r>
            <w:instrText xml:space="preserve"> PAGEREF _Toc13267 \h </w:instrText>
          </w:r>
          <w:r>
            <w:fldChar w:fldCharType="separate"/>
          </w:r>
          <w:r>
            <w:t>21</w:t>
          </w:r>
          <w:r>
            <w:fldChar w:fldCharType="end"/>
          </w:r>
          <w:r>
            <w:rPr>
              <w:rFonts w:ascii="宋体" w:hAnsi="宋体"/>
              <w:szCs w:val="24"/>
            </w:rPr>
            <w:fldChar w:fldCharType="end"/>
          </w:r>
          <w:r>
            <w:rPr>
              <w:rFonts w:ascii="宋体" w:hAnsi="宋体"/>
              <w:szCs w:val="24"/>
            </w:rPr>
            <w:fldChar w:fldCharType="end"/>
          </w:r>
        </w:p>
      </w:sdtContent>
    </w:sdt>
    <w:p>
      <w:pPr>
        <w:spacing w:line="324" w:lineRule="auto"/>
        <w:ind w:right="960" w:rightChars="0"/>
        <w:jc w:val="center"/>
        <w:rPr>
          <w:rFonts w:hint="default" w:eastAsia="宋体"/>
          <w:b/>
          <w:bCs/>
          <w:sz w:val="28"/>
          <w:szCs w:val="28"/>
          <w:lang w:val="en-US" w:eastAsia="zh-CN"/>
        </w:rPr>
      </w:pPr>
      <w:r>
        <w:rPr>
          <w:rFonts w:hint="eastAsia" w:ascii="宋体" w:hAnsi="宋体"/>
          <w:b/>
          <w:bCs/>
          <w:sz w:val="28"/>
          <w:szCs w:val="28"/>
          <w:lang w:val="en-US" w:eastAsia="zh-CN"/>
        </w:rPr>
        <w:t>Contents</w:t>
      </w:r>
    </w:p>
    <w:p>
      <w:pPr>
        <w:pStyle w:val="15"/>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TOC \f \h \u </w:instrText>
      </w:r>
      <w:r>
        <w:rPr>
          <w:rFonts w:ascii="宋体" w:hAnsi="宋体"/>
          <w:sz w:val="24"/>
          <w:szCs w:val="24"/>
        </w:rPr>
        <w:fldChar w:fldCharType="separate"/>
      </w:r>
      <w:r>
        <w:rPr>
          <w:rFonts w:ascii="宋体" w:hAnsi="宋体"/>
          <w:sz w:val="24"/>
          <w:szCs w:val="24"/>
        </w:rPr>
        <w:fldChar w:fldCharType="begin"/>
      </w:r>
      <w:r>
        <w:rPr>
          <w:rFonts w:ascii="宋体" w:hAnsi="宋体"/>
          <w:sz w:val="24"/>
          <w:szCs w:val="24"/>
        </w:rPr>
        <w:instrText xml:space="preserve"> HYPERLINK \l _Toc27217 </w:instrText>
      </w:r>
      <w:r>
        <w:rPr>
          <w:rFonts w:ascii="宋体" w:hAnsi="宋体"/>
          <w:sz w:val="24"/>
          <w:szCs w:val="24"/>
        </w:rPr>
        <w:fldChar w:fldCharType="separate"/>
      </w:r>
      <w:r>
        <w:rPr>
          <w:sz w:val="24"/>
          <w:szCs w:val="24"/>
        </w:rPr>
        <w:t>1  General Provisions</w:t>
      </w:r>
      <w:r>
        <w:rPr>
          <w:sz w:val="24"/>
          <w:szCs w:val="24"/>
        </w:rPr>
        <w:tab/>
      </w:r>
      <w:r>
        <w:rPr>
          <w:sz w:val="24"/>
          <w:szCs w:val="24"/>
        </w:rPr>
        <w:fldChar w:fldCharType="begin"/>
      </w:r>
      <w:r>
        <w:rPr>
          <w:sz w:val="24"/>
          <w:szCs w:val="24"/>
        </w:rPr>
        <w:instrText xml:space="preserve"> PAGEREF _Toc27217 \h </w:instrText>
      </w:r>
      <w:r>
        <w:rPr>
          <w:sz w:val="24"/>
          <w:szCs w:val="24"/>
        </w:rPr>
        <w:fldChar w:fldCharType="separate"/>
      </w:r>
      <w:r>
        <w:rPr>
          <w:sz w:val="24"/>
          <w:szCs w:val="24"/>
        </w:rPr>
        <w:t>1</w:t>
      </w:r>
      <w:r>
        <w:rPr>
          <w:sz w:val="24"/>
          <w:szCs w:val="24"/>
        </w:rPr>
        <w:fldChar w:fldCharType="end"/>
      </w:r>
      <w:r>
        <w:rPr>
          <w:rFonts w:ascii="宋体" w:hAnsi="宋体"/>
          <w:sz w:val="24"/>
          <w:szCs w:val="24"/>
        </w:rPr>
        <w:fldChar w:fldCharType="end"/>
      </w:r>
    </w:p>
    <w:p>
      <w:pPr>
        <w:pStyle w:val="15"/>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_Toc19479 </w:instrText>
      </w:r>
      <w:r>
        <w:rPr>
          <w:rFonts w:ascii="宋体" w:hAnsi="宋体"/>
          <w:sz w:val="24"/>
          <w:szCs w:val="24"/>
        </w:rPr>
        <w:fldChar w:fldCharType="separate"/>
      </w:r>
      <w:r>
        <w:rPr>
          <w:sz w:val="24"/>
          <w:szCs w:val="24"/>
        </w:rPr>
        <w:t>2  Terms</w:t>
      </w:r>
      <w:r>
        <w:rPr>
          <w:sz w:val="24"/>
          <w:szCs w:val="24"/>
        </w:rPr>
        <w:tab/>
      </w:r>
      <w:r>
        <w:rPr>
          <w:sz w:val="24"/>
          <w:szCs w:val="24"/>
        </w:rPr>
        <w:fldChar w:fldCharType="begin"/>
      </w:r>
      <w:r>
        <w:rPr>
          <w:sz w:val="24"/>
          <w:szCs w:val="24"/>
        </w:rPr>
        <w:instrText xml:space="preserve"> PAGEREF _Toc19479 \h </w:instrText>
      </w:r>
      <w:r>
        <w:rPr>
          <w:sz w:val="24"/>
          <w:szCs w:val="24"/>
        </w:rPr>
        <w:fldChar w:fldCharType="separate"/>
      </w:r>
      <w:r>
        <w:rPr>
          <w:sz w:val="24"/>
          <w:szCs w:val="24"/>
        </w:rPr>
        <w:t>2</w:t>
      </w:r>
      <w:r>
        <w:rPr>
          <w:sz w:val="24"/>
          <w:szCs w:val="24"/>
        </w:rPr>
        <w:fldChar w:fldCharType="end"/>
      </w:r>
      <w:r>
        <w:rPr>
          <w:rFonts w:ascii="宋体" w:hAnsi="宋体"/>
          <w:sz w:val="24"/>
          <w:szCs w:val="24"/>
        </w:rPr>
        <w:fldChar w:fldCharType="end"/>
      </w:r>
    </w:p>
    <w:p>
      <w:pPr>
        <w:pStyle w:val="15"/>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_Toc27425 </w:instrText>
      </w:r>
      <w:r>
        <w:rPr>
          <w:rFonts w:ascii="宋体" w:hAnsi="宋体"/>
          <w:sz w:val="24"/>
          <w:szCs w:val="24"/>
        </w:rPr>
        <w:fldChar w:fldCharType="separate"/>
      </w:r>
      <w:r>
        <w:rPr>
          <w:sz w:val="24"/>
          <w:szCs w:val="24"/>
        </w:rPr>
        <w:t>3  Basic Requirements</w:t>
      </w:r>
      <w:r>
        <w:rPr>
          <w:sz w:val="24"/>
          <w:szCs w:val="24"/>
        </w:rPr>
        <w:tab/>
      </w:r>
      <w:r>
        <w:rPr>
          <w:sz w:val="24"/>
          <w:szCs w:val="24"/>
        </w:rPr>
        <w:fldChar w:fldCharType="begin"/>
      </w:r>
      <w:r>
        <w:rPr>
          <w:sz w:val="24"/>
          <w:szCs w:val="24"/>
        </w:rPr>
        <w:instrText xml:space="preserve"> PAGEREF _Toc27425 \h </w:instrText>
      </w:r>
      <w:r>
        <w:rPr>
          <w:sz w:val="24"/>
          <w:szCs w:val="24"/>
        </w:rPr>
        <w:fldChar w:fldCharType="separate"/>
      </w:r>
      <w:r>
        <w:rPr>
          <w:sz w:val="24"/>
          <w:szCs w:val="24"/>
        </w:rPr>
        <w:t>4</w:t>
      </w:r>
      <w:r>
        <w:rPr>
          <w:sz w:val="24"/>
          <w:szCs w:val="24"/>
        </w:rPr>
        <w:fldChar w:fldCharType="end"/>
      </w:r>
      <w:r>
        <w:rPr>
          <w:rFonts w:ascii="宋体" w:hAnsi="宋体"/>
          <w:sz w:val="24"/>
          <w:szCs w:val="24"/>
        </w:rPr>
        <w:fldChar w:fldCharType="end"/>
      </w:r>
    </w:p>
    <w:p>
      <w:pPr>
        <w:pStyle w:val="15"/>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_Toc25890 </w:instrText>
      </w:r>
      <w:r>
        <w:rPr>
          <w:rFonts w:ascii="宋体" w:hAnsi="宋体"/>
          <w:sz w:val="24"/>
          <w:szCs w:val="24"/>
        </w:rPr>
        <w:fldChar w:fldCharType="separate"/>
      </w:r>
      <w:r>
        <w:rPr>
          <w:sz w:val="24"/>
          <w:szCs w:val="24"/>
        </w:rPr>
        <w:t>4  Assessment and Rating</w:t>
      </w:r>
      <w:r>
        <w:rPr>
          <w:sz w:val="24"/>
          <w:szCs w:val="24"/>
        </w:rPr>
        <w:tab/>
      </w:r>
      <w:r>
        <w:rPr>
          <w:sz w:val="24"/>
          <w:szCs w:val="24"/>
        </w:rPr>
        <w:fldChar w:fldCharType="begin"/>
      </w:r>
      <w:r>
        <w:rPr>
          <w:sz w:val="24"/>
          <w:szCs w:val="24"/>
        </w:rPr>
        <w:instrText xml:space="preserve"> PAGEREF _Toc25890 \h </w:instrText>
      </w:r>
      <w:r>
        <w:rPr>
          <w:sz w:val="24"/>
          <w:szCs w:val="24"/>
        </w:rPr>
        <w:fldChar w:fldCharType="separate"/>
      </w:r>
      <w:r>
        <w:rPr>
          <w:sz w:val="24"/>
          <w:szCs w:val="24"/>
        </w:rPr>
        <w:t>6</w:t>
      </w:r>
      <w:r>
        <w:rPr>
          <w:sz w:val="24"/>
          <w:szCs w:val="24"/>
        </w:rPr>
        <w:fldChar w:fldCharType="end"/>
      </w:r>
      <w:r>
        <w:rPr>
          <w:rFonts w:ascii="宋体" w:hAnsi="宋体"/>
          <w:sz w:val="24"/>
          <w:szCs w:val="24"/>
        </w:rPr>
        <w:fldChar w:fldCharType="end"/>
      </w:r>
    </w:p>
    <w:p>
      <w:pPr>
        <w:pStyle w:val="16"/>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_Toc17716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4.1  General Requirements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_Toc17716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6</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4.2  Efficiency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_Toc11107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Ⅰ  Design Efficiency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_Toc11107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_Toc1993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Ⅱ  Process Efficiency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_Toc1993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9</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_Toc16690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Ⅲ  Transport Efficiency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_Toc16690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_Toc13782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Ⅳ  Construction Efficiency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_Toc13782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10</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_Toc3906 </w:instrText>
      </w:r>
      <w:r>
        <w:rPr>
          <w:rFonts w:ascii="宋体" w:hAnsi="宋体"/>
          <w:sz w:val="24"/>
          <w:szCs w:val="24"/>
        </w:rPr>
        <w:fldChar w:fldCharType="separate"/>
      </w:r>
      <w:r>
        <w:rPr>
          <w:sz w:val="24"/>
          <w:szCs w:val="24"/>
        </w:rPr>
        <w:t>4.3  Performance</w:t>
      </w:r>
      <w:r>
        <w:rPr>
          <w:sz w:val="24"/>
          <w:szCs w:val="24"/>
        </w:rPr>
        <w:tab/>
      </w:r>
      <w:r>
        <w:rPr>
          <w:sz w:val="24"/>
          <w:szCs w:val="24"/>
        </w:rPr>
        <w:fldChar w:fldCharType="begin"/>
      </w:r>
      <w:r>
        <w:rPr>
          <w:sz w:val="24"/>
          <w:szCs w:val="24"/>
        </w:rPr>
        <w:instrText xml:space="preserve"> PAGEREF _Toc3906 \h </w:instrText>
      </w:r>
      <w:r>
        <w:rPr>
          <w:sz w:val="24"/>
          <w:szCs w:val="24"/>
        </w:rPr>
        <w:fldChar w:fldCharType="separate"/>
      </w:r>
      <w:r>
        <w:rPr>
          <w:sz w:val="24"/>
          <w:szCs w:val="24"/>
        </w:rPr>
        <w:t>12</w:t>
      </w:r>
      <w:r>
        <w:rPr>
          <w:sz w:val="24"/>
          <w:szCs w:val="24"/>
        </w:rPr>
        <w:fldChar w:fldCharType="end"/>
      </w:r>
      <w:r>
        <w:rPr>
          <w:rFonts w:ascii="宋体" w:hAnsi="宋体"/>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_Toc20264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Ⅰ  Material Properties</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_Toc20264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12</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_Toc5219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Ⅱ  Seismic Performance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_Toc5219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_Toc14747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Ⅲ  Durability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_Toc14747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_Toc8233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Ⅳ  Fire Performance</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_Toc8233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13</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_Toc2827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Ⅴ  Comfortability</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_Toc2827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14</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_Toc19248 </w:instrText>
      </w:r>
      <w:r>
        <w:rPr>
          <w:rFonts w:ascii="宋体" w:hAnsi="宋体"/>
          <w:sz w:val="24"/>
          <w:szCs w:val="24"/>
        </w:rPr>
        <w:fldChar w:fldCharType="separate"/>
      </w:r>
      <w:r>
        <w:rPr>
          <w:sz w:val="24"/>
          <w:szCs w:val="24"/>
        </w:rPr>
        <w:t>4.4  Standardization</w:t>
      </w:r>
      <w:r>
        <w:rPr>
          <w:sz w:val="24"/>
          <w:szCs w:val="24"/>
        </w:rPr>
        <w:tab/>
      </w:r>
      <w:r>
        <w:rPr>
          <w:sz w:val="24"/>
          <w:szCs w:val="24"/>
        </w:rPr>
        <w:fldChar w:fldCharType="begin"/>
      </w:r>
      <w:r>
        <w:rPr>
          <w:sz w:val="24"/>
          <w:szCs w:val="24"/>
        </w:rPr>
        <w:instrText xml:space="preserve"> PAGEREF _Toc19248 \h </w:instrText>
      </w:r>
      <w:r>
        <w:rPr>
          <w:sz w:val="24"/>
          <w:szCs w:val="24"/>
        </w:rPr>
        <w:fldChar w:fldCharType="separate"/>
      </w:r>
      <w:r>
        <w:rPr>
          <w:sz w:val="24"/>
          <w:szCs w:val="24"/>
        </w:rPr>
        <w:t>15</w:t>
      </w:r>
      <w:r>
        <w:rPr>
          <w:sz w:val="24"/>
          <w:szCs w:val="24"/>
        </w:rPr>
        <w:fldChar w:fldCharType="end"/>
      </w:r>
      <w:r>
        <w:rPr>
          <w:rFonts w:ascii="宋体" w:hAnsi="宋体"/>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_Toc13073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Ⅰ  Building Standardization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_Toc13073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_Toc17010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Ⅱ  Structural Standardization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_Toc17010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15</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_Toc16247 </w:instrText>
      </w:r>
      <w:r>
        <w:rPr>
          <w:rFonts w:ascii="宋体" w:hAnsi="宋体"/>
          <w:sz w:val="24"/>
          <w:szCs w:val="24"/>
        </w:rPr>
        <w:fldChar w:fldCharType="separate"/>
      </w:r>
      <w:r>
        <w:rPr>
          <w:sz w:val="24"/>
          <w:szCs w:val="24"/>
        </w:rPr>
        <w:t>4.5  Quality</w:t>
      </w:r>
      <w:r>
        <w:rPr>
          <w:sz w:val="24"/>
          <w:szCs w:val="24"/>
        </w:rPr>
        <w:tab/>
      </w:r>
      <w:r>
        <w:rPr>
          <w:sz w:val="24"/>
          <w:szCs w:val="24"/>
        </w:rPr>
        <w:fldChar w:fldCharType="begin"/>
      </w:r>
      <w:r>
        <w:rPr>
          <w:sz w:val="24"/>
          <w:szCs w:val="24"/>
        </w:rPr>
        <w:instrText xml:space="preserve"> PAGEREF _Toc16247 \h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_Toc1627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Ⅰ  Product and Service Certification</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_Toc1627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_Toc31107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Ⅱ  Third Party Assessment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_Toc31107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_Toc902 </w:instrText>
      </w:r>
      <w:r>
        <w:rPr>
          <w:rFonts w:ascii="宋体" w:hAnsi="宋体"/>
          <w:sz w:val="24"/>
          <w:szCs w:val="24"/>
        </w:rPr>
        <w:fldChar w:fldCharType="separate"/>
      </w:r>
      <w:r>
        <w:rPr>
          <w:sz w:val="24"/>
          <w:szCs w:val="24"/>
        </w:rPr>
        <w:t>4.6  Benefit</w:t>
      </w:r>
      <w:r>
        <w:rPr>
          <w:sz w:val="24"/>
          <w:szCs w:val="24"/>
        </w:rPr>
        <w:tab/>
      </w:r>
      <w:r>
        <w:rPr>
          <w:sz w:val="24"/>
          <w:szCs w:val="24"/>
        </w:rPr>
        <w:fldChar w:fldCharType="begin"/>
      </w:r>
      <w:r>
        <w:rPr>
          <w:sz w:val="24"/>
          <w:szCs w:val="24"/>
        </w:rPr>
        <w:instrText xml:space="preserve"> PAGEREF _Toc902 \h </w:instrText>
      </w:r>
      <w:r>
        <w:rPr>
          <w:sz w:val="24"/>
          <w:szCs w:val="24"/>
        </w:rPr>
        <w:fldChar w:fldCharType="separate"/>
      </w:r>
      <w:r>
        <w:rPr>
          <w:sz w:val="24"/>
          <w:szCs w:val="24"/>
        </w:rPr>
        <w:t>17</w:t>
      </w:r>
      <w:r>
        <w:rPr>
          <w:sz w:val="24"/>
          <w:szCs w:val="24"/>
        </w:rPr>
        <w:fldChar w:fldCharType="end"/>
      </w:r>
      <w:r>
        <w:rPr>
          <w:rFonts w:ascii="宋体" w:hAnsi="宋体"/>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_Toc19006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Ⅰ  Environmental Benefit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_Toc19006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17</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9"/>
        <w:keepNext w:val="0"/>
        <w:keepLines w:val="0"/>
        <w:pageBreakBefore w:val="0"/>
        <w:widowControl w:val="0"/>
        <w:tabs>
          <w:tab w:val="right" w:leader="dot" w:pos="8691"/>
        </w:tabs>
        <w:kinsoku/>
        <w:wordWrap/>
        <w:overflowPunct/>
        <w:topLinePunct w:val="0"/>
        <w:autoSpaceDE/>
        <w:autoSpaceDN/>
        <w:bidi w:val="0"/>
        <w:adjustRightInd w:val="0"/>
        <w:snapToGrid w:val="0"/>
        <w:spacing w:line="360" w:lineRule="auto"/>
        <w:textAlignment w:val="auto"/>
        <w:rPr>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HYPERLINK \l _Toc23104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Ⅱ  Economic Benefit</w:t>
      </w:r>
      <w:r>
        <w:rPr>
          <w:rFonts w:hint="default" w:ascii="Times New Roman" w:hAnsi="Times New Roman" w:cs="Times New Roman"/>
          <w:sz w:val="24"/>
          <w:szCs w:val="24"/>
        </w:rPr>
        <w:tab/>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PAGEREF _Toc23104 \h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18</w:t>
      </w:r>
      <w:r>
        <w:rPr>
          <w:rFonts w:hint="default" w:ascii="Times New Roman" w:hAnsi="Times New Roman" w:cs="Times New Roman"/>
          <w:sz w:val="24"/>
          <w:szCs w:val="24"/>
        </w:rPr>
        <w:fldChar w:fldCharType="end"/>
      </w:r>
      <w:r>
        <w:rPr>
          <w:rFonts w:hint="default" w:ascii="Times New Roman" w:hAnsi="Times New Roman" w:cs="Times New Roman"/>
          <w:sz w:val="24"/>
          <w:szCs w:val="24"/>
        </w:rPr>
        <w:fldChar w:fldCharType="end"/>
      </w:r>
    </w:p>
    <w:p>
      <w:pPr>
        <w:pStyle w:val="16"/>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_Toc1644 </w:instrText>
      </w:r>
      <w:r>
        <w:rPr>
          <w:rFonts w:ascii="宋体" w:hAnsi="宋体"/>
          <w:sz w:val="24"/>
          <w:szCs w:val="24"/>
        </w:rPr>
        <w:fldChar w:fldCharType="separate"/>
      </w:r>
      <w:r>
        <w:rPr>
          <w:sz w:val="24"/>
          <w:szCs w:val="24"/>
        </w:rPr>
        <w:t>5.2  Frame Structure</w:t>
      </w:r>
      <w:r>
        <w:rPr>
          <w:sz w:val="24"/>
          <w:szCs w:val="24"/>
        </w:rPr>
        <w:tab/>
      </w:r>
      <w:r>
        <w:rPr>
          <w:sz w:val="24"/>
          <w:szCs w:val="24"/>
        </w:rPr>
        <w:fldChar w:fldCharType="begin"/>
      </w:r>
      <w:r>
        <w:rPr>
          <w:sz w:val="24"/>
          <w:szCs w:val="24"/>
        </w:rPr>
        <w:instrText xml:space="preserve"> PAGEREF _Toc1644 \h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15"/>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_Toc4933 </w:instrText>
      </w:r>
      <w:r>
        <w:rPr>
          <w:rFonts w:ascii="宋体" w:hAnsi="宋体"/>
          <w:sz w:val="24"/>
          <w:szCs w:val="24"/>
        </w:rPr>
        <w:fldChar w:fldCharType="separate"/>
      </w:r>
      <w:r>
        <w:rPr>
          <w:sz w:val="24"/>
          <w:szCs w:val="24"/>
        </w:rPr>
        <w:t>Explanation of Wording in This Standard</w:t>
      </w:r>
      <w:r>
        <w:rPr>
          <w:sz w:val="24"/>
          <w:szCs w:val="24"/>
        </w:rPr>
        <w:tab/>
      </w:r>
      <w:r>
        <w:rPr>
          <w:sz w:val="24"/>
          <w:szCs w:val="24"/>
        </w:rPr>
        <w:fldChar w:fldCharType="begin"/>
      </w:r>
      <w:r>
        <w:rPr>
          <w:sz w:val="24"/>
          <w:szCs w:val="24"/>
        </w:rPr>
        <w:instrText xml:space="preserve"> PAGEREF _Toc4933 \h </w:instrText>
      </w:r>
      <w:r>
        <w:rPr>
          <w:sz w:val="24"/>
          <w:szCs w:val="24"/>
        </w:rPr>
        <w:fldChar w:fldCharType="separate"/>
      </w:r>
      <w:r>
        <w:rPr>
          <w:sz w:val="24"/>
          <w:szCs w:val="24"/>
        </w:rPr>
        <w:t>20</w:t>
      </w:r>
      <w:r>
        <w:rPr>
          <w:sz w:val="24"/>
          <w:szCs w:val="24"/>
        </w:rPr>
        <w:fldChar w:fldCharType="end"/>
      </w:r>
      <w:r>
        <w:rPr>
          <w:rFonts w:ascii="宋体" w:hAnsi="宋体"/>
          <w:sz w:val="24"/>
          <w:szCs w:val="24"/>
        </w:rPr>
        <w:fldChar w:fldCharType="end"/>
      </w:r>
    </w:p>
    <w:p>
      <w:pPr>
        <w:pStyle w:val="15"/>
        <w:keepNext w:val="0"/>
        <w:keepLines w:val="0"/>
        <w:pageBreakBefore w:val="0"/>
        <w:widowControl w:val="0"/>
        <w:tabs>
          <w:tab w:val="right" w:leader="dot" w:pos="8691"/>
          <w:tab w:val="clear" w:pos="8296"/>
        </w:tabs>
        <w:kinsoku/>
        <w:wordWrap/>
        <w:overflowPunct/>
        <w:topLinePunct w:val="0"/>
        <w:autoSpaceDE/>
        <w:autoSpaceDN/>
        <w:bidi w:val="0"/>
        <w:adjustRightInd w:val="0"/>
        <w:snapToGrid w:val="0"/>
        <w:spacing w:line="360" w:lineRule="auto"/>
        <w:textAlignment w:val="auto"/>
        <w:rPr>
          <w:sz w:val="24"/>
          <w:szCs w:val="24"/>
        </w:rPr>
      </w:pPr>
      <w:r>
        <w:rPr>
          <w:rFonts w:ascii="宋体" w:hAnsi="宋体"/>
          <w:sz w:val="24"/>
          <w:szCs w:val="24"/>
        </w:rPr>
        <w:fldChar w:fldCharType="begin"/>
      </w:r>
      <w:r>
        <w:rPr>
          <w:rFonts w:ascii="宋体" w:hAnsi="宋体"/>
          <w:sz w:val="24"/>
          <w:szCs w:val="24"/>
        </w:rPr>
        <w:instrText xml:space="preserve"> HYPERLINK \l _Toc1744 </w:instrText>
      </w:r>
      <w:r>
        <w:rPr>
          <w:rFonts w:ascii="宋体" w:hAnsi="宋体"/>
          <w:sz w:val="24"/>
          <w:szCs w:val="24"/>
        </w:rPr>
        <w:fldChar w:fldCharType="separate"/>
      </w:r>
      <w:r>
        <w:rPr>
          <w:sz w:val="24"/>
          <w:szCs w:val="24"/>
        </w:rPr>
        <w:t>List of Quoted Standards</w:t>
      </w:r>
      <w:r>
        <w:rPr>
          <w:sz w:val="24"/>
          <w:szCs w:val="24"/>
        </w:rPr>
        <w:tab/>
      </w:r>
      <w:r>
        <w:rPr>
          <w:sz w:val="24"/>
          <w:szCs w:val="24"/>
        </w:rPr>
        <w:fldChar w:fldCharType="begin"/>
      </w:r>
      <w:r>
        <w:rPr>
          <w:sz w:val="24"/>
          <w:szCs w:val="24"/>
        </w:rPr>
        <w:instrText xml:space="preserve"> PAGEREF _Toc1744 \h </w:instrText>
      </w:r>
      <w:r>
        <w:rPr>
          <w:sz w:val="24"/>
          <w:szCs w:val="24"/>
        </w:rPr>
        <w:fldChar w:fldCharType="separate"/>
      </w:r>
      <w:r>
        <w:rPr>
          <w:sz w:val="24"/>
          <w:szCs w:val="24"/>
        </w:rPr>
        <w:t>21</w:t>
      </w:r>
      <w:r>
        <w:rPr>
          <w:sz w:val="24"/>
          <w:szCs w:val="24"/>
        </w:rPr>
        <w:fldChar w:fldCharType="end"/>
      </w:r>
      <w:r>
        <w:rPr>
          <w:rFonts w:ascii="宋体" w:hAnsi="宋体"/>
          <w:sz w:val="24"/>
          <w:szCs w:val="24"/>
        </w:rPr>
        <w:fldChar w:fldCharType="end"/>
      </w:r>
    </w:p>
    <w:p>
      <w:pPr>
        <w:rPr>
          <w:rFonts w:ascii="宋体" w:hAnsi="宋体"/>
        </w:rPr>
        <w:sectPr>
          <w:pgSz w:w="11906" w:h="16838"/>
          <w:pgMar w:top="1440" w:right="1418" w:bottom="1440" w:left="1797" w:header="851" w:footer="992" w:gutter="0"/>
          <w:pgBorders>
            <w:top w:val="none" w:sz="0" w:space="0"/>
            <w:left w:val="none" w:sz="0" w:space="0"/>
            <w:bottom w:val="none" w:sz="0" w:space="0"/>
            <w:right w:val="none" w:sz="0" w:space="0"/>
          </w:pgBorders>
          <w:pgNumType w:fmt="upperRoman" w:start="1"/>
          <w:cols w:space="425" w:num="1"/>
          <w:docGrid w:type="lines" w:linePitch="312" w:charSpace="0"/>
        </w:sectPr>
      </w:pPr>
      <w:r>
        <w:rPr>
          <w:rFonts w:ascii="宋体" w:hAnsi="宋体"/>
          <w:sz w:val="24"/>
          <w:szCs w:val="24"/>
        </w:rPr>
        <w:fldChar w:fldCharType="end"/>
      </w:r>
    </w:p>
    <w:p>
      <w:pPr>
        <w:pStyle w:val="3"/>
        <w:spacing w:before="480" w:after="240"/>
        <w:rPr>
          <w:rFonts w:hint="default"/>
        </w:rPr>
      </w:pPr>
      <w:bookmarkStart w:id="34" w:name="_Toc59655410"/>
      <w:bookmarkStart w:id="35" w:name="_Toc16477"/>
      <w:bookmarkStart w:id="36" w:name="_Toc21373"/>
      <w:bookmarkStart w:id="37" w:name="_Toc59655413"/>
      <w:r>
        <w:rPr>
          <w:rFonts w:hint="eastAsia"/>
          <w:sz w:val="30"/>
          <w:szCs w:val="30"/>
        </w:rPr>
        <w:t>1</w:t>
      </w:r>
      <w:r>
        <w:rPr>
          <w:sz w:val="30"/>
          <w:szCs w:val="30"/>
        </w:rPr>
        <w:t xml:space="preserve">  </w:t>
      </w:r>
      <w:r>
        <w:rPr>
          <w:rFonts w:hint="eastAsia"/>
          <w:sz w:val="30"/>
          <w:szCs w:val="30"/>
        </w:rPr>
        <w:t>总则</w:t>
      </w:r>
      <w:bookmarkEnd w:id="34"/>
      <w:bookmarkEnd w:id="35"/>
      <w:bookmarkStart w:id="38" w:name="_Toc27217"/>
      <w:r>
        <w:fldChar w:fldCharType="begin"/>
      </w:r>
      <w:r>
        <w:instrText xml:space="preserve"> </w:instrText>
      </w:r>
      <w:r>
        <w:rPr>
          <w:rFonts w:hint="eastAsia"/>
        </w:rPr>
        <w:instrText xml:space="preserve">TC  "</w:instrText>
      </w:r>
      <w:bookmarkStart w:id="39" w:name="_Toc152144906"/>
      <w:bookmarkStart w:id="40" w:name="_Toc152145793"/>
      <w:r>
        <w:rPr>
          <w:rFonts w:hint="eastAsia"/>
        </w:rPr>
        <w:instrText xml:space="preserve">1  General Provisions</w:instrText>
      </w:r>
      <w:bookmarkEnd w:id="39"/>
      <w:bookmarkEnd w:id="40"/>
      <w:r>
        <w:rPr>
          <w:rFonts w:hint="eastAsia"/>
        </w:rPr>
        <w:instrText xml:space="preserve">" \l 1</w:instrText>
      </w:r>
      <w:r>
        <w:instrText xml:space="preserve"> </w:instrText>
      </w:r>
      <w:r>
        <w:fldChar w:fldCharType="end"/>
      </w:r>
      <w:bookmarkEnd w:id="36"/>
      <w:bookmarkEnd w:id="38"/>
    </w:p>
    <w:p>
      <w:pPr>
        <w:rPr>
          <w:rFonts w:hint="eastAsia"/>
        </w:rPr>
      </w:pPr>
      <w:r>
        <w:rPr>
          <w:b/>
        </w:rPr>
        <w:t>1</w:t>
      </w:r>
      <w:r>
        <w:rPr>
          <w:rFonts w:hint="eastAsia"/>
          <w:b/>
        </w:rPr>
        <w:t>.</w:t>
      </w:r>
      <w:r>
        <w:rPr>
          <w:b/>
        </w:rPr>
        <w:t>0.1</w:t>
      </w:r>
      <w:r>
        <w:t xml:space="preserve">  </w:t>
      </w:r>
      <w:r>
        <w:rPr>
          <w:rFonts w:hint="eastAsia"/>
        </w:rPr>
        <w:t>为促进钢结构产业的高效能</w:t>
      </w:r>
      <w:r>
        <w:rPr>
          <w:rFonts w:hint="eastAsia"/>
          <w:lang w:eastAsia="zh-CN"/>
        </w:rPr>
        <w:t>、</w:t>
      </w:r>
      <w:r>
        <w:rPr>
          <w:rFonts w:hint="eastAsia"/>
          <w:lang w:val="en-US" w:eastAsia="zh-CN"/>
        </w:rPr>
        <w:t>标准化</w:t>
      </w:r>
      <w:r>
        <w:rPr>
          <w:rFonts w:hint="eastAsia"/>
        </w:rPr>
        <w:t>发展，规范钢结构工程的评价，做到</w:t>
      </w:r>
      <w:r>
        <w:rPr>
          <w:rFonts w:hint="eastAsia"/>
          <w:lang w:val="en-US" w:eastAsia="zh-CN"/>
        </w:rPr>
        <w:t>保障</w:t>
      </w:r>
      <w:r>
        <w:rPr>
          <w:rFonts w:hint="eastAsia"/>
        </w:rPr>
        <w:t>质量、提升效率</w:t>
      </w:r>
      <w:r>
        <w:rPr>
          <w:rFonts w:hint="eastAsia"/>
          <w:lang w:val="en-US" w:eastAsia="zh-CN"/>
        </w:rPr>
        <w:t>和性能</w:t>
      </w:r>
      <w:r>
        <w:rPr>
          <w:rFonts w:hint="eastAsia"/>
        </w:rPr>
        <w:t>、降低能耗</w:t>
      </w:r>
      <w:r>
        <w:rPr>
          <w:rFonts w:hint="eastAsia"/>
          <w:lang w:val="en-US" w:eastAsia="zh-CN"/>
        </w:rPr>
        <w:t>和</w:t>
      </w:r>
      <w:r>
        <w:rPr>
          <w:rFonts w:hint="eastAsia"/>
        </w:rPr>
        <w:t>排放</w:t>
      </w:r>
      <w:r>
        <w:rPr>
          <w:rFonts w:hint="eastAsia"/>
          <w:lang w:eastAsia="zh-CN"/>
        </w:rPr>
        <w:t>、</w:t>
      </w:r>
      <w:r>
        <w:rPr>
          <w:rFonts w:hint="eastAsia"/>
          <w:lang w:val="en-US" w:eastAsia="zh-CN"/>
        </w:rPr>
        <w:t>提高经济效益</w:t>
      </w:r>
      <w:r>
        <w:rPr>
          <w:rFonts w:hint="eastAsia"/>
        </w:rPr>
        <w:t>，制定本标准。</w:t>
      </w:r>
    </w:p>
    <w:p>
      <w:pPr>
        <w:rPr>
          <w:rFonts w:hint="eastAsia"/>
          <w:color w:val="0000FF"/>
          <w:lang w:val="en-US" w:eastAsia="zh-CN"/>
        </w:rPr>
      </w:pPr>
      <w:r>
        <w:rPr>
          <w:rFonts w:hint="eastAsia"/>
          <w:color w:val="0000FF"/>
          <w:lang w:val="en-US" w:eastAsia="zh-CN"/>
        </w:rPr>
        <w:t>【条文说明】据统计，我国建筑业全过程碳排放占总碳排放量的51%。建筑业的节能减排离不开土木工程结构的创新和新型高性能建筑材料的应用。相比于钢筋混凝土结构，采用钢结构可以减少12% 的能源消耗、减少15% 的碳排放。钢结构建筑具有承载力高、易于装配建造、施工周期短、抗震性能好、改建和拆除容易、材料回收循环利用率高等特点，大大减少了建筑垃圾，被誉为21世纪的“绿色建筑”。大力推广钢结构建筑、完善钢结构建筑标准体系等已经成为国家建筑业发展的重要战略方针。</w:t>
      </w:r>
    </w:p>
    <w:p>
      <w:pPr>
        <w:ind w:firstLine="480" w:firstLineChars="200"/>
        <w:rPr>
          <w:rFonts w:hint="eastAsia" w:ascii="Times New Roman" w:hAnsi="Times New Roman" w:eastAsia="宋体" w:cs="Times New Roman"/>
          <w:color w:val="0000FF"/>
          <w:kern w:val="0"/>
          <w:sz w:val="24"/>
          <w:szCs w:val="21"/>
          <w:lang w:val="en-US" w:eastAsia="zh-CN" w:bidi="ar-SA"/>
        </w:rPr>
      </w:pPr>
      <w:r>
        <w:rPr>
          <w:rFonts w:hint="eastAsia"/>
          <w:color w:val="0000FF"/>
          <w:lang w:val="en-US" w:eastAsia="zh-CN"/>
        </w:rPr>
        <w:t>目前我国市场上的钢结构普遍存在现场焊接多、效能低、标准化程度不高、质量不易保证等问题，影响钢结构的高质量发展。因此要大力推广高效能热轧型材，提高钢结构构件标准化水平，减少加工环节，力求在设计、制造、安装等各环节实现全流程数字化，实现型材标准化，构件标准化、装备标准化。十四五国家重点研发计划“城镇可持续发展关键技术与装备”重点专项立项“高效能标准化钢结构体系与应用关键技术”研究，以推动建立高效能标准化钢结构的全产业链技术体系为核心思路，围绕轧制型材、标准化结构体系、高效建造技术、生产</w:t>
      </w:r>
      <w:r>
        <w:rPr>
          <w:rFonts w:hint="eastAsia" w:ascii="Times New Roman" w:hAnsi="Times New Roman" w:eastAsia="宋体" w:cs="Times New Roman"/>
          <w:color w:val="0000FF"/>
          <w:kern w:val="0"/>
          <w:sz w:val="24"/>
          <w:szCs w:val="21"/>
          <w:lang w:val="en-US" w:eastAsia="zh-CN" w:bidi="ar-SA"/>
        </w:rPr>
        <w:t>制造技术、评价检测认证技术等高效能标准化钢结构的各个环节开展联合技术攻关。</w:t>
      </w:r>
    </w:p>
    <w:p>
      <w:pPr>
        <w:pStyle w:val="88"/>
        <w:keepNext w:val="0"/>
        <w:keepLines w:val="0"/>
        <w:pageBreakBefore w:val="0"/>
        <w:widowControl/>
        <w:kinsoku/>
        <w:wordWrap/>
        <w:overflowPunct/>
        <w:topLinePunct w:val="0"/>
        <w:autoSpaceDE/>
        <w:autoSpaceDN/>
        <w:bidi w:val="0"/>
        <w:adjustRightInd/>
        <w:snapToGrid/>
        <w:spacing w:line="360" w:lineRule="auto"/>
        <w:ind w:firstLine="480"/>
        <w:textAlignment w:val="auto"/>
        <w:rPr>
          <w:rFonts w:hint="eastAsia"/>
          <w:color w:val="00B0F0"/>
          <w:lang w:val="en-US" w:eastAsia="zh-CN"/>
        </w:rPr>
      </w:pPr>
      <w:r>
        <w:rPr>
          <w:rFonts w:hint="eastAsia" w:cs="Times New Roman"/>
          <w:color w:val="0000FF"/>
          <w:kern w:val="0"/>
          <w:sz w:val="24"/>
          <w:szCs w:val="21"/>
          <w:lang w:val="en-US" w:eastAsia="zh-CN" w:bidi="ar-SA"/>
        </w:rPr>
        <w:t>评价标准术语引领性标准，本标准的制定目的是为了引领钢结构行业向高效能、标准化方向发展，旨在推动轧制型材在民用建筑钢结构中的应用。</w:t>
      </w:r>
    </w:p>
    <w:p>
      <w:r>
        <w:rPr>
          <w:b/>
        </w:rPr>
        <w:t>1</w:t>
      </w:r>
      <w:r>
        <w:rPr>
          <w:rFonts w:hint="eastAsia"/>
          <w:b/>
        </w:rPr>
        <w:t>.</w:t>
      </w:r>
      <w:r>
        <w:rPr>
          <w:b/>
        </w:rPr>
        <w:t xml:space="preserve">0.2 </w:t>
      </w:r>
      <w:r>
        <w:t xml:space="preserve"> </w:t>
      </w:r>
      <w:r>
        <w:rPr>
          <w:rFonts w:hint="eastAsia"/>
        </w:rPr>
        <w:t>本标准适用于民用钢结构工程的评价。</w:t>
      </w:r>
    </w:p>
    <w:p>
      <w:pPr>
        <w:rPr>
          <w:color w:val="00B0F0"/>
        </w:rPr>
      </w:pPr>
      <w:r>
        <w:rPr>
          <w:rFonts w:hint="eastAsia"/>
          <w:color w:val="0000FF"/>
        </w:rPr>
        <w:t>【条文说明】本标准</w:t>
      </w:r>
      <w:r>
        <w:rPr>
          <w:rFonts w:hint="eastAsia"/>
          <w:color w:val="0000FF"/>
          <w:lang w:val="en-US" w:eastAsia="zh-CN"/>
        </w:rPr>
        <w:t>中所指民用钢结构工程指</w:t>
      </w:r>
      <w:r>
        <w:rPr>
          <w:rFonts w:hint="eastAsia"/>
          <w:color w:val="0000FF"/>
        </w:rPr>
        <w:t>钢框架或钢框架-支撑结构，组合结构中的钢结构工程可参照执行</w:t>
      </w:r>
      <w:r>
        <w:rPr>
          <w:rFonts w:hint="eastAsia"/>
          <w:color w:val="0000FF"/>
          <w:lang w:eastAsia="zh-CN"/>
        </w:rPr>
        <w:t>，</w:t>
      </w:r>
      <w:r>
        <w:rPr>
          <w:rFonts w:hint="eastAsia"/>
          <w:color w:val="0000FF"/>
          <w:lang w:val="en-US" w:eastAsia="zh-CN"/>
        </w:rPr>
        <w:t>但应注意相应指标的具体计算原则和方式</w:t>
      </w:r>
      <w:r>
        <w:rPr>
          <w:rFonts w:hint="eastAsia"/>
          <w:color w:val="0000FF"/>
        </w:rPr>
        <w:t>。</w:t>
      </w:r>
    </w:p>
    <w:p>
      <w:r>
        <w:rPr>
          <w:b/>
        </w:rPr>
        <w:t>1</w:t>
      </w:r>
      <w:r>
        <w:rPr>
          <w:rFonts w:hint="eastAsia"/>
          <w:b/>
        </w:rPr>
        <w:t>.</w:t>
      </w:r>
      <w:r>
        <w:rPr>
          <w:b/>
        </w:rPr>
        <w:t>0.3</w:t>
      </w:r>
      <w:r>
        <w:t xml:space="preserve">  </w:t>
      </w:r>
      <w:r>
        <w:rPr>
          <w:rFonts w:hint="eastAsia"/>
        </w:rPr>
        <w:t>高效能标准化钢结构评价除应符合本标准外，尚应符合国家现行有关标准和现行中国工程建设标准化协会标准的规定。</w:t>
      </w:r>
    </w:p>
    <w:p>
      <w:pPr>
        <w:widowControl/>
        <w:spacing w:line="240" w:lineRule="auto"/>
        <w:jc w:val="left"/>
      </w:pPr>
    </w:p>
    <w:p>
      <w:pPr>
        <w:widowControl/>
        <w:spacing w:line="240" w:lineRule="auto"/>
        <w:jc w:val="left"/>
      </w:pPr>
    </w:p>
    <w:p>
      <w:pPr>
        <w:widowControl/>
        <w:spacing w:line="240" w:lineRule="auto"/>
        <w:jc w:val="left"/>
      </w:pPr>
      <w:r>
        <w:br w:type="page"/>
      </w:r>
    </w:p>
    <w:p>
      <w:pPr>
        <w:pStyle w:val="3"/>
        <w:spacing w:before="480" w:after="240"/>
      </w:pPr>
      <w:bookmarkStart w:id="41" w:name="_Toc59655411"/>
      <w:bookmarkStart w:id="42" w:name="_Toc15945"/>
      <w:bookmarkStart w:id="43" w:name="_Toc32093"/>
      <w:r>
        <w:rPr>
          <w:sz w:val="30"/>
          <w:szCs w:val="30"/>
        </w:rPr>
        <w:t xml:space="preserve">2  </w:t>
      </w:r>
      <w:r>
        <w:rPr>
          <w:rFonts w:hint="eastAsia"/>
          <w:sz w:val="30"/>
          <w:szCs w:val="30"/>
        </w:rPr>
        <w:t>术语</w:t>
      </w:r>
      <w:bookmarkEnd w:id="41"/>
      <w:bookmarkEnd w:id="42"/>
      <w:bookmarkStart w:id="44" w:name="_Toc19479"/>
      <w:r>
        <w:fldChar w:fldCharType="begin"/>
      </w:r>
      <w:r>
        <w:instrText xml:space="preserve"> </w:instrText>
      </w:r>
      <w:r>
        <w:rPr>
          <w:rFonts w:hint="eastAsia"/>
        </w:rPr>
        <w:instrText xml:space="preserve">TC  "</w:instrText>
      </w:r>
      <w:bookmarkStart w:id="45" w:name="_Toc152144907"/>
      <w:bookmarkStart w:id="46" w:name="_Toc152145794"/>
      <w:r>
        <w:rPr>
          <w:rFonts w:hint="eastAsia"/>
        </w:rPr>
        <w:instrText xml:space="preserve">2  Terms</w:instrText>
      </w:r>
      <w:bookmarkEnd w:id="45"/>
      <w:bookmarkEnd w:id="46"/>
      <w:r>
        <w:rPr>
          <w:rFonts w:hint="eastAsia"/>
        </w:rPr>
        <w:instrText xml:space="preserve">" \l 1</w:instrText>
      </w:r>
      <w:r>
        <w:instrText xml:space="preserve"> </w:instrText>
      </w:r>
      <w:r>
        <w:fldChar w:fldCharType="end"/>
      </w:r>
      <w:bookmarkEnd w:id="43"/>
      <w:bookmarkEnd w:id="44"/>
    </w:p>
    <w:p>
      <w:r>
        <w:rPr>
          <w:rFonts w:hint="eastAsia"/>
          <w:b/>
        </w:rPr>
        <w:t>2.1</w:t>
      </w:r>
      <w:r>
        <w:rPr>
          <w:b/>
        </w:rPr>
        <w:t>.1</w:t>
      </w:r>
      <w:r>
        <w:t xml:space="preserve">  </w:t>
      </w:r>
      <w:r>
        <w:rPr>
          <w:rFonts w:hint="eastAsia"/>
        </w:rPr>
        <w:t xml:space="preserve">高效能标准化钢结构 </w:t>
      </w:r>
      <w:r>
        <w:t xml:space="preserve"> </w:t>
      </w:r>
      <w:r>
        <w:rPr>
          <w:rFonts w:hint="eastAsia"/>
        </w:rPr>
        <w:t>high-performance standardized steel structure</w:t>
      </w:r>
    </w:p>
    <w:p>
      <w:pPr>
        <w:ind w:firstLine="480" w:firstLineChars="200"/>
        <w:rPr>
          <w:rFonts w:hint="eastAsia"/>
        </w:rPr>
      </w:pPr>
      <w:r>
        <w:rPr>
          <w:rFonts w:hint="eastAsia"/>
        </w:rPr>
        <w:t>指以热轧H型钢、方矩形管材等轧制型材为结构材料，配套标准化节点、标准化设计、数字化生产、智能化施工等创新技术，形成的成套钢结构技术。</w:t>
      </w:r>
    </w:p>
    <w:p>
      <w:pPr>
        <w:rPr>
          <w:rFonts w:hint="eastAsia"/>
          <w:color w:val="0000FF"/>
          <w:lang w:val="en-US" w:eastAsia="zh-CN"/>
        </w:rPr>
      </w:pPr>
      <w:r>
        <w:rPr>
          <w:rFonts w:hint="eastAsia"/>
          <w:color w:val="0000FF"/>
        </w:rPr>
        <w:t>【条文说明】</w:t>
      </w:r>
      <w:r>
        <w:rPr>
          <w:rFonts w:hint="eastAsia"/>
          <w:color w:val="0000FF"/>
          <w:lang w:val="en-US" w:eastAsia="zh-CN"/>
        </w:rPr>
        <w:t>焊接型材需要经过切割、组装、焊接等多个工序，生产效率相对较低。轧制型材是通过轧钢机等设备一次成型，生产过程连续且自动化程度高，生产效率远高于焊接型材。由于轧制型材的生产效率高，且原材料消耗较少，因此其生产成本相对较低。而焊接型材在生产过程中会产生较多的废料，且需要更多的能源消耗和人工成本，因此成本较高。</w:t>
      </w:r>
    </w:p>
    <w:p>
      <w:pPr>
        <w:ind w:firstLine="480" w:firstLineChars="200"/>
        <w:rPr>
          <w:rFonts w:hint="eastAsia"/>
          <w:color w:val="0000FF"/>
          <w:lang w:val="en-US" w:eastAsia="zh-CN"/>
        </w:rPr>
      </w:pPr>
      <w:r>
        <w:rPr>
          <w:rFonts w:hint="eastAsia"/>
          <w:color w:val="0000FF"/>
          <w:lang w:val="en-US" w:eastAsia="zh-CN"/>
        </w:rPr>
        <w:t>轧制型材在轧制过程中，其内部组织得到优化，力学性能得到提高，如强度、韧性等。而焊接型材的焊接接头处可能存在性能不均等问题，影响整体性能。轧制型材的尺寸精度和表面质量通常较高，且质量稳定性好。焊接型材则可能因焊接工艺、焊接材料等因素导致质量波动较大。</w:t>
      </w:r>
    </w:p>
    <w:p>
      <w:pPr>
        <w:ind w:firstLine="480" w:firstLineChars="200"/>
        <w:rPr>
          <w:rFonts w:hint="eastAsia"/>
          <w:color w:val="0000FF"/>
          <w:lang w:val="en-US" w:eastAsia="zh-CN"/>
        </w:rPr>
      </w:pPr>
      <w:r>
        <w:rPr>
          <w:rFonts w:hint="eastAsia"/>
          <w:color w:val="0000FF"/>
          <w:lang w:val="en-US" w:eastAsia="zh-CN"/>
        </w:rPr>
        <w:t>轧制型材的规格、尺寸和形状较为标准，易于与标准化节点、标准化设计等创新技术相结合，适应性强。</w:t>
      </w:r>
    </w:p>
    <w:p>
      <w:pPr>
        <w:ind w:firstLine="480" w:firstLineChars="200"/>
        <w:rPr>
          <w:rFonts w:hint="eastAsia"/>
          <w:color w:val="0000FF"/>
          <w:lang w:val="en-US" w:eastAsia="zh-CN"/>
        </w:rPr>
      </w:pPr>
      <w:r>
        <w:rPr>
          <w:rFonts w:hint="eastAsia"/>
          <w:color w:val="0000FF"/>
          <w:lang w:val="en-US" w:eastAsia="zh-CN"/>
        </w:rPr>
        <w:t>轧制型材的生产、施工过程中相对更环保，能源消耗和污染物排放较少。同时，轧制型材具有较高的可回收性和再利用性，符合可持续发展的要求。</w:t>
      </w:r>
    </w:p>
    <w:p>
      <w:pPr>
        <w:ind w:firstLine="480" w:firstLineChars="200"/>
        <w:rPr>
          <w:rFonts w:hint="default"/>
          <w:color w:val="0000FF"/>
          <w:lang w:val="en-US" w:eastAsia="zh-CN"/>
        </w:rPr>
      </w:pPr>
      <w:r>
        <w:rPr>
          <w:rFonts w:hint="eastAsia"/>
          <w:color w:val="0000FF"/>
          <w:lang w:val="en-US" w:eastAsia="zh-CN"/>
        </w:rPr>
        <w:t>综上所述，以热轧H型钢、方矩形管材等轧制型材为结构材料，配套标准化节点、标准化设计、数字化生产、智能化施工等创新技术，形成的成套钢结构技术称之为高效能标准化钢结构。</w:t>
      </w:r>
    </w:p>
    <w:p>
      <w:pPr>
        <w:rPr>
          <w:rFonts w:hint="default" w:eastAsia="宋体"/>
          <w:lang w:val="en-US" w:eastAsia="zh-CN"/>
        </w:rPr>
      </w:pPr>
      <w:r>
        <w:rPr>
          <w:rFonts w:hint="eastAsia"/>
          <w:b/>
        </w:rPr>
        <w:t>2.</w:t>
      </w:r>
      <w:r>
        <w:rPr>
          <w:b/>
        </w:rPr>
        <w:t>1.2</w:t>
      </w:r>
      <w:r>
        <w:t xml:space="preserve">  </w:t>
      </w:r>
      <w:r>
        <w:rPr>
          <w:rFonts w:hint="eastAsia"/>
        </w:rPr>
        <w:t>效率</w:t>
      </w:r>
      <w:r>
        <w:rPr>
          <w:rFonts w:hint="eastAsia"/>
          <w:lang w:val="en-US" w:eastAsia="zh-CN"/>
        </w:rPr>
        <w:t xml:space="preserve"> efficiency</w:t>
      </w:r>
    </w:p>
    <w:p>
      <w:pPr>
        <w:ind w:firstLine="480" w:firstLineChars="200"/>
        <w:rPr>
          <w:rFonts w:hint="default" w:eastAsia="宋体"/>
          <w:lang w:val="en-US" w:eastAsia="zh-CN"/>
        </w:rPr>
      </w:pPr>
      <w:r>
        <w:rPr>
          <w:rFonts w:hint="eastAsia"/>
          <w:lang w:val="en-US" w:eastAsia="zh-CN"/>
        </w:rPr>
        <w:t>衡量高效能标准化钢结构投入与产出之间的关系，本标准中包括设计效率、生产效率、运输效率和施工效率。</w:t>
      </w:r>
    </w:p>
    <w:p>
      <w:pPr>
        <w:rPr>
          <w:rFonts w:hint="eastAsia"/>
          <w:lang w:val="en-US" w:eastAsia="zh-CN"/>
        </w:rPr>
      </w:pPr>
      <w:r>
        <w:rPr>
          <w:rFonts w:hint="eastAsia"/>
          <w:b/>
        </w:rPr>
        <w:t>2.</w:t>
      </w:r>
      <w:r>
        <w:rPr>
          <w:b/>
        </w:rPr>
        <w:t>1.3</w:t>
      </w:r>
      <w:r>
        <w:t xml:space="preserve">  </w:t>
      </w:r>
      <w:r>
        <w:rPr>
          <w:rFonts w:hint="eastAsia"/>
        </w:rPr>
        <w:t>性能</w:t>
      </w:r>
      <w:r>
        <w:rPr>
          <w:rFonts w:hint="eastAsia"/>
          <w:lang w:val="en-US" w:eastAsia="zh-CN"/>
        </w:rPr>
        <w:t xml:space="preserve"> performance</w:t>
      </w:r>
    </w:p>
    <w:p>
      <w:pPr>
        <w:ind w:firstLine="480" w:firstLineChars="200"/>
        <w:rPr>
          <w:rFonts w:hint="default"/>
          <w:lang w:val="en-US" w:eastAsia="zh-CN"/>
        </w:rPr>
      </w:pPr>
      <w:r>
        <w:rPr>
          <w:rFonts w:hint="eastAsia"/>
          <w:lang w:val="en-US" w:eastAsia="zh-CN"/>
        </w:rPr>
        <w:t>在正常工作状态下所表现出的各种能力和特性，本标准中包括材料性能、抗震性能、耐久性能、防火性能和舒适性能。</w:t>
      </w:r>
    </w:p>
    <w:p>
      <w:pPr>
        <w:rPr>
          <w:rFonts w:hint="default" w:eastAsia="宋体"/>
          <w:lang w:val="en-US" w:eastAsia="zh-CN"/>
        </w:rPr>
      </w:pPr>
      <w:r>
        <w:rPr>
          <w:rFonts w:hint="eastAsia"/>
          <w:b/>
        </w:rPr>
        <w:t>2.</w:t>
      </w:r>
      <w:r>
        <w:rPr>
          <w:b/>
        </w:rPr>
        <w:t>1.4</w:t>
      </w:r>
      <w:r>
        <w:t xml:space="preserve">  </w:t>
      </w:r>
      <w:r>
        <w:rPr>
          <w:rFonts w:hint="eastAsia"/>
        </w:rPr>
        <w:t>标准化</w:t>
      </w:r>
      <w:r>
        <w:rPr>
          <w:rFonts w:hint="eastAsia"/>
          <w:lang w:val="en-US" w:eastAsia="zh-CN"/>
        </w:rPr>
        <w:t xml:space="preserve"> standardization</w:t>
      </w:r>
    </w:p>
    <w:p>
      <w:pPr>
        <w:ind w:firstLine="480" w:firstLineChars="200"/>
        <w:rPr>
          <w:rFonts w:hint="default" w:eastAsia="宋体"/>
          <w:lang w:val="en-US" w:eastAsia="zh-CN"/>
        </w:rPr>
      </w:pPr>
      <w:r>
        <w:rPr>
          <w:rFonts w:hint="eastAsia"/>
          <w:lang w:val="en-US" w:eastAsia="zh-CN"/>
        </w:rPr>
        <w:t>在一定的范围内获得最佳秩序，对实际或潜在的问题制定共同的和重复使用的规则的活动，本标准中包括建筑标准化和结构标准化。</w:t>
      </w:r>
    </w:p>
    <w:p>
      <w:pPr>
        <w:rPr>
          <w:rFonts w:hint="eastAsia"/>
          <w:lang w:val="en-US" w:eastAsia="zh-CN"/>
        </w:rPr>
      </w:pPr>
      <w:r>
        <w:rPr>
          <w:rFonts w:hint="eastAsia"/>
          <w:b/>
        </w:rPr>
        <w:t>2.</w:t>
      </w:r>
      <w:r>
        <w:rPr>
          <w:b/>
        </w:rPr>
        <w:t>1.5</w:t>
      </w:r>
      <w:r>
        <w:t xml:space="preserve">  </w:t>
      </w:r>
      <w:r>
        <w:rPr>
          <w:rFonts w:hint="eastAsia"/>
        </w:rPr>
        <w:t>质量</w:t>
      </w:r>
      <w:r>
        <w:rPr>
          <w:rFonts w:hint="eastAsia"/>
          <w:lang w:val="en-US" w:eastAsia="zh-CN"/>
        </w:rPr>
        <w:t>quality</w:t>
      </w:r>
    </w:p>
    <w:p>
      <w:pPr>
        <w:ind w:firstLine="480" w:firstLineChars="200"/>
        <w:rPr>
          <w:rFonts w:hint="default"/>
          <w:lang w:val="en-US" w:eastAsia="zh-CN"/>
        </w:rPr>
      </w:pPr>
      <w:r>
        <w:rPr>
          <w:rFonts w:hint="eastAsia"/>
          <w:lang w:val="en-US" w:eastAsia="zh-CN"/>
        </w:rPr>
        <w:t>用于衡量产品、服务、过程等固有特性满足要求的程度。</w:t>
      </w:r>
    </w:p>
    <w:p>
      <w:pPr>
        <w:rPr>
          <w:rFonts w:hint="eastAsia"/>
          <w:lang w:val="en-US" w:eastAsia="zh-CN"/>
        </w:rPr>
      </w:pPr>
      <w:r>
        <w:rPr>
          <w:rFonts w:hint="eastAsia"/>
          <w:b/>
        </w:rPr>
        <w:t>2.</w:t>
      </w:r>
      <w:r>
        <w:rPr>
          <w:b/>
        </w:rPr>
        <w:t>1.6</w:t>
      </w:r>
      <w:r>
        <w:t xml:space="preserve">  </w:t>
      </w:r>
      <w:r>
        <w:rPr>
          <w:rFonts w:hint="eastAsia"/>
        </w:rPr>
        <w:t>效益</w:t>
      </w:r>
      <w:r>
        <w:rPr>
          <w:rFonts w:hint="eastAsia"/>
          <w:lang w:val="en-US" w:eastAsia="zh-CN"/>
        </w:rPr>
        <w:t xml:space="preserve"> benefit</w:t>
      </w:r>
    </w:p>
    <w:p>
      <w:pPr>
        <w:ind w:firstLine="480" w:firstLineChars="200"/>
        <w:rPr>
          <w:rFonts w:hint="default"/>
          <w:lang w:val="en-US" w:eastAsia="zh-CN"/>
        </w:rPr>
      </w:pPr>
      <w:r>
        <w:rPr>
          <w:rFonts w:hint="eastAsia"/>
          <w:lang w:val="en-US" w:eastAsia="zh-CN"/>
        </w:rPr>
        <w:t>在宏观经济、微观经济和社会环境等多个层面效果与利益的体现，衡量付出与汇报之间关系的指标，本标准中包含环境效益和经济效益。</w:t>
      </w:r>
    </w:p>
    <w:p>
      <w:pPr>
        <w:rPr>
          <w:color w:val="FF0000"/>
        </w:rPr>
      </w:pPr>
    </w:p>
    <w:p>
      <w:pPr>
        <w:jc w:val="center"/>
      </w:pPr>
    </w:p>
    <w:p/>
    <w:p/>
    <w:p/>
    <w:p>
      <w:pPr>
        <w:widowControl/>
        <w:ind w:firstLine="480" w:firstLineChars="200"/>
        <w:rPr>
          <w:color w:val="000000"/>
          <w:szCs w:val="24"/>
          <w:lang w:bidi="ar"/>
        </w:rPr>
      </w:pPr>
    </w:p>
    <w:p>
      <w:pPr>
        <w:widowControl/>
        <w:spacing w:line="240" w:lineRule="auto"/>
        <w:jc w:val="left"/>
        <w:rPr>
          <w:b/>
          <w:bCs/>
          <w:kern w:val="44"/>
          <w:sz w:val="32"/>
          <w:szCs w:val="44"/>
        </w:rPr>
      </w:pPr>
      <w:r>
        <w:rPr>
          <w:b/>
          <w:bCs/>
          <w:kern w:val="44"/>
          <w:sz w:val="32"/>
          <w:szCs w:val="44"/>
        </w:rPr>
        <w:br w:type="page"/>
      </w:r>
    </w:p>
    <w:bookmarkEnd w:id="37"/>
    <w:p>
      <w:pPr>
        <w:pStyle w:val="3"/>
        <w:spacing w:before="480" w:after="240"/>
      </w:pPr>
      <w:bookmarkStart w:id="47" w:name="_Toc18668"/>
      <w:bookmarkStart w:id="48" w:name="_Toc59655412"/>
      <w:bookmarkStart w:id="49" w:name="_Toc13878"/>
      <w:r>
        <w:rPr>
          <w:rFonts w:hint="eastAsia"/>
          <w:sz w:val="30"/>
          <w:szCs w:val="30"/>
        </w:rPr>
        <w:t>3</w:t>
      </w:r>
      <w:r>
        <w:rPr>
          <w:sz w:val="30"/>
          <w:szCs w:val="30"/>
        </w:rPr>
        <w:t xml:space="preserve">  </w:t>
      </w:r>
      <w:r>
        <w:rPr>
          <w:rFonts w:hint="eastAsia"/>
          <w:sz w:val="30"/>
          <w:szCs w:val="30"/>
        </w:rPr>
        <w:t>基本规定</w:t>
      </w:r>
      <w:bookmarkEnd w:id="47"/>
      <w:bookmarkEnd w:id="48"/>
      <w:bookmarkStart w:id="50" w:name="_Toc27425"/>
      <w:r>
        <w:fldChar w:fldCharType="begin"/>
      </w:r>
      <w:r>
        <w:instrText xml:space="preserve"> </w:instrText>
      </w:r>
      <w:r>
        <w:rPr>
          <w:rFonts w:hint="eastAsia"/>
        </w:rPr>
        <w:instrText xml:space="preserve">TC  "</w:instrText>
      </w:r>
      <w:bookmarkStart w:id="51" w:name="_Toc152145795"/>
      <w:bookmarkStart w:id="52" w:name="_Toc152144908"/>
      <w:r>
        <w:rPr>
          <w:rFonts w:hint="eastAsia"/>
        </w:rPr>
        <w:instrText xml:space="preserve">3  Basic Requirements</w:instrText>
      </w:r>
      <w:bookmarkEnd w:id="51"/>
      <w:bookmarkEnd w:id="52"/>
      <w:r>
        <w:rPr>
          <w:rFonts w:hint="eastAsia"/>
        </w:rPr>
        <w:instrText xml:space="preserve">" \l 1</w:instrText>
      </w:r>
      <w:r>
        <w:instrText xml:space="preserve"> </w:instrText>
      </w:r>
      <w:r>
        <w:fldChar w:fldCharType="end"/>
      </w:r>
      <w:bookmarkEnd w:id="49"/>
      <w:bookmarkEnd w:id="50"/>
    </w:p>
    <w:p>
      <w:pPr>
        <w:spacing w:line="460" w:lineRule="exact"/>
        <w:rPr>
          <w:rFonts w:hint="eastAsia"/>
        </w:rPr>
      </w:pPr>
      <w:r>
        <w:rPr>
          <w:b/>
        </w:rPr>
        <w:t>3</w:t>
      </w:r>
      <w:r>
        <w:rPr>
          <w:rFonts w:hint="eastAsia"/>
          <w:b/>
        </w:rPr>
        <w:t>.</w:t>
      </w:r>
      <w:r>
        <w:rPr>
          <w:b/>
        </w:rPr>
        <w:t>0.1</w:t>
      </w:r>
      <w:r>
        <w:t xml:space="preserve">  </w:t>
      </w:r>
      <w:r>
        <w:rPr>
          <w:rFonts w:hint="eastAsia"/>
        </w:rPr>
        <w:t>高效能标准化钢结构等级评价应以单体钢结构工程地上部分作为计算和评价单元，单体建筑应按项目规划批准文件的建筑编号确认。</w:t>
      </w:r>
    </w:p>
    <w:p>
      <w:pPr>
        <w:spacing w:line="360" w:lineRule="auto"/>
        <w:rPr>
          <w:rFonts w:hint="eastAsia"/>
          <w:color w:val="0000FF"/>
          <w:lang w:val="en-US" w:eastAsia="zh-CN"/>
        </w:rPr>
      </w:pPr>
      <w:r>
        <w:rPr>
          <w:rFonts w:hint="eastAsia"/>
          <w:color w:val="0000FF"/>
        </w:rPr>
        <w:t>【条文说明】</w:t>
      </w:r>
      <w:r>
        <w:rPr>
          <w:rFonts w:hint="eastAsia"/>
          <w:color w:val="0000FF"/>
          <w:lang w:val="en-US" w:eastAsia="zh-CN"/>
        </w:rPr>
        <w:t>单体钢结构工程地上部分是指单体钢结构工程室外地坪以上部分。单体钢结构工程存在多个室外地坪标高时，取标高较低的室外地坪以上部分作为计算和评价单元；单体钢结构工程有地下室、半地下室的，取地下室、半地下室顶板以上部分作为计算和评价单元。</w:t>
      </w:r>
    </w:p>
    <w:p>
      <w:pPr>
        <w:spacing w:line="460" w:lineRule="exact"/>
        <w:ind w:firstLine="480" w:firstLineChars="200"/>
        <w:rPr>
          <w:rFonts w:hint="eastAsia"/>
          <w:color w:val="0000FF"/>
          <w:lang w:val="en-US" w:eastAsia="zh-CN"/>
        </w:rPr>
      </w:pPr>
      <w:r>
        <w:rPr>
          <w:rFonts w:hint="eastAsia"/>
          <w:color w:val="0000FF"/>
          <w:lang w:val="en-US" w:eastAsia="zh-CN"/>
        </w:rPr>
        <w:t>单体钢结构工程作为基本工作单元，能够全面、系统地反映钢结构建筑的特点。以单体钢结构工程作为评价单元，可以更好地把握钢结构建筑的整体性能和表现。此外，在钢结构建筑中，可能存在多个单体建筑或多个结构单元。如果以整个项目或建筑群作为评价单元，可能会导致重复计算或遗漏部分单体建筑的问题。而以单体钢结构工程地上部分作为评价单元，则可以避免这一问题，确保评价的准确性和公正性。同时，以单体钢结构工程地上部分作为评价单元，可以使得不同项目、不同单体建筑之间的比较和评估更加直观和方便，这有助于推动钢结构建筑行业的标准化和规范化发展。</w:t>
      </w:r>
    </w:p>
    <w:p>
      <w:pPr>
        <w:spacing w:line="460" w:lineRule="exact"/>
        <w:ind w:firstLine="480" w:firstLineChars="200"/>
        <w:rPr>
          <w:rFonts w:hint="default"/>
          <w:color w:val="0000FF"/>
          <w:lang w:val="en-US" w:eastAsia="zh-CN"/>
        </w:rPr>
      </w:pPr>
      <w:r>
        <w:rPr>
          <w:rFonts w:hint="eastAsia"/>
          <w:color w:val="0000FF"/>
          <w:lang w:val="en-US" w:eastAsia="zh-CN"/>
        </w:rPr>
        <w:t>根据住房和城乡建设部等行业主管部门发布的相关评价标准和规范，通常要求以单体建筑的室外地坪以上部分作为评价单元。以单体钢结构工程地上部分作为评价单元，在实际操作中具有较高的可行性。这有助于减少评价过程中的复杂性和不确定性，提高评价工作的效率和准确性。</w:t>
      </w:r>
    </w:p>
    <w:p>
      <w:pPr>
        <w:spacing w:line="460" w:lineRule="exact"/>
      </w:pPr>
      <w:r>
        <w:rPr>
          <w:b/>
        </w:rPr>
        <w:t>3.0.2</w:t>
      </w:r>
      <w:r>
        <w:t xml:space="preserve">  </w:t>
      </w:r>
      <w:r>
        <w:rPr>
          <w:rFonts w:hint="eastAsia"/>
        </w:rPr>
        <w:t>高效能标准化钢结构评价应符合下列规定：</w:t>
      </w:r>
    </w:p>
    <w:p>
      <w:pPr>
        <w:spacing w:line="460" w:lineRule="exact"/>
        <w:ind w:firstLine="480" w:firstLineChars="200"/>
      </w:pPr>
      <w:r>
        <w:rPr>
          <w:rFonts w:hint="eastAsia"/>
        </w:rPr>
        <w:t>1  设计阶段应根据钢结构施工图和加工详图进行预评价。</w:t>
      </w:r>
    </w:p>
    <w:p>
      <w:pPr>
        <w:spacing w:line="460" w:lineRule="exact"/>
        <w:ind w:firstLine="480" w:firstLineChars="200"/>
        <w:rPr>
          <w:rFonts w:hint="eastAsia"/>
        </w:rPr>
      </w:pPr>
      <w:r>
        <w:rPr>
          <w:rFonts w:hint="eastAsia"/>
        </w:rPr>
        <w:t>2  项目评价应在项目竣工验收后进行，并应按竣工验收报告、计算书和其他相关资料确定评价等级。</w:t>
      </w:r>
    </w:p>
    <w:p>
      <w:pPr>
        <w:pageBreakBefore w:val="0"/>
        <w:widowControl w:val="0"/>
        <w:kinsoku/>
        <w:wordWrap/>
        <w:overflowPunct/>
        <w:topLinePunct w:val="0"/>
        <w:autoSpaceDE/>
        <w:autoSpaceDN/>
        <w:bidi w:val="0"/>
        <w:adjustRightInd/>
        <w:snapToGrid/>
        <w:textAlignment w:val="auto"/>
        <w:rPr>
          <w:rFonts w:hint="eastAsia"/>
          <w:color w:val="0000FF"/>
          <w:lang w:val="en-US" w:eastAsia="zh-CN"/>
        </w:rPr>
      </w:pPr>
      <w:r>
        <w:rPr>
          <w:rFonts w:hint="eastAsia"/>
          <w:color w:val="0000FF"/>
          <w:lang w:val="en-US" w:eastAsia="zh-CN"/>
        </w:rPr>
        <w:t>【条文说明】为保证高效能标准化钢结构评价质量和效果，切实发挥评价工作的引领作用，本条规定高效能标准化钢结构评价分为预评价和项目评价。</w:t>
      </w:r>
    </w:p>
    <w:p>
      <w:pPr>
        <w:pageBreakBefore w:val="0"/>
        <w:widowControl w:val="0"/>
        <w:kinsoku/>
        <w:wordWrap/>
        <w:overflowPunct/>
        <w:topLinePunct w:val="0"/>
        <w:autoSpaceDE/>
        <w:autoSpaceDN/>
        <w:bidi w:val="0"/>
        <w:adjustRightInd/>
        <w:snapToGrid/>
        <w:ind w:firstLine="480" w:firstLineChars="200"/>
        <w:textAlignment w:val="auto"/>
        <w:rPr>
          <w:rFonts w:hint="eastAsia"/>
          <w:color w:val="0000FF"/>
          <w:lang w:val="en-US" w:eastAsia="zh-CN"/>
        </w:rPr>
      </w:pPr>
      <w:r>
        <w:rPr>
          <w:rFonts w:hint="eastAsia"/>
          <w:color w:val="0000FF"/>
          <w:lang w:val="en-US" w:eastAsia="zh-CN"/>
        </w:rPr>
        <w:t>为促使高效能标准化钢结构的设计理念尽早融入到钢结构项目实施过程中，项目宜在设计阶段进行预评价。如预评价结果不满足高效能标准化钢结构评价的相关要求，项目可结合预评价过程中发现的不足，通过调整或优化设计方案使其满足要求。</w:t>
      </w:r>
    </w:p>
    <w:p>
      <w:pPr>
        <w:pageBreakBefore w:val="0"/>
        <w:widowControl w:val="0"/>
        <w:kinsoku/>
        <w:wordWrap/>
        <w:overflowPunct/>
        <w:topLinePunct w:val="0"/>
        <w:autoSpaceDE/>
        <w:autoSpaceDN/>
        <w:bidi w:val="0"/>
        <w:adjustRightInd/>
        <w:snapToGrid/>
        <w:ind w:firstLine="480" w:firstLineChars="200"/>
        <w:textAlignment w:val="auto"/>
        <w:rPr>
          <w:rFonts w:hint="default"/>
          <w:color w:val="0000FF"/>
          <w:lang w:val="en-US" w:eastAsia="zh-CN"/>
        </w:rPr>
      </w:pPr>
      <w:r>
        <w:rPr>
          <w:rFonts w:hint="eastAsia"/>
          <w:color w:val="0000FF"/>
          <w:lang w:val="en-US" w:eastAsia="zh-CN"/>
        </w:rPr>
        <w:t>项目评价应在竣工验收后，按照竣工验收报告、计算书和其他相关资料进行项目评价。项目评价是高效能标准化钢结构评价的最终结果。</w:t>
      </w:r>
    </w:p>
    <w:p>
      <w:pPr>
        <w:spacing w:line="460" w:lineRule="exact"/>
        <w:rPr>
          <w:rFonts w:hint="eastAsia"/>
        </w:rPr>
      </w:pPr>
    </w:p>
    <w:p/>
    <w:p/>
    <w:p>
      <w:pPr>
        <w:spacing w:line="460" w:lineRule="exact"/>
        <w:rPr>
          <w:b/>
          <w:bCs/>
          <w:kern w:val="44"/>
          <w:sz w:val="32"/>
          <w:szCs w:val="44"/>
        </w:rPr>
      </w:pPr>
      <w:r>
        <w:rPr>
          <w:b/>
          <w:bCs/>
          <w:kern w:val="44"/>
          <w:sz w:val="32"/>
          <w:szCs w:val="44"/>
        </w:rPr>
        <w:br w:type="page"/>
      </w:r>
    </w:p>
    <w:p>
      <w:pPr>
        <w:pStyle w:val="3"/>
        <w:spacing w:before="480" w:after="240"/>
      </w:pPr>
      <w:bookmarkStart w:id="53" w:name="_Toc138833774"/>
      <w:bookmarkStart w:id="54" w:name="_Toc31355"/>
      <w:bookmarkStart w:id="55" w:name="_Toc30573"/>
      <w:bookmarkStart w:id="56" w:name="_Toc59655418"/>
      <w:r>
        <w:rPr>
          <w:rFonts w:hint="eastAsia"/>
          <w:sz w:val="30"/>
          <w:szCs w:val="30"/>
        </w:rPr>
        <w:t>4</w:t>
      </w:r>
      <w:r>
        <w:rPr>
          <w:sz w:val="30"/>
          <w:szCs w:val="30"/>
        </w:rPr>
        <w:t xml:space="preserve">  </w:t>
      </w:r>
      <w:bookmarkEnd w:id="53"/>
      <w:r>
        <w:rPr>
          <w:rFonts w:hint="eastAsia"/>
          <w:sz w:val="30"/>
          <w:szCs w:val="30"/>
        </w:rPr>
        <w:t>评价指标体系与等级划分</w:t>
      </w:r>
      <w:bookmarkEnd w:id="54"/>
      <w:bookmarkStart w:id="57" w:name="_Toc25890"/>
      <w:r>
        <w:fldChar w:fldCharType="begin"/>
      </w:r>
      <w:r>
        <w:instrText xml:space="preserve"> </w:instrText>
      </w:r>
      <w:r>
        <w:rPr>
          <w:rFonts w:hint="eastAsia"/>
        </w:rPr>
        <w:instrText xml:space="preserve">TC  "</w:instrText>
      </w:r>
      <w:r>
        <w:rPr>
          <w:rFonts w:hint="eastAsia"/>
          <w:lang w:val="en-US" w:eastAsia="zh-CN"/>
        </w:rPr>
        <w:instrText xml:space="preserve">4</w:instrText>
      </w:r>
      <w:r>
        <w:rPr>
          <w:rFonts w:hint="eastAsia"/>
        </w:rPr>
        <w:instrText xml:space="preserve">  </w:instrText>
      </w:r>
      <w:r>
        <w:rPr>
          <w:rFonts w:hint="eastAsia"/>
          <w:lang w:val="en-US" w:eastAsia="zh-CN"/>
        </w:rPr>
        <w:instrText xml:space="preserve">Assessment and Rating</w:instrText>
      </w:r>
      <w:r>
        <w:rPr>
          <w:rFonts w:hint="eastAsia"/>
        </w:rPr>
        <w:instrText xml:space="preserve">" \l 1</w:instrText>
      </w:r>
      <w:r>
        <w:instrText xml:space="preserve"> </w:instrText>
      </w:r>
      <w:r>
        <w:fldChar w:fldCharType="end"/>
      </w:r>
      <w:bookmarkEnd w:id="55"/>
      <w:bookmarkEnd w:id="57"/>
    </w:p>
    <w:p>
      <w:pPr>
        <w:pStyle w:val="4"/>
        <w:spacing w:before="240" w:after="240"/>
      </w:pPr>
      <w:bookmarkStart w:id="58" w:name="_Toc138833775"/>
      <w:bookmarkStart w:id="59" w:name="_Toc5462"/>
      <w:bookmarkStart w:id="60" w:name="_Toc754"/>
      <w:r>
        <w:rPr>
          <w:rFonts w:ascii="Times New Roman" w:hAnsi="Times New Roman" w:cs="Times New Roman"/>
        </w:rPr>
        <w:t>4.1</w:t>
      </w:r>
      <w:r>
        <w:t xml:space="preserve">  </w:t>
      </w:r>
      <w:r>
        <w:rPr>
          <w:rFonts w:hint="eastAsia" w:ascii="黑体" w:hAnsi="黑体" w:eastAsia="黑体" w:cs="黑体"/>
        </w:rPr>
        <w:t>一般规定</w:t>
      </w:r>
      <w:bookmarkEnd w:id="58"/>
      <w:bookmarkEnd w:id="59"/>
      <w:bookmarkStart w:id="61" w:name="_Toc17716"/>
      <w:r>
        <w:fldChar w:fldCharType="begin"/>
      </w:r>
      <w:r>
        <w:instrText xml:space="preserve"> TC  "</w:instrText>
      </w:r>
      <w:bookmarkStart w:id="62" w:name="_Toc152144910"/>
      <w:bookmarkStart w:id="63" w:name="_Toc152145797"/>
      <w:r>
        <w:instrText xml:space="preserve">4.1  General Requirements</w:instrText>
      </w:r>
      <w:bookmarkEnd w:id="62"/>
      <w:bookmarkEnd w:id="63"/>
      <w:r>
        <w:instrText xml:space="preserve">" \l 2 </w:instrText>
      </w:r>
      <w:r>
        <w:fldChar w:fldCharType="end"/>
      </w:r>
      <w:bookmarkEnd w:id="60"/>
      <w:bookmarkEnd w:id="61"/>
    </w:p>
    <w:p>
      <w:pPr>
        <w:rPr>
          <w:rFonts w:hint="eastAsia"/>
          <w:color w:val="000000"/>
          <w:spacing w:val="1"/>
          <w:szCs w:val="22"/>
        </w:rPr>
      </w:pPr>
      <w:r>
        <w:rPr>
          <w:b/>
        </w:rPr>
        <w:t>4.1.1</w:t>
      </w:r>
      <w:r>
        <w:t xml:space="preserve">  </w:t>
      </w:r>
      <w:r>
        <w:rPr>
          <w:rFonts w:hint="eastAsia"/>
          <w:color w:val="000000"/>
          <w:spacing w:val="1"/>
          <w:szCs w:val="22"/>
        </w:rPr>
        <w:t>高效能标准化钢结构评价等级划分为A级、AA级、AAA级。</w:t>
      </w:r>
    </w:p>
    <w:p>
      <w:pPr>
        <w:pageBreakBefore w:val="0"/>
        <w:widowControl w:val="0"/>
        <w:kinsoku/>
        <w:wordWrap/>
        <w:overflowPunct/>
        <w:topLinePunct w:val="0"/>
        <w:autoSpaceDE/>
        <w:autoSpaceDN/>
        <w:bidi w:val="0"/>
        <w:adjustRightInd/>
        <w:snapToGrid/>
        <w:textAlignment w:val="auto"/>
        <w:rPr>
          <w:rFonts w:hint="eastAsia"/>
          <w:color w:val="0000FF"/>
          <w:lang w:val="en-US" w:eastAsia="zh-CN"/>
        </w:rPr>
      </w:pPr>
      <w:r>
        <w:rPr>
          <w:rFonts w:hint="eastAsia"/>
          <w:color w:val="0000FF"/>
          <w:lang w:val="en-US" w:eastAsia="zh-CN"/>
        </w:rPr>
        <w:t>【条文说明】采用分级制度进行高效能标准化钢结构的评价旨在全面、客观地评价高效能标准化钢结构的效率、性能、标准化、质量和效益，为钢结构的设计、施工和使用提供科学的参考依据。</w:t>
      </w:r>
    </w:p>
    <w:p>
      <w:pPr>
        <w:pageBreakBefore w:val="0"/>
        <w:widowControl w:val="0"/>
        <w:kinsoku/>
        <w:wordWrap/>
        <w:overflowPunct/>
        <w:topLinePunct w:val="0"/>
        <w:autoSpaceDE/>
        <w:autoSpaceDN/>
        <w:bidi w:val="0"/>
        <w:adjustRightInd/>
        <w:snapToGrid/>
        <w:ind w:firstLine="480" w:firstLineChars="200"/>
        <w:textAlignment w:val="auto"/>
        <w:rPr>
          <w:rFonts w:hint="eastAsia"/>
          <w:color w:val="0000FF"/>
          <w:lang w:val="en-US" w:eastAsia="zh-CN"/>
        </w:rPr>
      </w:pPr>
      <w:r>
        <w:rPr>
          <w:rFonts w:hint="eastAsia"/>
          <w:color w:val="0000FF"/>
          <w:lang w:val="en-US" w:eastAsia="zh-CN"/>
        </w:rPr>
        <w:t>A级是基础级，代表高效能标准化钢结构整体指标达到了一定的水平。AA级可是在A级的基础上有了更高的要求。AAA级是高效能标准化钢结构的最高等级，为钢结构建筑的可持续发展做出了积极贡献。</w:t>
      </w:r>
    </w:p>
    <w:p>
      <w:pPr>
        <w:pageBreakBefore w:val="0"/>
        <w:widowControl w:val="0"/>
        <w:kinsoku/>
        <w:wordWrap/>
        <w:overflowPunct/>
        <w:topLinePunct w:val="0"/>
        <w:autoSpaceDE/>
        <w:autoSpaceDN/>
        <w:bidi w:val="0"/>
        <w:adjustRightInd/>
        <w:snapToGrid/>
        <w:ind w:firstLine="480" w:firstLineChars="200"/>
        <w:textAlignment w:val="auto"/>
        <w:rPr>
          <w:rFonts w:hint="default"/>
          <w:color w:val="0000FF"/>
          <w:lang w:val="en-US" w:eastAsia="zh-CN"/>
        </w:rPr>
      </w:pPr>
      <w:r>
        <w:rPr>
          <w:rFonts w:hint="eastAsia"/>
          <w:color w:val="0000FF"/>
          <w:lang w:val="en-US" w:eastAsia="zh-CN"/>
        </w:rPr>
        <w:t>通过设立不同的评价等级，可以激励钢结构行业不断进行技术创新和升级，引领行业向更高水平发展。严格的评价等级制度能够促使施工单位在施工过程中更加注重质量控制和标准化操作，从而提高钢结构的整体质量。评价等级制度还可以引导市场选择优质的钢结构产品和服务。对于建设单位和业主来说，了解钢结构的评价等级有助于他们做出更加明智的决策，选择性价比高、质量可靠的钢结构产品和服务。</w:t>
      </w:r>
    </w:p>
    <w:p>
      <w:pPr>
        <w:rPr>
          <w:color w:val="000000"/>
          <w:spacing w:val="1"/>
          <w:szCs w:val="22"/>
        </w:rPr>
      </w:pPr>
      <w:r>
        <w:rPr>
          <w:rFonts w:hint="eastAsia"/>
          <w:b/>
          <w:bCs/>
          <w:color w:val="000000"/>
          <w:spacing w:val="1"/>
          <w:szCs w:val="22"/>
        </w:rPr>
        <w:t>4.1.</w:t>
      </w:r>
      <w:r>
        <w:rPr>
          <w:rFonts w:hint="eastAsia"/>
          <w:b/>
          <w:bCs/>
          <w:color w:val="000000"/>
          <w:spacing w:val="1"/>
          <w:szCs w:val="22"/>
          <w:lang w:val="en-US" w:eastAsia="zh-CN"/>
        </w:rPr>
        <w:t>2</w:t>
      </w:r>
      <w:r>
        <w:rPr>
          <w:rFonts w:hint="eastAsia"/>
          <w:color w:val="000000"/>
          <w:spacing w:val="1"/>
          <w:szCs w:val="22"/>
        </w:rPr>
        <w:t xml:space="preserve">  高效能标准化钢结构评分值与评价等级对应关系见表4.1.</w:t>
      </w:r>
      <w:r>
        <w:rPr>
          <w:rFonts w:hint="eastAsia"/>
          <w:color w:val="000000"/>
          <w:spacing w:val="1"/>
          <w:szCs w:val="22"/>
          <w:lang w:val="en-US" w:eastAsia="zh-CN"/>
        </w:rPr>
        <w:t>2</w:t>
      </w:r>
      <w:r>
        <w:rPr>
          <w:rFonts w:hint="eastAsia"/>
          <w:color w:val="000000"/>
          <w:spacing w:val="1"/>
          <w:szCs w:val="22"/>
        </w:rPr>
        <w:t>。</w:t>
      </w:r>
    </w:p>
    <w:p>
      <w:pPr>
        <w:spacing w:before="156" w:beforeLines="50"/>
        <w:jc w:val="center"/>
        <w:rPr>
          <w:b/>
          <w:bCs/>
          <w:color w:val="000000"/>
          <w:spacing w:val="1"/>
          <w:sz w:val="21"/>
          <w:szCs w:val="21"/>
        </w:rPr>
      </w:pPr>
      <w:r>
        <w:rPr>
          <w:rFonts w:hint="eastAsia"/>
          <w:b/>
          <w:bCs/>
          <w:color w:val="000000"/>
          <w:spacing w:val="1"/>
          <w:sz w:val="21"/>
          <w:szCs w:val="21"/>
        </w:rPr>
        <w:t>表4.1.</w:t>
      </w:r>
      <w:r>
        <w:rPr>
          <w:rFonts w:hint="eastAsia"/>
          <w:b/>
          <w:bCs/>
          <w:color w:val="000000"/>
          <w:spacing w:val="1"/>
          <w:sz w:val="21"/>
          <w:szCs w:val="21"/>
          <w:lang w:val="en-US" w:eastAsia="zh-CN"/>
        </w:rPr>
        <w:t>2</w:t>
      </w:r>
      <w:r>
        <w:rPr>
          <w:rFonts w:hint="eastAsia"/>
          <w:b/>
          <w:bCs/>
          <w:color w:val="000000"/>
          <w:spacing w:val="1"/>
          <w:sz w:val="21"/>
          <w:szCs w:val="21"/>
        </w:rPr>
        <w:t xml:space="preserve"> 高效能标准化钢结构评分值</w:t>
      </w:r>
      <w:r>
        <w:rPr>
          <w:rFonts w:hint="eastAsia"/>
          <w:b/>
          <w:bCs/>
          <w:i/>
          <w:color w:val="000000"/>
          <w:spacing w:val="1"/>
          <w:sz w:val="21"/>
          <w:szCs w:val="21"/>
        </w:rPr>
        <w:t>Q</w:t>
      </w:r>
    </w:p>
    <w:tbl>
      <w:tblPr>
        <w:tblStyle w:val="21"/>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041"/>
        <w:gridCol w:w="2041"/>
        <w:gridCol w:w="2041"/>
        <w:gridCol w:w="2041"/>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2041" w:type="dxa"/>
            <w:tcBorders>
              <w:tl2br w:val="nil"/>
              <w:tr2bl w:val="nil"/>
            </w:tcBorders>
          </w:tcPr>
          <w:p>
            <w:pPr>
              <w:jc w:val="center"/>
              <w:rPr>
                <w:color w:val="000000"/>
                <w:spacing w:val="1"/>
                <w:sz w:val="21"/>
                <w:szCs w:val="21"/>
              </w:rPr>
            </w:pPr>
            <w:r>
              <w:rPr>
                <w:rFonts w:hint="eastAsia"/>
                <w:color w:val="000000"/>
                <w:spacing w:val="1"/>
                <w:sz w:val="21"/>
                <w:szCs w:val="21"/>
              </w:rPr>
              <w:t>评价等级</w:t>
            </w:r>
          </w:p>
        </w:tc>
        <w:tc>
          <w:tcPr>
            <w:tcW w:w="2041" w:type="dxa"/>
            <w:tcBorders>
              <w:tl2br w:val="nil"/>
              <w:tr2bl w:val="nil"/>
            </w:tcBorders>
          </w:tcPr>
          <w:p>
            <w:pPr>
              <w:jc w:val="center"/>
              <w:rPr>
                <w:color w:val="000000"/>
                <w:spacing w:val="1"/>
                <w:sz w:val="21"/>
                <w:szCs w:val="21"/>
              </w:rPr>
            </w:pPr>
            <w:r>
              <w:rPr>
                <w:rFonts w:hint="eastAsia"/>
                <w:color w:val="000000"/>
                <w:spacing w:val="1"/>
                <w:sz w:val="21"/>
                <w:szCs w:val="21"/>
              </w:rPr>
              <w:t>A级</w:t>
            </w:r>
          </w:p>
        </w:tc>
        <w:tc>
          <w:tcPr>
            <w:tcW w:w="2041" w:type="dxa"/>
            <w:tcBorders>
              <w:tl2br w:val="nil"/>
              <w:tr2bl w:val="nil"/>
            </w:tcBorders>
          </w:tcPr>
          <w:p>
            <w:pPr>
              <w:jc w:val="center"/>
              <w:rPr>
                <w:color w:val="000000"/>
                <w:spacing w:val="1"/>
                <w:sz w:val="21"/>
                <w:szCs w:val="21"/>
              </w:rPr>
            </w:pPr>
            <w:r>
              <w:rPr>
                <w:rFonts w:hint="eastAsia"/>
                <w:color w:val="000000"/>
                <w:spacing w:val="1"/>
                <w:sz w:val="21"/>
                <w:szCs w:val="21"/>
              </w:rPr>
              <w:t>AA级</w:t>
            </w:r>
          </w:p>
        </w:tc>
        <w:tc>
          <w:tcPr>
            <w:tcW w:w="2041" w:type="dxa"/>
            <w:tcBorders>
              <w:tl2br w:val="nil"/>
              <w:tr2bl w:val="nil"/>
            </w:tcBorders>
          </w:tcPr>
          <w:p>
            <w:pPr>
              <w:jc w:val="center"/>
              <w:rPr>
                <w:color w:val="000000"/>
                <w:spacing w:val="1"/>
                <w:sz w:val="21"/>
                <w:szCs w:val="21"/>
              </w:rPr>
            </w:pPr>
            <w:r>
              <w:rPr>
                <w:rFonts w:hint="eastAsia"/>
                <w:color w:val="000000"/>
                <w:spacing w:val="1"/>
                <w:sz w:val="21"/>
                <w:szCs w:val="21"/>
              </w:rPr>
              <w:t>AAA级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2041" w:type="dxa"/>
            <w:tcBorders>
              <w:tl2br w:val="nil"/>
              <w:tr2bl w:val="nil"/>
            </w:tcBorders>
          </w:tcPr>
          <w:p>
            <w:pPr>
              <w:jc w:val="center"/>
              <w:rPr>
                <w:color w:val="000000"/>
                <w:spacing w:val="1"/>
                <w:sz w:val="21"/>
                <w:szCs w:val="21"/>
              </w:rPr>
            </w:pPr>
            <w:r>
              <w:rPr>
                <w:rFonts w:hint="eastAsia"/>
                <w:color w:val="000000"/>
                <w:spacing w:val="1"/>
                <w:sz w:val="21"/>
                <w:szCs w:val="21"/>
              </w:rPr>
              <w:t>评分值</w:t>
            </w:r>
          </w:p>
        </w:tc>
        <w:tc>
          <w:tcPr>
            <w:tcW w:w="2041" w:type="dxa"/>
            <w:tcBorders>
              <w:tl2br w:val="nil"/>
              <w:tr2bl w:val="nil"/>
            </w:tcBorders>
          </w:tcPr>
          <w:p>
            <w:pPr>
              <w:jc w:val="center"/>
              <w:rPr>
                <w:color w:val="000000"/>
                <w:spacing w:val="1"/>
                <w:sz w:val="21"/>
                <w:szCs w:val="21"/>
              </w:rPr>
            </w:pPr>
            <w:r>
              <w:rPr>
                <w:rFonts w:hint="eastAsia"/>
                <w:color w:val="000000"/>
                <w:spacing w:val="1"/>
                <w:sz w:val="21"/>
                <w:szCs w:val="21"/>
              </w:rPr>
              <w:t>65≤</w:t>
            </w:r>
            <w:r>
              <w:rPr>
                <w:rFonts w:hint="eastAsia"/>
                <w:i/>
                <w:color w:val="000000"/>
                <w:spacing w:val="1"/>
                <w:sz w:val="21"/>
                <w:szCs w:val="21"/>
              </w:rPr>
              <w:t>Q</w:t>
            </w:r>
            <w:r>
              <w:rPr>
                <w:rFonts w:hint="eastAsia"/>
                <w:color w:val="000000"/>
                <w:spacing w:val="1"/>
                <w:sz w:val="21"/>
                <w:szCs w:val="21"/>
              </w:rPr>
              <w:t>＜7</w:t>
            </w:r>
            <w:r>
              <w:rPr>
                <w:color w:val="000000"/>
                <w:spacing w:val="1"/>
                <w:sz w:val="21"/>
                <w:szCs w:val="21"/>
              </w:rPr>
              <w:t>5</w:t>
            </w:r>
          </w:p>
        </w:tc>
        <w:tc>
          <w:tcPr>
            <w:tcW w:w="2041" w:type="dxa"/>
            <w:tcBorders>
              <w:tl2br w:val="nil"/>
              <w:tr2bl w:val="nil"/>
            </w:tcBorders>
          </w:tcPr>
          <w:p>
            <w:pPr>
              <w:jc w:val="center"/>
              <w:rPr>
                <w:color w:val="000000"/>
                <w:spacing w:val="1"/>
                <w:sz w:val="21"/>
                <w:szCs w:val="21"/>
              </w:rPr>
            </w:pPr>
            <w:r>
              <w:rPr>
                <w:rFonts w:hint="eastAsia"/>
                <w:color w:val="000000"/>
                <w:spacing w:val="1"/>
                <w:sz w:val="21"/>
                <w:szCs w:val="21"/>
              </w:rPr>
              <w:t>75≤</w:t>
            </w:r>
            <w:r>
              <w:rPr>
                <w:rFonts w:hint="eastAsia"/>
                <w:i/>
                <w:color w:val="000000"/>
                <w:spacing w:val="1"/>
                <w:sz w:val="21"/>
                <w:szCs w:val="21"/>
              </w:rPr>
              <w:t>Q</w:t>
            </w:r>
            <w:r>
              <w:rPr>
                <w:rFonts w:hint="eastAsia"/>
                <w:color w:val="000000"/>
                <w:spacing w:val="1"/>
                <w:sz w:val="21"/>
                <w:szCs w:val="21"/>
              </w:rPr>
              <w:t>＜8</w:t>
            </w:r>
            <w:r>
              <w:rPr>
                <w:color w:val="000000"/>
                <w:spacing w:val="1"/>
                <w:sz w:val="21"/>
                <w:szCs w:val="21"/>
              </w:rPr>
              <w:t>5</w:t>
            </w:r>
          </w:p>
        </w:tc>
        <w:tc>
          <w:tcPr>
            <w:tcW w:w="2041" w:type="dxa"/>
            <w:tcBorders>
              <w:tl2br w:val="nil"/>
              <w:tr2bl w:val="nil"/>
            </w:tcBorders>
          </w:tcPr>
          <w:p>
            <w:pPr>
              <w:jc w:val="center"/>
              <w:rPr>
                <w:color w:val="000000"/>
                <w:spacing w:val="1"/>
                <w:sz w:val="21"/>
                <w:szCs w:val="21"/>
              </w:rPr>
            </w:pPr>
            <w:r>
              <w:rPr>
                <w:rFonts w:hint="eastAsia"/>
                <w:i/>
                <w:color w:val="000000"/>
                <w:spacing w:val="1"/>
                <w:sz w:val="21"/>
                <w:szCs w:val="21"/>
              </w:rPr>
              <w:t>Q</w:t>
            </w:r>
            <w:r>
              <w:rPr>
                <w:rFonts w:hint="eastAsia"/>
                <w:color w:val="000000"/>
                <w:spacing w:val="1"/>
                <w:sz w:val="21"/>
                <w:szCs w:val="21"/>
              </w:rPr>
              <w:t>≥85</w:t>
            </w:r>
          </w:p>
        </w:tc>
      </w:tr>
    </w:tbl>
    <w:p>
      <w:pPr>
        <w:spacing w:before="156" w:beforeLines="50"/>
        <w:rPr>
          <w:color w:val="000000"/>
          <w:spacing w:val="1"/>
          <w:szCs w:val="22"/>
        </w:rPr>
      </w:pPr>
      <w:r>
        <w:rPr>
          <w:rFonts w:hint="eastAsia"/>
          <w:b/>
          <w:bCs/>
          <w:color w:val="000000"/>
          <w:spacing w:val="1"/>
          <w:szCs w:val="22"/>
        </w:rPr>
        <w:t>4.1.</w:t>
      </w:r>
      <w:r>
        <w:rPr>
          <w:rFonts w:hint="eastAsia"/>
          <w:b/>
          <w:bCs/>
          <w:color w:val="000000"/>
          <w:spacing w:val="1"/>
          <w:szCs w:val="22"/>
          <w:lang w:val="en-US" w:eastAsia="zh-CN"/>
        </w:rPr>
        <w:t>3</w:t>
      </w:r>
      <w:r>
        <w:rPr>
          <w:rFonts w:hint="eastAsia"/>
          <w:color w:val="000000"/>
          <w:spacing w:val="1"/>
          <w:szCs w:val="22"/>
        </w:rPr>
        <w:t xml:space="preserve">  高效能标准化钢结构的评分值按下式计算：</w:t>
      </w:r>
    </w:p>
    <w:p>
      <w:pPr>
        <w:spacing w:before="156" w:beforeLines="50"/>
        <w:rPr>
          <w:color w:val="000000"/>
          <w:spacing w:val="1"/>
          <w:szCs w:val="22"/>
        </w:rPr>
      </w:pPr>
      <m:oMathPara>
        <m:oMath>
          <m:r>
            <m:rPr/>
            <w:rPr>
              <w:rFonts w:ascii="Cambria Math" w:hAnsi="Cambria Math"/>
              <w:color w:val="000000"/>
              <w:spacing w:val="1"/>
              <w:szCs w:val="22"/>
            </w:rPr>
            <m:t>Q</m:t>
          </m:r>
          <m:r>
            <m:rPr>
              <m:sty m:val="p"/>
            </m:rPr>
            <w:rPr>
              <w:rFonts w:ascii="Cambria Math" w:hAnsi="Cambria Math"/>
              <w:color w:val="000000"/>
              <w:spacing w:val="1"/>
              <w:szCs w:val="22"/>
            </w:rPr>
            <m:t>=</m:t>
          </m:r>
          <m:nary>
            <m:naryPr>
              <m:chr m:val="∑"/>
              <m:limLoc m:val="undOvr"/>
              <m:subHide m:val="1"/>
              <m:supHide m:val="1"/>
              <m:ctrlPr>
                <w:rPr>
                  <w:rFonts w:ascii="Cambria Math" w:hAnsi="Cambria Math"/>
                  <w:color w:val="000000"/>
                  <w:spacing w:val="1"/>
                  <w:szCs w:val="22"/>
                </w:rPr>
              </m:ctrlPr>
            </m:naryPr>
            <m:sub>
              <m:ctrlPr>
                <w:rPr>
                  <w:rFonts w:ascii="Cambria Math" w:hAnsi="Cambria Math"/>
                  <w:color w:val="000000"/>
                  <w:spacing w:val="1"/>
                  <w:szCs w:val="22"/>
                </w:rPr>
              </m:ctrlPr>
            </m:sub>
            <m:sup>
              <m:ctrlPr>
                <w:rPr>
                  <w:rFonts w:ascii="Cambria Math" w:hAnsi="Cambria Math"/>
                  <w:color w:val="000000"/>
                  <w:spacing w:val="1"/>
                  <w:szCs w:val="22"/>
                </w:rPr>
              </m:ctrlPr>
            </m:sup>
            <m:e>
              <m:sSub>
                <m:sSubPr>
                  <m:ctrlPr>
                    <w:rPr>
                      <w:rFonts w:ascii="Cambria Math" w:hAnsi="Cambria Math"/>
                      <w:color w:val="000000"/>
                      <w:spacing w:val="1"/>
                      <w:szCs w:val="22"/>
                    </w:rPr>
                  </m:ctrlPr>
                </m:sSubPr>
                <m:e>
                  <m:r>
                    <m:rPr>
                      <m:sty m:val="p"/>
                    </m:rPr>
                    <w:rPr>
                      <w:rFonts w:ascii="Cambria Math" w:hAnsi="Cambria Math"/>
                      <w:color w:val="000000"/>
                      <w:spacing w:val="1"/>
                      <w:szCs w:val="22"/>
                    </w:rPr>
                    <m:t>α</m:t>
                  </m:r>
                  <m:ctrlPr>
                    <w:rPr>
                      <w:rFonts w:ascii="Cambria Math" w:hAnsi="Cambria Math"/>
                      <w:color w:val="000000"/>
                      <w:spacing w:val="1"/>
                      <w:szCs w:val="22"/>
                    </w:rPr>
                  </m:ctrlPr>
                </m:e>
                <m:sub>
                  <m:r>
                    <m:rPr>
                      <m:sty m:val="p"/>
                    </m:rPr>
                    <w:rPr>
                      <w:rFonts w:ascii="Cambria Math" w:hAnsi="Cambria Math"/>
                      <w:color w:val="000000"/>
                      <w:spacing w:val="1"/>
                      <w:szCs w:val="22"/>
                    </w:rPr>
                    <m:t>1</m:t>
                  </m:r>
                  <m:r>
                    <m:rPr/>
                    <w:rPr>
                      <w:rFonts w:ascii="Cambria Math" w:hAnsi="Cambria Math"/>
                      <w:color w:val="000000"/>
                      <w:spacing w:val="1"/>
                      <w:szCs w:val="22"/>
                    </w:rPr>
                    <m:t>i</m:t>
                  </m:r>
                  <m:ctrlPr>
                    <w:rPr>
                      <w:rFonts w:ascii="Cambria Math" w:hAnsi="Cambria Math"/>
                      <w:color w:val="000000"/>
                      <w:spacing w:val="1"/>
                      <w:szCs w:val="22"/>
                    </w:rPr>
                  </m:ctrlPr>
                </m:sub>
              </m:sSub>
              <m:ctrlPr>
                <w:rPr>
                  <w:rFonts w:ascii="Cambria Math" w:hAnsi="Cambria Math"/>
                  <w:color w:val="000000"/>
                  <w:spacing w:val="1"/>
                  <w:szCs w:val="22"/>
                </w:rPr>
              </m:ctrlPr>
            </m:e>
          </m:nary>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m:sty m:val="p"/>
                </m:rPr>
                <w:rPr>
                  <w:rFonts w:ascii="Cambria Math" w:hAnsi="Cambria Math"/>
                  <w:color w:val="000000"/>
                  <w:spacing w:val="1"/>
                  <w:szCs w:val="22"/>
                </w:rPr>
                <m:t>1</m:t>
              </m:r>
              <m:r>
                <m:rPr/>
                <w:rPr>
                  <w:rFonts w:ascii="Cambria Math" w:hAnsi="Cambria Math"/>
                  <w:color w:val="000000"/>
                  <w:spacing w:val="1"/>
                  <w:szCs w:val="22"/>
                </w:rPr>
                <m:t>i</m:t>
              </m:r>
              <m:ctrlPr>
                <w:rPr>
                  <w:rFonts w:ascii="Cambria Math" w:hAnsi="Cambria Math"/>
                  <w:color w:val="000000"/>
                  <w:spacing w:val="1"/>
                  <w:szCs w:val="22"/>
                </w:rPr>
              </m:ctrlPr>
            </m:sub>
          </m:sSub>
        </m:oMath>
      </m:oMathPara>
    </w:p>
    <w:p>
      <w:pPr>
        <w:spacing w:before="156" w:beforeLines="50"/>
        <w:rPr>
          <w:rFonts w:hint="eastAsia" w:hAnsi="Cambria Math"/>
          <w:color w:val="000000"/>
          <w:spacing w:val="1"/>
          <w:szCs w:val="22"/>
        </w:rPr>
      </w:pPr>
      <m:oMathPara>
        <m:oMath>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m:sty m:val="p"/>
                </m:rPr>
                <w:rPr>
                  <w:rFonts w:ascii="Cambria Math" w:hAnsi="Cambria Math"/>
                  <w:color w:val="000000"/>
                  <w:spacing w:val="1"/>
                  <w:szCs w:val="22"/>
                </w:rPr>
                <m:t>1</m:t>
              </m:r>
              <m:r>
                <m:rPr/>
                <w:rPr>
                  <w:rFonts w:ascii="Cambria Math" w:hAnsi="Cambria Math"/>
                  <w:color w:val="000000"/>
                  <w:spacing w:val="1"/>
                  <w:szCs w:val="22"/>
                </w:rPr>
                <m:t>i</m:t>
              </m:r>
              <m:ctrlPr>
                <w:rPr>
                  <w:rFonts w:ascii="Cambria Math" w:hAnsi="Cambria Math"/>
                  <w:color w:val="000000"/>
                  <w:spacing w:val="1"/>
                  <w:szCs w:val="22"/>
                </w:rPr>
              </m:ctrlPr>
            </m:sub>
          </m:sSub>
          <m:r>
            <m:rPr>
              <m:sty m:val="p"/>
            </m:rPr>
            <w:rPr>
              <w:rFonts w:ascii="Cambria Math" w:hAnsi="Cambria Math"/>
              <w:color w:val="000000"/>
              <w:spacing w:val="1"/>
              <w:szCs w:val="22"/>
            </w:rPr>
            <m:t>=</m:t>
          </m:r>
          <m:nary>
            <m:naryPr>
              <m:chr m:val="∑"/>
              <m:limLoc m:val="undOvr"/>
              <m:subHide m:val="1"/>
              <m:supHide m:val="1"/>
              <m:ctrlPr>
                <w:rPr>
                  <w:rFonts w:ascii="Cambria Math" w:hAnsi="Cambria Math"/>
                  <w:color w:val="000000"/>
                  <w:spacing w:val="1"/>
                  <w:szCs w:val="22"/>
                </w:rPr>
              </m:ctrlPr>
            </m:naryPr>
            <m:sub>
              <m:ctrlPr>
                <w:rPr>
                  <w:rFonts w:ascii="Cambria Math" w:hAnsi="Cambria Math"/>
                  <w:color w:val="000000"/>
                  <w:spacing w:val="1"/>
                  <w:szCs w:val="22"/>
                </w:rPr>
              </m:ctrlPr>
            </m:sub>
            <m:sup>
              <m:ctrlPr>
                <w:rPr>
                  <w:rFonts w:ascii="Cambria Math" w:hAnsi="Cambria Math"/>
                  <w:color w:val="000000"/>
                  <w:spacing w:val="1"/>
                  <w:szCs w:val="22"/>
                </w:rPr>
              </m:ctrlPr>
            </m:sup>
            <m:e>
              <m:sSub>
                <m:sSubPr>
                  <m:ctrlPr>
                    <w:rPr>
                      <w:rFonts w:ascii="Cambria Math" w:hAnsi="Cambria Math"/>
                      <w:color w:val="000000"/>
                      <w:spacing w:val="1"/>
                      <w:szCs w:val="22"/>
                    </w:rPr>
                  </m:ctrlPr>
                </m:sSubPr>
                <m:e>
                  <m:r>
                    <m:rPr>
                      <m:sty m:val="p"/>
                    </m:rPr>
                    <w:rPr>
                      <w:rFonts w:ascii="Cambria Math" w:hAnsi="Cambria Math"/>
                      <w:color w:val="000000"/>
                      <w:spacing w:val="1"/>
                      <w:szCs w:val="22"/>
                    </w:rPr>
                    <m:t>α</m:t>
                  </m:r>
                  <m:ctrlPr>
                    <w:rPr>
                      <w:rFonts w:ascii="Cambria Math" w:hAnsi="Cambria Math"/>
                      <w:color w:val="000000"/>
                      <w:spacing w:val="1"/>
                      <w:szCs w:val="22"/>
                    </w:rPr>
                  </m:ctrlPr>
                </m:e>
                <m:sub>
                  <m:r>
                    <m:rPr>
                      <m:sty m:val="p"/>
                    </m:rPr>
                    <w:rPr>
                      <w:rFonts w:ascii="Cambria Math" w:hAnsi="Cambria Math"/>
                      <w:color w:val="000000"/>
                      <w:spacing w:val="1"/>
                      <w:szCs w:val="22"/>
                    </w:rPr>
                    <m:t>2j</m:t>
                  </m:r>
                  <m:ctrlPr>
                    <w:rPr>
                      <w:rFonts w:ascii="Cambria Math" w:hAnsi="Cambria Math"/>
                      <w:color w:val="000000"/>
                      <w:spacing w:val="1"/>
                      <w:szCs w:val="22"/>
                    </w:rPr>
                  </m:ctrlPr>
                </m:sub>
              </m:sSub>
              <m:ctrlPr>
                <w:rPr>
                  <w:rFonts w:ascii="Cambria Math" w:hAnsi="Cambria Math"/>
                  <w:color w:val="000000"/>
                  <w:spacing w:val="1"/>
                  <w:szCs w:val="22"/>
                </w:rPr>
              </m:ctrlPr>
            </m:e>
          </m:nary>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w:rPr>
                  <w:rFonts w:ascii="Cambria Math" w:hAnsi="Cambria Math"/>
                  <w:color w:val="000000"/>
                  <w:spacing w:val="1"/>
                  <w:szCs w:val="22"/>
                </w:rPr>
                <m:t>2j</m:t>
              </m:r>
              <m:ctrlPr>
                <w:rPr>
                  <w:rFonts w:ascii="Cambria Math" w:hAnsi="Cambria Math"/>
                  <w:color w:val="000000"/>
                  <w:spacing w:val="1"/>
                  <w:szCs w:val="22"/>
                </w:rPr>
              </m:ctrlPr>
            </m:sub>
          </m:sSub>
        </m:oMath>
      </m:oMathPara>
    </w:p>
    <w:p>
      <w:pPr>
        <w:spacing w:before="156" w:beforeLines="50"/>
        <w:rPr>
          <w:rFonts w:hint="eastAsia" w:hAnsi="Cambria Math"/>
          <w:color w:val="000000"/>
          <w:spacing w:val="1"/>
          <w:szCs w:val="22"/>
        </w:rPr>
      </w:pPr>
      <m:oMathPara>
        <m:oMath>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w:rPr>
                  <w:rFonts w:ascii="Cambria Math" w:hAnsi="Cambria Math"/>
                  <w:color w:val="000000"/>
                  <w:spacing w:val="1"/>
                  <w:szCs w:val="22"/>
                </w:rPr>
                <m:t>2j</m:t>
              </m:r>
              <m:ctrlPr>
                <w:rPr>
                  <w:rFonts w:ascii="Cambria Math" w:hAnsi="Cambria Math"/>
                  <w:color w:val="000000"/>
                  <w:spacing w:val="1"/>
                  <w:szCs w:val="22"/>
                </w:rPr>
              </m:ctrlPr>
            </m:sub>
          </m:sSub>
          <m:r>
            <m:rPr>
              <m:sty m:val="p"/>
            </m:rPr>
            <w:rPr>
              <w:rFonts w:ascii="Cambria Math" w:hAnsi="Cambria Math"/>
              <w:color w:val="000000"/>
              <w:spacing w:val="1"/>
              <w:szCs w:val="22"/>
            </w:rPr>
            <m:t>=</m:t>
          </m:r>
          <m:nary>
            <m:naryPr>
              <m:chr m:val="∑"/>
              <m:limLoc m:val="undOvr"/>
              <m:subHide m:val="1"/>
              <m:supHide m:val="1"/>
              <m:ctrlPr>
                <w:rPr>
                  <w:rFonts w:ascii="Cambria Math" w:hAnsi="Cambria Math"/>
                  <w:color w:val="000000"/>
                  <w:spacing w:val="1"/>
                  <w:szCs w:val="22"/>
                </w:rPr>
              </m:ctrlPr>
            </m:naryPr>
            <m:sub>
              <m:ctrlPr>
                <w:rPr>
                  <w:rFonts w:ascii="Cambria Math" w:hAnsi="Cambria Math"/>
                  <w:color w:val="000000"/>
                  <w:spacing w:val="1"/>
                  <w:szCs w:val="22"/>
                </w:rPr>
              </m:ctrlPr>
            </m:sub>
            <m:sup>
              <m:ctrlPr>
                <w:rPr>
                  <w:rFonts w:ascii="Cambria Math" w:hAnsi="Cambria Math"/>
                  <w:color w:val="000000"/>
                  <w:spacing w:val="1"/>
                  <w:szCs w:val="22"/>
                </w:rPr>
              </m:ctrlPr>
            </m:sup>
            <m:e>
              <m:sSub>
                <m:sSubPr>
                  <m:ctrlPr>
                    <w:rPr>
                      <w:rFonts w:ascii="Cambria Math" w:hAnsi="Cambria Math"/>
                      <w:color w:val="000000"/>
                      <w:spacing w:val="1"/>
                      <w:szCs w:val="22"/>
                    </w:rPr>
                  </m:ctrlPr>
                </m:sSubPr>
                <m:e>
                  <m:r>
                    <m:rPr>
                      <m:sty m:val="p"/>
                    </m:rPr>
                    <w:rPr>
                      <w:rFonts w:ascii="Cambria Math" w:hAnsi="Cambria Math"/>
                      <w:color w:val="000000"/>
                      <w:spacing w:val="1"/>
                      <w:szCs w:val="22"/>
                    </w:rPr>
                    <m:t>α</m:t>
                  </m:r>
                  <m:ctrlPr>
                    <w:rPr>
                      <w:rFonts w:ascii="Cambria Math" w:hAnsi="Cambria Math"/>
                      <w:color w:val="000000"/>
                      <w:spacing w:val="1"/>
                      <w:szCs w:val="22"/>
                    </w:rPr>
                  </m:ctrlPr>
                </m:e>
                <m:sub>
                  <m:r>
                    <m:rPr>
                      <m:sty m:val="p"/>
                    </m:rPr>
                    <w:rPr>
                      <w:rFonts w:ascii="Cambria Math" w:hAnsi="Cambria Math"/>
                      <w:color w:val="000000"/>
                      <w:spacing w:val="1"/>
                      <w:szCs w:val="22"/>
                    </w:rPr>
                    <m:t>3k</m:t>
                  </m:r>
                  <m:ctrlPr>
                    <w:rPr>
                      <w:rFonts w:ascii="Cambria Math" w:hAnsi="Cambria Math"/>
                      <w:color w:val="000000"/>
                      <w:spacing w:val="1"/>
                      <w:szCs w:val="22"/>
                    </w:rPr>
                  </m:ctrlPr>
                </m:sub>
              </m:sSub>
              <m:ctrlPr>
                <w:rPr>
                  <w:rFonts w:ascii="Cambria Math" w:hAnsi="Cambria Math"/>
                  <w:color w:val="000000"/>
                  <w:spacing w:val="1"/>
                  <w:szCs w:val="22"/>
                </w:rPr>
              </m:ctrlPr>
            </m:e>
          </m:nary>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w:rPr>
                  <w:rFonts w:ascii="Cambria Math" w:hAnsi="Cambria Math"/>
                  <w:color w:val="000000"/>
                  <w:spacing w:val="1"/>
                  <w:szCs w:val="22"/>
                </w:rPr>
                <m:t>3k</m:t>
              </m:r>
              <m:ctrlPr>
                <w:rPr>
                  <w:rFonts w:ascii="Cambria Math" w:hAnsi="Cambria Math"/>
                  <w:color w:val="000000"/>
                  <w:spacing w:val="1"/>
                  <w:szCs w:val="22"/>
                </w:rPr>
              </m:ctrlPr>
            </m:sub>
          </m:sSub>
        </m:oMath>
      </m:oMathPara>
    </w:p>
    <w:p>
      <w:pPr>
        <w:spacing w:before="156" w:beforeLines="50"/>
        <w:rPr>
          <w:rFonts w:hint="eastAsia" w:hAnsi="Cambria Math"/>
          <w:color w:val="000000"/>
          <w:spacing w:val="1"/>
          <w:szCs w:val="22"/>
        </w:rPr>
      </w:pPr>
      <w:r>
        <w:rPr>
          <w:rFonts w:hint="eastAsia" w:hAnsi="Cambria Math"/>
          <w:color w:val="000000"/>
          <w:spacing w:val="1"/>
          <w:szCs w:val="22"/>
        </w:rPr>
        <w:t>式中：</w:t>
      </w:r>
    </w:p>
    <w:p>
      <w:pPr>
        <w:spacing w:before="156" w:beforeLines="50"/>
        <w:ind w:firstLine="484" w:firstLineChars="200"/>
        <w:rPr>
          <w:rFonts w:hint="eastAsia" w:hAnsi="Cambria Math"/>
          <w:color w:val="000000"/>
          <w:spacing w:val="1"/>
          <w:szCs w:val="22"/>
        </w:rPr>
      </w:pPr>
      <w:r>
        <w:rPr>
          <w:rFonts w:hint="eastAsia" w:hAnsi="Cambria Math"/>
          <w:i/>
          <w:iCs/>
          <w:color w:val="000000"/>
          <w:spacing w:val="1"/>
          <w:szCs w:val="22"/>
        </w:rPr>
        <w:t>Q</w:t>
      </w:r>
      <w:r>
        <w:rPr>
          <w:rFonts w:hint="eastAsia" w:hAnsi="Cambria Math"/>
          <w:color w:val="000000"/>
          <w:spacing w:val="1"/>
          <w:szCs w:val="22"/>
        </w:rPr>
        <w:t>——高效能标准化钢结构的评分值；</w:t>
      </w:r>
    </w:p>
    <w:p>
      <w:pPr>
        <w:spacing w:before="156" w:beforeLines="50"/>
        <w:ind w:firstLine="484" w:firstLineChars="200"/>
        <w:rPr>
          <w:rFonts w:hint="eastAsia" w:hAnsi="Cambria Math"/>
          <w:color w:val="000000"/>
          <w:spacing w:val="1"/>
          <w:szCs w:val="22"/>
        </w:rPr>
      </w:pPr>
      <m:oMath>
        <m:sSub>
          <m:sSubPr>
            <m:ctrlPr>
              <w:rPr>
                <w:rFonts w:ascii="Cambria Math" w:hAnsi="Cambria Math"/>
                <w:color w:val="000000"/>
                <w:spacing w:val="1"/>
                <w:szCs w:val="22"/>
              </w:rPr>
            </m:ctrlPr>
          </m:sSubPr>
          <m:e>
            <m:r>
              <m:rPr>
                <m:sty m:val="p"/>
              </m:rPr>
              <w:rPr>
                <w:rFonts w:ascii="Cambria Math" w:hAnsi="Cambria Math"/>
                <w:color w:val="000000"/>
                <w:spacing w:val="1"/>
                <w:szCs w:val="22"/>
              </w:rPr>
              <m:t>α</m:t>
            </m:r>
            <m:ctrlPr>
              <w:rPr>
                <w:rFonts w:ascii="Cambria Math" w:hAnsi="Cambria Math"/>
                <w:color w:val="000000"/>
                <w:spacing w:val="1"/>
                <w:szCs w:val="22"/>
              </w:rPr>
            </m:ctrlPr>
          </m:e>
          <m:sub>
            <m:r>
              <m:rPr>
                <m:sty m:val="p"/>
              </m:rPr>
              <w:rPr>
                <w:rFonts w:ascii="Cambria Math" w:hAnsi="Cambria Math"/>
                <w:color w:val="000000"/>
                <w:spacing w:val="1"/>
                <w:szCs w:val="22"/>
              </w:rPr>
              <m:t>1</m:t>
            </m:r>
            <m:r>
              <m:rPr/>
              <w:rPr>
                <w:rFonts w:ascii="Cambria Math" w:hAnsi="Cambria Math"/>
                <w:color w:val="000000"/>
                <w:spacing w:val="1"/>
                <w:szCs w:val="22"/>
              </w:rPr>
              <m:t>i</m:t>
            </m:r>
            <m:ctrlPr>
              <w:rPr>
                <w:rFonts w:ascii="Cambria Math" w:hAnsi="Cambria Math"/>
                <w:color w:val="000000"/>
                <w:spacing w:val="1"/>
                <w:szCs w:val="22"/>
              </w:rPr>
            </m:ctrlPr>
          </m:sub>
        </m:sSub>
      </m:oMath>
      <w:r>
        <w:rPr>
          <w:rFonts w:hint="eastAsia" w:hAnsi="Cambria Math"/>
          <w:color w:val="000000"/>
          <w:spacing w:val="1"/>
          <w:szCs w:val="22"/>
        </w:rPr>
        <w:t>——高效能标准化钢结构一级评价指标权重系数；</w:t>
      </w:r>
    </w:p>
    <w:p>
      <w:pPr>
        <w:spacing w:before="156" w:beforeLines="50"/>
        <w:ind w:firstLine="484" w:firstLineChars="200"/>
        <w:rPr>
          <w:rFonts w:hint="eastAsia" w:hAnsi="Cambria Math"/>
          <w:color w:val="000000"/>
          <w:spacing w:val="1"/>
          <w:szCs w:val="22"/>
        </w:rPr>
      </w:pPr>
      <m:oMath>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m:sty m:val="p"/>
              </m:rPr>
              <w:rPr>
                <w:rFonts w:ascii="Cambria Math" w:hAnsi="Cambria Math"/>
                <w:color w:val="000000"/>
                <w:spacing w:val="1"/>
                <w:szCs w:val="22"/>
              </w:rPr>
              <m:t>1</m:t>
            </m:r>
            <m:r>
              <m:rPr/>
              <w:rPr>
                <w:rFonts w:ascii="Cambria Math" w:hAnsi="Cambria Math"/>
                <w:color w:val="000000"/>
                <w:spacing w:val="1"/>
                <w:szCs w:val="22"/>
              </w:rPr>
              <m:t>i</m:t>
            </m:r>
            <m:ctrlPr>
              <w:rPr>
                <w:rFonts w:ascii="Cambria Math" w:hAnsi="Cambria Math"/>
                <w:color w:val="000000"/>
                <w:spacing w:val="1"/>
                <w:szCs w:val="22"/>
              </w:rPr>
            </m:ctrlPr>
          </m:sub>
        </m:sSub>
      </m:oMath>
      <w:r>
        <w:rPr>
          <w:rFonts w:hint="eastAsia" w:hAnsi="Cambria Math"/>
          <w:color w:val="000000"/>
          <w:spacing w:val="1"/>
          <w:szCs w:val="22"/>
        </w:rPr>
        <w:t>——高效能标准化钢结构一级评价指标评分值；</w:t>
      </w:r>
    </w:p>
    <w:p>
      <w:pPr>
        <w:spacing w:before="156" w:beforeLines="50"/>
        <w:ind w:firstLine="484" w:firstLineChars="200"/>
        <w:rPr>
          <w:rFonts w:hint="eastAsia" w:hAnsi="Cambria Math"/>
          <w:color w:val="000000"/>
          <w:spacing w:val="1"/>
          <w:szCs w:val="22"/>
        </w:rPr>
      </w:pPr>
      <m:oMath>
        <m:sSub>
          <m:sSubPr>
            <m:ctrlPr>
              <w:rPr>
                <w:rFonts w:ascii="Cambria Math" w:hAnsi="Cambria Math"/>
                <w:color w:val="000000"/>
                <w:spacing w:val="1"/>
                <w:szCs w:val="22"/>
              </w:rPr>
            </m:ctrlPr>
          </m:sSubPr>
          <m:e>
            <m:r>
              <m:rPr>
                <m:sty m:val="p"/>
              </m:rPr>
              <w:rPr>
                <w:rFonts w:ascii="Cambria Math" w:hAnsi="Cambria Math"/>
                <w:color w:val="000000"/>
                <w:spacing w:val="1"/>
                <w:szCs w:val="22"/>
              </w:rPr>
              <m:t>α</m:t>
            </m:r>
            <m:ctrlPr>
              <w:rPr>
                <w:rFonts w:ascii="Cambria Math" w:hAnsi="Cambria Math"/>
                <w:color w:val="000000"/>
                <w:spacing w:val="1"/>
                <w:szCs w:val="22"/>
              </w:rPr>
            </m:ctrlPr>
          </m:e>
          <m:sub>
            <m:r>
              <m:rPr/>
              <w:rPr>
                <w:rFonts w:ascii="Cambria Math" w:hAnsi="Cambria Math"/>
                <w:color w:val="000000"/>
                <w:spacing w:val="1"/>
                <w:szCs w:val="22"/>
              </w:rPr>
              <m:t>2j</m:t>
            </m:r>
            <m:ctrlPr>
              <w:rPr>
                <w:rFonts w:ascii="Cambria Math" w:hAnsi="Cambria Math"/>
                <w:color w:val="000000"/>
                <w:spacing w:val="1"/>
                <w:szCs w:val="22"/>
              </w:rPr>
            </m:ctrlPr>
          </m:sub>
        </m:sSub>
      </m:oMath>
      <w:r>
        <w:rPr>
          <w:rFonts w:hint="eastAsia" w:hAnsi="Cambria Math"/>
          <w:color w:val="000000"/>
          <w:spacing w:val="1"/>
          <w:szCs w:val="22"/>
        </w:rPr>
        <w:t>——高效能标准化钢结构二级评价指标权重系数；</w:t>
      </w:r>
    </w:p>
    <w:p>
      <w:pPr>
        <w:spacing w:before="156" w:beforeLines="50"/>
        <w:ind w:firstLine="484" w:firstLineChars="200"/>
        <w:rPr>
          <w:rFonts w:hint="eastAsia" w:hAnsi="Cambria Math"/>
          <w:color w:val="000000"/>
          <w:spacing w:val="1"/>
          <w:szCs w:val="22"/>
        </w:rPr>
      </w:pPr>
      <m:oMath>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w:rPr>
                <w:rFonts w:ascii="Cambria Math" w:hAnsi="Cambria Math"/>
                <w:color w:val="000000"/>
                <w:spacing w:val="1"/>
                <w:szCs w:val="22"/>
              </w:rPr>
              <m:t>2j</m:t>
            </m:r>
            <m:ctrlPr>
              <w:rPr>
                <w:rFonts w:ascii="Cambria Math" w:hAnsi="Cambria Math"/>
                <w:color w:val="000000"/>
                <w:spacing w:val="1"/>
                <w:szCs w:val="22"/>
              </w:rPr>
            </m:ctrlPr>
          </m:sub>
        </m:sSub>
      </m:oMath>
      <w:r>
        <w:rPr>
          <w:rFonts w:hint="eastAsia" w:hAnsi="Cambria Math"/>
          <w:color w:val="000000"/>
          <w:spacing w:val="1"/>
          <w:szCs w:val="22"/>
        </w:rPr>
        <w:t>——高效能标准化钢结构二级评价指标评分值；</w:t>
      </w:r>
    </w:p>
    <w:p>
      <w:pPr>
        <w:spacing w:before="156" w:beforeLines="50"/>
        <w:ind w:firstLine="484" w:firstLineChars="200"/>
        <w:rPr>
          <w:rFonts w:hint="eastAsia" w:hAnsi="Cambria Math"/>
          <w:color w:val="000000"/>
          <w:spacing w:val="1"/>
          <w:szCs w:val="22"/>
        </w:rPr>
      </w:pPr>
      <m:oMath>
        <m:sSub>
          <m:sSubPr>
            <m:ctrlPr>
              <w:rPr>
                <w:rFonts w:ascii="Cambria Math" w:hAnsi="Cambria Math"/>
                <w:color w:val="000000"/>
                <w:spacing w:val="1"/>
                <w:szCs w:val="22"/>
              </w:rPr>
            </m:ctrlPr>
          </m:sSubPr>
          <m:e>
            <m:r>
              <m:rPr>
                <m:sty m:val="p"/>
              </m:rPr>
              <w:rPr>
                <w:rFonts w:ascii="Cambria Math" w:hAnsi="Cambria Math"/>
                <w:color w:val="000000"/>
                <w:spacing w:val="1"/>
                <w:szCs w:val="22"/>
              </w:rPr>
              <m:t>α</m:t>
            </m:r>
            <m:ctrlPr>
              <w:rPr>
                <w:rFonts w:ascii="Cambria Math" w:hAnsi="Cambria Math"/>
                <w:color w:val="000000"/>
                <w:spacing w:val="1"/>
                <w:szCs w:val="22"/>
              </w:rPr>
            </m:ctrlPr>
          </m:e>
          <m:sub>
            <m:r>
              <m:rPr/>
              <w:rPr>
                <w:rFonts w:ascii="Cambria Math" w:hAnsi="Cambria Math"/>
                <w:color w:val="000000"/>
                <w:spacing w:val="1"/>
                <w:szCs w:val="22"/>
              </w:rPr>
              <m:t>3k</m:t>
            </m:r>
            <m:ctrlPr>
              <w:rPr>
                <w:rFonts w:ascii="Cambria Math" w:hAnsi="Cambria Math"/>
                <w:color w:val="000000"/>
                <w:spacing w:val="1"/>
                <w:szCs w:val="22"/>
              </w:rPr>
            </m:ctrlPr>
          </m:sub>
        </m:sSub>
      </m:oMath>
      <w:r>
        <w:rPr>
          <w:rFonts w:hint="eastAsia" w:hAnsi="Cambria Math"/>
          <w:color w:val="000000"/>
          <w:spacing w:val="1"/>
          <w:szCs w:val="22"/>
        </w:rPr>
        <w:t>——高效能标准化钢结构三级评价指标权重系数；</w:t>
      </w:r>
    </w:p>
    <w:p>
      <w:pPr>
        <w:spacing w:before="156" w:beforeLines="50"/>
        <w:ind w:firstLine="484" w:firstLineChars="200"/>
        <w:rPr>
          <w:rFonts w:hint="eastAsia" w:hAnsi="Cambria Math"/>
          <w:color w:val="000000"/>
          <w:spacing w:val="1"/>
          <w:szCs w:val="22"/>
        </w:rPr>
      </w:pPr>
      <m:oMath>
        <m:sSub>
          <m:sSubPr>
            <m:ctrlPr>
              <w:rPr>
                <w:rFonts w:ascii="Cambria Math" w:hAnsi="Cambria Math"/>
                <w:color w:val="000000"/>
                <w:spacing w:val="1"/>
                <w:szCs w:val="22"/>
              </w:rPr>
            </m:ctrlPr>
          </m:sSubPr>
          <m:e>
            <m:r>
              <m:rPr/>
              <w:rPr>
                <w:rFonts w:ascii="Cambria Math" w:hAnsi="Cambria Math"/>
                <w:color w:val="000000"/>
                <w:spacing w:val="1"/>
                <w:szCs w:val="22"/>
              </w:rPr>
              <m:t>Q</m:t>
            </m:r>
            <m:ctrlPr>
              <w:rPr>
                <w:rFonts w:ascii="Cambria Math" w:hAnsi="Cambria Math"/>
                <w:color w:val="000000"/>
                <w:spacing w:val="1"/>
                <w:szCs w:val="22"/>
              </w:rPr>
            </m:ctrlPr>
          </m:e>
          <m:sub>
            <m:r>
              <m:rPr/>
              <w:rPr>
                <w:rFonts w:hint="default" w:ascii="Cambria Math" w:hAnsi="Cambria Math"/>
                <w:color w:val="000000"/>
                <w:spacing w:val="1"/>
                <w:szCs w:val="22"/>
                <w:lang w:val="en-US" w:eastAsia="zh-CN"/>
              </w:rPr>
              <m:t>3</m:t>
            </m:r>
            <m:r>
              <m:rPr/>
              <w:rPr>
                <w:rFonts w:ascii="Cambria Math" w:hAnsi="Cambria Math"/>
                <w:color w:val="000000"/>
                <w:spacing w:val="1"/>
                <w:szCs w:val="22"/>
              </w:rPr>
              <m:t>k</m:t>
            </m:r>
            <m:ctrlPr>
              <w:rPr>
                <w:rFonts w:ascii="Cambria Math" w:hAnsi="Cambria Math"/>
                <w:color w:val="000000"/>
                <w:spacing w:val="1"/>
                <w:szCs w:val="22"/>
              </w:rPr>
            </m:ctrlPr>
          </m:sub>
        </m:sSub>
      </m:oMath>
      <w:r>
        <w:rPr>
          <w:rFonts w:hint="eastAsia" w:hAnsi="Cambria Math"/>
          <w:color w:val="000000"/>
          <w:spacing w:val="1"/>
          <w:szCs w:val="22"/>
        </w:rPr>
        <w:t>——高效能标准化钢结构三级评价指标评分值。</w:t>
      </w:r>
    </w:p>
    <w:p>
      <w:pPr>
        <w:pageBreakBefore w:val="0"/>
        <w:widowControl w:val="0"/>
        <w:kinsoku/>
        <w:wordWrap/>
        <w:overflowPunct/>
        <w:topLinePunct w:val="0"/>
        <w:autoSpaceDE/>
        <w:autoSpaceDN/>
        <w:bidi w:val="0"/>
        <w:adjustRightInd/>
        <w:snapToGrid/>
        <w:textAlignment w:val="auto"/>
        <w:rPr>
          <w:rFonts w:hint="default"/>
          <w:color w:val="0000FF"/>
          <w:lang w:val="en-US" w:eastAsia="zh-CN"/>
        </w:rPr>
      </w:pPr>
      <w:r>
        <w:rPr>
          <w:rFonts w:hint="eastAsia"/>
          <w:color w:val="0000FF"/>
          <w:lang w:val="en-US" w:eastAsia="zh-CN"/>
        </w:rPr>
        <w:t>【条文说明】高效能标准化钢结构评分值计算采用加权求和综合评价模型。在加权求和综合评价模型中，每项指标都被赋予一个相应的权重系数。这个权重系数反映了该指标在整体评价中的重要程度或相对价值，即反映该指标对上一级权属指标的影响程度。每一项指标的得分与其对应的权重系数相乘，得到该指标的加权得分。最后，将所有指标的加权得分相加，得到上一级指标或整体评价的总得分。该模型可实现对评价单元（或对象）全面、客观、公正的评价。</w:t>
      </w:r>
    </w:p>
    <w:p>
      <w:r>
        <w:rPr>
          <w:rFonts w:hint="eastAsia"/>
          <w:b/>
          <w:bCs/>
          <w:color w:val="000000"/>
          <w:spacing w:val="1"/>
          <w:szCs w:val="22"/>
        </w:rPr>
        <w:t>4.1.</w:t>
      </w:r>
      <w:r>
        <w:rPr>
          <w:rFonts w:hint="eastAsia"/>
          <w:b/>
          <w:bCs/>
          <w:color w:val="000000"/>
          <w:spacing w:val="1"/>
          <w:szCs w:val="22"/>
          <w:lang w:val="en-US" w:eastAsia="zh-CN"/>
        </w:rPr>
        <w:t xml:space="preserve">4  </w:t>
      </w:r>
      <w:r>
        <w:rPr>
          <w:rFonts w:hint="eastAsia"/>
        </w:rPr>
        <w:t>高效能标准化钢结构评价指标体系见表4.1.</w:t>
      </w:r>
      <w:r>
        <w:rPr>
          <w:rFonts w:hint="eastAsia"/>
          <w:lang w:val="en-US" w:eastAsia="zh-CN"/>
        </w:rPr>
        <w:t>4</w:t>
      </w:r>
      <w:r>
        <w:rPr>
          <w:rFonts w:hint="eastAsia"/>
        </w:rPr>
        <w:t>。</w:t>
      </w:r>
    </w:p>
    <w:p>
      <w:pPr>
        <w:jc w:val="center"/>
        <w:rPr>
          <w:sz w:val="21"/>
          <w:szCs w:val="21"/>
        </w:rPr>
      </w:pPr>
      <w:r>
        <w:rPr>
          <w:rFonts w:hint="eastAsia"/>
          <w:sz w:val="21"/>
          <w:szCs w:val="21"/>
        </w:rPr>
        <w:t>表4.1.</w:t>
      </w:r>
      <w:r>
        <w:rPr>
          <w:rFonts w:hint="eastAsia"/>
          <w:sz w:val="21"/>
          <w:szCs w:val="21"/>
          <w:lang w:val="en-US" w:eastAsia="zh-CN"/>
        </w:rPr>
        <w:t>4</w:t>
      </w:r>
      <w:r>
        <w:rPr>
          <w:rFonts w:hint="eastAsia"/>
          <w:sz w:val="21"/>
          <w:szCs w:val="21"/>
        </w:rPr>
        <w:t xml:space="preserve"> 高效能标准化钢结构评价指标体系</w:t>
      </w:r>
    </w:p>
    <w:tbl>
      <w:tblPr>
        <w:tblStyle w:val="21"/>
        <w:tblW w:w="8522"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917"/>
        <w:gridCol w:w="690"/>
        <w:gridCol w:w="1220"/>
        <w:gridCol w:w="680"/>
        <w:gridCol w:w="4320"/>
        <w:gridCol w:w="69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917" w:type="dxa"/>
            <w:tcBorders>
              <w:tl2br w:val="nil"/>
              <w:tr2bl w:val="nil"/>
            </w:tcBorders>
            <w:vAlign w:val="center"/>
          </w:tcPr>
          <w:p>
            <w:pPr>
              <w:spacing w:line="240" w:lineRule="auto"/>
              <w:jc w:val="center"/>
              <w:rPr>
                <w:rFonts w:hint="eastAsia"/>
                <w:sz w:val="21"/>
                <w:szCs w:val="21"/>
              </w:rPr>
            </w:pPr>
            <w:r>
              <w:rPr>
                <w:rFonts w:hint="eastAsia"/>
                <w:sz w:val="21"/>
                <w:szCs w:val="21"/>
              </w:rPr>
              <w:t>一级</w:t>
            </w:r>
          </w:p>
          <w:p>
            <w:pPr>
              <w:spacing w:line="240" w:lineRule="auto"/>
              <w:jc w:val="center"/>
              <w:rPr>
                <w:sz w:val="21"/>
                <w:szCs w:val="21"/>
              </w:rPr>
            </w:pPr>
            <w:r>
              <w:rPr>
                <w:rFonts w:hint="eastAsia"/>
                <w:sz w:val="21"/>
                <w:szCs w:val="21"/>
              </w:rPr>
              <w:t>指标</w:t>
            </w:r>
          </w:p>
        </w:tc>
        <w:tc>
          <w:tcPr>
            <w:tcW w:w="690" w:type="dxa"/>
            <w:tcBorders>
              <w:tl2br w:val="nil"/>
              <w:tr2bl w:val="nil"/>
            </w:tcBorders>
            <w:vAlign w:val="center"/>
          </w:tcPr>
          <w:p>
            <w:pPr>
              <w:spacing w:line="240" w:lineRule="auto"/>
              <w:jc w:val="center"/>
              <w:rPr>
                <w:sz w:val="21"/>
                <w:szCs w:val="21"/>
              </w:rPr>
            </w:pPr>
            <m:oMathPara>
              <m:oMath>
                <m:sSub>
                  <m:sSubPr>
                    <m:ctrlPr>
                      <w:rPr>
                        <w:rFonts w:ascii="Cambria Math" w:hAnsi="Cambria Math"/>
                        <w:i/>
                        <w:sz w:val="21"/>
                        <w:szCs w:val="21"/>
                      </w:rPr>
                    </m:ctrlPr>
                  </m:sSubPr>
                  <m:e>
                    <m:r>
                      <m:rPr/>
                      <w:rPr>
                        <w:rFonts w:ascii="Cambria Math" w:hAnsi="Cambria Math"/>
                        <w:sz w:val="21"/>
                        <w:szCs w:val="21"/>
                      </w:rPr>
                      <m:t>α</m:t>
                    </m:r>
                    <m:ctrlPr>
                      <w:rPr>
                        <w:rFonts w:ascii="Cambria Math" w:hAnsi="Cambria Math"/>
                        <w:i/>
                        <w:sz w:val="21"/>
                        <w:szCs w:val="21"/>
                      </w:rPr>
                    </m:ctrlPr>
                  </m:e>
                  <m:sub>
                    <m:r>
                      <m:rPr/>
                      <w:rPr>
                        <w:rFonts w:ascii="Cambria Math" w:hAnsi="Cambria Math"/>
                        <w:sz w:val="21"/>
                        <w:szCs w:val="21"/>
                      </w:rPr>
                      <m:t>1i</m:t>
                    </m:r>
                    <m:ctrlPr>
                      <w:rPr>
                        <w:rFonts w:ascii="Cambria Math" w:hAnsi="Cambria Math"/>
                        <w:i/>
                        <w:sz w:val="21"/>
                        <w:szCs w:val="21"/>
                      </w:rPr>
                    </m:ctrlPr>
                  </m:sub>
                </m:sSub>
              </m:oMath>
            </m:oMathPara>
          </w:p>
        </w:tc>
        <w:tc>
          <w:tcPr>
            <w:tcW w:w="1220" w:type="dxa"/>
            <w:tcBorders>
              <w:tl2br w:val="nil"/>
              <w:tr2bl w:val="nil"/>
            </w:tcBorders>
            <w:vAlign w:val="center"/>
          </w:tcPr>
          <w:p>
            <w:pPr>
              <w:spacing w:line="240" w:lineRule="auto"/>
              <w:jc w:val="center"/>
              <w:rPr>
                <w:sz w:val="21"/>
                <w:szCs w:val="21"/>
              </w:rPr>
            </w:pPr>
            <w:r>
              <w:rPr>
                <w:rFonts w:hint="eastAsia"/>
                <w:sz w:val="21"/>
                <w:szCs w:val="21"/>
              </w:rPr>
              <w:t>二级指标</w:t>
            </w:r>
          </w:p>
        </w:tc>
        <w:tc>
          <w:tcPr>
            <w:tcW w:w="680"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sz w:val="21"/>
                <w:szCs w:val="21"/>
              </w:rPr>
            </w:pPr>
            <m:oMathPara>
              <m:oMath>
                <m:sSub>
                  <m:sSubPr>
                    <m:ctrlPr>
                      <w:rPr>
                        <w:rFonts w:ascii="Cambria Math" w:hAnsi="Cambria Math"/>
                        <w:i/>
                        <w:sz w:val="21"/>
                        <w:szCs w:val="21"/>
                      </w:rPr>
                    </m:ctrlPr>
                  </m:sSubPr>
                  <m:e>
                    <m:r>
                      <m:rPr/>
                      <w:rPr>
                        <w:rFonts w:ascii="Cambria Math" w:hAnsi="Cambria Math"/>
                        <w:sz w:val="21"/>
                        <w:szCs w:val="21"/>
                      </w:rPr>
                      <m:t>α</m:t>
                    </m:r>
                    <m:ctrlPr>
                      <w:rPr>
                        <w:rFonts w:ascii="Cambria Math" w:hAnsi="Cambria Math"/>
                        <w:i/>
                        <w:sz w:val="21"/>
                        <w:szCs w:val="21"/>
                      </w:rPr>
                    </m:ctrlPr>
                  </m:e>
                  <m:sub>
                    <m:r>
                      <m:rPr/>
                      <w:rPr>
                        <w:rFonts w:hint="default" w:ascii="Cambria Math" w:hAnsi="Cambria Math"/>
                        <w:sz w:val="21"/>
                        <w:szCs w:val="21"/>
                        <w:lang w:val="en-US" w:eastAsia="zh-CN"/>
                      </w:rPr>
                      <m:t>2j</m:t>
                    </m:r>
                    <m:ctrlPr>
                      <w:rPr>
                        <w:rFonts w:ascii="Cambria Math" w:hAnsi="Cambria Math"/>
                        <w:i/>
                        <w:sz w:val="21"/>
                        <w:szCs w:val="21"/>
                      </w:rPr>
                    </m:ctrlPr>
                  </m:sub>
                </m:sSub>
              </m:oMath>
            </m:oMathPara>
          </w:p>
        </w:tc>
        <w:tc>
          <w:tcPr>
            <w:tcW w:w="4320" w:type="dxa"/>
            <w:tcBorders>
              <w:tl2br w:val="nil"/>
              <w:tr2bl w:val="nil"/>
            </w:tcBorders>
            <w:vAlign w:val="center"/>
          </w:tcPr>
          <w:p>
            <w:pPr>
              <w:spacing w:line="240" w:lineRule="auto"/>
              <w:jc w:val="center"/>
              <w:rPr>
                <w:sz w:val="21"/>
                <w:szCs w:val="21"/>
              </w:rPr>
            </w:pPr>
            <w:r>
              <w:rPr>
                <w:rFonts w:hint="eastAsia"/>
                <w:sz w:val="21"/>
                <w:szCs w:val="21"/>
              </w:rPr>
              <w:t>三级指标</w:t>
            </w:r>
          </w:p>
        </w:tc>
        <w:tc>
          <w:tcPr>
            <w:tcW w:w="695" w:type="dxa"/>
            <w:tcBorders>
              <w:tl2br w:val="nil"/>
              <w:tr2bl w:val="nil"/>
            </w:tcBorders>
            <w:vAlign w:val="center"/>
          </w:tcPr>
          <w:p>
            <w:pPr>
              <w:spacing w:line="240" w:lineRule="auto"/>
              <w:jc w:val="center"/>
              <w:rPr>
                <w:sz w:val="21"/>
                <w:szCs w:val="21"/>
              </w:rPr>
            </w:pPr>
            <m:oMathPara>
              <m:oMath>
                <m:sSub>
                  <m:sSubPr>
                    <m:ctrlPr>
                      <w:rPr>
                        <w:rFonts w:ascii="Cambria Math" w:hAnsi="Cambria Math"/>
                        <w:i/>
                        <w:sz w:val="21"/>
                        <w:szCs w:val="21"/>
                      </w:rPr>
                    </m:ctrlPr>
                  </m:sSubPr>
                  <m:e>
                    <m:r>
                      <m:rPr/>
                      <w:rPr>
                        <w:rFonts w:ascii="Cambria Math" w:hAnsi="Cambria Math"/>
                        <w:sz w:val="21"/>
                        <w:szCs w:val="21"/>
                      </w:rPr>
                      <m:t>α</m:t>
                    </m:r>
                    <m:ctrlPr>
                      <w:rPr>
                        <w:rFonts w:ascii="Cambria Math" w:hAnsi="Cambria Math"/>
                        <w:i/>
                        <w:sz w:val="21"/>
                        <w:szCs w:val="21"/>
                      </w:rPr>
                    </m:ctrlPr>
                  </m:e>
                  <m:sub>
                    <m:r>
                      <m:rPr/>
                      <w:rPr>
                        <w:rFonts w:ascii="Cambria Math" w:hAnsi="Cambria Math"/>
                        <w:sz w:val="21"/>
                        <w:szCs w:val="21"/>
                      </w:rPr>
                      <m:t>3k</m:t>
                    </m:r>
                    <m:ctrlPr>
                      <w:rPr>
                        <w:rFonts w:ascii="Cambria Math" w:hAnsi="Cambria Math"/>
                        <w:i/>
                        <w:sz w:val="21"/>
                        <w:szCs w:val="21"/>
                      </w:rPr>
                    </m:ctrlPr>
                  </m:sub>
                </m:sSub>
              </m:oMath>
            </m:oMathPara>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917" w:type="dxa"/>
            <w:vMerge w:val="restart"/>
            <w:tcBorders>
              <w:tl2br w:val="nil"/>
              <w:tr2bl w:val="nil"/>
            </w:tcBorders>
            <w:vAlign w:val="center"/>
          </w:tcPr>
          <w:p>
            <w:pPr>
              <w:spacing w:line="240" w:lineRule="auto"/>
              <w:jc w:val="center"/>
              <w:rPr>
                <w:sz w:val="21"/>
                <w:szCs w:val="21"/>
              </w:rPr>
            </w:pPr>
            <w:r>
              <w:rPr>
                <w:rFonts w:hint="eastAsia"/>
                <w:sz w:val="21"/>
                <w:szCs w:val="21"/>
              </w:rPr>
              <w:t>效率</w:t>
            </w:r>
          </w:p>
        </w:tc>
        <w:tc>
          <w:tcPr>
            <w:tcW w:w="690" w:type="dxa"/>
            <w:vMerge w:val="restart"/>
            <w:tcBorders>
              <w:tl2br w:val="nil"/>
              <w:tr2bl w:val="nil"/>
            </w:tcBorders>
            <w:vAlign w:val="center"/>
          </w:tcPr>
          <w:p>
            <w:pPr>
              <w:spacing w:line="240" w:lineRule="auto"/>
              <w:jc w:val="center"/>
              <w:rPr>
                <w:sz w:val="21"/>
                <w:szCs w:val="21"/>
              </w:rPr>
            </w:pPr>
            <w:r>
              <w:rPr>
                <w:rFonts w:hint="eastAsia"/>
                <w:sz w:val="21"/>
                <w:szCs w:val="21"/>
              </w:rPr>
              <w:t>0.25</w:t>
            </w:r>
          </w:p>
        </w:tc>
        <w:tc>
          <w:tcPr>
            <w:tcW w:w="1220" w:type="dxa"/>
            <w:vMerge w:val="restart"/>
            <w:tcBorders>
              <w:tl2br w:val="nil"/>
              <w:tr2bl w:val="nil"/>
            </w:tcBorders>
            <w:vAlign w:val="center"/>
          </w:tcPr>
          <w:p>
            <w:pPr>
              <w:spacing w:line="240" w:lineRule="auto"/>
              <w:jc w:val="center"/>
              <w:rPr>
                <w:rFonts w:hint="eastAsia" w:eastAsia="宋体"/>
                <w:sz w:val="21"/>
                <w:szCs w:val="21"/>
                <w:lang w:val="en-US" w:eastAsia="zh-CN"/>
              </w:rPr>
            </w:pPr>
            <w:r>
              <w:rPr>
                <w:rFonts w:hint="eastAsia"/>
                <w:sz w:val="21"/>
                <w:szCs w:val="21"/>
                <w:lang w:val="en-US" w:eastAsia="zh-CN"/>
              </w:rPr>
              <w:t>设计效率</w:t>
            </w:r>
          </w:p>
        </w:tc>
        <w:tc>
          <w:tcPr>
            <w:tcW w:w="680" w:type="dxa"/>
            <w:vMerge w:val="restart"/>
            <w:tcBorders>
              <w:tl2br w:val="nil"/>
              <w:tr2bl w:val="nil"/>
            </w:tcBorders>
            <w:vAlign w:val="center"/>
          </w:tcPr>
          <w:p>
            <w:pPr>
              <w:spacing w:line="240" w:lineRule="auto"/>
              <w:jc w:val="center"/>
              <w:rPr>
                <w:rFonts w:hint="default" w:ascii="Cambria Math" w:hAnsi="Cambria Math" w:eastAsia="宋体"/>
                <w:i/>
                <w:sz w:val="21"/>
                <w:szCs w:val="21"/>
                <w:lang w:val="en-US" w:eastAsia="zh-CN"/>
                <w:oMath/>
              </w:rPr>
            </w:pPr>
            <w:r>
              <w:rPr>
                <w:rFonts w:hint="eastAsia" w:hAnsi="Cambria Math"/>
                <w:i w:val="0"/>
                <w:iCs/>
                <w:sz w:val="21"/>
                <w:szCs w:val="21"/>
                <w:lang w:val="en-US" w:eastAsia="zh-CN"/>
              </w:rPr>
              <w:t>0.20</w:t>
            </w:r>
          </w:p>
        </w:tc>
        <w:tc>
          <w:tcPr>
            <w:tcW w:w="4320" w:type="dxa"/>
            <w:tcBorders>
              <w:tl2br w:val="nil"/>
              <w:tr2bl w:val="nil"/>
            </w:tcBorders>
            <w:vAlign w:val="center"/>
          </w:tcPr>
          <w:p>
            <w:pPr>
              <w:spacing w:line="240" w:lineRule="auto"/>
              <w:jc w:val="center"/>
              <w:rPr>
                <w:rFonts w:hint="eastAsia" w:ascii="Times New Roman" w:hAnsi="Times New Roman" w:eastAsia="宋体" w:cs="Times New Roman"/>
                <w:sz w:val="21"/>
                <w:szCs w:val="21"/>
                <w:lang w:val="en-US" w:eastAsia="zh-CN" w:bidi="ar-SA"/>
              </w:rPr>
            </w:pPr>
            <w:r>
              <w:rPr>
                <w:rFonts w:hint="eastAsia"/>
                <w:sz w:val="21"/>
                <w:szCs w:val="21"/>
              </w:rPr>
              <w:t>设计变更总金额与工程总投资比</w:t>
            </w:r>
          </w:p>
        </w:tc>
        <w:tc>
          <w:tcPr>
            <w:tcW w:w="695" w:type="dxa"/>
            <w:tcBorders>
              <w:tl2br w:val="nil"/>
              <w:tr2bl w:val="nil"/>
            </w:tcBorders>
            <w:vAlign w:val="center"/>
          </w:tcPr>
          <w:p>
            <w:pPr>
              <w:spacing w:line="240" w:lineRule="auto"/>
              <w:jc w:val="center"/>
              <w:rPr>
                <w:rFonts w:ascii="Times New Roman" w:hAnsi="Times New Roman" w:eastAsia="宋体" w:cs="Times New Roman"/>
                <w:sz w:val="21"/>
                <w:szCs w:val="21"/>
                <w:lang w:val="en-US" w:eastAsia="zh-CN" w:bidi="ar-SA"/>
                <w:oMath/>
              </w:rPr>
            </w:pPr>
            <w:r>
              <w:rPr>
                <w:sz w:val="21"/>
                <w:szCs w:val="21"/>
              </w:rPr>
              <w:t>0.7</w:t>
            </w:r>
            <w:r>
              <w:rPr>
                <w:rFonts w:hint="eastAsia"/>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rFonts w:hint="eastAsia"/>
                <w:sz w:val="21"/>
                <w:szCs w:val="21"/>
              </w:rPr>
            </w:pPr>
          </w:p>
        </w:tc>
        <w:tc>
          <w:tcPr>
            <w:tcW w:w="690" w:type="dxa"/>
            <w:vMerge w:val="continue"/>
            <w:tcBorders>
              <w:tl2br w:val="nil"/>
              <w:tr2bl w:val="nil"/>
            </w:tcBorders>
            <w:vAlign w:val="center"/>
          </w:tcPr>
          <w:p>
            <w:pPr>
              <w:spacing w:line="240" w:lineRule="auto"/>
              <w:jc w:val="center"/>
              <w:rPr>
                <w:rFonts w:ascii="Cambria Math" w:hAnsi="Cambria Math"/>
                <w:i/>
                <w:sz w:val="21"/>
                <w:szCs w:val="21"/>
                <w:oMath/>
              </w:rPr>
            </w:pPr>
          </w:p>
        </w:tc>
        <w:tc>
          <w:tcPr>
            <w:tcW w:w="1220" w:type="dxa"/>
            <w:vMerge w:val="continue"/>
            <w:tcBorders>
              <w:tl2br w:val="nil"/>
              <w:tr2bl w:val="nil"/>
            </w:tcBorders>
            <w:vAlign w:val="center"/>
          </w:tcPr>
          <w:p>
            <w:pPr>
              <w:spacing w:line="240" w:lineRule="auto"/>
              <w:jc w:val="center"/>
              <w:rPr>
                <w:rFonts w:hint="eastAsia"/>
                <w:sz w:val="21"/>
                <w:szCs w:val="21"/>
                <w:lang w:val="en-US" w:eastAsia="zh-CN"/>
              </w:rPr>
            </w:pPr>
          </w:p>
        </w:tc>
        <w:tc>
          <w:tcPr>
            <w:tcW w:w="680" w:type="dxa"/>
            <w:vMerge w:val="continue"/>
            <w:tcBorders>
              <w:tl2br w:val="nil"/>
              <w:tr2bl w:val="nil"/>
            </w:tcBorders>
            <w:vAlign w:val="center"/>
          </w:tcPr>
          <w:p>
            <w:pPr>
              <w:spacing w:line="240" w:lineRule="auto"/>
              <w:jc w:val="center"/>
              <w:rPr>
                <w:rFonts w:hint="eastAsia" w:hAnsi="Cambria Math"/>
                <w:i w:val="0"/>
                <w:iCs/>
                <w:sz w:val="21"/>
                <w:szCs w:val="21"/>
                <w:lang w:val="en-US" w:eastAsia="zh-CN"/>
              </w:rPr>
            </w:pPr>
          </w:p>
        </w:tc>
        <w:tc>
          <w:tcPr>
            <w:tcW w:w="4320" w:type="dxa"/>
            <w:tcBorders>
              <w:tl2br w:val="nil"/>
              <w:tr2bl w:val="nil"/>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加劲肋用钢量占比</w:t>
            </w:r>
          </w:p>
        </w:tc>
        <w:tc>
          <w:tcPr>
            <w:tcW w:w="695" w:type="dxa"/>
            <w:tcBorders>
              <w:tl2br w:val="nil"/>
              <w:tr2bl w:val="nil"/>
            </w:tcBorders>
            <w:vAlign w:val="center"/>
          </w:tcPr>
          <w:p>
            <w:pPr>
              <w:spacing w:line="240" w:lineRule="auto"/>
              <w:jc w:val="center"/>
              <w:rPr>
                <w:rFonts w:hint="default" w:eastAsia="宋体"/>
                <w:sz w:val="21"/>
                <w:szCs w:val="21"/>
                <w:lang w:val="en-US" w:eastAsia="zh-CN"/>
              </w:rPr>
            </w:pPr>
            <w:r>
              <w:rPr>
                <w:rFonts w:hint="eastAsia"/>
                <w:sz w:val="21"/>
                <w:szCs w:val="21"/>
                <w:lang w:val="en-US" w:eastAsia="zh-CN"/>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加工效率</w:t>
            </w:r>
          </w:p>
        </w:tc>
        <w:tc>
          <w:tcPr>
            <w:tcW w:w="680" w:type="dxa"/>
            <w:vMerge w:val="restart"/>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w:t>
            </w:r>
            <w:r>
              <w:rPr>
                <w:sz w:val="21"/>
                <w:szCs w:val="21"/>
              </w:rPr>
              <w:t>30</w:t>
            </w: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钢材切割量</w:t>
            </w:r>
          </w:p>
        </w:tc>
        <w:tc>
          <w:tcPr>
            <w:tcW w:w="695"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68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工厂智能化设备或建筑机器人应用水平</w:t>
            </w:r>
          </w:p>
        </w:tc>
        <w:tc>
          <w:tcPr>
            <w:tcW w:w="695"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68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焊接量</w:t>
            </w:r>
          </w:p>
        </w:tc>
        <w:tc>
          <w:tcPr>
            <w:tcW w:w="695"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tcBorders>
              <w:tl2br w:val="nil"/>
              <w:tr2bl w:val="nil"/>
            </w:tcBorders>
            <w:vAlign w:val="center"/>
          </w:tcPr>
          <w:p>
            <w:pPr>
              <w:spacing w:line="240" w:lineRule="auto"/>
              <w:jc w:val="center"/>
              <w:rPr>
                <w:sz w:val="21"/>
                <w:szCs w:val="21"/>
              </w:rPr>
            </w:pPr>
            <w:r>
              <w:rPr>
                <w:rFonts w:hint="eastAsia"/>
                <w:sz w:val="21"/>
                <w:szCs w:val="21"/>
              </w:rPr>
              <w:t>运输效率</w:t>
            </w:r>
          </w:p>
        </w:tc>
        <w:tc>
          <w:tcPr>
            <w:tcW w:w="680" w:type="dxa"/>
            <w:tcBorders>
              <w:tl2br w:val="nil"/>
              <w:tr2bl w:val="nil"/>
            </w:tcBorders>
            <w:vAlign w:val="center"/>
          </w:tcPr>
          <w:p>
            <w:pPr>
              <w:spacing w:line="240" w:lineRule="auto"/>
              <w:jc w:val="center"/>
              <w:rPr>
                <w:sz w:val="21"/>
                <w:szCs w:val="21"/>
              </w:rPr>
            </w:pPr>
            <w:r>
              <w:rPr>
                <w:rFonts w:hint="eastAsia"/>
                <w:sz w:val="21"/>
                <w:szCs w:val="21"/>
              </w:rPr>
              <w:t>0.10</w:t>
            </w:r>
          </w:p>
        </w:tc>
        <w:tc>
          <w:tcPr>
            <w:tcW w:w="4320" w:type="dxa"/>
            <w:tcBorders>
              <w:tl2br w:val="nil"/>
              <w:tr2bl w:val="nil"/>
            </w:tcBorders>
            <w:vAlign w:val="center"/>
          </w:tcPr>
          <w:p>
            <w:pPr>
              <w:spacing w:line="240" w:lineRule="auto"/>
              <w:jc w:val="center"/>
              <w:rPr>
                <w:sz w:val="21"/>
                <w:szCs w:val="21"/>
              </w:rPr>
            </w:pPr>
            <w:r>
              <w:rPr>
                <w:rFonts w:hint="eastAsia"/>
                <w:sz w:val="21"/>
                <w:szCs w:val="21"/>
              </w:rPr>
              <w:t>钢柱牛腿伸出长度</w:t>
            </w:r>
          </w:p>
        </w:tc>
        <w:tc>
          <w:tcPr>
            <w:tcW w:w="695" w:type="dxa"/>
            <w:tcBorders>
              <w:tl2br w:val="nil"/>
              <w:tr2bl w:val="nil"/>
            </w:tcBorders>
            <w:vAlign w:val="center"/>
          </w:tcPr>
          <w:p>
            <w:pPr>
              <w:spacing w:line="240" w:lineRule="auto"/>
              <w:jc w:val="center"/>
              <w:rPr>
                <w:sz w:val="21"/>
                <w:szCs w:val="21"/>
              </w:rPr>
            </w:pPr>
            <w:r>
              <w:rPr>
                <w:rFonts w:hint="eastAsia"/>
                <w:sz w:val="21"/>
                <w:szCs w:val="21"/>
              </w:rPr>
              <w:t>1.00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施工效率</w:t>
            </w:r>
          </w:p>
        </w:tc>
        <w:tc>
          <w:tcPr>
            <w:tcW w:w="680" w:type="dxa"/>
            <w:vMerge w:val="restart"/>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0.40</w:t>
            </w: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采用螺栓连接的节点占比</w:t>
            </w:r>
          </w:p>
        </w:tc>
        <w:tc>
          <w:tcPr>
            <w:tcW w:w="695" w:type="dxa"/>
            <w:tcBorders>
              <w:tl2br w:val="nil"/>
              <w:tr2bl w:val="nil"/>
            </w:tcBorders>
            <w:shd w:val="clear" w:color="auto" w:fill="D0CECE" w:themeFill="background2" w:themeFillShade="E6"/>
            <w:vAlign w:val="center"/>
          </w:tcPr>
          <w:p>
            <w:pPr>
              <w:spacing w:line="240" w:lineRule="auto"/>
              <w:jc w:val="center"/>
              <w:rPr>
                <w:rFonts w:hint="eastAsia" w:eastAsia="宋体"/>
                <w:sz w:val="21"/>
                <w:szCs w:val="21"/>
                <w:lang w:val="en-US" w:eastAsia="zh-CN"/>
              </w:rPr>
            </w:pPr>
            <w:r>
              <w:rPr>
                <w:rFonts w:hint="eastAsia"/>
                <w:sz w:val="21"/>
                <w:szCs w:val="21"/>
              </w:rPr>
              <w:t>0.3</w:t>
            </w:r>
            <w:r>
              <w:rPr>
                <w:rFonts w:hint="eastAsia"/>
                <w:sz w:val="21"/>
                <w:szCs w:val="21"/>
                <w:lang w:val="en-US" w:eastAsia="zh-CN"/>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68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现场智能化设备或建筑机器人应用水平</w:t>
            </w:r>
          </w:p>
        </w:tc>
        <w:tc>
          <w:tcPr>
            <w:tcW w:w="695"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68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现场防火涂装量占比</w:t>
            </w:r>
          </w:p>
        </w:tc>
        <w:tc>
          <w:tcPr>
            <w:tcW w:w="695"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68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免模免撑楼板面积占比</w:t>
            </w:r>
          </w:p>
        </w:tc>
        <w:tc>
          <w:tcPr>
            <w:tcW w:w="695"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680" w:type="dxa"/>
            <w:vMerge w:val="continue"/>
            <w:tcBorders>
              <w:tl2br w:val="nil"/>
              <w:tr2bl w:val="nil"/>
            </w:tcBorders>
            <w:shd w:val="clear" w:color="auto" w:fill="D0CECE" w:themeFill="background2" w:themeFillShade="E6"/>
            <w:vAlign w:val="center"/>
          </w:tcPr>
          <w:p>
            <w:pPr>
              <w:spacing w:line="240" w:lineRule="auto"/>
              <w:jc w:val="center"/>
              <w:rPr>
                <w:sz w:val="21"/>
                <w:szCs w:val="21"/>
              </w:rPr>
            </w:pPr>
          </w:p>
        </w:tc>
        <w:tc>
          <w:tcPr>
            <w:tcW w:w="4320"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螺栓孔孔径容错能力</w:t>
            </w:r>
          </w:p>
        </w:tc>
        <w:tc>
          <w:tcPr>
            <w:tcW w:w="695" w:type="dxa"/>
            <w:tcBorders>
              <w:tl2br w:val="nil"/>
              <w:tr2bl w:val="nil"/>
            </w:tcBorders>
            <w:shd w:val="clear" w:color="auto" w:fill="D0CECE" w:themeFill="background2" w:themeFillShade="E6"/>
            <w:vAlign w:val="center"/>
          </w:tcPr>
          <w:p>
            <w:pPr>
              <w:spacing w:line="240" w:lineRule="auto"/>
              <w:jc w:val="center"/>
              <w:rPr>
                <w:sz w:val="21"/>
                <w:szCs w:val="21"/>
              </w:rPr>
            </w:pPr>
            <w:r>
              <w:rPr>
                <w:rFonts w:hint="eastAsia"/>
                <w:sz w:val="21"/>
                <w:szCs w:val="21"/>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restart"/>
            <w:tcBorders>
              <w:tl2br w:val="nil"/>
              <w:tr2bl w:val="nil"/>
            </w:tcBorders>
            <w:vAlign w:val="center"/>
          </w:tcPr>
          <w:p>
            <w:pPr>
              <w:spacing w:line="240" w:lineRule="auto"/>
              <w:jc w:val="center"/>
              <w:rPr>
                <w:sz w:val="21"/>
                <w:szCs w:val="21"/>
              </w:rPr>
            </w:pPr>
            <w:r>
              <w:rPr>
                <w:rFonts w:hint="eastAsia"/>
                <w:sz w:val="21"/>
                <w:szCs w:val="21"/>
              </w:rPr>
              <w:t>性能</w:t>
            </w:r>
          </w:p>
        </w:tc>
        <w:tc>
          <w:tcPr>
            <w:tcW w:w="690" w:type="dxa"/>
            <w:vMerge w:val="restart"/>
            <w:tcBorders>
              <w:tl2br w:val="nil"/>
              <w:tr2bl w:val="nil"/>
            </w:tcBorders>
            <w:vAlign w:val="center"/>
          </w:tcPr>
          <w:p>
            <w:pPr>
              <w:spacing w:line="240" w:lineRule="auto"/>
              <w:jc w:val="center"/>
              <w:rPr>
                <w:sz w:val="21"/>
                <w:szCs w:val="21"/>
              </w:rPr>
            </w:pPr>
            <w:r>
              <w:rPr>
                <w:rFonts w:hint="eastAsia"/>
                <w:sz w:val="21"/>
                <w:szCs w:val="21"/>
              </w:rPr>
              <w:t>0.25</w:t>
            </w:r>
          </w:p>
        </w:tc>
        <w:tc>
          <w:tcPr>
            <w:tcW w:w="122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材料性能</w:t>
            </w:r>
          </w:p>
        </w:tc>
        <w:tc>
          <w:tcPr>
            <w:tcW w:w="68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.4</w:t>
            </w:r>
            <w:r>
              <w:rPr>
                <w:rFonts w:hint="eastAsia"/>
                <w:sz w:val="21"/>
                <w:szCs w:val="21"/>
              </w:rPr>
              <w:t>0</w:t>
            </w: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梁构件中轧制型材应用占比</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Ansi="Cambria Math"/>
                <w:sz w:val="21"/>
                <w:szCs w:val="21"/>
              </w:rPr>
              <w:t>柱及支撑</w:t>
            </w:r>
            <w:r>
              <w:rPr>
                <w:rFonts w:hint="eastAsia" w:hAnsi="Cambria Math"/>
                <w:sz w:val="21"/>
                <w:szCs w:val="21"/>
              </w:rPr>
              <w:t>构件</w:t>
            </w:r>
            <w:r>
              <w:rPr>
                <w:rFonts w:hAnsi="Cambria Math"/>
                <w:sz w:val="21"/>
                <w:szCs w:val="21"/>
              </w:rPr>
              <w:t>中轧制型材</w:t>
            </w:r>
            <w:r>
              <w:rPr>
                <w:rFonts w:hint="eastAsia"/>
                <w:sz w:val="21"/>
                <w:szCs w:val="21"/>
              </w:rPr>
              <w:t>应用占比</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int="eastAsia" w:hAnsi="Cambria Math"/>
                <w:sz w:val="21"/>
                <w:szCs w:val="21"/>
              </w:rPr>
              <w:t>高强度钢材</w:t>
            </w:r>
            <w:r>
              <w:rPr>
                <w:rFonts w:hint="eastAsia"/>
                <w:sz w:val="21"/>
                <w:szCs w:val="21"/>
              </w:rPr>
              <w:t>应用占比</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.20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抗震性能</w:t>
            </w:r>
          </w:p>
        </w:tc>
        <w:tc>
          <w:tcPr>
            <w:tcW w:w="68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.2</w:t>
            </w:r>
            <w:r>
              <w:rPr>
                <w:rFonts w:hint="eastAsia"/>
                <w:sz w:val="21"/>
                <w:szCs w:val="21"/>
              </w:rPr>
              <w:t>0</w:t>
            </w: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关键构件抗震性能化设计</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减隔震技术应用</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耐久性能</w:t>
            </w:r>
          </w:p>
        </w:tc>
        <w:tc>
          <w:tcPr>
            <w:tcW w:w="68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.2</w:t>
            </w:r>
            <w:r>
              <w:rPr>
                <w:rFonts w:hint="eastAsia"/>
                <w:sz w:val="21"/>
                <w:szCs w:val="21"/>
              </w:rPr>
              <w:t>0</w:t>
            </w: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应用耐候钢占比</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rFonts w:hint="eastAsia"/>
                <w:sz w:val="21"/>
                <w:szCs w:val="21"/>
              </w:rPr>
            </w:pPr>
          </w:p>
        </w:tc>
        <w:tc>
          <w:tcPr>
            <w:tcW w:w="680" w:type="dxa"/>
            <w:vMerge w:val="continue"/>
            <w:tcBorders>
              <w:tl2br w:val="nil"/>
              <w:tr2bl w:val="nil"/>
            </w:tcBorders>
            <w:shd w:val="clear" w:color="auto" w:fill="auto"/>
            <w:vAlign w:val="center"/>
          </w:tcPr>
          <w:p>
            <w:pPr>
              <w:spacing w:line="240" w:lineRule="auto"/>
              <w:jc w:val="center"/>
              <w:rPr>
                <w:rFonts w:hint="eastAsia"/>
                <w:sz w:val="21"/>
                <w:szCs w:val="21"/>
              </w:rPr>
            </w:pPr>
          </w:p>
        </w:tc>
        <w:tc>
          <w:tcPr>
            <w:tcW w:w="4320" w:type="dxa"/>
            <w:tcBorders>
              <w:tl2br w:val="nil"/>
              <w:tr2bl w:val="nil"/>
            </w:tcBorders>
            <w:shd w:val="clear" w:color="auto" w:fill="auto"/>
            <w:vAlign w:val="center"/>
          </w:tcPr>
          <w:p>
            <w:pPr>
              <w:spacing w:line="240" w:lineRule="auto"/>
              <w:jc w:val="center"/>
              <w:rPr>
                <w:rFonts w:hint="eastAsia"/>
                <w:sz w:val="21"/>
                <w:szCs w:val="21"/>
              </w:rPr>
            </w:pPr>
            <w:r>
              <w:rPr>
                <w:rFonts w:hint="eastAsia"/>
                <w:sz w:val="21"/>
                <w:szCs w:val="21"/>
                <w:lang w:val="en-US" w:eastAsia="zh-CN"/>
              </w:rPr>
              <w:t>梁、柱、支撑构件</w:t>
            </w:r>
            <w:r>
              <w:rPr>
                <w:rFonts w:hint="eastAsia"/>
                <w:sz w:val="21"/>
                <w:szCs w:val="21"/>
              </w:rPr>
              <w:t>采用耐候型防腐涂料</w:t>
            </w:r>
          </w:p>
        </w:tc>
        <w:tc>
          <w:tcPr>
            <w:tcW w:w="695" w:type="dxa"/>
            <w:tcBorders>
              <w:tl2br w:val="nil"/>
              <w:tr2bl w:val="nil"/>
            </w:tcBorders>
            <w:shd w:val="clear" w:color="auto" w:fill="auto"/>
            <w:vAlign w:val="center"/>
          </w:tcPr>
          <w:p>
            <w:pPr>
              <w:spacing w:line="240" w:lineRule="auto"/>
              <w:jc w:val="center"/>
              <w:rPr>
                <w:rFonts w:hint="eastAsia"/>
                <w:sz w:val="21"/>
                <w:szCs w:val="21"/>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考虑钢材腐蚀裕量的设计</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.60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防火性能</w:t>
            </w:r>
          </w:p>
        </w:tc>
        <w:tc>
          <w:tcPr>
            <w:tcW w:w="68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.1</w:t>
            </w:r>
            <w:r>
              <w:rPr>
                <w:rFonts w:hint="eastAsia"/>
                <w:sz w:val="21"/>
                <w:szCs w:val="21"/>
              </w:rPr>
              <w:t>0</w:t>
            </w: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耐火钢应用占比</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w:t>
            </w:r>
            <w:r>
              <w:rPr>
                <w:rFonts w:hint="eastAsia"/>
                <w:sz w:val="21"/>
                <w:szCs w:val="21"/>
              </w:rPr>
              <w:t>3</w:t>
            </w:r>
            <w:r>
              <w:rPr>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结构整体抗火计算</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w:t>
            </w:r>
            <w:r>
              <w:rPr>
                <w:rFonts w:hint="eastAsia"/>
                <w:sz w:val="21"/>
                <w:szCs w:val="21"/>
              </w:rPr>
              <w:t>7</w:t>
            </w:r>
            <w:r>
              <w:rPr>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jc w:val="center"/>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舒适性能</w:t>
            </w:r>
          </w:p>
        </w:tc>
        <w:tc>
          <w:tcPr>
            <w:tcW w:w="68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.1</w:t>
            </w:r>
            <w:r>
              <w:rPr>
                <w:rFonts w:hint="eastAsia"/>
                <w:sz w:val="21"/>
                <w:szCs w:val="21"/>
              </w:rPr>
              <w:t>0</w:t>
            </w: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风振舒适度控制</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楼板振动舒适度</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restart"/>
            <w:tcBorders>
              <w:tl2br w:val="nil"/>
              <w:tr2bl w:val="nil"/>
            </w:tcBorders>
            <w:vAlign w:val="center"/>
          </w:tcPr>
          <w:p>
            <w:pPr>
              <w:spacing w:line="240" w:lineRule="auto"/>
              <w:jc w:val="center"/>
              <w:rPr>
                <w:rFonts w:hint="eastAsia" w:eastAsia="宋体"/>
                <w:sz w:val="21"/>
                <w:szCs w:val="21"/>
                <w:lang w:val="en-US" w:eastAsia="zh-CN"/>
              </w:rPr>
            </w:pPr>
            <w:r>
              <w:rPr>
                <w:rFonts w:hint="eastAsia"/>
                <w:sz w:val="21"/>
                <w:szCs w:val="21"/>
                <w:lang w:val="en-US" w:eastAsia="zh-CN"/>
              </w:rPr>
              <w:t>标准化</w:t>
            </w:r>
          </w:p>
        </w:tc>
        <w:tc>
          <w:tcPr>
            <w:tcW w:w="690" w:type="dxa"/>
            <w:vMerge w:val="restart"/>
            <w:tcBorders>
              <w:tl2br w:val="nil"/>
              <w:tr2bl w:val="nil"/>
            </w:tcBorders>
            <w:vAlign w:val="center"/>
          </w:tcPr>
          <w:p>
            <w:pPr>
              <w:spacing w:line="240" w:lineRule="auto"/>
              <w:jc w:val="center"/>
              <w:rPr>
                <w:sz w:val="21"/>
                <w:szCs w:val="21"/>
              </w:rPr>
            </w:pPr>
            <w:r>
              <w:rPr>
                <w:rFonts w:hint="eastAsia"/>
                <w:sz w:val="21"/>
                <w:szCs w:val="21"/>
              </w:rPr>
              <w:t>0.25</w:t>
            </w:r>
          </w:p>
        </w:tc>
        <w:tc>
          <w:tcPr>
            <w:tcW w:w="122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建筑</w:t>
            </w:r>
          </w:p>
          <w:p>
            <w:pPr>
              <w:spacing w:line="240" w:lineRule="auto"/>
              <w:jc w:val="center"/>
              <w:rPr>
                <w:sz w:val="21"/>
                <w:szCs w:val="21"/>
              </w:rPr>
            </w:pPr>
            <w:r>
              <w:rPr>
                <w:rFonts w:hint="eastAsia"/>
                <w:sz w:val="21"/>
                <w:szCs w:val="21"/>
              </w:rPr>
              <w:t>标准化</w:t>
            </w:r>
          </w:p>
        </w:tc>
        <w:tc>
          <w:tcPr>
            <w:tcW w:w="68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0.60</w:t>
            </w: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建筑平面标准轴网的面积占比</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尺寸模数化</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建筑标准层高占比</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0.3</w:t>
            </w:r>
            <w:r>
              <w:rPr>
                <w:sz w:val="21"/>
                <w:szCs w:val="21"/>
              </w:rPr>
              <w:t>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结构</w:t>
            </w:r>
          </w:p>
          <w:p>
            <w:pPr>
              <w:spacing w:line="240" w:lineRule="auto"/>
              <w:jc w:val="center"/>
              <w:rPr>
                <w:sz w:val="21"/>
                <w:szCs w:val="21"/>
              </w:rPr>
            </w:pPr>
            <w:r>
              <w:rPr>
                <w:rFonts w:hint="eastAsia"/>
                <w:sz w:val="21"/>
                <w:szCs w:val="21"/>
              </w:rPr>
              <w:t>标准化</w:t>
            </w:r>
          </w:p>
        </w:tc>
        <w:tc>
          <w:tcPr>
            <w:tcW w:w="68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0.40</w:t>
            </w: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构件标准化</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0.50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螺栓标准化</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节点板标准化</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加劲板标准化</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sz w:val="21"/>
                <w:szCs w:val="21"/>
              </w:rPr>
            </w:pPr>
          </w:p>
        </w:tc>
        <w:tc>
          <w:tcPr>
            <w:tcW w:w="680" w:type="dxa"/>
            <w:vMerge w:val="continue"/>
            <w:tcBorders>
              <w:tl2br w:val="nil"/>
              <w:tr2bl w:val="nil"/>
            </w:tcBorders>
            <w:shd w:val="clear" w:color="auto" w:fill="auto"/>
            <w:vAlign w:val="center"/>
          </w:tcPr>
          <w:p>
            <w:pPr>
              <w:spacing w:line="240" w:lineRule="auto"/>
              <w:jc w:val="center"/>
              <w:rPr>
                <w:sz w:val="21"/>
                <w:szCs w:val="21"/>
              </w:rPr>
            </w:pP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连接标准化</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0.30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restart"/>
            <w:tcBorders>
              <w:tl2br w:val="nil"/>
              <w:tr2bl w:val="nil"/>
            </w:tcBorders>
            <w:vAlign w:val="center"/>
          </w:tcPr>
          <w:p>
            <w:pPr>
              <w:spacing w:line="240" w:lineRule="auto"/>
              <w:jc w:val="center"/>
              <w:rPr>
                <w:sz w:val="21"/>
                <w:szCs w:val="21"/>
              </w:rPr>
            </w:pPr>
            <w:r>
              <w:rPr>
                <w:rFonts w:hint="eastAsia"/>
                <w:sz w:val="21"/>
                <w:szCs w:val="21"/>
              </w:rPr>
              <w:t>质量</w:t>
            </w:r>
          </w:p>
        </w:tc>
        <w:tc>
          <w:tcPr>
            <w:tcW w:w="690" w:type="dxa"/>
            <w:vMerge w:val="restart"/>
            <w:tcBorders>
              <w:tl2br w:val="nil"/>
              <w:tr2bl w:val="nil"/>
            </w:tcBorders>
            <w:vAlign w:val="center"/>
          </w:tcPr>
          <w:p>
            <w:pPr>
              <w:spacing w:line="240" w:lineRule="auto"/>
              <w:jc w:val="center"/>
              <w:rPr>
                <w:sz w:val="21"/>
                <w:szCs w:val="21"/>
              </w:rPr>
            </w:pPr>
            <w:r>
              <w:rPr>
                <w:rFonts w:hint="eastAsia"/>
                <w:sz w:val="21"/>
                <w:szCs w:val="21"/>
              </w:rPr>
              <w:t>0.1</w:t>
            </w:r>
            <w:r>
              <w:rPr>
                <w:sz w:val="21"/>
                <w:szCs w:val="21"/>
              </w:rPr>
              <w:t>3</w:t>
            </w:r>
          </w:p>
        </w:tc>
        <w:tc>
          <w:tcPr>
            <w:tcW w:w="122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产品和服务认证</w:t>
            </w:r>
          </w:p>
        </w:tc>
        <w:tc>
          <w:tcPr>
            <w:tcW w:w="68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.60</w:t>
            </w: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采用经认证的轧制型材</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.40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采用经认证的钢构件产品</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采用经认证的施工安装服务</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.30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质量评估</w:t>
            </w:r>
          </w:p>
        </w:tc>
        <w:tc>
          <w:tcPr>
            <w:tcW w:w="680" w:type="dxa"/>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.40</w:t>
            </w:r>
          </w:p>
        </w:tc>
        <w:tc>
          <w:tcPr>
            <w:tcW w:w="4320" w:type="dxa"/>
            <w:tcBorders>
              <w:tl2br w:val="nil"/>
              <w:tr2bl w:val="nil"/>
            </w:tcBorders>
            <w:shd w:val="clear" w:color="auto" w:fill="auto"/>
            <w:vAlign w:val="center"/>
          </w:tcPr>
          <w:p>
            <w:pPr>
              <w:spacing w:line="240" w:lineRule="auto"/>
              <w:jc w:val="center"/>
              <w:rPr>
                <w:sz w:val="21"/>
                <w:szCs w:val="21"/>
              </w:rPr>
            </w:pPr>
            <w:r>
              <w:rPr>
                <w:rFonts w:hint="eastAsia"/>
                <w:sz w:val="21"/>
                <w:szCs w:val="21"/>
              </w:rPr>
              <w:t>通过获得市级、省部级、国家级质量奖</w:t>
            </w:r>
          </w:p>
        </w:tc>
        <w:tc>
          <w:tcPr>
            <w:tcW w:w="695" w:type="dxa"/>
            <w:tcBorders>
              <w:tl2br w:val="nil"/>
              <w:tr2bl w:val="nil"/>
            </w:tcBorders>
            <w:shd w:val="clear" w:color="auto" w:fill="auto"/>
            <w:vAlign w:val="center"/>
          </w:tcPr>
          <w:p>
            <w:pPr>
              <w:spacing w:line="240" w:lineRule="auto"/>
              <w:jc w:val="center"/>
              <w:rPr>
                <w:sz w:val="21"/>
                <w:szCs w:val="21"/>
              </w:rPr>
            </w:pPr>
            <w:r>
              <w:rPr>
                <w:rFonts w:hint="eastAsia"/>
                <w:sz w:val="21"/>
                <w:szCs w:val="21"/>
              </w:rPr>
              <w:t>1</w:t>
            </w:r>
            <w:r>
              <w:rPr>
                <w:sz w:val="21"/>
                <w:szCs w:val="21"/>
              </w:rPr>
              <w:t>.00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restart"/>
            <w:tcBorders>
              <w:tl2br w:val="nil"/>
              <w:tr2bl w:val="nil"/>
            </w:tcBorders>
            <w:vAlign w:val="center"/>
          </w:tcPr>
          <w:p>
            <w:pPr>
              <w:spacing w:line="240" w:lineRule="auto"/>
              <w:jc w:val="center"/>
              <w:rPr>
                <w:sz w:val="21"/>
                <w:szCs w:val="21"/>
              </w:rPr>
            </w:pPr>
            <w:r>
              <w:rPr>
                <w:rFonts w:hint="eastAsia"/>
                <w:sz w:val="21"/>
                <w:szCs w:val="21"/>
              </w:rPr>
              <w:t>效益</w:t>
            </w:r>
          </w:p>
        </w:tc>
        <w:tc>
          <w:tcPr>
            <w:tcW w:w="690" w:type="dxa"/>
            <w:vMerge w:val="restart"/>
            <w:tcBorders>
              <w:tl2br w:val="nil"/>
              <w:tr2bl w:val="nil"/>
            </w:tcBorders>
            <w:vAlign w:val="center"/>
          </w:tcPr>
          <w:p>
            <w:pPr>
              <w:spacing w:line="240" w:lineRule="auto"/>
              <w:jc w:val="center"/>
              <w:rPr>
                <w:sz w:val="21"/>
                <w:szCs w:val="21"/>
              </w:rPr>
            </w:pPr>
            <w:r>
              <w:rPr>
                <w:rFonts w:hint="eastAsia"/>
                <w:sz w:val="21"/>
                <w:szCs w:val="21"/>
              </w:rPr>
              <w:t>0.1</w:t>
            </w:r>
            <w:r>
              <w:rPr>
                <w:sz w:val="21"/>
                <w:szCs w:val="21"/>
              </w:rPr>
              <w:t>2</w:t>
            </w:r>
          </w:p>
        </w:tc>
        <w:tc>
          <w:tcPr>
            <w:tcW w:w="1220" w:type="dxa"/>
            <w:vMerge w:val="restart"/>
            <w:tcBorders>
              <w:tl2br w:val="nil"/>
              <w:tr2bl w:val="nil"/>
            </w:tcBorders>
            <w:shd w:val="clear" w:color="auto" w:fill="D7D7D7" w:themeFill="background1" w:themeFillShade="D8"/>
            <w:vAlign w:val="center"/>
          </w:tcPr>
          <w:p>
            <w:pPr>
              <w:spacing w:line="240" w:lineRule="auto"/>
              <w:rPr>
                <w:sz w:val="21"/>
                <w:szCs w:val="21"/>
              </w:rPr>
            </w:pPr>
            <w:r>
              <w:rPr>
                <w:rFonts w:hint="eastAsia"/>
                <w:sz w:val="21"/>
                <w:szCs w:val="21"/>
              </w:rPr>
              <w:t>环境效益</w:t>
            </w:r>
          </w:p>
        </w:tc>
        <w:tc>
          <w:tcPr>
            <w:tcW w:w="680" w:type="dxa"/>
            <w:vMerge w:val="restart"/>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sz w:val="21"/>
                <w:szCs w:val="21"/>
              </w:rPr>
              <w:t>.6</w:t>
            </w:r>
            <w:r>
              <w:rPr>
                <w:rFonts w:hint="eastAsia"/>
                <w:sz w:val="21"/>
                <w:szCs w:val="21"/>
              </w:rPr>
              <w:t>0</w:t>
            </w:r>
          </w:p>
        </w:tc>
        <w:tc>
          <w:tcPr>
            <w:tcW w:w="4320" w:type="dxa"/>
            <w:tcBorders>
              <w:tl2br w:val="nil"/>
              <w:tr2bl w:val="nil"/>
            </w:tcBorders>
            <w:shd w:val="clear" w:color="auto" w:fill="D7D7D7" w:themeFill="background1" w:themeFillShade="D8"/>
            <w:vAlign w:val="center"/>
          </w:tcPr>
          <w:p>
            <w:pPr>
              <w:spacing w:line="240" w:lineRule="auto"/>
              <w:jc w:val="center"/>
              <w:rPr>
                <w:rFonts w:hint="default" w:eastAsia="宋体"/>
                <w:sz w:val="21"/>
                <w:szCs w:val="21"/>
                <w:lang w:val="en-US" w:eastAsia="zh-CN"/>
              </w:rPr>
            </w:pPr>
            <w:r>
              <w:rPr>
                <w:rFonts w:hint="eastAsia"/>
                <w:sz w:val="21"/>
                <w:szCs w:val="21"/>
                <w:lang w:val="en-US" w:eastAsia="zh-CN"/>
              </w:rPr>
              <w:t>采用高强钢材</w:t>
            </w:r>
          </w:p>
        </w:tc>
        <w:tc>
          <w:tcPr>
            <w:tcW w:w="695" w:type="dxa"/>
            <w:tcBorders>
              <w:tl2br w:val="nil"/>
              <w:tr2bl w:val="nil"/>
            </w:tcBorders>
            <w:shd w:val="clear" w:color="auto" w:fill="D7D7D7" w:themeFill="background1" w:themeFillShade="D8"/>
            <w:vAlign w:val="center"/>
          </w:tcPr>
          <w:p>
            <w:pPr>
              <w:spacing w:line="240" w:lineRule="auto"/>
              <w:jc w:val="center"/>
              <w:rPr>
                <w:rFonts w:hint="default"/>
                <w:sz w:val="21"/>
                <w:szCs w:val="21"/>
                <w:lang w:val="en-US"/>
              </w:rPr>
            </w:pPr>
            <w:r>
              <w:rPr>
                <w:rFonts w:hint="eastAsia"/>
                <w:sz w:val="21"/>
                <w:szCs w:val="21"/>
              </w:rPr>
              <w:t>0</w:t>
            </w:r>
            <w:r>
              <w:rPr>
                <w:sz w:val="21"/>
                <w:szCs w:val="21"/>
              </w:rPr>
              <w:t>.</w:t>
            </w:r>
            <w:r>
              <w:rPr>
                <w:rFonts w:hint="eastAsia"/>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rFonts w:hint="default" w:eastAsia="宋体"/>
                <w:sz w:val="21"/>
                <w:szCs w:val="21"/>
                <w:lang w:val="en-US" w:eastAsia="zh-CN"/>
              </w:rPr>
            </w:pPr>
            <w:r>
              <w:rPr>
                <w:rFonts w:hint="eastAsia"/>
                <w:sz w:val="21"/>
                <w:szCs w:val="21"/>
                <w:lang w:val="en-US" w:eastAsia="zh-CN"/>
              </w:rPr>
              <w:t>采用轧制型材</w:t>
            </w:r>
          </w:p>
        </w:tc>
        <w:tc>
          <w:tcPr>
            <w:tcW w:w="695" w:type="dxa"/>
            <w:tcBorders>
              <w:tl2br w:val="nil"/>
              <w:tr2bl w:val="nil"/>
            </w:tcBorders>
            <w:shd w:val="clear" w:color="auto" w:fill="D7D7D7" w:themeFill="background1" w:themeFillShade="D8"/>
            <w:vAlign w:val="center"/>
          </w:tcPr>
          <w:p>
            <w:pPr>
              <w:spacing w:line="240" w:lineRule="auto"/>
              <w:jc w:val="center"/>
              <w:rPr>
                <w:rFonts w:hint="default"/>
                <w:sz w:val="21"/>
                <w:szCs w:val="21"/>
                <w:lang w:val="en-US"/>
              </w:rPr>
            </w:pPr>
            <w:r>
              <w:rPr>
                <w:rFonts w:hint="eastAsia"/>
                <w:sz w:val="21"/>
                <w:szCs w:val="21"/>
              </w:rPr>
              <w:t>0</w:t>
            </w:r>
            <w:r>
              <w:rPr>
                <w:sz w:val="21"/>
                <w:szCs w:val="21"/>
              </w:rPr>
              <w:t>.</w:t>
            </w:r>
            <w:r>
              <w:rPr>
                <w:rFonts w:hint="eastAsia"/>
                <w:sz w:val="21"/>
                <w:szCs w:val="21"/>
                <w:lang w:val="en-US" w:eastAsia="zh-CN"/>
              </w:rPr>
              <w:t>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rFonts w:hint="default" w:eastAsia="宋体"/>
                <w:sz w:val="21"/>
                <w:szCs w:val="21"/>
                <w:lang w:val="en-US" w:eastAsia="zh-CN"/>
              </w:rPr>
            </w:pPr>
            <w:r>
              <w:rPr>
                <w:rFonts w:hint="eastAsia"/>
                <w:sz w:val="21"/>
                <w:szCs w:val="21"/>
                <w:lang w:val="en-US" w:eastAsia="zh-CN"/>
              </w:rPr>
              <w:t>采用数字化、智能化的生产工艺</w:t>
            </w:r>
          </w:p>
        </w:tc>
        <w:tc>
          <w:tcPr>
            <w:tcW w:w="695" w:type="dxa"/>
            <w:tcBorders>
              <w:tl2br w:val="nil"/>
              <w:tr2bl w:val="nil"/>
            </w:tcBorders>
            <w:shd w:val="clear" w:color="auto" w:fill="D7D7D7" w:themeFill="background1" w:themeFillShade="D8"/>
            <w:vAlign w:val="center"/>
          </w:tcPr>
          <w:p>
            <w:pPr>
              <w:spacing w:line="240" w:lineRule="auto"/>
              <w:jc w:val="center"/>
              <w:rPr>
                <w:sz w:val="21"/>
                <w:szCs w:val="21"/>
              </w:rPr>
            </w:pPr>
            <w:r>
              <w:rPr>
                <w:rFonts w:hint="eastAsia"/>
                <w:sz w:val="21"/>
                <w:szCs w:val="21"/>
              </w:rPr>
              <w:t>0.</w:t>
            </w:r>
            <w:r>
              <w:rPr>
                <w:rFonts w:hint="eastAsia"/>
                <w:sz w:val="21"/>
                <w:szCs w:val="21"/>
                <w:lang w:val="en-US" w:eastAsia="zh-CN"/>
              </w:rPr>
              <w:t>25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680" w:type="dxa"/>
            <w:vMerge w:val="continue"/>
            <w:tcBorders>
              <w:tl2br w:val="nil"/>
              <w:tr2bl w:val="nil"/>
            </w:tcBorders>
            <w:shd w:val="clear" w:color="auto" w:fill="D7D7D7" w:themeFill="background1" w:themeFillShade="D8"/>
            <w:vAlign w:val="center"/>
          </w:tcPr>
          <w:p>
            <w:pPr>
              <w:spacing w:line="240" w:lineRule="auto"/>
              <w:jc w:val="center"/>
              <w:rPr>
                <w:sz w:val="21"/>
                <w:szCs w:val="21"/>
              </w:rPr>
            </w:pPr>
          </w:p>
        </w:tc>
        <w:tc>
          <w:tcPr>
            <w:tcW w:w="4320" w:type="dxa"/>
            <w:tcBorders>
              <w:tl2br w:val="nil"/>
              <w:tr2bl w:val="nil"/>
            </w:tcBorders>
            <w:shd w:val="clear" w:color="auto" w:fill="D7D7D7" w:themeFill="background1" w:themeFillShade="D8"/>
            <w:vAlign w:val="center"/>
          </w:tcPr>
          <w:p>
            <w:pPr>
              <w:spacing w:line="240" w:lineRule="auto"/>
              <w:jc w:val="center"/>
              <w:rPr>
                <w:rFonts w:hint="default"/>
                <w:sz w:val="21"/>
                <w:szCs w:val="21"/>
                <w:lang w:val="en-US" w:eastAsia="zh-CN"/>
              </w:rPr>
            </w:pPr>
            <w:r>
              <w:rPr>
                <w:rFonts w:hint="eastAsia"/>
                <w:sz w:val="21"/>
                <w:szCs w:val="21"/>
                <w:lang w:val="en-US" w:eastAsia="zh-CN"/>
              </w:rPr>
              <w:t>应用清洁能源</w:t>
            </w:r>
          </w:p>
        </w:tc>
        <w:tc>
          <w:tcPr>
            <w:tcW w:w="695" w:type="dxa"/>
            <w:tcBorders>
              <w:tl2br w:val="nil"/>
              <w:tr2bl w:val="nil"/>
            </w:tcBorders>
            <w:shd w:val="clear" w:color="auto" w:fill="D7D7D7" w:themeFill="background1" w:themeFillShade="D8"/>
            <w:vAlign w:val="center"/>
          </w:tcPr>
          <w:p>
            <w:pPr>
              <w:spacing w:line="240" w:lineRule="auto"/>
              <w:jc w:val="center"/>
              <w:rPr>
                <w:rFonts w:hint="default" w:eastAsia="宋体"/>
                <w:sz w:val="21"/>
                <w:szCs w:val="21"/>
                <w:lang w:val="en-US" w:eastAsia="zh-CN"/>
              </w:rPr>
            </w:pPr>
            <w:r>
              <w:rPr>
                <w:rFonts w:hint="eastAsia"/>
                <w:sz w:val="21"/>
                <w:szCs w:val="21"/>
                <w:lang w:val="en-US" w:eastAsia="zh-CN"/>
              </w:rPr>
              <w:t>0.15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经济效益</w:t>
            </w:r>
          </w:p>
        </w:tc>
        <w:tc>
          <w:tcPr>
            <w:tcW w:w="680" w:type="dxa"/>
            <w:vMerge w:val="restart"/>
            <w:tcBorders>
              <w:tl2br w:val="nil"/>
              <w:tr2bl w:val="nil"/>
            </w:tcBorders>
            <w:shd w:val="clear" w:color="auto" w:fill="auto"/>
            <w:vAlign w:val="center"/>
          </w:tcPr>
          <w:p>
            <w:pPr>
              <w:spacing w:line="240" w:lineRule="auto"/>
              <w:jc w:val="center"/>
              <w:rPr>
                <w:sz w:val="21"/>
                <w:szCs w:val="21"/>
              </w:rPr>
            </w:pPr>
            <w:r>
              <w:rPr>
                <w:rFonts w:hint="eastAsia"/>
                <w:sz w:val="21"/>
                <w:szCs w:val="21"/>
              </w:rPr>
              <w:t>0</w:t>
            </w:r>
            <w:r>
              <w:rPr>
                <w:sz w:val="21"/>
                <w:szCs w:val="21"/>
              </w:rPr>
              <w:t>.4</w:t>
            </w:r>
            <w:r>
              <w:rPr>
                <w:rFonts w:hint="eastAsia"/>
                <w:sz w:val="21"/>
                <w:szCs w:val="21"/>
              </w:rPr>
              <w:t>0</w:t>
            </w:r>
          </w:p>
        </w:tc>
        <w:tc>
          <w:tcPr>
            <w:tcW w:w="4320" w:type="dxa"/>
            <w:tcBorders>
              <w:tl2br w:val="nil"/>
              <w:tr2bl w:val="nil"/>
            </w:tcBorders>
            <w:shd w:val="clear" w:color="auto" w:fill="auto"/>
            <w:vAlign w:val="center"/>
          </w:tcPr>
          <w:p>
            <w:pPr>
              <w:spacing w:line="240" w:lineRule="auto"/>
              <w:jc w:val="center"/>
              <w:rPr>
                <w:rFonts w:hint="default" w:eastAsia="宋体"/>
                <w:sz w:val="21"/>
                <w:szCs w:val="21"/>
                <w:lang w:val="en-US" w:eastAsia="zh-CN"/>
              </w:rPr>
            </w:pPr>
            <w:r>
              <w:rPr>
                <w:rFonts w:hint="eastAsia"/>
                <w:sz w:val="21"/>
                <w:szCs w:val="21"/>
                <w:lang w:val="en-US" w:eastAsia="zh-CN"/>
              </w:rPr>
              <w:t>单位面积用钢量</w:t>
            </w:r>
          </w:p>
        </w:tc>
        <w:tc>
          <w:tcPr>
            <w:tcW w:w="695" w:type="dxa"/>
            <w:tcBorders>
              <w:tl2br w:val="nil"/>
              <w:tr2bl w:val="nil"/>
            </w:tcBorders>
            <w:shd w:val="clear" w:color="auto" w:fill="auto"/>
            <w:vAlign w:val="center"/>
          </w:tcPr>
          <w:p>
            <w:pPr>
              <w:spacing w:line="240" w:lineRule="auto"/>
              <w:jc w:val="center"/>
              <w:rPr>
                <w:sz w:val="21"/>
                <w:szCs w:val="21"/>
              </w:rPr>
            </w:pPr>
            <w:r>
              <w:rPr>
                <w:sz w:val="21"/>
                <w:szCs w:val="21"/>
              </w:rPr>
              <w:t>0</w:t>
            </w:r>
            <w:r>
              <w:rPr>
                <w:rFonts w:hint="eastAsia"/>
                <w:sz w:val="21"/>
                <w:szCs w:val="21"/>
              </w:rPr>
              <w:t>.</w:t>
            </w:r>
            <w:r>
              <w:rPr>
                <w:rFonts w:hint="eastAsia"/>
                <w:sz w:val="21"/>
                <w:szCs w:val="21"/>
                <w:lang w:val="en-US" w:eastAsia="zh-CN"/>
              </w:rPr>
              <w:t>7</w:t>
            </w:r>
            <w:r>
              <w:rPr>
                <w:sz w:val="21"/>
                <w:szCs w:val="21"/>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917" w:type="dxa"/>
            <w:vMerge w:val="continue"/>
            <w:tcBorders>
              <w:tl2br w:val="nil"/>
              <w:tr2bl w:val="nil"/>
            </w:tcBorders>
            <w:vAlign w:val="center"/>
          </w:tcPr>
          <w:p>
            <w:pPr>
              <w:spacing w:line="240" w:lineRule="auto"/>
              <w:rPr>
                <w:sz w:val="21"/>
                <w:szCs w:val="21"/>
              </w:rPr>
            </w:pPr>
            <w:bookmarkStart w:id="64" w:name="_Toc138833776"/>
            <w:bookmarkStart w:id="65" w:name="_Toc2655"/>
          </w:p>
        </w:tc>
        <w:tc>
          <w:tcPr>
            <w:tcW w:w="690" w:type="dxa"/>
            <w:vMerge w:val="continue"/>
            <w:tcBorders>
              <w:tl2br w:val="nil"/>
              <w:tr2bl w:val="nil"/>
            </w:tcBorders>
            <w:vAlign w:val="center"/>
          </w:tcPr>
          <w:p>
            <w:pPr>
              <w:spacing w:line="240" w:lineRule="auto"/>
              <w:jc w:val="center"/>
              <w:rPr>
                <w:sz w:val="21"/>
                <w:szCs w:val="21"/>
              </w:rPr>
            </w:pPr>
          </w:p>
        </w:tc>
        <w:tc>
          <w:tcPr>
            <w:tcW w:w="1220" w:type="dxa"/>
            <w:vMerge w:val="continue"/>
            <w:tcBorders>
              <w:tl2br w:val="nil"/>
              <w:tr2bl w:val="nil"/>
            </w:tcBorders>
            <w:shd w:val="clear" w:color="auto" w:fill="auto"/>
            <w:vAlign w:val="center"/>
          </w:tcPr>
          <w:p>
            <w:pPr>
              <w:spacing w:line="240" w:lineRule="auto"/>
              <w:jc w:val="center"/>
              <w:rPr>
                <w:rFonts w:hint="eastAsia"/>
                <w:sz w:val="21"/>
                <w:szCs w:val="21"/>
              </w:rPr>
            </w:pPr>
          </w:p>
        </w:tc>
        <w:tc>
          <w:tcPr>
            <w:tcW w:w="680" w:type="dxa"/>
            <w:vMerge w:val="continue"/>
            <w:tcBorders>
              <w:tl2br w:val="nil"/>
              <w:tr2bl w:val="nil"/>
            </w:tcBorders>
            <w:shd w:val="clear" w:color="auto" w:fill="auto"/>
            <w:vAlign w:val="center"/>
          </w:tcPr>
          <w:p>
            <w:pPr>
              <w:spacing w:line="240" w:lineRule="auto"/>
              <w:jc w:val="center"/>
              <w:rPr>
                <w:rFonts w:hint="eastAsia"/>
                <w:sz w:val="21"/>
                <w:szCs w:val="21"/>
              </w:rPr>
            </w:pPr>
          </w:p>
        </w:tc>
        <w:tc>
          <w:tcPr>
            <w:tcW w:w="4320" w:type="dxa"/>
            <w:tcBorders>
              <w:tl2br w:val="nil"/>
              <w:tr2bl w:val="nil"/>
            </w:tcBorders>
            <w:shd w:val="clear" w:color="auto" w:fill="auto"/>
            <w:vAlign w:val="center"/>
          </w:tcPr>
          <w:p>
            <w:pPr>
              <w:spacing w:line="240" w:lineRule="auto"/>
              <w:jc w:val="center"/>
              <w:rPr>
                <w:rFonts w:hint="default"/>
                <w:sz w:val="21"/>
                <w:szCs w:val="21"/>
                <w:lang w:val="en-US" w:eastAsia="zh-CN"/>
              </w:rPr>
            </w:pPr>
            <w:r>
              <w:rPr>
                <w:rFonts w:hint="eastAsia"/>
                <w:sz w:val="21"/>
                <w:szCs w:val="21"/>
                <w:lang w:val="en-US" w:eastAsia="zh-CN"/>
              </w:rPr>
              <w:t>采用工程总承包管理模式</w:t>
            </w:r>
          </w:p>
        </w:tc>
        <w:tc>
          <w:tcPr>
            <w:tcW w:w="695" w:type="dxa"/>
            <w:tcBorders>
              <w:tl2br w:val="nil"/>
              <w:tr2bl w:val="nil"/>
            </w:tcBorders>
            <w:shd w:val="clear" w:color="auto" w:fill="auto"/>
            <w:vAlign w:val="center"/>
          </w:tcPr>
          <w:p>
            <w:pPr>
              <w:spacing w:line="240" w:lineRule="auto"/>
              <w:jc w:val="center"/>
              <w:rPr>
                <w:rFonts w:hint="default" w:eastAsia="宋体"/>
                <w:sz w:val="21"/>
                <w:szCs w:val="21"/>
                <w:lang w:val="en-US" w:eastAsia="zh-CN"/>
              </w:rPr>
            </w:pPr>
            <w:r>
              <w:rPr>
                <w:rFonts w:hint="eastAsia"/>
                <w:sz w:val="21"/>
                <w:szCs w:val="21"/>
                <w:lang w:val="en-US" w:eastAsia="zh-CN"/>
              </w:rPr>
              <w:t>0.30</w:t>
            </w:r>
          </w:p>
        </w:tc>
      </w:tr>
    </w:tbl>
    <w:p>
      <w:pPr>
        <w:pStyle w:val="4"/>
        <w:spacing w:before="240" w:after="240"/>
      </w:pPr>
      <w:bookmarkStart w:id="66" w:name="_Toc31635"/>
      <w:r>
        <w:rPr>
          <w:rFonts w:ascii="Times New Roman" w:hAnsi="Times New Roman" w:cs="Times New Roman"/>
        </w:rPr>
        <w:t>4.2</w:t>
      </w:r>
      <w:r>
        <w:t xml:space="preserve">  </w:t>
      </w:r>
      <w:bookmarkEnd w:id="64"/>
      <w:r>
        <w:rPr>
          <w:rFonts w:hint="eastAsia" w:ascii="黑体" w:hAnsi="黑体" w:eastAsia="黑体" w:cs="黑体"/>
          <w:b/>
          <w:bCs/>
        </w:rPr>
        <w:t>效率</w:t>
      </w:r>
      <w:bookmarkEnd w:id="65"/>
      <w:bookmarkStart w:id="67" w:name="_Toc110"/>
      <w:r>
        <w:fldChar w:fldCharType="begin"/>
      </w:r>
      <w:r>
        <w:instrText xml:space="preserve"> TC  "4.</w:instrText>
      </w:r>
      <w:r>
        <w:rPr>
          <w:rFonts w:hint="eastAsia"/>
          <w:lang w:val="en-US" w:eastAsia="zh-CN"/>
        </w:rPr>
        <w:instrText xml:space="preserve">2</w:instrText>
      </w:r>
      <w:r>
        <w:instrText xml:space="preserve">  </w:instrText>
      </w:r>
      <w:r>
        <w:rPr>
          <w:rFonts w:hint="eastAsia"/>
          <w:lang w:val="en-US" w:eastAsia="zh-CN"/>
        </w:rPr>
        <w:instrText xml:space="preserve">Efficiency</w:instrText>
      </w:r>
      <w:r>
        <w:instrText xml:space="preserve">" \l 2 </w:instrText>
      </w:r>
      <w:r>
        <w:fldChar w:fldCharType="end"/>
      </w:r>
      <w:bookmarkEnd w:id="66"/>
      <w:bookmarkEnd w:id="67"/>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68" w:name="_Toc26126"/>
      <w:r>
        <w:rPr>
          <w:rFonts w:hint="eastAsia" w:ascii="仿宋_GB2312" w:hAnsi="仿宋_GB2312" w:eastAsia="仿宋_GB2312" w:cs="仿宋_GB2312"/>
          <w:b w:val="0"/>
          <w:bCs w:val="0"/>
          <w:sz w:val="28"/>
          <w:szCs w:val="28"/>
          <w:lang w:val="en-US" w:eastAsia="zh-CN"/>
        </w:rPr>
        <w:t>Ⅰ</w:t>
      </w:r>
      <w:r>
        <w:rPr>
          <w:rFonts w:hint="eastAsia" w:ascii="仿宋_GB2312" w:hAnsi="仿宋_GB2312" w:eastAsia="仿宋_GB2312" w:cs="仿宋_GB2312"/>
          <w:b w:val="0"/>
          <w:bCs w:val="0"/>
          <w:sz w:val="28"/>
          <w:szCs w:val="28"/>
        </w:rPr>
        <w:t xml:space="preserve"> 设计效率</w:t>
      </w:r>
      <w:bookmarkStart w:id="69" w:name="_Toc11107"/>
      <w:r>
        <w:fldChar w:fldCharType="begin"/>
      </w:r>
      <w:r>
        <w:instrText xml:space="preserve"> TC  "</w:instrText>
      </w:r>
      <w:r>
        <w:rPr>
          <w:rFonts w:hint="eastAsia" w:ascii="仿宋_GB2312" w:hAnsi="仿宋_GB2312" w:eastAsia="仿宋_GB2312" w:cs="仿宋_GB2312"/>
          <w:b w:val="0"/>
          <w:bCs w:val="0"/>
          <w:sz w:val="28"/>
          <w:szCs w:val="28"/>
          <w:lang w:val="en-US" w:eastAsia="zh-CN"/>
        </w:rPr>
        <w:instrText xml:space="preserve">Ⅰ</w:instrText>
      </w:r>
      <w:r>
        <w:instrText xml:space="preserve">  </w:instrText>
      </w:r>
      <w:r>
        <w:rPr>
          <w:rFonts w:hint="eastAsia"/>
          <w:lang w:val="en-US" w:eastAsia="zh-CN"/>
        </w:rPr>
        <w:instrText xml:space="preserve">Design </w:instrText>
      </w:r>
      <w:r>
        <w:rPr>
          <w:rFonts w:hint="eastAsia"/>
          <w:lang w:val="en-US" w:eastAsia="zh-CN"/>
        </w:rPr>
        <w:instrText xml:space="preserve">Efficiency</w:instrText>
      </w:r>
      <w:r>
        <w:instrText xml:space="preserve">" \l </w:instrText>
      </w:r>
      <w:r>
        <w:rPr>
          <w:rFonts w:hint="eastAsia"/>
          <w:lang w:val="en-US" w:eastAsia="zh-CN"/>
        </w:rPr>
        <w:instrText xml:space="preserve">3</w:instrText>
      </w:r>
      <w:r>
        <w:instrText xml:space="preserve"> </w:instrText>
      </w:r>
      <w:r>
        <w:fldChar w:fldCharType="end"/>
      </w:r>
      <w:bookmarkEnd w:id="68"/>
      <w:bookmarkEnd w:id="69"/>
    </w:p>
    <w:p>
      <w:r>
        <w:rPr>
          <w:rFonts w:hint="eastAsia" w:hAnsi="Cambria Math"/>
          <w:b/>
          <w:bCs/>
        </w:rPr>
        <w:t>4.2.1</w:t>
      </w:r>
      <w:r>
        <w:rPr>
          <w:rFonts w:hint="eastAsia" w:hAnsi="Cambria Math"/>
        </w:rPr>
        <w:t xml:space="preserve">  </w:t>
      </w:r>
      <w:r>
        <w:rPr>
          <w:rFonts w:hint="eastAsia"/>
        </w:rPr>
        <w:t>设计变更总金额与工程总投资比指设计变更导致的金额总和占工程总投资金额的比例，即：</w:t>
      </w:r>
    </w:p>
    <w:p>
      <w:pPr>
        <w:rPr>
          <w:rFonts w:hint="eastAsia" w:hAnsi="Cambria Math"/>
        </w:rPr>
      </w:pPr>
      <m:oMathPara>
        <m:oMath>
          <m:r>
            <m:rPr>
              <m:sty m:val="p"/>
            </m:rPr>
            <w:rPr>
              <w:rFonts w:hint="eastAsia" w:ascii="Cambria Math" w:hAnsi="Cambria Math"/>
            </w:rPr>
            <m:t>设计变更总金额与工程总投资比</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设计变更导致的金额总和</m:t>
              </m:r>
              <m:ctrlPr>
                <w:rPr>
                  <w:rFonts w:ascii="Cambria Math" w:hAnsi="Cambria Math"/>
                </w:rPr>
              </m:ctrlPr>
            </m:num>
            <m:den>
              <m:r>
                <m:rPr>
                  <m:sty m:val="p"/>
                </m:rPr>
                <w:rPr>
                  <w:rFonts w:hint="eastAsia" w:ascii="Cambria Math" w:hAnsi="Cambria Math"/>
                </w:rPr>
                <m:t>工程总投资金额</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hAnsi="Cambria Math"/>
        </w:rPr>
        <w:t>设计变更总金额与工程总投资比为0时，得100分；设计变更总金额与工程总投资比为3%及以上时，得0分；中间按线性内插计算。</w:t>
      </w:r>
    </w:p>
    <w:p>
      <w:pPr>
        <w:ind w:firstLine="480" w:firstLineChars="200"/>
        <w:rPr>
          <w:rFonts w:hint="eastAsia"/>
        </w:rPr>
      </w:pPr>
      <w:r>
        <w:rPr>
          <w:rFonts w:hint="eastAsia"/>
        </w:rPr>
        <w:t>该指标</w:t>
      </w:r>
      <w:r>
        <w:rPr>
          <w:rFonts w:hint="eastAsia"/>
          <w:lang w:val="en-US" w:eastAsia="zh-CN"/>
        </w:rPr>
        <w:t>为预评价指标和评价指标，</w:t>
      </w:r>
      <w:r>
        <w:rPr>
          <w:rFonts w:hint="eastAsia"/>
        </w:rPr>
        <w:t>预评价时为承诺项。</w:t>
      </w:r>
    </w:p>
    <w:p>
      <w:pPr>
        <w:pageBreakBefore w:val="0"/>
        <w:widowControl w:val="0"/>
        <w:kinsoku/>
        <w:wordWrap/>
        <w:overflowPunct/>
        <w:topLinePunct w:val="0"/>
        <w:autoSpaceDE/>
        <w:autoSpaceDN/>
        <w:bidi w:val="0"/>
        <w:adjustRightInd/>
        <w:snapToGrid/>
        <w:textAlignment w:val="auto"/>
        <w:rPr>
          <w:rFonts w:hint="default"/>
          <w:color w:val="0000FF"/>
          <w:lang w:val="en-US" w:eastAsia="zh-CN"/>
        </w:rPr>
      </w:pPr>
      <w:r>
        <w:rPr>
          <w:rFonts w:hint="eastAsia"/>
          <w:color w:val="0000FF"/>
          <w:lang w:val="en-US" w:eastAsia="zh-CN"/>
        </w:rPr>
        <w:t>【条文说明】本规程中的设计变更是指在施工图审查通过后的图纸修改导致的总费用，包含设计自身原因，也包含非设计原因导致的图纸变更。</w:t>
      </w:r>
    </w:p>
    <w:p>
      <w:pPr>
        <w:rPr>
          <w:rFonts w:hint="eastAsia"/>
        </w:rPr>
      </w:pPr>
      <w:r>
        <w:rPr>
          <w:rFonts w:hint="eastAsia" w:hAnsi="Cambria Math"/>
          <w:b/>
          <w:bCs/>
        </w:rPr>
        <w:t>4.2.</w:t>
      </w:r>
      <w:r>
        <w:rPr>
          <w:rFonts w:hint="eastAsia" w:hAnsi="Cambria Math"/>
          <w:b/>
          <w:bCs/>
          <w:lang w:val="en-US" w:eastAsia="zh-CN"/>
        </w:rPr>
        <w:t>2</w:t>
      </w:r>
      <w:r>
        <w:rPr>
          <w:rFonts w:hint="eastAsia"/>
        </w:rPr>
        <w:t xml:space="preserve">  </w:t>
      </w:r>
      <w:r>
        <w:rPr>
          <w:rFonts w:hint="eastAsia"/>
          <w:lang w:val="en-US" w:eastAsia="zh-CN"/>
        </w:rPr>
        <w:t>加劲肋用钢量占比指设计图纸中加劲肋用钢量占总用钢量的比例</w:t>
      </w:r>
      <w:r>
        <w:rPr>
          <w:rFonts w:hint="eastAsia"/>
        </w:rPr>
        <w:t>，即：</w:t>
      </w:r>
    </w:p>
    <w:p>
      <w:pPr>
        <w:rPr>
          <w:rFonts w:hint="eastAsia"/>
        </w:rPr>
      </w:pPr>
      <m:oMathPara>
        <m:oMath>
          <m:r>
            <m:rPr>
              <m:sty m:val="p"/>
            </m:rPr>
            <w:rPr>
              <w:rFonts w:hint="eastAsia" w:ascii="Cambria Math" w:hAnsi="Cambria Math"/>
              <w:lang w:val="en-US" w:eastAsia="zh-CN"/>
            </w:rPr>
            <m:t>加劲肋用钢量占比</m:t>
          </m:r>
          <m:r>
            <m:rPr>
              <m:sty m:val="p"/>
            </m:rPr>
            <w:rPr>
              <w:rFonts w:hint="eastAsia" w:ascii="Cambria Math" w:hAnsi="Cambria Math"/>
            </w:rPr>
            <m:t>=</m:t>
          </m:r>
          <m:f>
            <m:fPr>
              <m:ctrlPr>
                <w:rPr>
                  <w:rFonts w:hint="eastAsia" w:ascii="Cambria Math" w:hAnsi="Cambria Math"/>
                </w:rPr>
              </m:ctrlPr>
            </m:fPr>
            <m:num>
              <m:r>
                <m:rPr>
                  <m:sty m:val="p"/>
                </m:rPr>
                <w:rPr>
                  <w:rFonts w:hint="eastAsia" w:ascii="Cambria Math" w:hAnsi="Cambria Math"/>
                  <w:lang w:val="en-US" w:eastAsia="zh-CN"/>
                </w:rPr>
                <m:t>加劲肋用钢量</m:t>
              </m:r>
              <m:ctrlPr>
                <w:rPr>
                  <w:rFonts w:hint="eastAsia" w:ascii="Cambria Math" w:hAnsi="Cambria Math"/>
                </w:rPr>
              </m:ctrlPr>
            </m:num>
            <m:den>
              <m:r>
                <m:rPr>
                  <m:sty m:val="p"/>
                </m:rPr>
                <w:rPr>
                  <w:rFonts w:hint="eastAsia" w:ascii="Cambria Math" w:hAnsi="Cambria Math"/>
                  <w:lang w:val="en-US" w:eastAsia="zh-CN"/>
                </w:rPr>
                <m:t>总用钢量</m:t>
              </m:r>
              <m:ctrlPr>
                <w:rPr>
                  <w:rFonts w:hint="eastAsia" w:ascii="Cambria Math" w:hAnsi="Cambria Math"/>
                </w:rPr>
              </m:ctrlPr>
            </m:den>
          </m:f>
          <m:r>
            <m:rPr>
              <m:sty m:val="p"/>
            </m:rPr>
            <w:rPr>
              <w:rFonts w:hint="eastAsia" w:ascii="Cambria Math" w:hAnsi="Cambria Math"/>
            </w:rPr>
            <m:t>×100%</m:t>
          </m:r>
        </m:oMath>
      </m:oMathPara>
    </w:p>
    <w:p>
      <w:pPr>
        <w:ind w:firstLine="480" w:firstLineChars="200"/>
        <w:rPr>
          <w:rFonts w:hint="eastAsia"/>
          <w:lang w:val="en-US" w:eastAsia="zh-CN"/>
        </w:rPr>
      </w:pPr>
      <w:r>
        <w:rPr>
          <w:rFonts w:hint="eastAsia"/>
          <w:lang w:val="en-US" w:eastAsia="zh-CN"/>
        </w:rPr>
        <w:t>加劲肋用钢量占比≤5%时，得100分；劲肋用钢量占比＞15%时，不得分；中间按线性内插计算。</w:t>
      </w:r>
    </w:p>
    <w:p>
      <w:pPr>
        <w:ind w:firstLine="480" w:firstLineChars="200"/>
        <w:rPr>
          <w:rFonts w:hint="eastAsia"/>
        </w:rPr>
      </w:pPr>
      <w:r>
        <w:rPr>
          <w:rFonts w:hint="eastAsia"/>
        </w:rPr>
        <w:t>该指标</w:t>
      </w:r>
      <w:r>
        <w:rPr>
          <w:rFonts w:hint="eastAsia"/>
          <w:lang w:val="en-US" w:eastAsia="zh-CN"/>
        </w:rPr>
        <w:t>为预评价指标和评价指标。</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70" w:name="_Toc30644"/>
      <w:r>
        <w:rPr>
          <w:rFonts w:hint="eastAsia" w:ascii="仿宋_GB2312" w:hAnsi="仿宋_GB2312" w:eastAsia="仿宋_GB2312" w:cs="仿宋_GB2312"/>
          <w:b w:val="0"/>
          <w:bCs w:val="0"/>
          <w:sz w:val="28"/>
          <w:szCs w:val="28"/>
          <w:lang w:val="en-US" w:eastAsia="zh-CN"/>
        </w:rPr>
        <w:t>Ⅱ</w:t>
      </w:r>
      <w:r>
        <w:rPr>
          <w:rFonts w:hint="eastAsia" w:ascii="仿宋_GB2312" w:hAnsi="仿宋_GB2312" w:eastAsia="仿宋_GB2312" w:cs="仿宋_GB2312"/>
          <w:b w:val="0"/>
          <w:bCs w:val="0"/>
          <w:sz w:val="28"/>
          <w:szCs w:val="28"/>
        </w:rPr>
        <w:t xml:space="preserve"> 加工效率</w:t>
      </w:r>
      <w:bookmarkStart w:id="71" w:name="_Toc1993"/>
      <w:r>
        <w:fldChar w:fldCharType="begin"/>
      </w:r>
      <w:r>
        <w:instrText xml:space="preserve"> TC  "</w:instrText>
      </w:r>
      <w:r>
        <w:rPr>
          <w:rFonts w:hint="eastAsia" w:ascii="仿宋_GB2312" w:hAnsi="仿宋_GB2312" w:eastAsia="仿宋_GB2312" w:cs="仿宋_GB2312"/>
          <w:b w:val="0"/>
          <w:bCs w:val="0"/>
          <w:sz w:val="28"/>
          <w:szCs w:val="28"/>
          <w:lang w:val="en-US" w:eastAsia="zh-CN"/>
        </w:rPr>
        <w:instrText xml:space="preserve">Ⅱ</w:instrText>
      </w:r>
      <w:r>
        <w:instrText xml:space="preserve">  </w:instrText>
      </w:r>
      <w:r>
        <w:rPr>
          <w:rFonts w:hint="eastAsia"/>
          <w:lang w:val="en-US" w:eastAsia="zh-CN"/>
        </w:rPr>
        <w:instrText xml:space="preserve">Proc</w:instrText>
      </w:r>
      <w:r>
        <w:rPr>
          <w:rFonts w:hint="eastAsia"/>
          <w:lang w:val="en-US" w:eastAsia="zh-CN"/>
        </w:rPr>
        <w:instrText xml:space="preserve">ess</w:instrText>
      </w:r>
      <w:r>
        <w:rPr>
          <w:rFonts w:hint="eastAsia"/>
          <w:lang w:val="en-US" w:eastAsia="zh-CN"/>
        </w:rPr>
        <w:instrText xml:space="preserve"> Efficiency</w:instrText>
      </w:r>
      <w:r>
        <w:instrText xml:space="preserve">" \l </w:instrText>
      </w:r>
      <w:r>
        <w:rPr>
          <w:rFonts w:hint="eastAsia"/>
          <w:lang w:val="en-US" w:eastAsia="zh-CN"/>
        </w:rPr>
        <w:instrText xml:space="preserve">3</w:instrText>
      </w:r>
      <w:r>
        <w:instrText xml:space="preserve"> </w:instrText>
      </w:r>
      <w:r>
        <w:fldChar w:fldCharType="end"/>
      </w:r>
      <w:bookmarkEnd w:id="70"/>
      <w:bookmarkEnd w:id="71"/>
    </w:p>
    <w:p>
      <w:r>
        <w:rPr>
          <w:b/>
        </w:rPr>
        <w:t>4.2.</w:t>
      </w:r>
      <w:r>
        <w:rPr>
          <w:rFonts w:hint="eastAsia"/>
          <w:b/>
          <w:lang w:val="en-US" w:eastAsia="zh-CN"/>
        </w:rPr>
        <w:t>3</w:t>
      </w:r>
      <w:r>
        <w:t xml:space="preserve"> </w:t>
      </w:r>
      <w:r>
        <w:rPr>
          <w:rFonts w:hint="eastAsia"/>
        </w:rPr>
        <w:t xml:space="preserve"> 钢材切割量指评价单元内单位建筑面积中钢材切割长度，即：</w:t>
      </w:r>
    </w:p>
    <w:p>
      <w:pPr>
        <w:rPr>
          <w:rFonts w:hint="eastAsia" w:hAnsi="Cambria Math"/>
        </w:rPr>
      </w:pPr>
      <m:oMathPara>
        <m:oMath>
          <m:r>
            <m:rPr>
              <m:sty m:val="p"/>
            </m:rPr>
            <w:rPr>
              <w:rFonts w:hint="eastAsia" w:ascii="Cambria Math" w:hAnsi="Cambria Math"/>
            </w:rPr>
            <m:t>钢材切割量</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钢材切割总长度</m:t>
              </m:r>
              <m:ctrlPr>
                <w:rPr>
                  <w:rFonts w:ascii="Cambria Math" w:hAnsi="Cambria Math"/>
                </w:rPr>
              </m:ctrlPr>
            </m:num>
            <m:den>
              <m:r>
                <m:rPr>
                  <m:sty m:val="p"/>
                </m:rPr>
                <w:rPr>
                  <w:rFonts w:hint="eastAsia" w:ascii="Cambria Math" w:hAnsi="Cambria Math"/>
                </w:rPr>
                <m:t>（钢柱总长度</m:t>
              </m:r>
              <m:r>
                <m:rPr>
                  <m:sty m:val="p"/>
                </m:rPr>
                <w:rPr>
                  <w:rFonts w:ascii="Cambria Math" w:hAnsi="Cambria Math"/>
                </w:rPr>
                <m:t>×4+</m:t>
              </m:r>
              <m:r>
                <m:rPr>
                  <m:sty m:val="p"/>
                </m:rPr>
                <w:rPr>
                  <w:rFonts w:hint="eastAsia" w:ascii="Cambria Math" w:hAnsi="Cambria Math"/>
                </w:rPr>
                <m:t>钢梁总长度</m:t>
              </m:r>
              <m:r>
                <m:rPr>
                  <m:sty m:val="p"/>
                </m:rPr>
                <w:rPr>
                  <w:rFonts w:ascii="Cambria Math" w:hAnsi="Cambria Math"/>
                </w:rPr>
                <m:t>×3+</m:t>
              </m:r>
              <m:r>
                <m:rPr>
                  <m:sty m:val="p"/>
                </m:rPr>
                <w:rPr>
                  <w:rFonts w:hint="eastAsia" w:ascii="Cambria Math" w:hAnsi="Cambria Math"/>
                </w:rPr>
                <m:t>支撑长度</m:t>
              </m:r>
              <m:r>
                <m:rPr>
                  <m:sty m:val="p"/>
                </m:rPr>
                <w:rPr>
                  <w:rFonts w:ascii="Cambria Math" w:hAnsi="Cambria Math"/>
                </w:rPr>
                <m:t>）×1.15</m:t>
              </m:r>
              <m:ctrlPr>
                <w:rPr>
                  <w:rFonts w:ascii="Cambria Math" w:hAnsi="Cambria Math"/>
                </w:rPr>
              </m:ctrlPr>
            </m:den>
          </m:f>
          <m:r>
            <m:rPr/>
            <w:rPr>
              <w:rFonts w:ascii="Cambria Math" w:hAnsi="Cambria Math"/>
            </w:rPr>
            <m:t>×100%</m:t>
          </m:r>
        </m:oMath>
      </m:oMathPara>
    </w:p>
    <w:p>
      <w:pPr>
        <w:ind w:firstLine="480" w:firstLineChars="200"/>
        <w:rPr>
          <w:rFonts w:hint="eastAsia" w:hAnsi="Cambria Math"/>
        </w:rPr>
      </w:pPr>
      <w:r>
        <w:rPr>
          <w:rFonts w:hint="eastAsia" w:hAnsi="Cambria Math"/>
          <w:shd w:val="clear" w:color="auto" w:fill="auto"/>
          <w:lang w:val="en-US" w:eastAsia="zh-CN"/>
        </w:rPr>
        <w:t>钢材切割总长度为钢构件的长度乘以组成构件的钢板数量。</w:t>
      </w:r>
    </w:p>
    <w:p>
      <w:pPr>
        <w:ind w:firstLine="480" w:firstLineChars="200"/>
        <w:rPr>
          <w:rFonts w:hint="eastAsia" w:hAnsi="Cambria Math"/>
        </w:rPr>
      </w:pPr>
      <w:r>
        <w:rPr>
          <w:rFonts w:hint="eastAsia" w:hAnsi="Cambria Math"/>
        </w:rPr>
        <w:t>钢材切割量为</w:t>
      </w:r>
      <w:r>
        <w:rPr>
          <w:rFonts w:hAnsi="Cambria Math"/>
        </w:rPr>
        <w:t>20%及以下</w:t>
      </w:r>
      <w:r>
        <w:rPr>
          <w:rFonts w:hint="eastAsia" w:hAnsi="Cambria Math"/>
        </w:rPr>
        <w:t>时，得100分；钢材切割量为8</w:t>
      </w:r>
      <w:r>
        <w:rPr>
          <w:rFonts w:hAnsi="Cambria Math"/>
        </w:rPr>
        <w:t>0%及以上</w:t>
      </w:r>
      <w:r>
        <w:rPr>
          <w:rFonts w:hint="eastAsia" w:hAnsi="Cambria Math"/>
        </w:rPr>
        <w:t>或全焊接钢结构，得0分；中间按线性内插计算。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shd w:val="clear" w:color="auto" w:fill="auto"/>
          <w:lang w:val="en-US" w:eastAsia="zh-CN"/>
        </w:rPr>
      </w:pPr>
      <w:r>
        <w:rPr>
          <w:rFonts w:hint="eastAsia"/>
        </w:rPr>
        <w:t>该指标</w:t>
      </w:r>
      <w:r>
        <w:rPr>
          <w:rFonts w:hint="eastAsia"/>
          <w:lang w:val="en-US" w:eastAsia="zh-CN"/>
        </w:rPr>
        <w:t>为预评价指标和评价指标。</w:t>
      </w:r>
    </w:p>
    <w:p>
      <w:r>
        <w:rPr>
          <w:rFonts w:hint="eastAsia"/>
          <w:b/>
          <w:bCs/>
        </w:rPr>
        <w:t>4.2.</w:t>
      </w:r>
      <w:r>
        <w:rPr>
          <w:rFonts w:hint="eastAsia"/>
          <w:b/>
          <w:bCs/>
          <w:lang w:val="en-US" w:eastAsia="zh-CN"/>
        </w:rPr>
        <w:t>4</w:t>
      </w:r>
      <w:r>
        <w:rPr>
          <w:rFonts w:hint="eastAsia"/>
        </w:rPr>
        <w:t xml:space="preserve">  工厂智能化设备或建筑机器人应用水平指工厂内智能化设备或建筑机器人应用的数量，应用数量≥5时，得100分；应用数量为0时，得0分；中间按线性内插计算。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该指标</w:t>
      </w:r>
      <w:r>
        <w:rPr>
          <w:rFonts w:hint="eastAsia"/>
          <w:lang w:val="en-US" w:eastAsia="zh-CN"/>
        </w:rPr>
        <w:t>为预评价指标和评价指标，</w:t>
      </w:r>
      <w:r>
        <w:rPr>
          <w:rFonts w:hint="eastAsia"/>
        </w:rPr>
        <w:t>预评价时该指标为承诺项。</w:t>
      </w:r>
    </w:p>
    <w:p>
      <w:pPr>
        <w:pageBreakBefore w:val="0"/>
        <w:widowControl w:val="0"/>
        <w:kinsoku/>
        <w:wordWrap/>
        <w:overflowPunct/>
        <w:topLinePunct w:val="0"/>
        <w:autoSpaceDE/>
        <w:autoSpaceDN/>
        <w:bidi w:val="0"/>
        <w:adjustRightInd/>
        <w:snapToGrid/>
        <w:textAlignment w:val="auto"/>
        <w:rPr>
          <w:rFonts w:hint="default"/>
          <w:color w:val="0000FF"/>
          <w:lang w:val="en-US" w:eastAsia="zh-CN"/>
        </w:rPr>
      </w:pPr>
      <w:r>
        <w:rPr>
          <w:rFonts w:hint="eastAsia"/>
          <w:color w:val="0000FF"/>
          <w:lang w:val="en-US" w:eastAsia="zh-CN"/>
        </w:rPr>
        <w:t>【条文说明】智能化设备或装备、建筑机器人可以提高生产效率、降低人工成本、保障施工安全及质量。工厂内的生产工艺流程性强、重复率高，非常适宜推广采用智能化设备或装备、建筑机器人等。钢结构工厂内的智能成型设备、切割设备、清洁机器人、喷涂机器人、焊接机器人等均属于智能化设备或装备、建筑机器人的范畴。设备和机器人的种类远不止于这些列举，申报单位可提供相应佐证材料证明属于智能化设备或装备、建筑机器人。</w:t>
      </w:r>
    </w:p>
    <w:p>
      <w:r>
        <w:rPr>
          <w:rFonts w:hint="eastAsia"/>
          <w:b/>
          <w:bCs/>
        </w:rPr>
        <w:t>4.2.</w:t>
      </w:r>
      <w:r>
        <w:rPr>
          <w:rFonts w:hint="eastAsia"/>
          <w:b/>
          <w:bCs/>
          <w:lang w:val="en-US" w:eastAsia="zh-CN"/>
        </w:rPr>
        <w:t>5</w:t>
      </w:r>
      <w:r>
        <w:rPr>
          <w:rFonts w:hint="eastAsia"/>
        </w:rPr>
        <w:t xml:space="preserve">  焊接量指评价单元内单位建筑面积中钢材焊接长度，即：</w:t>
      </w:r>
    </w:p>
    <w:p>
      <w:pPr>
        <w:rPr>
          <w:rFonts w:hint="eastAsia" w:hAnsi="Cambria Math"/>
        </w:rPr>
      </w:pPr>
      <m:oMathPara>
        <m:oMath>
          <m:r>
            <m:rPr>
              <m:sty m:val="p"/>
            </m:rPr>
            <w:rPr>
              <w:rFonts w:hint="eastAsia" w:ascii="Cambria Math" w:hAnsi="Cambria Math"/>
            </w:rPr>
            <m:t>焊接量</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评价单元内钢材焊接总长度</m:t>
              </m:r>
              <m:ctrlPr>
                <w:rPr>
                  <w:rFonts w:ascii="Cambria Math" w:hAnsi="Cambria Math"/>
                </w:rPr>
              </m:ctrlPr>
            </m:num>
            <m:den>
              <m:r>
                <m:rPr>
                  <m:sty m:val="p"/>
                </m:rPr>
                <w:rPr>
                  <w:rFonts w:hint="eastAsia" w:ascii="Cambria Math" w:hAnsi="Cambria Math"/>
                </w:rPr>
                <m:t>（钢柱</m:t>
              </m:r>
              <m:r>
                <m:rPr>
                  <m:sty m:val="p"/>
                </m:rPr>
                <w:rPr>
                  <w:rFonts w:ascii="Cambria Math" w:hAnsi="Cambria Math"/>
                </w:rPr>
                <m:t>+</m:t>
              </m:r>
              <m:r>
                <m:rPr>
                  <m:sty m:val="p"/>
                </m:rPr>
                <w:rPr>
                  <w:rFonts w:hint="eastAsia" w:ascii="Cambria Math" w:hAnsi="Cambria Math"/>
                </w:rPr>
                <m:t>钢</m:t>
              </m:r>
              <m:r>
                <m:rPr>
                  <m:sty m:val="p"/>
                </m:rPr>
                <w:rPr>
                  <w:rFonts w:ascii="Cambria Math" w:hAnsi="Cambria Math"/>
                </w:rPr>
                <m:t>梁）</m:t>
              </m:r>
              <m:r>
                <m:rPr>
                  <m:sty m:val="p"/>
                </m:rPr>
                <w:rPr>
                  <w:rFonts w:hint="eastAsia" w:ascii="Cambria Math" w:hAnsi="Cambria Math"/>
                </w:rPr>
                <m:t>总长度</m:t>
              </m:r>
              <m:r>
                <m:rPr>
                  <m:sty m:val="p"/>
                </m:rPr>
                <w:rPr>
                  <w:rFonts w:ascii="Cambria Math" w:hAnsi="Cambria Math"/>
                </w:rPr>
                <m:t>×4</m:t>
              </m:r>
              <m:r>
                <m:rPr>
                  <m:sty m:val="p"/>
                </m:rPr>
                <w:rPr>
                  <w:rFonts w:hint="default" w:ascii="Cambria Math" w:hAnsi="Cambria Math"/>
                  <w:lang w:val="en-US" w:eastAsia="zh-CN"/>
                </w:rPr>
                <m:t>+</m:t>
              </m:r>
              <m:r>
                <m:rPr>
                  <m:sty m:val="p"/>
                </m:rPr>
                <w:rPr>
                  <w:rFonts w:hint="eastAsia" w:ascii="Cambria Math" w:hAnsi="Cambria Math"/>
                  <w:lang w:val="en-US" w:eastAsia="zh-CN"/>
                </w:rPr>
                <m:t>支撑总长度×</m:t>
              </m:r>
              <m:r>
                <m:rPr>
                  <m:sty m:val="p"/>
                </m:rPr>
                <w:rPr>
                  <w:rFonts w:ascii="Cambria Math" w:hAnsi="Cambria Math"/>
                  <w:lang w:val="en-US"/>
                </w:rPr>
                <m:t>ω</m:t>
              </m:r>
              <m:r>
                <m:rPr>
                  <m:sty m:val="p"/>
                </m:rPr>
                <w:rPr>
                  <w:rFonts w:ascii="Cambria Math" w:hAnsi="Cambria Math"/>
                </w:rPr>
                <m:t>×1.05</m:t>
              </m:r>
              <m:ctrlPr>
                <w:rPr>
                  <w:rFonts w:ascii="Cambria Math" w:hAnsi="Cambria Math"/>
                </w:rPr>
              </m:ctrlPr>
            </m:den>
          </m:f>
          <m:r>
            <m:rPr/>
            <w:rPr>
              <w:rFonts w:ascii="Cambria Math" w:hAnsi="Cambria Math"/>
            </w:rPr>
            <m:t>×100%</m:t>
          </m:r>
        </m:oMath>
      </m:oMathPara>
    </w:p>
    <w:p>
      <w:pPr>
        <w:ind w:firstLine="480" w:firstLineChars="200"/>
        <w:rPr>
          <w:rFonts w:hint="default" w:hAnsi="Cambria Math"/>
          <w:highlight w:val="yellow"/>
          <w:lang w:val="en-US"/>
        </w:rPr>
      </w:pPr>
      <w:r>
        <w:rPr>
          <w:rFonts w:hint="eastAsia" w:hAnsi="Cambria Math"/>
          <w:b w:val="0"/>
          <w:i w:val="0"/>
          <w:lang w:val="en-US" w:eastAsia="zh-CN"/>
        </w:rPr>
        <w:t>支撑的截面形式为圆形时，</w:t>
      </w:r>
      <m:oMath>
        <m:r>
          <m:rPr>
            <m:sty m:val="p"/>
          </m:rPr>
          <w:rPr>
            <w:rFonts w:ascii="Cambria Math" w:hAnsi="Cambria Math"/>
            <w:lang w:val="en-US"/>
          </w:rPr>
          <m:t>ω</m:t>
        </m:r>
      </m:oMath>
      <w:r>
        <w:rPr>
          <w:rFonts w:hint="eastAsia" w:hAnsi="Cambria Math"/>
          <w:b w:val="0"/>
          <w:i w:val="0"/>
          <w:lang w:val="en-US" w:eastAsia="zh-CN"/>
        </w:rPr>
        <w:t>=1；支撑的截面形式为其他形状时，</w:t>
      </w:r>
      <m:oMath>
        <m:r>
          <m:rPr>
            <m:sty m:val="p"/>
          </m:rPr>
          <w:rPr>
            <w:rFonts w:ascii="Cambria Math" w:hAnsi="Cambria Math"/>
            <w:lang w:val="en-US"/>
          </w:rPr>
          <m:t>ω</m:t>
        </m:r>
      </m:oMath>
      <w:r>
        <w:rPr>
          <w:rFonts w:hint="eastAsia" w:hAnsi="Cambria Math"/>
          <w:b w:val="0"/>
          <w:i w:val="0"/>
          <w:lang w:val="en-US" w:eastAsia="zh-CN"/>
        </w:rPr>
        <w:t>=4。</w:t>
      </w:r>
    </w:p>
    <w:p>
      <w:pPr>
        <w:ind w:firstLine="480" w:firstLineChars="200"/>
        <w:rPr>
          <w:rFonts w:hint="eastAsia" w:hAnsi="Cambria Math"/>
        </w:rPr>
      </w:pPr>
      <w:r>
        <w:rPr>
          <w:rFonts w:hint="eastAsia" w:hAnsi="Cambria Math"/>
        </w:rPr>
        <w:t>焊接量为</w:t>
      </w:r>
      <w:r>
        <w:rPr>
          <w:rFonts w:hAnsi="Cambria Math"/>
        </w:rPr>
        <w:t>20%及以下</w:t>
      </w:r>
      <w:r>
        <w:rPr>
          <w:rFonts w:hint="eastAsia" w:hAnsi="Cambria Math"/>
        </w:rPr>
        <w:t>时，得100分；焊接量为8</w:t>
      </w:r>
      <w:r>
        <w:rPr>
          <w:rFonts w:hAnsi="Cambria Math"/>
        </w:rPr>
        <w:t>0%</w:t>
      </w:r>
      <w:r>
        <w:rPr>
          <w:rFonts w:hint="eastAsia" w:hAnsi="Cambria Math"/>
        </w:rPr>
        <w:t>及以上时，得0分；中间按线性内插计算。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72" w:name="_Toc9453"/>
      <w:r>
        <w:rPr>
          <w:rFonts w:hint="eastAsia" w:ascii="仿宋_GB2312" w:hAnsi="仿宋_GB2312" w:eastAsia="仿宋_GB2312" w:cs="仿宋_GB2312"/>
          <w:b w:val="0"/>
          <w:bCs w:val="0"/>
          <w:sz w:val="28"/>
          <w:szCs w:val="28"/>
        </w:rPr>
        <w:t>Ⅲ 运输效率</w:t>
      </w:r>
      <w:bookmarkStart w:id="73" w:name="_Toc16690"/>
      <w:r>
        <w:fldChar w:fldCharType="begin"/>
      </w:r>
      <w:r>
        <w:instrText xml:space="preserve"> TC  "</w:instrText>
      </w:r>
      <w:r>
        <w:rPr>
          <w:rFonts w:hint="eastAsia" w:ascii="仿宋_GB2312" w:hAnsi="仿宋_GB2312" w:eastAsia="仿宋_GB2312" w:cs="仿宋_GB2312"/>
          <w:b w:val="0"/>
          <w:bCs w:val="0"/>
          <w:sz w:val="28"/>
          <w:szCs w:val="28"/>
        </w:rPr>
        <w:instrText xml:space="preserve">Ⅲ</w:instrText>
      </w:r>
      <w:r>
        <w:instrText xml:space="preserve">  </w:instrText>
      </w:r>
      <w:r>
        <w:rPr>
          <w:rFonts w:hint="eastAsia"/>
          <w:lang w:val="en-US" w:eastAsia="zh-CN"/>
        </w:rPr>
        <w:instrText xml:space="preserve">Transport Efficiency</w:instrText>
      </w:r>
      <w:r>
        <w:instrText xml:space="preserve">" \l </w:instrText>
      </w:r>
      <w:r>
        <w:rPr>
          <w:rFonts w:hint="eastAsia"/>
          <w:lang w:val="en-US" w:eastAsia="zh-CN"/>
        </w:rPr>
        <w:instrText xml:space="preserve">3</w:instrText>
      </w:r>
      <w:r>
        <w:instrText xml:space="preserve"> </w:instrText>
      </w:r>
      <w:r>
        <w:fldChar w:fldCharType="end"/>
      </w:r>
      <w:bookmarkEnd w:id="72"/>
      <w:bookmarkEnd w:id="73"/>
    </w:p>
    <w:p>
      <w:pPr>
        <w:rPr>
          <w:rFonts w:hint="eastAsia"/>
        </w:rPr>
      </w:pPr>
      <w:r>
        <w:rPr>
          <w:rFonts w:hint="eastAsia" w:hAnsi="Cambria Math"/>
          <w:b/>
          <w:bCs/>
        </w:rPr>
        <w:t>4.2.</w:t>
      </w:r>
      <w:r>
        <w:rPr>
          <w:rFonts w:hint="eastAsia" w:hAnsi="Cambria Math"/>
          <w:b/>
          <w:bCs/>
          <w:lang w:val="en-US" w:eastAsia="zh-CN"/>
        </w:rPr>
        <w:t>6</w:t>
      </w:r>
      <w:r>
        <w:rPr>
          <w:rFonts w:hint="eastAsia" w:hAnsi="Cambria Math"/>
        </w:rPr>
        <w:t xml:space="preserve">  </w:t>
      </w:r>
      <w:r>
        <w:rPr>
          <w:rFonts w:hint="eastAsia"/>
        </w:rPr>
        <w:t>钢柱无伸出牛腿时，得100分；钢柱牛腿伸出长度为100mm时，得95分；钢柱牛腿伸出长度为200mm时，得90分；钢柱牛腿伸出长度为300mm时，得85分；钢柱牛腿伸出长度为500mm时，得80分；钢柱牛腿伸出长度≥800mm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该指标</w:t>
      </w:r>
      <w:r>
        <w:rPr>
          <w:rFonts w:hint="eastAsia"/>
          <w:lang w:val="en-US" w:eastAsia="zh-CN"/>
        </w:rPr>
        <w:t>为预评价指标和评价指标</w:t>
      </w:r>
      <w:r>
        <w:rPr>
          <w:rFonts w:hint="eastAsia"/>
        </w:rPr>
        <w:t>。</w:t>
      </w:r>
    </w:p>
    <w:p>
      <w:pPr>
        <w:pageBreakBefore w:val="0"/>
        <w:widowControl w:val="0"/>
        <w:kinsoku/>
        <w:wordWrap/>
        <w:overflowPunct/>
        <w:topLinePunct w:val="0"/>
        <w:autoSpaceDE/>
        <w:autoSpaceDN/>
        <w:bidi w:val="0"/>
        <w:adjustRightInd/>
        <w:snapToGrid/>
        <w:textAlignment w:val="auto"/>
        <w:rPr>
          <w:rFonts w:hint="default"/>
          <w:color w:val="0000FF"/>
          <w:lang w:val="en-US" w:eastAsia="zh-CN"/>
        </w:rPr>
      </w:pPr>
      <w:r>
        <w:rPr>
          <w:rFonts w:hint="eastAsia"/>
          <w:color w:val="0000FF"/>
          <w:lang w:val="en-US" w:eastAsia="zh-CN"/>
        </w:rPr>
        <w:t>【条文说明】钢柱牛腿伸出长度的合理选择对于提高运输效率至关重要。适当的牛腿长度可以减少装卸时间，提高运输速度，并降低因运输过程中可能出现的损坏而导致的损失。过长的牛腿可能会增加运输车辆和设备的操作难度。例如，在装卸过程中，需要更大的空间来容纳和移动长牛腿，这可能导致运输路线的选择受限，或者需要更多时间来完成装卸作业。</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74" w:name="_Toc13934"/>
      <w:r>
        <w:rPr>
          <w:rFonts w:hint="eastAsia" w:ascii="仿宋_GB2312" w:hAnsi="仿宋_GB2312" w:eastAsia="仿宋_GB2312" w:cs="仿宋_GB2312"/>
          <w:b w:val="0"/>
          <w:bCs w:val="0"/>
          <w:sz w:val="28"/>
          <w:szCs w:val="28"/>
          <w:lang w:val="en-US" w:eastAsia="zh-CN"/>
        </w:rPr>
        <w:t>Ⅳ</w:t>
      </w:r>
      <w:r>
        <w:rPr>
          <w:rFonts w:hint="eastAsia" w:ascii="仿宋_GB2312" w:hAnsi="仿宋_GB2312" w:eastAsia="仿宋_GB2312" w:cs="仿宋_GB2312"/>
          <w:b w:val="0"/>
          <w:bCs w:val="0"/>
          <w:sz w:val="28"/>
          <w:szCs w:val="28"/>
        </w:rPr>
        <w:t xml:space="preserve"> 施工效率</w:t>
      </w:r>
      <w:bookmarkStart w:id="75" w:name="_Toc13782"/>
      <w:r>
        <w:fldChar w:fldCharType="begin"/>
      </w:r>
      <w:r>
        <w:instrText xml:space="preserve"> TC  "</w:instrText>
      </w:r>
      <w:r>
        <w:rPr>
          <w:rFonts w:hint="eastAsia" w:ascii="仿宋_GB2312" w:hAnsi="仿宋_GB2312" w:eastAsia="仿宋_GB2312" w:cs="仿宋_GB2312"/>
          <w:b w:val="0"/>
          <w:bCs w:val="0"/>
          <w:sz w:val="28"/>
          <w:szCs w:val="28"/>
          <w:lang w:val="en-US" w:eastAsia="zh-CN"/>
        </w:rPr>
        <w:instrText xml:space="preserve">Ⅳ</w:instrText>
      </w:r>
      <w:r>
        <w:instrText xml:space="preserve">  </w:instrText>
      </w:r>
      <w:r>
        <w:rPr>
          <w:rFonts w:hint="eastAsia"/>
          <w:lang w:val="en-US" w:eastAsia="zh-CN"/>
        </w:rPr>
        <w:instrText xml:space="preserve">Construction</w:instrText>
      </w:r>
      <w:r>
        <w:rPr>
          <w:rFonts w:hint="eastAsia"/>
          <w:lang w:val="en-US" w:eastAsia="zh-CN"/>
        </w:rPr>
        <w:instrText xml:space="preserve"> Efficiency</w:instrText>
      </w:r>
      <w:r>
        <w:instrText xml:space="preserve">" \l </w:instrText>
      </w:r>
      <w:r>
        <w:rPr>
          <w:rFonts w:hint="eastAsia"/>
          <w:lang w:val="en-US" w:eastAsia="zh-CN"/>
        </w:rPr>
        <w:instrText xml:space="preserve">3</w:instrText>
      </w:r>
      <w:r>
        <w:instrText xml:space="preserve"> </w:instrText>
      </w:r>
      <w:r>
        <w:fldChar w:fldCharType="end"/>
      </w:r>
      <w:bookmarkEnd w:id="74"/>
      <w:bookmarkEnd w:id="75"/>
    </w:p>
    <w:p>
      <w:r>
        <w:rPr>
          <w:rFonts w:hint="eastAsia"/>
          <w:b/>
          <w:bCs/>
        </w:rPr>
        <w:t>4.2.</w:t>
      </w:r>
      <w:r>
        <w:rPr>
          <w:rFonts w:hint="eastAsia"/>
          <w:b/>
          <w:bCs/>
          <w:lang w:val="en-US" w:eastAsia="zh-CN"/>
        </w:rPr>
        <w:t>7</w:t>
      </w:r>
      <w:r>
        <w:rPr>
          <w:rFonts w:hint="eastAsia"/>
        </w:rPr>
        <w:t xml:space="preserve"> 采用螺栓连接的节点占比指评价单元中采用全螺栓或翼缘焊接腹板栓接的节点数量占全部节点数量的比例，即：</w:t>
      </w:r>
    </w:p>
    <w:p>
      <w:pPr>
        <w:rPr>
          <w:rFonts w:hint="eastAsia" w:hAnsi="Cambria Math"/>
        </w:rPr>
      </w:pPr>
      <m:oMathPara>
        <m:oMath>
          <m:r>
            <m:rPr>
              <m:sty m:val="p"/>
            </m:rPr>
            <w:rPr>
              <w:rFonts w:hint="eastAsia" w:ascii="Cambria Math" w:hAnsi="Cambria Math"/>
            </w:rPr>
            <m:t>采用螺栓连接的节点占比</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评价单元内采用全螺栓或翼缘焊接腹板栓接的节点数量</m:t>
              </m:r>
              <m:ctrlPr>
                <w:rPr>
                  <w:rFonts w:ascii="Cambria Math" w:hAnsi="Cambria Math"/>
                </w:rPr>
              </m:ctrlPr>
            </m:num>
            <m:den>
              <m:r>
                <m:rPr>
                  <m:sty m:val="p"/>
                </m:rPr>
                <w:rPr>
                  <w:rFonts w:hint="eastAsia" w:ascii="Cambria Math" w:hAnsi="Cambria Math"/>
                </w:rPr>
                <m:t>评价单元全部节点数量</m:t>
              </m:r>
              <m:ctrlPr>
                <w:rPr>
                  <w:rFonts w:ascii="Cambria Math" w:hAnsi="Cambria Math"/>
                </w:rPr>
              </m:ctrlPr>
            </m:den>
          </m:f>
        </m:oMath>
      </m:oMathPara>
    </w:p>
    <w:p>
      <w:pPr>
        <w:ind w:firstLine="480" w:firstLineChars="200"/>
        <w:rPr>
          <w:rFonts w:hint="eastAsia" w:hAnsi="Cambria Math"/>
        </w:rPr>
      </w:pPr>
      <w:r>
        <w:rPr>
          <w:rFonts w:hint="eastAsia"/>
        </w:rPr>
        <w:t>采用螺栓连接的节点占比</w:t>
      </w:r>
      <w:r>
        <w:rPr>
          <w:rFonts w:hint="eastAsia" w:hAnsi="Cambria Math"/>
        </w:rPr>
        <w:t>为80%及以上时时，得100分；</w:t>
      </w:r>
      <w:r>
        <w:rPr>
          <w:rFonts w:hint="eastAsia"/>
        </w:rPr>
        <w:t>采用螺栓连接的节点占比</w:t>
      </w:r>
      <w:r>
        <w:rPr>
          <w:rFonts w:hint="eastAsia" w:hAnsi="Cambria Math"/>
        </w:rPr>
        <w:t>为20%及以下时，得0分；中间按线性内插计算。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r>
        <w:rPr>
          <w:rFonts w:hint="eastAsia" w:hAnsi="Cambria Math"/>
        </w:rPr>
        <w:t xml:space="preserve"> </w:t>
      </w:r>
    </w:p>
    <w:p>
      <w:pPr>
        <w:pageBreakBefore w:val="0"/>
        <w:widowControl w:val="0"/>
        <w:kinsoku/>
        <w:wordWrap/>
        <w:overflowPunct/>
        <w:topLinePunct w:val="0"/>
        <w:autoSpaceDE/>
        <w:autoSpaceDN/>
        <w:bidi w:val="0"/>
        <w:adjustRightInd/>
        <w:snapToGrid/>
        <w:textAlignment w:val="auto"/>
        <w:rPr>
          <w:rFonts w:hint="eastAsia"/>
          <w:color w:val="0000FF"/>
          <w:lang w:val="en-US" w:eastAsia="zh-CN"/>
        </w:rPr>
      </w:pPr>
      <w:r>
        <w:rPr>
          <w:rFonts w:hint="eastAsia"/>
          <w:color w:val="0000FF"/>
          <w:lang w:val="en-US" w:eastAsia="zh-CN"/>
        </w:rPr>
        <w:t>【条文说明】在钢结构建筑中，梁、柱等关键构件在工厂中预制，并预留好螺栓孔。这些构件在现场通过螺栓连接快速组装，大大缩短了施工周，提高了施工速度。随着自动化技术的发展，越来越多的自动化设备被应用于螺栓连接过程中。在工厂，自动化设备可以精确地完成钢结构部件的组装和螺栓连接，减少人工操作的时间和成本。在施工现场，自动化吊装设备可以迅速、准确地将预制好的钢结构部件吊装到指定位置，并通过螺栓进行固定，从而进一步提升施工效率。相比其他连接方式，螺栓连接具有更高的灵活性和可重用性。采用螺栓连接的钢构件更容易进行调整和更换。</w:t>
      </w:r>
    </w:p>
    <w:p>
      <w:r>
        <w:rPr>
          <w:rFonts w:hint="eastAsia"/>
          <w:b/>
          <w:bCs/>
        </w:rPr>
        <w:t>4.2.</w:t>
      </w:r>
      <w:r>
        <w:rPr>
          <w:rFonts w:hint="eastAsia"/>
          <w:b/>
          <w:bCs/>
          <w:lang w:val="en-US" w:eastAsia="zh-CN"/>
        </w:rPr>
        <w:t>8</w:t>
      </w:r>
      <w:r>
        <w:rPr>
          <w:rFonts w:hint="eastAsia"/>
        </w:rPr>
        <w:t xml:space="preserve">  现场智能化设备或建筑机器人应用水平指施工现场智能化设备或建筑机器人应用的数量，应用数量≥5时，得100分；应用数量为0时，得0分；中间按线性内插计算。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pPr>
      <w:r>
        <w:rPr>
          <w:rFonts w:hint="eastAsia"/>
        </w:rPr>
        <w:t>该指标</w:t>
      </w:r>
      <w:r>
        <w:rPr>
          <w:rFonts w:hint="eastAsia"/>
          <w:lang w:val="en-US" w:eastAsia="zh-CN"/>
        </w:rPr>
        <w:t>为预评价指标和评价指标，</w:t>
      </w:r>
      <w:r>
        <w:rPr>
          <w:rFonts w:hint="eastAsia"/>
        </w:rPr>
        <w:t>该指标预评价时为承诺项。</w:t>
      </w:r>
    </w:p>
    <w:p>
      <w:r>
        <w:rPr>
          <w:rFonts w:hint="eastAsia"/>
          <w:b/>
          <w:bCs/>
        </w:rPr>
        <w:t>4.2.</w:t>
      </w:r>
      <w:r>
        <w:rPr>
          <w:rFonts w:hint="eastAsia"/>
          <w:b/>
          <w:bCs/>
          <w:lang w:val="en-US" w:eastAsia="zh-CN"/>
        </w:rPr>
        <w:t>9</w:t>
      </w:r>
      <w:r>
        <w:rPr>
          <w:rFonts w:hint="eastAsia"/>
        </w:rPr>
        <w:t xml:space="preserve">  现场防火涂装量占比指施工现场防火涂装面积占评价单元内所有防火涂装面积的比值，即：</w:t>
      </w:r>
    </w:p>
    <w:p>
      <w:pPr>
        <w:rPr>
          <w:rFonts w:hint="eastAsia" w:hAnsi="Cambria Math"/>
        </w:rPr>
      </w:pPr>
      <m:oMathPara>
        <m:oMath>
          <m:r>
            <m:rPr>
              <m:sty m:val="p"/>
            </m:rPr>
            <w:rPr>
              <w:rFonts w:hint="eastAsia" w:ascii="Cambria Math" w:hAnsi="Cambria Math"/>
            </w:rPr>
            <m:t>现场防火涂装量占比</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评价单元内施工现场防火涂装面积</m:t>
              </m:r>
              <m:ctrlPr>
                <w:rPr>
                  <w:rFonts w:ascii="Cambria Math" w:hAnsi="Cambria Math"/>
                </w:rPr>
              </m:ctrlPr>
            </m:num>
            <m:den>
              <m:r>
                <m:rPr>
                  <m:sty m:val="p"/>
                </m:rPr>
                <w:rPr>
                  <w:rFonts w:hint="eastAsia" w:ascii="Cambria Math" w:hAnsi="Cambria Math"/>
                </w:rPr>
                <m:t>评价单元所有防火涂装面积</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hAnsi="Cambria Math"/>
        </w:rPr>
        <w:t>现场防火涂装量占比为0时，得100分；现场防火涂装量占比为100%时，得0分；中间按线性内插计算。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该指标预评价时为承诺项。</w:t>
      </w:r>
    </w:p>
    <w:p>
      <w:r>
        <w:rPr>
          <w:rFonts w:hint="eastAsia" w:hAnsi="Cambria Math"/>
          <w:b/>
          <w:bCs/>
        </w:rPr>
        <w:t>4.2.</w:t>
      </w:r>
      <w:r>
        <w:rPr>
          <w:rFonts w:hint="eastAsia" w:hAnsi="Cambria Math"/>
          <w:b/>
          <w:bCs/>
          <w:lang w:val="en-US" w:eastAsia="zh-CN"/>
        </w:rPr>
        <w:t>10</w:t>
      </w:r>
      <w:r>
        <w:rPr>
          <w:rFonts w:hint="eastAsia" w:hAnsi="Cambria Math"/>
        </w:rPr>
        <w:t xml:space="preserve">  </w:t>
      </w:r>
      <w:r>
        <w:rPr>
          <w:rFonts w:hint="eastAsia"/>
        </w:rPr>
        <w:t>免模免撑楼板面积占比指评价单元内免模免撑楼板面积之和占所有楼板面积之和的比例，即：</w:t>
      </w:r>
    </w:p>
    <w:p>
      <w:pPr>
        <w:rPr>
          <w:rFonts w:hint="eastAsia" w:hAnsi="Cambria Math"/>
        </w:rPr>
      </w:pPr>
      <m:oMathPara>
        <m:oMath>
          <m:r>
            <m:rPr>
              <m:sty m:val="p"/>
            </m:rPr>
            <w:rPr>
              <w:rFonts w:hint="eastAsia" w:ascii="Cambria Math" w:hAnsi="Cambria Math"/>
            </w:rPr>
            <m:t>免模免撑楼板面积占比</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评价单元内免模免撑成楼板面积之和</m:t>
              </m:r>
              <m:ctrlPr>
                <w:rPr>
                  <w:rFonts w:ascii="Cambria Math" w:hAnsi="Cambria Math"/>
                </w:rPr>
              </m:ctrlPr>
            </m:num>
            <m:den>
              <m:r>
                <m:rPr>
                  <m:sty m:val="p"/>
                </m:rPr>
                <w:rPr>
                  <w:rFonts w:hint="eastAsia" w:ascii="Cambria Math" w:hAnsi="Cambria Math"/>
                </w:rPr>
                <m:t>评价单元所有楼板面积之和</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hAnsi="Cambria Math"/>
          <w:color w:val="0000FF"/>
        </w:rPr>
        <w:t>免模免撑楼板面积占比为100%时，得100分；免模免撑楼板面积占比为0</w:t>
      </w:r>
      <w:r>
        <w:rPr>
          <w:rFonts w:hint="eastAsia" w:hAnsi="Cambria Math"/>
        </w:rPr>
        <w:t>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pPr>
        <w:rPr>
          <w:rFonts w:hint="eastAsia"/>
        </w:rPr>
      </w:pPr>
      <w:r>
        <w:rPr>
          <w:rFonts w:hint="eastAsia" w:hAnsi="Cambria Math"/>
          <w:b/>
          <w:bCs/>
        </w:rPr>
        <w:t>4.2.1</w:t>
      </w:r>
      <w:r>
        <w:rPr>
          <w:rFonts w:hint="eastAsia" w:hAnsi="Cambria Math"/>
          <w:b/>
          <w:bCs/>
          <w:lang w:val="en-US" w:eastAsia="zh-CN"/>
        </w:rPr>
        <w:t>1</w:t>
      </w:r>
      <w:r>
        <w:rPr>
          <w:rFonts w:hint="eastAsia" w:hAnsi="Cambria Math"/>
        </w:rPr>
        <w:t xml:space="preserve">  在满足结构性能要求下，</w:t>
      </w:r>
      <w:r>
        <w:rPr>
          <w:rFonts w:hint="eastAsia"/>
        </w:rPr>
        <w:t>螺栓孔孔径允许偏差</w:t>
      </w:r>
      <w:r>
        <w:rPr>
          <w:rFonts w:hint="eastAsia"/>
          <w:lang w:val="en-US" w:eastAsia="zh-CN"/>
        </w:rPr>
        <w:t>大于</w:t>
      </w:r>
      <w:r>
        <w:rPr>
          <w:rFonts w:hint="eastAsia"/>
        </w:rPr>
        <w:t>现行规范规定限值的，得100分；满足现行规范要求的，得60分。</w:t>
      </w:r>
    </w:p>
    <w:p>
      <w:pPr>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该指标</w:t>
      </w:r>
      <w:r>
        <w:rPr>
          <w:rFonts w:hint="eastAsia"/>
          <w:lang w:val="en-US" w:eastAsia="zh-CN"/>
        </w:rPr>
        <w:t>为预评价指标和评价指标</w:t>
      </w:r>
      <w:r>
        <w:rPr>
          <w:rFonts w:hint="eastAsia"/>
        </w:rPr>
        <w:t>。</w:t>
      </w:r>
    </w:p>
    <w:p>
      <w:pPr>
        <w:pageBreakBefore w:val="0"/>
        <w:widowControl w:val="0"/>
        <w:kinsoku/>
        <w:wordWrap/>
        <w:overflowPunct/>
        <w:topLinePunct w:val="0"/>
        <w:autoSpaceDE/>
        <w:autoSpaceDN/>
        <w:bidi w:val="0"/>
        <w:adjustRightInd/>
        <w:snapToGrid/>
        <w:textAlignment w:val="auto"/>
        <w:rPr>
          <w:rFonts w:hint="default"/>
          <w:color w:val="0000FF"/>
          <w:lang w:val="en-US"/>
        </w:rPr>
      </w:pPr>
      <w:r>
        <w:rPr>
          <w:rFonts w:hint="eastAsia"/>
          <w:color w:val="0000FF"/>
          <w:lang w:val="en-US" w:eastAsia="zh-CN"/>
        </w:rPr>
        <w:t>【条文说明】当螺栓孔孔径的容错能力较高时，意味着在安装螺栓时，对孔径的精度要求相对较低，螺栓在安装过程中更容易就位。这可以减少因孔径偏差过大而导致的螺栓无法安装或安装困难的问题，从而避免了因重新加工孔径或更换螺栓而产生的返工和延误。同时，提高螺栓孔径的容错能力，可以增强螺栓孔的适应性，提高设计与施工的灵活性。</w:t>
      </w:r>
    </w:p>
    <w:p>
      <w:pPr>
        <w:pStyle w:val="4"/>
        <w:spacing w:before="240" w:after="240"/>
      </w:pPr>
      <w:bookmarkStart w:id="76" w:name="_Toc138833777"/>
      <w:bookmarkStart w:id="77" w:name="_Toc285"/>
      <w:bookmarkStart w:id="78" w:name="_Toc14170"/>
      <w:r>
        <w:rPr>
          <w:rFonts w:ascii="Times New Roman" w:hAnsi="Times New Roman" w:cs="Times New Roman"/>
        </w:rPr>
        <w:t>4.3</w:t>
      </w:r>
      <w:r>
        <w:t xml:space="preserve"> </w:t>
      </w:r>
      <w:r>
        <w:rPr>
          <w:rFonts w:hint="eastAsia" w:ascii="黑体" w:hAnsi="黑体" w:eastAsia="黑体" w:cs="黑体"/>
        </w:rPr>
        <w:t xml:space="preserve"> </w:t>
      </w:r>
      <w:bookmarkEnd w:id="76"/>
      <w:r>
        <w:rPr>
          <w:rFonts w:hint="eastAsia" w:ascii="黑体" w:hAnsi="黑体" w:eastAsia="黑体" w:cs="黑体"/>
        </w:rPr>
        <w:t>性能</w:t>
      </w:r>
      <w:bookmarkStart w:id="79" w:name="_Toc3906"/>
      <w:r>
        <w:fldChar w:fldCharType="begin"/>
      </w:r>
      <w:r>
        <w:instrText xml:space="preserve"> </w:instrText>
      </w:r>
      <w:r>
        <w:rPr>
          <w:rFonts w:hint="eastAsia"/>
        </w:rPr>
        <w:instrText xml:space="preserve">TC  "</w:instrText>
      </w:r>
      <w:bookmarkStart w:id="80" w:name="_Toc152145799"/>
      <w:bookmarkStart w:id="81" w:name="_Toc152144912"/>
      <w:r>
        <w:rPr>
          <w:rFonts w:hint="eastAsia"/>
        </w:rPr>
        <w:instrText xml:space="preserve">4.3  </w:instrText>
      </w:r>
      <w:bookmarkEnd w:id="80"/>
      <w:bookmarkEnd w:id="81"/>
      <w:r>
        <w:rPr>
          <w:rFonts w:hint="eastAsia"/>
          <w:lang w:val="en-US" w:eastAsia="zh-CN"/>
        </w:rPr>
        <w:instrText xml:space="preserve">P</w:instrText>
      </w:r>
      <w:r>
        <w:rPr>
          <w:rFonts w:hint="eastAsia"/>
          <w:lang w:val="en-US" w:eastAsia="zh-CN"/>
        </w:rPr>
        <w:instrText xml:space="preserve">erformance</w:instrText>
      </w:r>
      <w:r>
        <w:rPr>
          <w:rFonts w:hint="eastAsia"/>
        </w:rPr>
        <w:instrText xml:space="preserve">" \l 2</w:instrText>
      </w:r>
      <w:r>
        <w:instrText xml:space="preserve"> </w:instrText>
      </w:r>
      <w:r>
        <w:fldChar w:fldCharType="end"/>
      </w:r>
      <w:bookmarkEnd w:id="77"/>
      <w:bookmarkEnd w:id="78"/>
      <w:bookmarkEnd w:id="79"/>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82" w:name="_Toc20861"/>
      <w:r>
        <w:rPr>
          <w:rFonts w:hint="eastAsia" w:ascii="仿宋_GB2312" w:hAnsi="仿宋_GB2312" w:eastAsia="仿宋_GB2312" w:cs="仿宋_GB2312"/>
          <w:b w:val="0"/>
          <w:bCs w:val="0"/>
          <w:sz w:val="28"/>
          <w:szCs w:val="28"/>
        </w:rPr>
        <w:t>Ⅰ</w:t>
      </w:r>
      <w:r>
        <w:rPr>
          <w:rFonts w:hint="eastAsia" w:ascii="仿宋_GB2312" w:hAnsi="仿宋_GB2312" w:eastAsia="仿宋_GB2312" w:cs="仿宋_GB2312"/>
          <w:b w:val="0"/>
          <w:bCs w:val="0"/>
          <w:sz w:val="28"/>
          <w:szCs w:val="28"/>
          <w:lang w:val="en-US" w:eastAsia="zh-CN"/>
        </w:rPr>
        <w:t xml:space="preserve"> </w:t>
      </w:r>
      <w:r>
        <w:rPr>
          <w:rFonts w:hint="eastAsia" w:ascii="仿宋_GB2312" w:hAnsi="仿宋_GB2312" w:eastAsia="仿宋_GB2312" w:cs="仿宋_GB2312"/>
          <w:b w:val="0"/>
          <w:bCs w:val="0"/>
          <w:sz w:val="28"/>
          <w:szCs w:val="28"/>
        </w:rPr>
        <w:t>材料性能</w:t>
      </w:r>
      <w:bookmarkStart w:id="83" w:name="_Toc20264"/>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Ⅰ</w:instrText>
      </w:r>
      <w:r>
        <w:rPr>
          <w:rFonts w:hint="eastAsia"/>
        </w:rPr>
        <w:instrText xml:space="preserve">  </w:instrText>
      </w:r>
      <w:r>
        <w:rPr>
          <w:rFonts w:hint="eastAsia"/>
          <w:lang w:val="en-US" w:eastAsia="zh-CN"/>
        </w:rPr>
        <w:instrText xml:space="preserve">Material Properties</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82"/>
      <w:bookmarkEnd w:id="83"/>
    </w:p>
    <w:p>
      <w:pPr>
        <w:rPr>
          <w:rFonts w:hint="eastAsia" w:hAnsi="Cambria Math"/>
        </w:rPr>
      </w:pPr>
      <w:r>
        <w:rPr>
          <w:rFonts w:hint="eastAsia" w:hAnsi="Cambria Math"/>
          <w:b/>
        </w:rPr>
        <w:t>4</w:t>
      </w:r>
      <w:r>
        <w:rPr>
          <w:rFonts w:hAnsi="Cambria Math"/>
          <w:b/>
        </w:rPr>
        <w:t>.3.1</w:t>
      </w:r>
      <w:r>
        <w:rPr>
          <w:rFonts w:hAnsi="Cambria Math"/>
        </w:rPr>
        <w:t xml:space="preserve"> 梁构件中采用</w:t>
      </w:r>
      <w:r>
        <w:rPr>
          <w:rFonts w:hint="eastAsia" w:hAnsi="Cambria Math"/>
        </w:rPr>
        <w:t>轧制型材应用占比指评价单元内钢梁采用轧制型材的用量与评价单元内钢梁总用量的比例，即：</w:t>
      </w:r>
    </w:p>
    <w:p>
      <w:pPr>
        <w:rPr>
          <w:rFonts w:hint="eastAsia" w:hAnsi="Cambria Math"/>
        </w:rPr>
      </w:pPr>
      <m:oMathPara>
        <m:oMath>
          <m:r>
            <m:rPr>
              <m:sty m:val="p"/>
            </m:rPr>
            <w:rPr>
              <w:rFonts w:ascii="Cambria Math" w:hAnsi="Cambria Math"/>
            </w:rPr>
            <m:t>梁构件中采用</m:t>
          </m:r>
          <m:r>
            <m:rPr>
              <m:sty m:val="p"/>
            </m:rPr>
            <w:rPr>
              <w:rFonts w:hint="eastAsia" w:ascii="Cambria Math" w:hAnsi="Cambria Math"/>
            </w:rPr>
            <m:t>轧制型材应用占比=</m:t>
          </m:r>
          <m:f>
            <m:fPr>
              <m:ctrlPr>
                <w:rPr>
                  <w:rFonts w:ascii="Cambria Math" w:hAnsi="Cambria Math"/>
                </w:rPr>
              </m:ctrlPr>
            </m:fPr>
            <m:num>
              <m:r>
                <m:rPr>
                  <m:sty m:val="p"/>
                </m:rPr>
                <w:rPr>
                  <w:rFonts w:hint="eastAsia" w:ascii="Cambria Math" w:hAnsi="Cambria Math"/>
                </w:rPr>
                <m:t>评价单元内钢梁采用轧制型材用钢量</m:t>
              </m:r>
              <m:ctrlPr>
                <w:rPr>
                  <w:rFonts w:ascii="Cambria Math" w:hAnsi="Cambria Math"/>
                </w:rPr>
              </m:ctrlPr>
            </m:num>
            <m:den>
              <m:r>
                <m:rPr>
                  <m:sty m:val="p"/>
                </m:rPr>
                <w:rPr>
                  <w:rFonts w:hint="eastAsia" w:ascii="Cambria Math" w:hAnsi="Cambria Math"/>
                </w:rPr>
                <m:t>评价单元内钢梁总用钢量</m:t>
              </m:r>
              <m:ctrlPr>
                <w:rPr>
                  <w:rFonts w:ascii="Cambria Math" w:hAnsi="Cambria Math"/>
                </w:rPr>
              </m:ctrlPr>
            </m:den>
          </m:f>
          <m:r>
            <m:rPr/>
            <w:rPr>
              <w:rFonts w:hint="eastAsia" w:ascii="Cambria Math" w:hAnsi="Cambria Math"/>
            </w:rPr>
            <m:t>×</m:t>
          </m:r>
          <m:r>
            <m:rPr/>
            <w:rPr>
              <w:rFonts w:ascii="Cambria Math" w:hAnsi="Cambria Math"/>
            </w:rPr>
            <m:t>100</m:t>
          </m:r>
          <m:r>
            <m:rPr/>
            <w:rPr>
              <w:rFonts w:hint="eastAsia" w:ascii="Cambria Math" w:hAnsi="Cambria Math"/>
            </w:rPr>
            <m:t>%</m:t>
          </m:r>
        </m:oMath>
      </m:oMathPara>
    </w:p>
    <w:p>
      <w:pPr>
        <w:ind w:firstLine="480"/>
        <w:rPr>
          <w:rFonts w:hint="eastAsia" w:ascii="Cambria Math" w:hAnsi="Cambria Math"/>
        </w:rPr>
      </w:pPr>
      <w:r>
        <w:rPr>
          <w:rFonts w:hAnsi="Cambria Math"/>
        </w:rPr>
        <w:t>梁构件中采用</w:t>
      </w:r>
      <w:r>
        <w:rPr>
          <w:rFonts w:hint="eastAsia" w:hAnsi="Cambria Math"/>
        </w:rPr>
        <w:t>轧制型材</w:t>
      </w:r>
      <w:r>
        <w:rPr>
          <w:rFonts w:hint="eastAsia" w:ascii="Cambria Math" w:hAnsi="Cambria Math"/>
        </w:rPr>
        <w:t>应用占比为1</w:t>
      </w:r>
      <w:r>
        <w:rPr>
          <w:rFonts w:ascii="Cambria Math" w:hAnsi="Cambria Math"/>
        </w:rPr>
        <w:t>00</w:t>
      </w:r>
      <w:r>
        <w:rPr>
          <w:rFonts w:hint="eastAsia" w:ascii="Cambria Math" w:hAnsi="Cambria Math"/>
        </w:rPr>
        <w:t>%时，得1</w:t>
      </w:r>
      <w:r>
        <w:rPr>
          <w:rFonts w:ascii="Cambria Math" w:hAnsi="Cambria Math"/>
        </w:rPr>
        <w:t>00</w:t>
      </w:r>
      <w:r>
        <w:rPr>
          <w:rFonts w:hint="eastAsia" w:ascii="Cambria Math" w:hAnsi="Cambria Math"/>
        </w:rPr>
        <w:t>分；</w:t>
      </w:r>
      <w:r>
        <w:rPr>
          <w:rFonts w:hAnsi="Cambria Math"/>
        </w:rPr>
        <w:t>梁构件中采用</w:t>
      </w:r>
      <w:r>
        <w:rPr>
          <w:rFonts w:hint="eastAsia" w:hAnsi="Cambria Math"/>
        </w:rPr>
        <w:t>轧制型材</w:t>
      </w:r>
      <w:r>
        <w:rPr>
          <w:rFonts w:hint="eastAsia" w:ascii="Cambria Math" w:hAnsi="Cambria Math"/>
        </w:rPr>
        <w:t>应用占比为2</w:t>
      </w:r>
      <w:r>
        <w:rPr>
          <w:rFonts w:ascii="Cambria Math" w:hAnsi="Cambria Math"/>
        </w:rPr>
        <w:t>0</w:t>
      </w:r>
      <w:r>
        <w:rPr>
          <w:rFonts w:hint="eastAsia" w:ascii="Cambria Math" w:hAnsi="Cambria Math"/>
        </w:rPr>
        <w:t>%及以下时，得0分；中间按线性内插计算。</w:t>
      </w:r>
    </w:p>
    <w:p>
      <w:pPr>
        <w:rPr>
          <w:rFonts w:hint="eastAsia" w:hAnsi="Cambria Math"/>
        </w:rPr>
      </w:pPr>
      <w:r>
        <w:rPr>
          <w:rFonts w:hAnsi="Cambria Math"/>
          <w:b/>
        </w:rPr>
        <w:t xml:space="preserve">4.3.2 </w:t>
      </w:r>
      <w:r>
        <w:rPr>
          <w:rFonts w:hAnsi="Cambria Math"/>
        </w:rPr>
        <w:t>柱及支撑</w:t>
      </w:r>
      <w:r>
        <w:rPr>
          <w:rFonts w:hint="eastAsia" w:hAnsi="Cambria Math"/>
        </w:rPr>
        <w:t>构件</w:t>
      </w:r>
      <w:r>
        <w:rPr>
          <w:rFonts w:hAnsi="Cambria Math"/>
        </w:rPr>
        <w:t>中采用轧制型材</w:t>
      </w:r>
      <w:r>
        <w:rPr>
          <w:rFonts w:hint="eastAsia" w:hAnsi="Cambria Math"/>
        </w:rPr>
        <w:t>应用占比指评价单元内钢柱采用方矩形钢管或热轧H型钢的用量与评价单元内钢柱总用量的比例，即：</w:t>
      </w:r>
    </w:p>
    <w:p>
      <w:pPr>
        <w:rPr>
          <w:rFonts w:hint="eastAsia" w:hAnsi="Cambria Math"/>
        </w:rPr>
      </w:pPr>
      <m:oMathPara>
        <m:oMath>
          <m:r>
            <m:rPr>
              <m:sty m:val="p"/>
            </m:rPr>
            <w:rPr>
              <w:rFonts w:ascii="Cambria Math" w:hAnsi="Cambria Math"/>
            </w:rPr>
            <m:t>柱及支撑</m:t>
          </m:r>
          <m:r>
            <m:rPr>
              <m:sty m:val="p"/>
            </m:rPr>
            <w:rPr>
              <w:rFonts w:hint="eastAsia" w:ascii="Cambria Math" w:hAnsi="Cambria Math"/>
            </w:rPr>
            <m:t>构件</m:t>
          </m:r>
          <m:r>
            <m:rPr>
              <m:sty m:val="p"/>
            </m:rPr>
            <w:rPr>
              <w:rFonts w:ascii="Cambria Math" w:hAnsi="Cambria Math"/>
            </w:rPr>
            <m:t>中采用轧制型材</m:t>
          </m:r>
          <m:r>
            <m:rPr>
              <m:sty m:val="p"/>
            </m:rPr>
            <w:rPr>
              <w:rFonts w:hint="eastAsia" w:ascii="Cambria Math" w:hAnsi="Cambria Math"/>
            </w:rPr>
            <m:t>应用占比=</m:t>
          </m:r>
          <m:f>
            <m:fPr>
              <m:ctrlPr>
                <w:rPr>
                  <w:rFonts w:ascii="Cambria Math" w:hAnsi="Cambria Math"/>
                </w:rPr>
              </m:ctrlPr>
            </m:fPr>
            <m:num>
              <m:r>
                <m:rPr>
                  <m:sty m:val="p"/>
                </m:rPr>
                <w:rPr>
                  <w:rFonts w:hint="eastAsia" w:ascii="Cambria Math" w:hAnsi="Cambria Math"/>
                </w:rPr>
                <m:t>评价单元内钢柱采用轧制型材用量</m:t>
              </m:r>
              <m:ctrlPr>
                <w:rPr>
                  <w:rFonts w:ascii="Cambria Math" w:hAnsi="Cambria Math"/>
                </w:rPr>
              </m:ctrlPr>
            </m:num>
            <m:den>
              <m:r>
                <m:rPr>
                  <m:sty m:val="p"/>
                </m:rPr>
                <w:rPr>
                  <w:rFonts w:hint="eastAsia" w:ascii="Cambria Math" w:hAnsi="Cambria Math"/>
                </w:rPr>
                <m:t>评价单元内钢柱总用量</m:t>
              </m:r>
              <m:ctrlPr>
                <w:rPr>
                  <w:rFonts w:ascii="Cambria Math" w:hAnsi="Cambria Math"/>
                </w:rPr>
              </m:ctrlPr>
            </m:den>
          </m:f>
          <m:r>
            <m:rPr>
              <m:sty m:val="p"/>
            </m:rPr>
            <w:rPr>
              <w:rFonts w:hint="eastAsia" w:ascii="Cambria Math" w:hAnsi="Cambria Math"/>
            </w:rPr>
            <m:t>×修正系数</m:t>
          </m:r>
          <m:sSub>
            <m:sSubPr>
              <m:ctrlPr>
                <w:rPr>
                  <w:rFonts w:ascii="Cambria Math" w:hAnsi="Cambria Math"/>
                </w:rPr>
              </m:ctrlPr>
            </m:sSubPr>
            <m:e>
              <m:r>
                <m:rPr>
                  <m:sty m:val="p"/>
                </m:rPr>
                <w:rPr>
                  <w:rFonts w:hint="eastAsia" w:ascii="Cambria Math" w:hAnsi="Cambria Math"/>
                </w:rPr>
                <m:t>ζ</m:t>
              </m:r>
              <m:ctrlPr>
                <w:rPr>
                  <w:rFonts w:ascii="Cambria Math" w:hAnsi="Cambria Math"/>
                </w:rPr>
              </m:ctrlPr>
            </m:e>
            <m:sub>
              <m:r>
                <m:rPr/>
                <w:rPr>
                  <w:rFonts w:ascii="Cambria Math" w:hAnsi="Cambria Math"/>
                </w:rPr>
                <m:t>1</m:t>
              </m:r>
              <m:ctrlPr>
                <w:rPr>
                  <w:rFonts w:ascii="Cambria Math" w:hAnsi="Cambria Math"/>
                </w:rPr>
              </m:ctrlPr>
            </m:sub>
          </m:sSub>
          <m:r>
            <m:rPr/>
            <w:rPr>
              <w:rFonts w:hint="eastAsia" w:ascii="Cambria Math" w:hAnsi="Cambria Math"/>
            </w:rPr>
            <m:t>×</m:t>
          </m:r>
          <m:r>
            <m:rPr/>
            <w:rPr>
              <w:rFonts w:ascii="Cambria Math" w:hAnsi="Cambria Math"/>
            </w:rPr>
            <m:t>100</m:t>
          </m:r>
          <m:r>
            <m:rPr/>
            <w:rPr>
              <w:rFonts w:hint="eastAsia" w:ascii="Cambria Math" w:hAnsi="Cambria Math"/>
            </w:rPr>
            <m:t>%</m:t>
          </m:r>
        </m:oMath>
      </m:oMathPara>
    </w:p>
    <w:p>
      <w:pPr>
        <w:ind w:firstLine="480" w:firstLineChars="200"/>
        <w:rPr>
          <w:rFonts w:hint="eastAsia" w:ascii="Cambria Math" w:hAnsi="Cambria Math"/>
        </w:rPr>
      </w:pPr>
      <w:r>
        <w:rPr>
          <w:rFonts w:hint="eastAsia" w:hAnsi="Cambria Math"/>
        </w:rPr>
        <w:t>方矩形钢管</w:t>
      </w:r>
      <w:r>
        <w:rPr>
          <w:rFonts w:hint="eastAsia" w:ascii="Cambria Math" w:hAnsi="Cambria Math"/>
        </w:rPr>
        <w:t>应用占比为1</w:t>
      </w:r>
      <w:r>
        <w:rPr>
          <w:rFonts w:ascii="Cambria Math" w:hAnsi="Cambria Math"/>
        </w:rPr>
        <w:t>00</w:t>
      </w:r>
      <w:r>
        <w:rPr>
          <w:rFonts w:hint="eastAsia" w:ascii="Cambria Math" w:hAnsi="Cambria Math"/>
        </w:rPr>
        <w:t>%时，得1</w:t>
      </w:r>
      <w:r>
        <w:rPr>
          <w:rFonts w:ascii="Cambria Math" w:hAnsi="Cambria Math"/>
        </w:rPr>
        <w:t>00</w:t>
      </w:r>
      <w:r>
        <w:rPr>
          <w:rFonts w:hint="eastAsia" w:ascii="Cambria Math" w:hAnsi="Cambria Math"/>
        </w:rPr>
        <w:t>分；</w:t>
      </w:r>
      <w:r>
        <w:rPr>
          <w:rFonts w:hint="eastAsia" w:hAnsi="Cambria Math"/>
        </w:rPr>
        <w:t>方矩形钢管</w:t>
      </w:r>
      <w:r>
        <w:rPr>
          <w:rFonts w:hint="eastAsia" w:ascii="Cambria Math" w:hAnsi="Cambria Math"/>
        </w:rPr>
        <w:t>应用占比为2</w:t>
      </w:r>
      <w:r>
        <w:rPr>
          <w:rFonts w:ascii="Cambria Math" w:hAnsi="Cambria Math"/>
        </w:rPr>
        <w:t>0</w:t>
      </w:r>
      <w:r>
        <w:rPr>
          <w:rFonts w:hint="eastAsia" w:ascii="Cambria Math" w:hAnsi="Cambria Math"/>
        </w:rPr>
        <w:t>%及以下时，得0分；中间按线性内插计算。</w:t>
      </w:r>
    </w:p>
    <w:p>
      <w:pPr>
        <w:ind w:firstLine="480" w:firstLineChars="200"/>
        <w:rPr>
          <w:rFonts w:hint="eastAsia" w:ascii="Cambria Math" w:hAnsi="Cambria Math"/>
        </w:rPr>
      </w:pPr>
      <w:r>
        <w:rPr>
          <w:rFonts w:hint="eastAsia" w:ascii="Cambria Math" w:hAnsi="Cambria Math"/>
        </w:rPr>
        <w:t>修正系数</w:t>
      </w:r>
      <m:oMath>
        <m:sSub>
          <m:sSubPr>
            <m:ctrlPr>
              <w:rPr>
                <w:rFonts w:ascii="Cambria Math" w:hAnsi="Cambria Math"/>
              </w:rPr>
            </m:ctrlPr>
          </m:sSubPr>
          <m:e>
            <m:r>
              <m:rPr>
                <m:sty m:val="p"/>
              </m:rPr>
              <w:rPr>
                <w:rFonts w:hint="eastAsia" w:ascii="Cambria Math" w:hAnsi="Cambria Math"/>
              </w:rPr>
              <m:t>ζ</m:t>
            </m:r>
            <m:ctrlPr>
              <w:rPr>
                <w:rFonts w:ascii="Cambria Math" w:hAnsi="Cambria Math"/>
              </w:rPr>
            </m:ctrlPr>
          </m:e>
          <m:sub>
            <m:r>
              <m:rPr/>
              <w:rPr>
                <w:rFonts w:ascii="Cambria Math" w:hAnsi="Cambria Math"/>
              </w:rPr>
              <m:t>1</m:t>
            </m:r>
            <m:ctrlPr>
              <w:rPr>
                <w:rFonts w:ascii="Cambria Math" w:hAnsi="Cambria Math"/>
              </w:rPr>
            </m:ctrlPr>
          </m:sub>
        </m:sSub>
      </m:oMath>
      <w:r>
        <w:rPr>
          <w:rFonts w:hint="eastAsia" w:ascii="Cambria Math" w:hAnsi="Cambria Math"/>
        </w:rPr>
        <w:t>当采用无缝钢管时取1，当采用单缝钢管时取0</w:t>
      </w:r>
      <w:r>
        <w:rPr>
          <w:rFonts w:ascii="Cambria Math" w:hAnsi="Cambria Math"/>
        </w:rPr>
        <w:t>.95</w:t>
      </w:r>
      <w:r>
        <w:rPr>
          <w:rFonts w:hint="eastAsia" w:ascii="Cambria Math" w:hAnsi="Cambria Math"/>
        </w:rPr>
        <w:t>，当采用双缝钢管时取0</w:t>
      </w:r>
      <w:r>
        <w:rPr>
          <w:rFonts w:ascii="Cambria Math" w:hAnsi="Cambria Math"/>
        </w:rPr>
        <w:t>.9</w:t>
      </w:r>
      <w:r>
        <w:rPr>
          <w:rFonts w:hint="eastAsia" w:ascii="Cambria Math" w:hAnsi="Cambria Math"/>
        </w:rPr>
        <w:t>，当采用热轧H型钢时取0</w:t>
      </w:r>
      <w:r>
        <w:rPr>
          <w:rFonts w:ascii="Cambria Math" w:hAnsi="Cambria Math"/>
        </w:rPr>
        <w:t>.9</w:t>
      </w:r>
      <w:r>
        <w:rPr>
          <w:rFonts w:hint="eastAsia" w:ascii="Cambria Math" w:hAnsi="Cambria Math"/>
        </w:rPr>
        <w:t>，当采用四缝箱形截面时取0。</w:t>
      </w:r>
    </w:p>
    <w:p>
      <w:pPr>
        <w:rPr>
          <w:rFonts w:hint="eastAsia" w:hAnsi="Cambria Math"/>
        </w:rPr>
      </w:pPr>
      <w:r>
        <w:rPr>
          <w:rFonts w:hAnsi="Cambria Math"/>
          <w:b/>
        </w:rPr>
        <w:t xml:space="preserve">4.3.3 </w:t>
      </w:r>
      <w:r>
        <w:rPr>
          <w:rFonts w:hint="eastAsia" w:hAnsi="Cambria Math"/>
        </w:rPr>
        <w:t>高强度钢材应用占比指评价单元内采用Q</w:t>
      </w:r>
      <w:r>
        <w:rPr>
          <w:rFonts w:hAnsi="Cambria Math"/>
        </w:rPr>
        <w:t>355</w:t>
      </w:r>
      <w:r>
        <w:rPr>
          <w:rFonts w:hint="eastAsia" w:hAnsi="Cambria Math"/>
        </w:rPr>
        <w:t>及以上强度钢材的用量与评价单元内钢材总用量的比例，即：</w:t>
      </w:r>
    </w:p>
    <w:p>
      <w:pPr>
        <w:rPr>
          <w:rFonts w:hint="eastAsia" w:hAnsi="Cambria Math"/>
        </w:rPr>
      </w:pPr>
      <m:oMathPara>
        <m:oMath>
          <m:r>
            <m:rPr>
              <m:sty m:val="p"/>
            </m:rPr>
            <w:rPr>
              <w:rFonts w:hint="eastAsia" w:ascii="Cambria Math" w:hAnsi="Cambria Math"/>
            </w:rPr>
            <m:t>高强度钢材应用占比=</m:t>
          </m:r>
          <m:f>
            <m:fPr>
              <m:ctrlPr>
                <w:rPr>
                  <w:rFonts w:ascii="Cambria Math" w:hAnsi="Cambria Math"/>
                </w:rPr>
              </m:ctrlPr>
            </m:fPr>
            <m:num>
              <m:r>
                <m:rPr>
                  <m:sty m:val="p"/>
                </m:rPr>
                <w:rPr>
                  <w:rFonts w:hint="eastAsia" w:ascii="Cambria Math" w:hAnsi="Cambria Math"/>
                </w:rPr>
                <m:t>评价单元内采用高强度钢材用量</m:t>
              </m:r>
              <m:ctrlPr>
                <w:rPr>
                  <w:rFonts w:ascii="Cambria Math" w:hAnsi="Cambria Math"/>
                </w:rPr>
              </m:ctrlPr>
            </m:num>
            <m:den>
              <m:r>
                <m:rPr>
                  <m:sty m:val="p"/>
                </m:rPr>
                <w:rPr>
                  <w:rFonts w:hint="eastAsia" w:ascii="Cambria Math" w:hAnsi="Cambria Math"/>
                </w:rPr>
                <m:t>评价单元内钢材总用量</m:t>
              </m:r>
              <m:ctrlPr>
                <w:rPr>
                  <w:rFonts w:ascii="Cambria Math" w:hAnsi="Cambria Math"/>
                </w:rPr>
              </m:ctrlPr>
            </m:den>
          </m:f>
          <m:r>
            <m:rPr>
              <m:sty m:val="p"/>
            </m:rPr>
            <w:rPr>
              <w:rFonts w:hint="eastAsia" w:ascii="Cambria Math" w:hAnsi="Cambria Math"/>
            </w:rPr>
            <m:t>×修正系数</m:t>
          </m:r>
          <m:sSub>
            <m:sSubPr>
              <m:ctrlPr>
                <w:rPr>
                  <w:rFonts w:ascii="Cambria Math" w:hAnsi="Cambria Math"/>
                </w:rPr>
              </m:ctrlPr>
            </m:sSubPr>
            <m:e>
              <m:r>
                <m:rPr>
                  <m:sty m:val="p"/>
                </m:rPr>
                <w:rPr>
                  <w:rFonts w:hint="eastAsia" w:ascii="Cambria Math" w:hAnsi="Cambria Math"/>
                </w:rPr>
                <m:t>ζ</m:t>
              </m:r>
              <m:ctrlPr>
                <w:rPr>
                  <w:rFonts w:ascii="Cambria Math" w:hAnsi="Cambria Math"/>
                </w:rPr>
              </m:ctrlPr>
            </m:e>
            <m:sub>
              <m:r>
                <m:rPr/>
                <w:rPr>
                  <w:rFonts w:ascii="Cambria Math" w:hAnsi="Cambria Math"/>
                </w:rPr>
                <m:t>2</m:t>
              </m:r>
              <m:ctrlPr>
                <w:rPr>
                  <w:rFonts w:ascii="Cambria Math" w:hAnsi="Cambria Math"/>
                </w:rPr>
              </m:ctrlPr>
            </m:sub>
          </m:sSub>
          <m:r>
            <m:rPr>
              <m:sty m:val="p"/>
            </m:rPr>
            <w:rPr>
              <w:rFonts w:hint="eastAsia" w:ascii="Cambria Math" w:hAnsi="Cambria Math"/>
            </w:rPr>
            <m:t>×</m:t>
          </m:r>
          <m:r>
            <m:rPr/>
            <w:rPr>
              <w:rFonts w:ascii="Cambria Math" w:hAnsi="Cambria Math"/>
            </w:rPr>
            <m:t>100</m:t>
          </m:r>
          <m:r>
            <m:rPr/>
            <w:rPr>
              <w:rFonts w:hint="eastAsia" w:ascii="Cambria Math" w:hAnsi="Cambria Math"/>
            </w:rPr>
            <m:t>%</m:t>
          </m:r>
        </m:oMath>
      </m:oMathPara>
    </w:p>
    <w:p>
      <w:pPr>
        <w:ind w:firstLine="480" w:firstLineChars="200"/>
        <w:rPr>
          <w:rFonts w:hint="eastAsia" w:ascii="Cambria Math" w:hAnsi="Cambria Math"/>
        </w:rPr>
      </w:pPr>
      <w:r>
        <w:rPr>
          <w:rFonts w:hint="eastAsia" w:ascii="Cambria Math" w:hAnsi="Cambria Math"/>
        </w:rPr>
        <w:t>高强度钢材应用占比为1</w:t>
      </w:r>
      <w:r>
        <w:rPr>
          <w:rFonts w:ascii="Cambria Math" w:hAnsi="Cambria Math"/>
        </w:rPr>
        <w:t>00</w:t>
      </w:r>
      <w:r>
        <w:rPr>
          <w:rFonts w:hint="eastAsia" w:ascii="Cambria Math" w:hAnsi="Cambria Math"/>
        </w:rPr>
        <w:t>%时，得1</w:t>
      </w:r>
      <w:r>
        <w:rPr>
          <w:rFonts w:ascii="Cambria Math" w:hAnsi="Cambria Math"/>
        </w:rPr>
        <w:t>00</w:t>
      </w:r>
      <w:r>
        <w:rPr>
          <w:rFonts w:hint="eastAsia" w:ascii="Cambria Math" w:hAnsi="Cambria Math"/>
        </w:rPr>
        <w:t>分；高强度钢材应用占比为2</w:t>
      </w:r>
      <w:r>
        <w:rPr>
          <w:rFonts w:ascii="Cambria Math" w:hAnsi="Cambria Math"/>
        </w:rPr>
        <w:t>0</w:t>
      </w:r>
      <w:r>
        <w:rPr>
          <w:rFonts w:hint="eastAsia" w:ascii="Cambria Math" w:hAnsi="Cambria Math"/>
        </w:rPr>
        <w:t>%及以下时，得0分；中间按线性内插计算。</w:t>
      </w:r>
    </w:p>
    <w:p>
      <w:pPr>
        <w:ind w:firstLine="480" w:firstLineChars="200"/>
        <w:rPr>
          <w:rFonts w:hint="eastAsia" w:ascii="Cambria Math" w:hAnsi="Cambria Math"/>
        </w:rPr>
      </w:pPr>
      <w:r>
        <w:rPr>
          <w:rFonts w:hint="eastAsia" w:ascii="Cambria Math" w:hAnsi="Cambria Math"/>
        </w:rPr>
        <w:t>修正系数</w:t>
      </w:r>
      <m:oMath>
        <m:sSub>
          <m:sSubPr>
            <m:ctrlPr>
              <w:rPr>
                <w:rFonts w:ascii="Cambria Math" w:hAnsi="Cambria Math"/>
              </w:rPr>
            </m:ctrlPr>
          </m:sSubPr>
          <m:e>
            <m:r>
              <m:rPr>
                <m:sty m:val="p"/>
              </m:rPr>
              <w:rPr>
                <w:rFonts w:hint="eastAsia" w:ascii="Cambria Math" w:hAnsi="Cambria Math"/>
              </w:rPr>
              <m:t>ζ</m:t>
            </m:r>
            <m:ctrlPr>
              <w:rPr>
                <w:rFonts w:ascii="Cambria Math" w:hAnsi="Cambria Math"/>
              </w:rPr>
            </m:ctrlPr>
          </m:e>
          <m:sub>
            <m:r>
              <m:rPr/>
              <w:rPr>
                <w:rFonts w:ascii="Cambria Math" w:hAnsi="Cambria Math"/>
              </w:rPr>
              <m:t>2</m:t>
            </m:r>
            <m:ctrlPr>
              <w:rPr>
                <w:rFonts w:ascii="Cambria Math" w:hAnsi="Cambria Math"/>
              </w:rPr>
            </m:ctrlPr>
          </m:sub>
        </m:sSub>
      </m:oMath>
      <w:r>
        <w:rPr>
          <w:rFonts w:hint="eastAsia" w:ascii="Cambria Math" w:hAnsi="Cambria Math"/>
        </w:rPr>
        <w:t>当采用Q</w:t>
      </w:r>
      <w:r>
        <w:rPr>
          <w:rFonts w:ascii="Cambria Math" w:hAnsi="Cambria Math"/>
        </w:rPr>
        <w:t>420</w:t>
      </w:r>
      <w:r>
        <w:rPr>
          <w:rFonts w:hint="eastAsia" w:ascii="Cambria Math" w:hAnsi="Cambria Math"/>
        </w:rPr>
        <w:t>及以上钢材时取1</w:t>
      </w:r>
      <w:r>
        <w:rPr>
          <w:rFonts w:ascii="Cambria Math" w:hAnsi="Cambria Math"/>
        </w:rPr>
        <w:t>.0</w:t>
      </w:r>
      <w:r>
        <w:rPr>
          <w:rFonts w:hint="eastAsia" w:ascii="Cambria Math" w:hAnsi="Cambria Math"/>
        </w:rPr>
        <w:t>，当采用Q</w:t>
      </w:r>
      <w:r>
        <w:rPr>
          <w:rFonts w:ascii="Cambria Math" w:hAnsi="Cambria Math"/>
        </w:rPr>
        <w:t>390</w:t>
      </w:r>
      <w:r>
        <w:rPr>
          <w:rFonts w:hint="eastAsia" w:ascii="Cambria Math" w:hAnsi="Cambria Math"/>
        </w:rPr>
        <w:t>钢材时取0</w:t>
      </w:r>
      <w:r>
        <w:rPr>
          <w:rFonts w:ascii="Cambria Math" w:hAnsi="Cambria Math"/>
        </w:rPr>
        <w:t>.9</w:t>
      </w:r>
      <w:r>
        <w:rPr>
          <w:rFonts w:hint="eastAsia" w:ascii="Cambria Math" w:hAnsi="Cambria Math"/>
        </w:rPr>
        <w:t>，当采用Q</w:t>
      </w:r>
      <w:r>
        <w:rPr>
          <w:rFonts w:ascii="Cambria Math" w:hAnsi="Cambria Math"/>
        </w:rPr>
        <w:t>355</w:t>
      </w:r>
      <w:r>
        <w:rPr>
          <w:rFonts w:hint="eastAsia" w:ascii="Cambria Math" w:hAnsi="Cambria Math"/>
        </w:rPr>
        <w:t>钢材时取0</w:t>
      </w:r>
      <w:r>
        <w:rPr>
          <w:rFonts w:ascii="Cambria Math" w:hAnsi="Cambria Math"/>
        </w:rPr>
        <w:t>.8</w:t>
      </w:r>
      <w:r>
        <w:rPr>
          <w:rFonts w:hint="eastAsia" w:ascii="Cambria Math" w:hAnsi="Cambria Math"/>
        </w:rPr>
        <w:t>。</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84" w:name="_Toc13517"/>
      <w:r>
        <w:rPr>
          <w:rFonts w:hint="eastAsia" w:ascii="仿宋_GB2312" w:hAnsi="仿宋_GB2312" w:eastAsia="仿宋_GB2312" w:cs="仿宋_GB2312"/>
          <w:b w:val="0"/>
          <w:bCs w:val="0"/>
          <w:sz w:val="28"/>
          <w:szCs w:val="28"/>
        </w:rPr>
        <w:t>Ⅱ 抗震性能</w:t>
      </w:r>
      <w:bookmarkStart w:id="85" w:name="_Toc5219"/>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Ⅱ</w:instrText>
      </w:r>
      <w:r>
        <w:rPr>
          <w:rFonts w:hint="eastAsia"/>
        </w:rPr>
        <w:instrText xml:space="preserve">  </w:instrText>
      </w:r>
      <w:r>
        <w:rPr>
          <w:rFonts w:hint="eastAsia"/>
          <w:lang w:val="en-US" w:eastAsia="zh-CN"/>
        </w:rPr>
        <w:instrText xml:space="preserve">Seismic Performance</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84"/>
      <w:bookmarkEnd w:id="85"/>
    </w:p>
    <w:p>
      <w:pPr>
        <w:rPr>
          <w:rFonts w:hint="eastAsia" w:hAnsi="Cambria Math"/>
        </w:rPr>
      </w:pPr>
      <w:r>
        <w:rPr>
          <w:rFonts w:hint="eastAsia" w:hAnsi="Cambria Math"/>
          <w:b/>
        </w:rPr>
        <w:t>4</w:t>
      </w:r>
      <w:r>
        <w:rPr>
          <w:rFonts w:hAnsi="Cambria Math"/>
          <w:b/>
        </w:rPr>
        <w:t xml:space="preserve">.3.4 </w:t>
      </w:r>
      <w:r>
        <w:rPr>
          <w:rFonts w:hint="eastAsia" w:hAnsi="Cambria Math"/>
        </w:rPr>
        <w:t>抗震性能化设计指结构关键构件是否按确定的性能目标进行抗震性能化设计。当进行性能化设计时，得1</w:t>
      </w:r>
      <w:r>
        <w:rPr>
          <w:rFonts w:hAnsi="Cambria Math"/>
        </w:rPr>
        <w:t>00</w:t>
      </w:r>
      <w:r>
        <w:rPr>
          <w:rFonts w:hint="eastAsia" w:hAnsi="Cambria Math"/>
        </w:rPr>
        <w:t>分，未进行性能化设计时得</w:t>
      </w:r>
      <w:r>
        <w:rPr>
          <w:rFonts w:hAnsi="Cambria Math"/>
        </w:rPr>
        <w:t>60</w:t>
      </w:r>
      <w:r>
        <w:rPr>
          <w:rFonts w:hint="eastAsia" w:hAnsi="Cambria Math"/>
        </w:rPr>
        <w:t>分。</w:t>
      </w:r>
    </w:p>
    <w:p>
      <w:pPr>
        <w:rPr>
          <w:rFonts w:hint="eastAsia" w:hAnsi="Cambria Math"/>
        </w:rPr>
      </w:pPr>
      <w:r>
        <w:rPr>
          <w:rFonts w:hint="eastAsia" w:hAnsi="Cambria Math"/>
          <w:b/>
        </w:rPr>
        <w:t>4</w:t>
      </w:r>
      <w:r>
        <w:rPr>
          <w:rFonts w:hAnsi="Cambria Math"/>
          <w:b/>
        </w:rPr>
        <w:t>.3.5</w:t>
      </w:r>
      <w:r>
        <w:rPr>
          <w:rFonts w:hAnsi="Cambria Math"/>
        </w:rPr>
        <w:t xml:space="preserve"> </w:t>
      </w:r>
      <w:r>
        <w:rPr>
          <w:rFonts w:hint="eastAsia" w:hAnsi="Cambria Math"/>
        </w:rPr>
        <w:t>采用减隔震技术时，得1</w:t>
      </w:r>
      <w:r>
        <w:rPr>
          <w:rFonts w:hAnsi="Cambria Math"/>
        </w:rPr>
        <w:t>00</w:t>
      </w:r>
      <w:r>
        <w:rPr>
          <w:rFonts w:hint="eastAsia" w:hAnsi="Cambria Math"/>
        </w:rPr>
        <w:t>分，“</w:t>
      </w:r>
      <w:r>
        <w:rPr>
          <w:rFonts w:hAnsi="Cambria Math"/>
        </w:rPr>
        <w:t>两区八类建筑</w:t>
      </w:r>
      <w:r>
        <w:rPr>
          <w:rFonts w:hint="eastAsia" w:hAnsi="Cambria Math"/>
        </w:rPr>
        <w:t>”未采用减隔震技术时得0分；其他建筑未采用得6</w:t>
      </w:r>
      <w:r>
        <w:rPr>
          <w:rFonts w:hAnsi="Cambria Math"/>
        </w:rPr>
        <w:t>0</w:t>
      </w:r>
      <w:r>
        <w:rPr>
          <w:rFonts w:hint="eastAsia" w:hAnsi="Cambria Math"/>
        </w:rPr>
        <w:t>分。</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86" w:name="_Toc7264"/>
      <w:r>
        <w:rPr>
          <w:rFonts w:hint="eastAsia" w:ascii="仿宋_GB2312" w:hAnsi="仿宋_GB2312" w:eastAsia="仿宋_GB2312" w:cs="仿宋_GB2312"/>
          <w:b w:val="0"/>
          <w:bCs w:val="0"/>
          <w:sz w:val="28"/>
          <w:szCs w:val="28"/>
        </w:rPr>
        <w:t>Ⅲ 耐久性能</w:t>
      </w:r>
      <w:bookmarkStart w:id="87" w:name="_Toc14747"/>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Ⅲ</w:instrText>
      </w:r>
      <w:r>
        <w:rPr>
          <w:rFonts w:hint="eastAsia"/>
        </w:rPr>
        <w:instrText xml:space="preserve">  </w:instrText>
      </w:r>
      <w:r>
        <w:rPr>
          <w:rFonts w:hint="eastAsia"/>
          <w:lang w:val="en-US" w:eastAsia="zh-CN"/>
        </w:rPr>
        <w:instrText xml:space="preserve">Durability</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86"/>
      <w:bookmarkEnd w:id="87"/>
    </w:p>
    <w:p>
      <w:pPr>
        <w:rPr>
          <w:rFonts w:hint="eastAsia" w:hAnsi="Cambria Math"/>
        </w:rPr>
      </w:pPr>
      <w:r>
        <w:rPr>
          <w:rFonts w:hint="eastAsia" w:hAnsi="Cambria Math"/>
          <w:b/>
        </w:rPr>
        <w:t>4</w:t>
      </w:r>
      <w:r>
        <w:rPr>
          <w:rFonts w:hAnsi="Cambria Math"/>
          <w:b/>
        </w:rPr>
        <w:t xml:space="preserve">.3.6 </w:t>
      </w:r>
      <w:r>
        <w:rPr>
          <w:rFonts w:hint="eastAsia" w:hAnsi="Cambria Math"/>
        </w:rPr>
        <w:t>耐候钢材应用占比指评价单元内采用耐候钢材的用量与评价单元内钢材总用量的比例，即：</w:t>
      </w:r>
    </w:p>
    <w:p>
      <w:pPr>
        <w:rPr>
          <w:rFonts w:hint="eastAsia" w:hAnsi="Cambria Math"/>
        </w:rPr>
      </w:pPr>
      <m:oMathPara>
        <m:oMath>
          <m:r>
            <m:rPr>
              <m:sty m:val="p"/>
            </m:rPr>
            <w:rPr>
              <w:rFonts w:hint="eastAsia" w:ascii="Cambria Math" w:hAnsi="Cambria Math"/>
            </w:rPr>
            <m:t>耐候钢材应用占比=</m:t>
          </m:r>
          <m:f>
            <m:fPr>
              <m:ctrlPr>
                <w:rPr>
                  <w:rFonts w:ascii="Cambria Math" w:hAnsi="Cambria Math"/>
                </w:rPr>
              </m:ctrlPr>
            </m:fPr>
            <m:num>
              <m:r>
                <m:rPr>
                  <m:sty m:val="p"/>
                </m:rPr>
                <w:rPr>
                  <w:rFonts w:hint="eastAsia" w:ascii="Cambria Math" w:hAnsi="Cambria Math"/>
                </w:rPr>
                <m:t>评价单元内采用耐候钢材用量</m:t>
              </m:r>
              <m:ctrlPr>
                <w:rPr>
                  <w:rFonts w:ascii="Cambria Math" w:hAnsi="Cambria Math"/>
                </w:rPr>
              </m:ctrlPr>
            </m:num>
            <m:den>
              <m:r>
                <m:rPr>
                  <m:sty m:val="p"/>
                </m:rPr>
                <w:rPr>
                  <w:rFonts w:hint="eastAsia" w:ascii="Cambria Math" w:hAnsi="Cambria Math"/>
                </w:rPr>
                <m:t>评价单元内钢材总用量</m:t>
              </m:r>
              <m:ctrlPr>
                <w:rPr>
                  <w:rFonts w:ascii="Cambria Math" w:hAnsi="Cambria Math"/>
                </w:rPr>
              </m:ctrlPr>
            </m:den>
          </m:f>
          <m:r>
            <m:rPr>
              <m:sty m:val="p"/>
            </m:rPr>
            <w:rPr>
              <w:rFonts w:hint="eastAsia" w:ascii="Cambria Math" w:hAnsi="Cambria Math"/>
            </w:rPr>
            <m:t>×</m:t>
          </m:r>
          <m:r>
            <m:rPr/>
            <w:rPr>
              <w:rFonts w:ascii="Cambria Math" w:hAnsi="Cambria Math"/>
            </w:rPr>
            <m:t>100</m:t>
          </m:r>
          <m:r>
            <m:rPr/>
            <w:rPr>
              <w:rFonts w:hint="eastAsia" w:ascii="Cambria Math" w:hAnsi="Cambria Math"/>
            </w:rPr>
            <m:t>%</m:t>
          </m:r>
        </m:oMath>
      </m:oMathPara>
    </w:p>
    <w:p>
      <w:pPr>
        <w:ind w:firstLine="480" w:firstLineChars="200"/>
        <w:rPr>
          <w:rFonts w:hint="eastAsia" w:ascii="Cambria Math" w:hAnsi="Cambria Math"/>
        </w:rPr>
      </w:pPr>
      <w:r>
        <w:rPr>
          <w:rFonts w:hint="eastAsia" w:ascii="Cambria Math" w:hAnsi="Cambria Math"/>
        </w:rPr>
        <w:t>耐候钢材应用占比为</w:t>
      </w:r>
      <w:r>
        <w:rPr>
          <w:rFonts w:ascii="Cambria Math" w:hAnsi="Cambria Math"/>
        </w:rPr>
        <w:t>80</w:t>
      </w:r>
      <w:r>
        <w:rPr>
          <w:rFonts w:hint="eastAsia" w:ascii="Cambria Math" w:hAnsi="Cambria Math"/>
        </w:rPr>
        <w:t>%时，得1</w:t>
      </w:r>
      <w:r>
        <w:rPr>
          <w:rFonts w:ascii="Cambria Math" w:hAnsi="Cambria Math"/>
        </w:rPr>
        <w:t>00</w:t>
      </w:r>
      <w:r>
        <w:rPr>
          <w:rFonts w:hint="eastAsia" w:ascii="Cambria Math" w:hAnsi="Cambria Math"/>
        </w:rPr>
        <w:t>分；耐候钢材应用占比为</w:t>
      </w:r>
      <w:r>
        <w:rPr>
          <w:rFonts w:ascii="Cambria Math" w:hAnsi="Cambria Math"/>
        </w:rPr>
        <w:t>0</w:t>
      </w:r>
      <w:r>
        <w:rPr>
          <w:rFonts w:hint="eastAsia" w:ascii="Cambria Math" w:hAnsi="Cambria Math"/>
        </w:rPr>
        <w:t>时，得0分；中间按线性内插计算。</w:t>
      </w:r>
    </w:p>
    <w:p>
      <w:pPr>
        <w:rPr>
          <w:rFonts w:hint="eastAsia" w:ascii="Cambria Math" w:hAnsi="Cambria Math"/>
        </w:rPr>
      </w:pPr>
      <w:r>
        <w:rPr>
          <w:rFonts w:hint="eastAsia" w:hAnsi="Cambria Math"/>
          <w:b/>
        </w:rPr>
        <w:t>4</w:t>
      </w:r>
      <w:r>
        <w:rPr>
          <w:rFonts w:hAnsi="Cambria Math"/>
          <w:b/>
        </w:rPr>
        <w:t xml:space="preserve">.3.7 </w:t>
      </w:r>
      <w:r>
        <w:rPr>
          <w:rFonts w:hint="eastAsia" w:ascii="Cambria Math" w:hAnsi="Cambria Math"/>
        </w:rPr>
        <w:t>当</w:t>
      </w:r>
      <w:r>
        <w:rPr>
          <w:rFonts w:hint="eastAsia" w:hAnsi="Cambria Math"/>
        </w:rPr>
        <w:t>梁、柱、支撑构件</w:t>
      </w:r>
      <w:r>
        <w:rPr>
          <w:rFonts w:hint="eastAsia" w:ascii="Cambria Math" w:hAnsi="Cambria Math"/>
        </w:rPr>
        <w:t>采用耐候型防腐涂料时，得1</w:t>
      </w:r>
      <w:r>
        <w:rPr>
          <w:rFonts w:ascii="Cambria Math" w:hAnsi="Cambria Math"/>
        </w:rPr>
        <w:t>00</w:t>
      </w:r>
      <w:r>
        <w:rPr>
          <w:rFonts w:hint="eastAsia" w:ascii="Cambria Math" w:hAnsi="Cambria Math"/>
        </w:rPr>
        <w:t>分，未采用耐候型防腐涂料时</w:t>
      </w:r>
      <w:r>
        <w:rPr>
          <w:rFonts w:hint="eastAsia" w:hAnsi="Cambria Math"/>
        </w:rPr>
        <w:t>得0分</w:t>
      </w:r>
      <w:r>
        <w:rPr>
          <w:rFonts w:hint="eastAsia" w:ascii="Cambria Math" w:hAnsi="Cambria Math"/>
        </w:rPr>
        <w:t>。</w:t>
      </w:r>
    </w:p>
    <w:p>
      <w:pPr>
        <w:rPr>
          <w:rFonts w:hint="eastAsia" w:ascii="Cambria Math" w:hAnsi="Cambria Math"/>
        </w:rPr>
      </w:pPr>
      <w:r>
        <w:rPr>
          <w:rFonts w:hint="eastAsia" w:hAnsi="Cambria Math"/>
          <w:b/>
        </w:rPr>
        <w:t>4</w:t>
      </w:r>
      <w:r>
        <w:rPr>
          <w:rFonts w:hAnsi="Cambria Math"/>
          <w:b/>
        </w:rPr>
        <w:t xml:space="preserve">.3.8 </w:t>
      </w:r>
      <w:r>
        <w:rPr>
          <w:rFonts w:hint="eastAsia" w:hAnsi="Cambria Math"/>
        </w:rPr>
        <w:t>当梁、柱、支撑构件采用</w:t>
      </w:r>
      <w:r>
        <w:rPr>
          <w:rFonts w:hint="eastAsia" w:ascii="Cambria Math" w:hAnsi="Cambria Math"/>
        </w:rPr>
        <w:t>腐蚀余量设计时，得1</w:t>
      </w:r>
      <w:r>
        <w:rPr>
          <w:rFonts w:ascii="Cambria Math" w:hAnsi="Cambria Math"/>
        </w:rPr>
        <w:t>00</w:t>
      </w:r>
      <w:r>
        <w:rPr>
          <w:rFonts w:hint="eastAsia" w:ascii="Cambria Math" w:hAnsi="Cambria Math"/>
        </w:rPr>
        <w:t>分，未采用腐蚀余量设计时，</w:t>
      </w:r>
      <w:r>
        <w:rPr>
          <w:rFonts w:hint="eastAsia" w:hAnsi="Cambria Math"/>
        </w:rPr>
        <w:t>得0分</w:t>
      </w:r>
      <w:r>
        <w:rPr>
          <w:rFonts w:hint="eastAsia" w:ascii="Cambria Math" w:hAnsi="Cambria Math"/>
        </w:rPr>
        <w:t>。</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88" w:name="_Toc32016"/>
      <w:r>
        <w:rPr>
          <w:rFonts w:hint="eastAsia" w:ascii="仿宋_GB2312" w:hAnsi="仿宋_GB2312" w:eastAsia="仿宋_GB2312" w:cs="仿宋_GB2312"/>
          <w:b w:val="0"/>
          <w:bCs w:val="0"/>
          <w:sz w:val="28"/>
          <w:szCs w:val="28"/>
        </w:rPr>
        <w:t>Ⅳ 防火性能</w:t>
      </w:r>
      <w:bookmarkStart w:id="89" w:name="_Toc8233"/>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Ⅳ</w:instrText>
      </w:r>
      <w:r>
        <w:rPr>
          <w:rFonts w:hint="eastAsia"/>
        </w:rPr>
        <w:instrText xml:space="preserve">  </w:instrText>
      </w:r>
      <w:r>
        <w:rPr>
          <w:rFonts w:hint="eastAsia"/>
          <w:lang w:val="en-US" w:eastAsia="zh-CN"/>
        </w:rPr>
        <w:instrText xml:space="preserve">Fire Performance</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88"/>
      <w:bookmarkEnd w:id="89"/>
    </w:p>
    <w:p>
      <w:pPr>
        <w:rPr>
          <w:rFonts w:hint="eastAsia" w:hAnsi="Cambria Math"/>
        </w:rPr>
      </w:pPr>
      <w:r>
        <w:rPr>
          <w:rFonts w:hint="eastAsia" w:hAnsi="Cambria Math"/>
          <w:b/>
        </w:rPr>
        <w:t>4</w:t>
      </w:r>
      <w:r>
        <w:rPr>
          <w:rFonts w:hAnsi="Cambria Math"/>
          <w:b/>
        </w:rPr>
        <w:t xml:space="preserve">.3.9 </w:t>
      </w:r>
      <w:r>
        <w:rPr>
          <w:rFonts w:hint="eastAsia" w:hAnsi="Cambria Math"/>
        </w:rPr>
        <w:t>耐火钢材应用占比指评价单元内采用耐火钢材的用量与评价单元内钢材总用量的比例，即：</w:t>
      </w:r>
    </w:p>
    <w:p>
      <w:pPr>
        <w:rPr>
          <w:rFonts w:hint="eastAsia" w:hAnsi="Cambria Math"/>
        </w:rPr>
      </w:pPr>
      <m:oMathPara>
        <m:oMath>
          <m:r>
            <m:rPr>
              <m:sty m:val="p"/>
            </m:rPr>
            <w:rPr>
              <w:rFonts w:hint="eastAsia" w:ascii="Cambria Math" w:hAnsi="Cambria Math"/>
            </w:rPr>
            <m:t>耐火钢材应用占比=</m:t>
          </m:r>
          <m:f>
            <m:fPr>
              <m:ctrlPr>
                <w:rPr>
                  <w:rFonts w:ascii="Cambria Math" w:hAnsi="Cambria Math"/>
                </w:rPr>
              </m:ctrlPr>
            </m:fPr>
            <m:num>
              <m:r>
                <m:rPr>
                  <m:sty m:val="p"/>
                </m:rPr>
                <w:rPr>
                  <w:rFonts w:hint="eastAsia" w:ascii="Cambria Math" w:hAnsi="Cambria Math"/>
                </w:rPr>
                <m:t>评价单元内采用耐火钢材用量</m:t>
              </m:r>
              <m:ctrlPr>
                <w:rPr>
                  <w:rFonts w:ascii="Cambria Math" w:hAnsi="Cambria Math"/>
                </w:rPr>
              </m:ctrlPr>
            </m:num>
            <m:den>
              <m:r>
                <m:rPr>
                  <m:sty m:val="p"/>
                </m:rPr>
                <w:rPr>
                  <w:rFonts w:hint="eastAsia" w:ascii="Cambria Math" w:hAnsi="Cambria Math"/>
                </w:rPr>
                <m:t>评价单元内钢材总用量</m:t>
              </m:r>
              <m:ctrlPr>
                <w:rPr>
                  <w:rFonts w:ascii="Cambria Math" w:hAnsi="Cambria Math"/>
                </w:rPr>
              </m:ctrlPr>
            </m:den>
          </m:f>
          <m:r>
            <m:rPr>
              <m:sty m:val="p"/>
            </m:rPr>
            <w:rPr>
              <w:rFonts w:hint="eastAsia" w:ascii="Cambria Math" w:hAnsi="Cambria Math"/>
            </w:rPr>
            <m:t>×</m:t>
          </m:r>
          <m:r>
            <m:rPr/>
            <w:rPr>
              <w:rFonts w:ascii="Cambria Math" w:hAnsi="Cambria Math"/>
            </w:rPr>
            <m:t>100</m:t>
          </m:r>
          <m:r>
            <m:rPr/>
            <w:rPr>
              <w:rFonts w:hint="eastAsia" w:ascii="Cambria Math" w:hAnsi="Cambria Math"/>
            </w:rPr>
            <m:t>%</m:t>
          </m:r>
        </m:oMath>
      </m:oMathPara>
    </w:p>
    <w:p>
      <w:pPr>
        <w:ind w:firstLine="480" w:firstLineChars="200"/>
        <w:rPr>
          <w:rFonts w:hint="eastAsia" w:ascii="Cambria Math" w:hAnsi="Cambria Math"/>
        </w:rPr>
      </w:pPr>
      <w:r>
        <w:rPr>
          <w:rFonts w:hint="eastAsia" w:ascii="Cambria Math" w:hAnsi="Cambria Math"/>
        </w:rPr>
        <w:t>耐火钢材应用占比为</w:t>
      </w:r>
      <w:r>
        <w:rPr>
          <w:rFonts w:ascii="Cambria Math" w:hAnsi="Cambria Math"/>
        </w:rPr>
        <w:t>80</w:t>
      </w:r>
      <w:r>
        <w:rPr>
          <w:rFonts w:hint="eastAsia" w:ascii="Cambria Math" w:hAnsi="Cambria Math"/>
        </w:rPr>
        <w:t>%时，得1</w:t>
      </w:r>
      <w:r>
        <w:rPr>
          <w:rFonts w:ascii="Cambria Math" w:hAnsi="Cambria Math"/>
        </w:rPr>
        <w:t>00</w:t>
      </w:r>
      <w:r>
        <w:rPr>
          <w:rFonts w:hint="eastAsia" w:ascii="Cambria Math" w:hAnsi="Cambria Math"/>
        </w:rPr>
        <w:t>分；耐火钢材应用占比为</w:t>
      </w:r>
      <w:r>
        <w:rPr>
          <w:rFonts w:ascii="Cambria Math" w:hAnsi="Cambria Math"/>
        </w:rPr>
        <w:t>0</w:t>
      </w:r>
      <w:r>
        <w:rPr>
          <w:rFonts w:hint="eastAsia" w:ascii="Cambria Math" w:hAnsi="Cambria Math"/>
        </w:rPr>
        <w:t>时，得0分；中间按线性内插计算。</w:t>
      </w:r>
    </w:p>
    <w:p>
      <w:pPr>
        <w:rPr>
          <w:rFonts w:hint="eastAsia" w:hAnsi="Cambria Math"/>
        </w:rPr>
      </w:pPr>
      <w:r>
        <w:rPr>
          <w:rFonts w:hint="eastAsia" w:hAnsi="Cambria Math"/>
          <w:b/>
        </w:rPr>
        <w:t>4</w:t>
      </w:r>
      <w:r>
        <w:rPr>
          <w:rFonts w:hAnsi="Cambria Math"/>
          <w:b/>
        </w:rPr>
        <w:t xml:space="preserve">.3.10 </w:t>
      </w:r>
      <w:r>
        <w:rPr>
          <w:rFonts w:hint="eastAsia" w:hAnsi="Cambria Math"/>
        </w:rPr>
        <w:t>当进行结构整体抗火设计时，得1</w:t>
      </w:r>
      <w:r>
        <w:rPr>
          <w:rFonts w:hAnsi="Cambria Math"/>
        </w:rPr>
        <w:t>00</w:t>
      </w:r>
      <w:r>
        <w:rPr>
          <w:rFonts w:hint="eastAsia" w:hAnsi="Cambria Math"/>
        </w:rPr>
        <w:t>分，当未进行结构整体抗火设计时得0分。</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90" w:name="_Toc28918"/>
      <w:r>
        <w:rPr>
          <w:rFonts w:hint="eastAsia" w:ascii="仿宋_GB2312" w:hAnsi="仿宋_GB2312" w:eastAsia="仿宋_GB2312" w:cs="仿宋_GB2312"/>
          <w:b w:val="0"/>
          <w:bCs w:val="0"/>
          <w:sz w:val="28"/>
          <w:szCs w:val="28"/>
        </w:rPr>
        <w:t>Ⅴ 舒适性能</w:t>
      </w:r>
      <w:bookmarkStart w:id="91" w:name="_Toc2827"/>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Ⅴ</w:instrText>
      </w:r>
      <w:r>
        <w:rPr>
          <w:rFonts w:hint="eastAsia"/>
        </w:rPr>
        <w:instrText xml:space="preserve">  </w:instrText>
      </w:r>
      <w:r>
        <w:rPr>
          <w:rFonts w:hint="eastAsia"/>
          <w:lang w:val="en-US" w:eastAsia="zh-CN"/>
        </w:rPr>
        <w:instrText xml:space="preserve">Comfortability</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90"/>
      <w:bookmarkEnd w:id="91"/>
    </w:p>
    <w:p>
      <w:pPr>
        <w:spacing w:line="360" w:lineRule="auto"/>
        <w:rPr>
          <w:rFonts w:ascii="宋体" w:hAnsi="宋体" w:cs="宋体"/>
          <w:sz w:val="24"/>
        </w:rPr>
      </w:pPr>
      <w:r>
        <w:rPr>
          <w:rFonts w:hint="eastAsia" w:hAnsi="Cambria Math"/>
          <w:b/>
        </w:rPr>
        <w:t>4</w:t>
      </w:r>
      <w:r>
        <w:rPr>
          <w:rFonts w:hAnsi="Cambria Math"/>
          <w:b/>
        </w:rPr>
        <w:t xml:space="preserve">.3.11 </w:t>
      </w:r>
      <w:r>
        <w:rPr>
          <w:rFonts w:hint="eastAsia" w:ascii="宋体" w:hAnsi="宋体" w:cs="宋体"/>
          <w:sz w:val="24"/>
        </w:rPr>
        <w:t>风振舒适度水平指1年重现期风荷载标准值作用下结构顶点的顺风向和横风向振动最大加速度计算值。</w:t>
      </w:r>
    </w:p>
    <w:p>
      <w:pPr>
        <w:spacing w:line="360" w:lineRule="auto"/>
        <w:ind w:firstLine="480" w:firstLineChars="200"/>
        <w:rPr>
          <w:rFonts w:ascii="宋体" w:hAnsi="宋体" w:cs="宋体"/>
          <w:sz w:val="24"/>
        </w:rPr>
      </w:pPr>
      <w:r>
        <w:rPr>
          <w:rFonts w:hint="eastAsia" w:ascii="宋体" w:hAnsi="宋体" w:cs="宋体"/>
          <w:sz w:val="24"/>
        </w:rPr>
        <w:t>当满足1年期风振舒适度要求时，得1</w:t>
      </w:r>
      <w:r>
        <w:rPr>
          <w:rFonts w:ascii="宋体" w:hAnsi="宋体" w:cs="宋体"/>
          <w:sz w:val="24"/>
        </w:rPr>
        <w:t>00</w:t>
      </w:r>
      <w:r>
        <w:rPr>
          <w:rFonts w:hint="eastAsia" w:ascii="宋体" w:hAnsi="宋体" w:cs="宋体"/>
          <w:sz w:val="24"/>
        </w:rPr>
        <w:t>分，不满足时得0分。</w:t>
      </w:r>
    </w:p>
    <w:p>
      <w:pPr>
        <w:spacing w:line="360" w:lineRule="auto"/>
        <w:ind w:firstLine="480" w:firstLineChars="200"/>
        <w:rPr>
          <w:rFonts w:ascii="宋体" w:hAnsi="宋体" w:cs="宋体"/>
          <w:sz w:val="24"/>
        </w:rPr>
      </w:pPr>
      <w:r>
        <w:rPr>
          <w:rFonts w:hint="eastAsia" w:ascii="宋体" w:hAnsi="宋体" w:cs="宋体"/>
          <w:sz w:val="24"/>
        </w:rPr>
        <w:t>该指标为预评价指标和评价指标。</w:t>
      </w:r>
    </w:p>
    <w:p>
      <w:pPr>
        <w:pageBreakBefore w:val="0"/>
        <w:widowControl w:val="0"/>
        <w:kinsoku/>
        <w:wordWrap/>
        <w:overflowPunct/>
        <w:topLinePunct w:val="0"/>
        <w:autoSpaceDE/>
        <w:autoSpaceDN/>
        <w:bidi w:val="0"/>
        <w:adjustRightInd/>
        <w:snapToGrid/>
        <w:textAlignment w:val="auto"/>
        <w:rPr>
          <w:rFonts w:hint="eastAsia"/>
          <w:color w:val="0000FF"/>
          <w:lang w:val="en-US" w:eastAsia="zh-CN"/>
        </w:rPr>
      </w:pPr>
      <w:r>
        <w:rPr>
          <w:rFonts w:hint="eastAsia"/>
          <w:color w:val="0000FF"/>
          <w:lang w:val="en-US" w:eastAsia="zh-CN"/>
        </w:rPr>
        <w:t>【条文说明】本指标为优于国家现行标准的指标项，适用于对风振舒适度要求较高的高层钢结构建筑，1年风振舒适度等级采用一年重现期的风荷载作用下、10分钟内结构的加速度最大响应值为指标进行评价，评价曲线对应日本标准H-30、H-50、H-70、H-90曲线，如下图所示。</w:t>
      </w:r>
    </w:p>
    <w:p>
      <w:pPr>
        <w:spacing w:line="360" w:lineRule="auto"/>
        <w:jc w:val="center"/>
        <w:rPr>
          <w:rFonts w:ascii="宋体" w:hAnsi="宋体" w:cs="宋体"/>
          <w:sz w:val="24"/>
        </w:rPr>
      </w:pPr>
      <w:r>
        <w:drawing>
          <wp:inline distT="0" distB="0" distL="0" distR="0">
            <wp:extent cx="3129280" cy="2138680"/>
            <wp:effectExtent l="0" t="0" r="13970" b="13970"/>
            <wp:docPr id="169" name="图片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图片 169"/>
                    <pic:cNvPicPr>
                      <a:picLocks noChangeAspect="1"/>
                    </pic:cNvPicPr>
                  </pic:nvPicPr>
                  <pic:blipFill>
                    <a:blip r:embed="rId9"/>
                    <a:stretch>
                      <a:fillRect/>
                    </a:stretch>
                  </pic:blipFill>
                  <pic:spPr>
                    <a:xfrm>
                      <a:off x="0" y="0"/>
                      <a:ext cx="3138890" cy="2145110"/>
                    </a:xfrm>
                    <a:prstGeom prst="rect">
                      <a:avLst/>
                    </a:prstGeom>
                  </pic:spPr>
                </pic:pic>
              </a:graphicData>
            </a:graphic>
          </wp:inline>
        </w:drawing>
      </w:r>
    </w:p>
    <w:p>
      <w:pPr>
        <w:pStyle w:val="7"/>
        <w:rPr>
          <w:rFonts w:hint="eastAsia"/>
          <w:color w:val="0000FF"/>
          <w:lang w:val="en-US" w:eastAsia="zh-CN"/>
        </w:rPr>
      </w:pPr>
      <w:r>
        <w:t>1</w:t>
      </w:r>
      <w:r>
        <w:rPr>
          <w:rFonts w:hint="eastAsia"/>
        </w:rPr>
        <w:t>年风振舒适等级曲线</w:t>
      </w:r>
    </w:p>
    <w:p>
      <w:pPr>
        <w:rPr>
          <w:rFonts w:hint="eastAsia" w:hAnsi="Cambria Math"/>
        </w:rPr>
      </w:pPr>
      <w:r>
        <w:rPr>
          <w:rFonts w:hint="eastAsia" w:hAnsi="Cambria Math"/>
          <w:b/>
        </w:rPr>
        <w:t>4</w:t>
      </w:r>
      <w:r>
        <w:rPr>
          <w:rFonts w:hAnsi="Cambria Math"/>
          <w:b/>
        </w:rPr>
        <w:t xml:space="preserve">.3.12 </w:t>
      </w:r>
      <w:r>
        <w:rPr>
          <w:rFonts w:hint="eastAsia" w:hAnsi="Cambria Math"/>
        </w:rPr>
        <w:t>当进行楼盖振动舒适度验算并满足现行行业标准《建筑楼盖振动舒适度技术标准》JGJ/T</w:t>
      </w:r>
      <w:r>
        <w:rPr>
          <w:rFonts w:hAnsi="Cambria Math"/>
        </w:rPr>
        <w:t xml:space="preserve"> </w:t>
      </w:r>
      <w:r>
        <w:rPr>
          <w:rFonts w:hint="eastAsia" w:hAnsi="Cambria Math"/>
        </w:rPr>
        <w:t>441的限值时，得1</w:t>
      </w:r>
      <w:r>
        <w:rPr>
          <w:rFonts w:hAnsi="Cambria Math"/>
        </w:rPr>
        <w:t>00</w:t>
      </w:r>
      <w:r>
        <w:rPr>
          <w:rFonts w:hint="eastAsia" w:hAnsi="Cambria Math"/>
        </w:rPr>
        <w:t>分，未进行楼盖舒适度验算时，得0分。</w:t>
      </w:r>
    </w:p>
    <w:p>
      <w:pPr>
        <w:pStyle w:val="4"/>
        <w:spacing w:before="240" w:after="240"/>
      </w:pPr>
      <w:bookmarkStart w:id="92" w:name="_Toc138833778"/>
      <w:bookmarkStart w:id="93" w:name="_Toc23815"/>
      <w:bookmarkStart w:id="94" w:name="_Toc32471"/>
      <w:r>
        <w:rPr>
          <w:rFonts w:ascii="Times New Roman" w:hAnsi="Times New Roman" w:cs="Times New Roman"/>
        </w:rPr>
        <w:t>4.4</w:t>
      </w:r>
      <w:r>
        <w:t xml:space="preserve">  </w:t>
      </w:r>
      <w:bookmarkEnd w:id="92"/>
      <w:r>
        <w:rPr>
          <w:rFonts w:hint="eastAsia" w:ascii="黑体" w:hAnsi="黑体" w:eastAsia="黑体" w:cs="黑体"/>
        </w:rPr>
        <w:t>标准化</w:t>
      </w:r>
      <w:bookmarkEnd w:id="93"/>
      <w:bookmarkStart w:id="95" w:name="_Toc23500"/>
      <w:bookmarkStart w:id="96" w:name="_Toc19248"/>
      <w:r>
        <w:fldChar w:fldCharType="begin"/>
      </w:r>
      <w:r>
        <w:instrText xml:space="preserve"> TC  "</w:instrText>
      </w:r>
      <w:bookmarkStart w:id="97" w:name="_Toc152144913"/>
      <w:bookmarkStart w:id="98" w:name="_Toc152145800"/>
      <w:r>
        <w:instrText xml:space="preserve">4.4  </w:instrText>
      </w:r>
      <w:bookmarkEnd w:id="97"/>
      <w:bookmarkEnd w:id="98"/>
      <w:r>
        <w:rPr>
          <w:rFonts w:hint="eastAsia"/>
          <w:lang w:val="en-US" w:eastAsia="zh-CN"/>
        </w:rPr>
        <w:instrText xml:space="preserve">S</w:instrText>
      </w:r>
      <w:r>
        <w:rPr>
          <w:rFonts w:hint="eastAsia"/>
          <w:lang w:val="en-US" w:eastAsia="zh-CN"/>
        </w:rPr>
        <w:instrText xml:space="preserve">tandardization</w:instrText>
      </w:r>
      <w:r>
        <w:instrText xml:space="preserve">" \l 2 </w:instrText>
      </w:r>
      <w:r>
        <w:fldChar w:fldCharType="end"/>
      </w:r>
      <w:bookmarkEnd w:id="94"/>
      <w:bookmarkEnd w:id="95"/>
      <w:bookmarkEnd w:id="96"/>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99" w:name="_Toc22056"/>
      <w:r>
        <w:rPr>
          <w:rFonts w:hint="eastAsia" w:ascii="仿宋_GB2312" w:hAnsi="仿宋_GB2312" w:eastAsia="仿宋_GB2312" w:cs="仿宋_GB2312"/>
          <w:b w:val="0"/>
          <w:bCs w:val="0"/>
          <w:sz w:val="28"/>
          <w:szCs w:val="28"/>
        </w:rPr>
        <w:t>Ⅰ 建筑标准化</w:t>
      </w:r>
      <w:bookmarkStart w:id="100" w:name="_Toc13073"/>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Ⅰ</w:instrText>
      </w:r>
      <w:r>
        <w:rPr>
          <w:rFonts w:hint="eastAsia"/>
        </w:rPr>
        <w:instrText xml:space="preserve">  </w:instrText>
      </w:r>
      <w:r>
        <w:rPr>
          <w:rFonts w:hint="eastAsia"/>
          <w:lang w:val="en-US" w:eastAsia="zh-CN"/>
        </w:rPr>
        <w:instrText xml:space="preserve">Building Standardization</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99"/>
      <w:bookmarkEnd w:id="100"/>
    </w:p>
    <w:p>
      <w:r>
        <w:rPr>
          <w:rFonts w:hint="eastAsia"/>
          <w:b/>
        </w:rPr>
        <w:t>4</w:t>
      </w:r>
      <w:r>
        <w:rPr>
          <w:b/>
        </w:rPr>
        <w:t>.4.1</w:t>
      </w:r>
      <w:r>
        <w:t xml:space="preserve">  </w:t>
      </w:r>
      <w:r>
        <w:rPr>
          <w:rFonts w:hint="eastAsia"/>
        </w:rPr>
        <w:t>建筑平面标准轴网的面积占比指评价单元内采用标准轴网的建筑平面面积之和占评价单元总建筑面积的比例，即：</w:t>
      </w:r>
    </w:p>
    <w:p>
      <w:pPr>
        <w:rPr>
          <w:rFonts w:hint="eastAsia" w:hAnsi="Cambria Math"/>
        </w:rPr>
      </w:pPr>
      <m:oMathPara>
        <m:oMath>
          <m:r>
            <m:rPr>
              <m:sty m:val="p"/>
            </m:rPr>
            <w:rPr>
              <w:rFonts w:ascii="Cambria Math" w:hAnsi="Cambria Math"/>
            </w:rPr>
            <m:t xml:space="preserve"> </m:t>
          </m:r>
          <m:r>
            <m:rPr>
              <m:sty m:val="p"/>
            </m:rPr>
            <w:rPr>
              <w:rFonts w:hint="eastAsia" w:ascii="Cambria Math" w:hAnsi="Cambria Math"/>
            </w:rPr>
            <m:t>建筑平面标准轴网的面积占比</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评价单元内采用标准轴网的建筑平面面积之和</m:t>
              </m:r>
              <m:ctrlPr>
                <w:rPr>
                  <w:rFonts w:ascii="Cambria Math" w:hAnsi="Cambria Math"/>
                </w:rPr>
              </m:ctrlPr>
            </m:num>
            <m:den>
              <m:r>
                <m:rPr>
                  <m:sty m:val="p"/>
                </m:rPr>
                <w:rPr>
                  <w:rFonts w:hint="eastAsia" w:ascii="Cambria Math" w:hAnsi="Cambria Math"/>
                </w:rPr>
                <m:t>评价单元总建筑面积</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rPr>
        <w:t>建筑平面标准轴网的面积占比</w:t>
      </w:r>
      <w:r>
        <w:rPr>
          <w:rFonts w:hint="eastAsia" w:hAnsi="Cambria Math"/>
        </w:rPr>
        <w:t>为</w:t>
      </w:r>
      <w:r>
        <w:rPr>
          <w:rFonts w:hAnsi="Cambria Math"/>
        </w:rPr>
        <w:t>80</w:t>
      </w:r>
      <w:r>
        <w:rPr>
          <w:rFonts w:hint="eastAsia" w:hAnsi="Cambria Math"/>
        </w:rPr>
        <w:t>%及以上时，得100分；</w:t>
      </w:r>
      <w:r>
        <w:rPr>
          <w:rFonts w:hint="eastAsia"/>
        </w:rPr>
        <w:t>建筑平面标准轴网的面积占比</w:t>
      </w:r>
      <w:r>
        <w:rPr>
          <w:rFonts w:hint="eastAsia" w:hAnsi="Cambria Math"/>
        </w:rPr>
        <w:t>为</w:t>
      </w:r>
      <w:r>
        <w:rPr>
          <w:rFonts w:hAnsi="Cambria Math"/>
        </w:rPr>
        <w:t>4</w:t>
      </w:r>
      <w:r>
        <w:rPr>
          <w:rFonts w:hint="eastAsia" w:hAnsi="Cambria Math"/>
        </w:rPr>
        <w:t>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pPr>
        <w:rPr>
          <w:rFonts w:hint="eastAsia" w:hAnsi="Cambria Math"/>
        </w:rPr>
      </w:pPr>
      <w:r>
        <w:rPr>
          <w:rFonts w:hint="eastAsia"/>
          <w:b/>
          <w:bCs/>
        </w:rPr>
        <w:t>4.4.2</w:t>
      </w:r>
      <w:r>
        <w:rPr>
          <w:rFonts w:hint="eastAsia"/>
        </w:rPr>
        <w:t xml:space="preserve">  80%及以上尺寸采用《建筑模数协调标准》G</w:t>
      </w:r>
      <w:r>
        <w:t>B/T 50002</w:t>
      </w:r>
      <w:r>
        <w:rPr>
          <w:rFonts w:hint="eastAsia"/>
        </w:rPr>
        <w:t>中优先尺寸时，得100分；</w:t>
      </w:r>
      <w:r>
        <w:rPr>
          <w:rFonts w:hint="eastAsia" w:hAnsi="Cambria Math"/>
        </w:rPr>
        <w:t>20%及以下采用</w:t>
      </w:r>
      <w:r>
        <w:rPr>
          <w:rFonts w:hint="eastAsia"/>
        </w:rPr>
        <w:t>《建筑模数协调标准》G</w:t>
      </w:r>
      <w:r>
        <w:t>B/T 50002</w:t>
      </w:r>
      <w:r>
        <w:rPr>
          <w:rFonts w:hint="eastAsia"/>
        </w:rPr>
        <w:t>中优先尺寸时</w:t>
      </w:r>
      <w:r>
        <w:rPr>
          <w:rFonts w:hint="eastAsia" w:hAnsi="Cambria Math"/>
        </w:rPr>
        <w:t>，得0分；中间按线性内插计算。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r>
        <w:rPr>
          <w:rFonts w:hint="eastAsia" w:hAnsi="Cambria Math"/>
          <w:b/>
          <w:bCs/>
        </w:rPr>
        <w:t>4.4.3</w:t>
      </w:r>
      <w:r>
        <w:rPr>
          <w:rFonts w:hint="eastAsia" w:hAnsi="Cambria Math"/>
        </w:rPr>
        <w:t xml:space="preserve">  </w:t>
      </w:r>
      <w:r>
        <w:rPr>
          <w:rFonts w:hint="eastAsia"/>
        </w:rPr>
        <w:t>建筑标准层高占比指评价单元内建筑标准层高数量占所有楼层数量的比例，即：</w:t>
      </w:r>
    </w:p>
    <w:p>
      <w:pPr>
        <w:rPr>
          <w:rFonts w:hint="eastAsia" w:hAnsi="Cambria Math"/>
        </w:rPr>
      </w:pPr>
      <m:oMathPara>
        <m:oMath>
          <m:r>
            <m:rPr>
              <m:sty m:val="p"/>
            </m:rPr>
            <w:rPr>
              <w:rFonts w:hint="eastAsia" w:ascii="Cambria Math" w:hAnsi="Cambria Math"/>
            </w:rPr>
            <m:t>建筑标准层高占比</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评价单元内建筑标准层高数量之和</m:t>
              </m:r>
              <m:ctrlPr>
                <w:rPr>
                  <w:rFonts w:ascii="Cambria Math" w:hAnsi="Cambria Math"/>
                </w:rPr>
              </m:ctrlPr>
            </m:num>
            <m:den>
              <m:r>
                <m:rPr>
                  <m:sty m:val="p"/>
                </m:rPr>
                <w:rPr>
                  <w:rFonts w:hint="eastAsia" w:ascii="Cambria Math" w:hAnsi="Cambria Math"/>
                </w:rPr>
                <m:t>评价单元内地上楼层数量</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hAnsi="Cambria Math"/>
        </w:rPr>
        <w:t>评价单元内地上楼层不包含出屋面层。</w:t>
      </w:r>
    </w:p>
    <w:p>
      <w:pPr>
        <w:ind w:firstLine="480" w:firstLineChars="200"/>
        <w:rPr>
          <w:rFonts w:hint="eastAsia" w:hAnsi="Cambria Math"/>
        </w:rPr>
      </w:pPr>
      <w:r>
        <w:rPr>
          <w:rFonts w:hint="eastAsia"/>
        </w:rPr>
        <w:t>建筑标准层高占比</w:t>
      </w:r>
      <w:r>
        <w:rPr>
          <w:rFonts w:hint="eastAsia" w:hAnsi="Cambria Math"/>
        </w:rPr>
        <w:t>为</w:t>
      </w:r>
      <w:r>
        <w:rPr>
          <w:rFonts w:hAnsi="Cambria Math"/>
        </w:rPr>
        <w:t>8</w:t>
      </w:r>
      <w:r>
        <w:rPr>
          <w:rFonts w:hint="eastAsia" w:hAnsi="Cambria Math"/>
        </w:rPr>
        <w:t>0%及以上时，得100分；</w:t>
      </w:r>
      <w:r>
        <w:rPr>
          <w:rFonts w:hint="eastAsia"/>
        </w:rPr>
        <w:t>建筑标准层高占比</w:t>
      </w:r>
      <w:r>
        <w:rPr>
          <w:rFonts w:hint="eastAsia" w:hAnsi="Cambria Math"/>
        </w:rPr>
        <w:t>为20%及以下时，得0分；中间按线性内插计算。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101" w:name="_Toc21575"/>
      <w:r>
        <w:rPr>
          <w:rFonts w:hint="eastAsia" w:ascii="仿宋_GB2312" w:hAnsi="仿宋_GB2312" w:eastAsia="仿宋_GB2312" w:cs="仿宋_GB2312"/>
          <w:b w:val="0"/>
          <w:bCs w:val="0"/>
          <w:sz w:val="28"/>
          <w:szCs w:val="28"/>
        </w:rPr>
        <w:t>Ⅱ 结构标准化</w:t>
      </w:r>
      <w:bookmarkStart w:id="102" w:name="_Toc17010"/>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Ⅱ</w:instrText>
      </w:r>
      <w:r>
        <w:rPr>
          <w:rFonts w:hint="eastAsia"/>
        </w:rPr>
        <w:instrText xml:space="preserve">  </w:instrText>
      </w:r>
      <w:r>
        <w:rPr>
          <w:rFonts w:hint="eastAsia"/>
          <w:lang w:val="en-US" w:eastAsia="zh-CN"/>
        </w:rPr>
        <w:instrText xml:space="preserve">Structural</w:instrText>
      </w:r>
      <w:r>
        <w:rPr>
          <w:rFonts w:hint="eastAsia"/>
          <w:lang w:val="en-US" w:eastAsia="zh-CN"/>
        </w:rPr>
        <w:instrText xml:space="preserve"> Standardization</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101"/>
      <w:bookmarkEnd w:id="102"/>
    </w:p>
    <w:p>
      <w:r>
        <w:rPr>
          <w:rFonts w:hint="eastAsia" w:hAnsi="Cambria Math"/>
          <w:b/>
          <w:bCs/>
        </w:rPr>
        <w:t>4.4.4</w:t>
      </w:r>
      <w:r>
        <w:rPr>
          <w:rFonts w:hint="eastAsia" w:hAnsi="Cambria Math"/>
        </w:rPr>
        <w:t xml:space="preserve">  </w:t>
      </w:r>
      <w:r>
        <w:rPr>
          <w:rFonts w:hint="eastAsia"/>
        </w:rPr>
        <w:t>构件标准化指评价单元内应用数量前三名的相同截面的构件数量之和占所有构件数量的比例，即：</w:t>
      </w:r>
    </w:p>
    <w:p>
      <w:pPr>
        <w:rPr>
          <w:rFonts w:hint="eastAsia" w:hAnsi="Cambria Math"/>
        </w:rPr>
      </w:pPr>
      <m:oMathPara>
        <m:oMath>
          <m:r>
            <m:rPr>
              <m:sty m:val="p"/>
            </m:rPr>
            <w:rPr>
              <w:rFonts w:hint="eastAsia" w:ascii="Cambria Math" w:hAnsi="Cambria Math"/>
            </w:rPr>
            <m:t>构件标准化</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评价单元内应用数量前三名的相同截面的构件数量之和</m:t>
              </m:r>
              <m:ctrlPr>
                <w:rPr>
                  <w:rFonts w:ascii="Cambria Math" w:hAnsi="Cambria Math"/>
                </w:rPr>
              </m:ctrlPr>
            </m:num>
            <m:den>
              <m:r>
                <m:rPr>
                  <m:sty m:val="p"/>
                </m:rPr>
                <w:rPr>
                  <w:rFonts w:hint="eastAsia" w:ascii="Cambria Math" w:hAnsi="Cambria Math"/>
                </w:rPr>
                <m:t>评价单元内所有构件数量</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rPr>
        <w:t>构件标准化</w:t>
      </w:r>
      <w:r>
        <w:rPr>
          <w:rFonts w:hint="eastAsia" w:hAnsi="Cambria Math"/>
        </w:rPr>
        <w:t>为</w:t>
      </w:r>
      <w:r>
        <w:rPr>
          <w:rFonts w:hAnsi="Cambria Math"/>
        </w:rPr>
        <w:t>8</w:t>
      </w:r>
      <w:r>
        <w:rPr>
          <w:rFonts w:hint="eastAsia" w:hAnsi="Cambria Math"/>
        </w:rPr>
        <w:t>0%及以上时，得100分；</w:t>
      </w:r>
      <w:r>
        <w:rPr>
          <w:rFonts w:hint="eastAsia"/>
        </w:rPr>
        <w:t>构件标准化</w:t>
      </w:r>
      <w:r>
        <w:rPr>
          <w:rFonts w:hint="eastAsia" w:hAnsi="Cambria Math"/>
        </w:rPr>
        <w:t>为20%及以下时，得0分；中间按线性内插计算。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pPr>
        <w:rPr>
          <w:rFonts w:hint="eastAsia" w:hAnsi="Cambria Math"/>
        </w:rPr>
      </w:pPr>
      <w:r>
        <w:rPr>
          <w:rFonts w:hint="eastAsia" w:hAnsi="Cambria Math"/>
          <w:b/>
          <w:bCs/>
        </w:rPr>
        <w:t>4.4.5</w:t>
      </w:r>
      <w:r>
        <w:rPr>
          <w:rFonts w:hint="eastAsia" w:hAnsi="Cambria Math"/>
        </w:rPr>
        <w:t xml:space="preserve">  </w:t>
      </w:r>
      <w:r>
        <w:rPr>
          <w:rFonts w:hint="eastAsia"/>
        </w:rPr>
        <w:t>连接标准化指评价单元内应用数量前五名的</w:t>
      </w:r>
      <w:r>
        <w:rPr>
          <w:rFonts w:hint="eastAsia"/>
          <w:lang w:val="en-US" w:eastAsia="zh-CN"/>
        </w:rPr>
        <w:t>同一尺寸、同一做法得</w:t>
      </w:r>
      <w:r>
        <w:rPr>
          <w:rFonts w:hint="eastAsia"/>
        </w:rPr>
        <w:t>连接节点的数量之和占所有连接节点数量的比例，即：</w:t>
      </w:r>
    </w:p>
    <w:p>
      <w:pPr>
        <w:rPr>
          <w:rFonts w:hint="eastAsia" w:hAnsi="Cambria Math"/>
        </w:rPr>
      </w:pPr>
      <m:oMathPara>
        <m:oMath>
          <m:r>
            <m:rPr>
              <m:sty m:val="p"/>
            </m:rPr>
            <w:rPr>
              <w:rFonts w:hint="eastAsia" w:ascii="Cambria Math" w:hAnsi="Cambria Math"/>
            </w:rPr>
            <m:t>连接标准化</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评价单元内应用数量前五名的标准化连接节点数量之和</m:t>
              </m:r>
              <m:ctrlPr>
                <w:rPr>
                  <w:rFonts w:ascii="Cambria Math" w:hAnsi="Cambria Math"/>
                </w:rPr>
              </m:ctrlPr>
            </m:num>
            <m:den>
              <m:r>
                <m:rPr>
                  <m:sty m:val="p"/>
                </m:rPr>
                <w:rPr>
                  <w:rFonts w:hint="eastAsia" w:ascii="Cambria Math" w:hAnsi="Cambria Math"/>
                </w:rPr>
                <m:t>评价单元内所有连接节点数量</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rPr>
        <w:t>连接标准化</w:t>
      </w:r>
      <w:r>
        <w:rPr>
          <w:rFonts w:hint="eastAsia" w:hAnsi="Cambria Math"/>
        </w:rPr>
        <w:t>为</w:t>
      </w:r>
      <w:r>
        <w:rPr>
          <w:rFonts w:hAnsi="Cambria Math"/>
        </w:rPr>
        <w:t>8</w:t>
      </w:r>
      <w:r>
        <w:rPr>
          <w:rFonts w:hint="eastAsia" w:hAnsi="Cambria Math"/>
        </w:rPr>
        <w:t>0%及以上时，得100分；</w:t>
      </w:r>
      <w:r>
        <w:rPr>
          <w:rFonts w:hint="eastAsia"/>
        </w:rPr>
        <w:t>连接标准化</w:t>
      </w:r>
      <w:r>
        <w:rPr>
          <w:rFonts w:hint="eastAsia" w:hAnsi="Cambria Math"/>
        </w:rPr>
        <w:t>为20%及以下时，得0分；中间按线性内插计算。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r>
        <w:rPr>
          <w:rFonts w:hint="eastAsia" w:hAnsi="Cambria Math"/>
          <w:b/>
          <w:bCs/>
        </w:rPr>
        <w:t>4.4.6</w:t>
      </w:r>
      <w:r>
        <w:rPr>
          <w:rFonts w:hint="eastAsia" w:hAnsi="Cambria Math"/>
        </w:rPr>
        <w:t xml:space="preserve">  </w:t>
      </w:r>
      <w:r>
        <w:rPr>
          <w:rFonts w:hint="eastAsia"/>
        </w:rPr>
        <w:t>螺栓标准化指评价单元内应用数量前五名螺栓的数量之和占所有螺栓数量的比例，即：</w:t>
      </w:r>
    </w:p>
    <w:p>
      <w:pPr>
        <w:rPr>
          <w:rFonts w:hint="eastAsia" w:hAnsi="Cambria Math"/>
        </w:rPr>
      </w:pPr>
      <m:oMathPara>
        <m:oMath>
          <m:r>
            <m:rPr>
              <m:sty m:val="p"/>
            </m:rPr>
            <w:rPr>
              <w:rFonts w:hint="eastAsia" w:ascii="Cambria Math" w:hAnsi="Cambria Math"/>
            </w:rPr>
            <m:t>螺栓标准化</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评价单元内应用数量前五名的螺栓数量之和</m:t>
              </m:r>
              <m:ctrlPr>
                <w:rPr>
                  <w:rFonts w:ascii="Cambria Math" w:hAnsi="Cambria Math"/>
                </w:rPr>
              </m:ctrlPr>
            </m:num>
            <m:den>
              <m:r>
                <m:rPr>
                  <m:sty m:val="p"/>
                </m:rPr>
                <w:rPr>
                  <w:rFonts w:hint="eastAsia" w:ascii="Cambria Math" w:hAnsi="Cambria Math"/>
                </w:rPr>
                <m:t>评价单元内所有螺栓数量</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rPr>
        <w:t>螺栓标准化</w:t>
      </w:r>
      <w:r>
        <w:rPr>
          <w:rFonts w:hint="eastAsia" w:hAnsi="Cambria Math"/>
        </w:rPr>
        <w:t>为</w:t>
      </w:r>
      <w:r>
        <w:rPr>
          <w:rFonts w:hAnsi="Cambria Math"/>
        </w:rPr>
        <w:t>8</w:t>
      </w:r>
      <w:r>
        <w:rPr>
          <w:rFonts w:hint="eastAsia" w:hAnsi="Cambria Math"/>
        </w:rPr>
        <w:t>0%及以上时，得100分；</w:t>
      </w:r>
      <w:r>
        <w:rPr>
          <w:rFonts w:hint="eastAsia"/>
        </w:rPr>
        <w:t>螺栓标准化</w:t>
      </w:r>
      <w:r>
        <w:rPr>
          <w:rFonts w:hint="eastAsia" w:hAnsi="Cambria Math"/>
        </w:rPr>
        <w:t>为20%及以下时，得0分；中间按线性内插计算。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r>
        <w:rPr>
          <w:rFonts w:hint="eastAsia" w:hAnsi="Cambria Math"/>
          <w:b/>
          <w:bCs/>
        </w:rPr>
        <w:t>4.4.7</w:t>
      </w:r>
      <w:r>
        <w:rPr>
          <w:rFonts w:hint="eastAsia" w:hAnsi="Cambria Math"/>
        </w:rPr>
        <w:t xml:space="preserve">  </w:t>
      </w:r>
      <w:r>
        <w:rPr>
          <w:rFonts w:hint="eastAsia"/>
        </w:rPr>
        <w:t>节点板标准化指评价单元内应用数量前五名节点板的数量之和占所有节点板数量的比例，即：</w:t>
      </w:r>
    </w:p>
    <w:p>
      <w:pPr>
        <w:rPr>
          <w:rFonts w:hint="eastAsia" w:hAnsi="Cambria Math"/>
        </w:rPr>
      </w:pPr>
      <m:oMathPara>
        <m:oMath>
          <m:r>
            <m:rPr>
              <m:sty m:val="p"/>
            </m:rPr>
            <w:rPr>
              <w:rFonts w:hint="eastAsia" w:ascii="Cambria Math" w:hAnsi="Cambria Math"/>
            </w:rPr>
            <m:t>节点板标准化</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评价单元内应用数量前五名的节点板数量之和</m:t>
              </m:r>
              <m:ctrlPr>
                <w:rPr>
                  <w:rFonts w:ascii="Cambria Math" w:hAnsi="Cambria Math"/>
                </w:rPr>
              </m:ctrlPr>
            </m:num>
            <m:den>
              <m:r>
                <m:rPr>
                  <m:sty m:val="p"/>
                </m:rPr>
                <w:rPr>
                  <w:rFonts w:hint="eastAsia" w:ascii="Cambria Math" w:hAnsi="Cambria Math"/>
                </w:rPr>
                <m:t>评价单元内所有节点板数量</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rPr>
        <w:t>节点板标准化</w:t>
      </w:r>
      <w:r>
        <w:rPr>
          <w:rFonts w:hint="eastAsia" w:hAnsi="Cambria Math"/>
        </w:rPr>
        <w:t>为</w:t>
      </w:r>
      <w:r>
        <w:rPr>
          <w:rFonts w:hAnsi="Cambria Math"/>
        </w:rPr>
        <w:t>8</w:t>
      </w:r>
      <w:r>
        <w:rPr>
          <w:rFonts w:hint="eastAsia" w:hAnsi="Cambria Math"/>
        </w:rPr>
        <w:t>0%及以上时，得100分；</w:t>
      </w:r>
      <w:r>
        <w:rPr>
          <w:rFonts w:hint="eastAsia"/>
        </w:rPr>
        <w:t>节点板标准化</w:t>
      </w:r>
      <w:r>
        <w:rPr>
          <w:rFonts w:hint="eastAsia" w:hAnsi="Cambria Math"/>
        </w:rPr>
        <w:t>为20%及以下时，得0分；中间按线性内插计算。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r>
        <w:rPr>
          <w:rFonts w:hint="eastAsia" w:hAnsi="Cambria Math"/>
          <w:b/>
          <w:bCs/>
        </w:rPr>
        <w:t>4.4.8</w:t>
      </w:r>
      <w:r>
        <w:rPr>
          <w:rFonts w:hint="eastAsia" w:hAnsi="Cambria Math"/>
        </w:rPr>
        <w:t xml:space="preserve">  </w:t>
      </w:r>
      <w:r>
        <w:rPr>
          <w:rFonts w:hint="eastAsia"/>
        </w:rPr>
        <w:t>加劲板标准化指评价单元内应用数量前五名加劲板的数量之和占所有加劲板数量的比例，即：</w:t>
      </w:r>
    </w:p>
    <w:p>
      <w:pPr>
        <w:rPr>
          <w:rFonts w:hint="eastAsia" w:hAnsi="Cambria Math"/>
        </w:rPr>
      </w:pPr>
      <m:oMathPara>
        <m:oMath>
          <m:r>
            <m:rPr>
              <m:sty m:val="p"/>
            </m:rPr>
            <w:rPr>
              <w:rFonts w:hint="eastAsia" w:ascii="Cambria Math" w:hAnsi="Cambria Math"/>
            </w:rPr>
            <m:t>加劲板标准化</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评价单元内应用数量前五名的加劲板数量之和</m:t>
              </m:r>
              <m:ctrlPr>
                <w:rPr>
                  <w:rFonts w:ascii="Cambria Math" w:hAnsi="Cambria Math"/>
                </w:rPr>
              </m:ctrlPr>
            </m:num>
            <m:den>
              <m:r>
                <m:rPr>
                  <m:sty m:val="p"/>
                </m:rPr>
                <w:rPr>
                  <w:rFonts w:hint="eastAsia" w:ascii="Cambria Math" w:hAnsi="Cambria Math"/>
                </w:rPr>
                <m:t>评价单元内所有加劲板数量</m:t>
              </m:r>
              <m:ctrlPr>
                <w:rPr>
                  <w:rFonts w:ascii="Cambria Math" w:hAnsi="Cambria Math"/>
                </w:rPr>
              </m:ctrlPr>
            </m:den>
          </m:f>
          <m:r>
            <m:rPr>
              <m:sty m:val="p"/>
            </m:rPr>
            <w:rPr>
              <w:rFonts w:ascii="Cambria Math" w:hAnsi="Cambria Math"/>
            </w:rPr>
            <m:t>×100%</m:t>
          </m:r>
        </m:oMath>
      </m:oMathPara>
    </w:p>
    <w:p>
      <w:pPr>
        <w:ind w:firstLine="480" w:firstLineChars="200"/>
        <w:rPr>
          <w:rFonts w:hint="eastAsia" w:hAnsi="Cambria Math"/>
        </w:rPr>
      </w:pPr>
      <w:r>
        <w:rPr>
          <w:rFonts w:hint="eastAsia"/>
        </w:rPr>
        <w:t>加劲板标准化</w:t>
      </w:r>
      <w:r>
        <w:rPr>
          <w:rFonts w:hint="eastAsia" w:hAnsi="Cambria Math"/>
        </w:rPr>
        <w:t>为</w:t>
      </w:r>
      <w:r>
        <w:rPr>
          <w:rFonts w:hAnsi="Cambria Math"/>
        </w:rPr>
        <w:t>8</w:t>
      </w:r>
      <w:r>
        <w:rPr>
          <w:rFonts w:hint="eastAsia" w:hAnsi="Cambria Math"/>
        </w:rPr>
        <w:t>0%及以上时，得100分；加劲板</w:t>
      </w:r>
      <w:r>
        <w:rPr>
          <w:rFonts w:hint="eastAsia"/>
        </w:rPr>
        <w:t>标准化</w:t>
      </w:r>
      <w:r>
        <w:rPr>
          <w:rFonts w:hint="eastAsia" w:hAnsi="Cambria Math"/>
        </w:rPr>
        <w:t>为20%及以下时，得0分；中间按线性内插计算。</w:t>
      </w:r>
    </w:p>
    <w:p>
      <w:pPr>
        <w:pageBreakBefore w:val="0"/>
        <w:widowControl w:val="0"/>
        <w:kinsoku/>
        <w:wordWrap/>
        <w:overflowPunct/>
        <w:topLinePunct w:val="0"/>
        <w:autoSpaceDE/>
        <w:autoSpaceDN/>
        <w:bidi w:val="0"/>
        <w:adjustRightInd/>
        <w:snapToGrid/>
        <w:ind w:firstLine="480" w:firstLineChars="200"/>
        <w:textAlignment w:val="auto"/>
        <w:rPr>
          <w:rFonts w:hint="eastAsia" w:hAnsi="Cambria Math"/>
        </w:rPr>
      </w:pPr>
      <w:r>
        <w:rPr>
          <w:rFonts w:hint="eastAsia"/>
        </w:rPr>
        <w:t>该指标</w:t>
      </w:r>
      <w:r>
        <w:rPr>
          <w:rFonts w:hint="eastAsia"/>
          <w:lang w:val="en-US" w:eastAsia="zh-CN"/>
        </w:rPr>
        <w:t>为预评价指标和评价指标</w:t>
      </w:r>
      <w:r>
        <w:rPr>
          <w:rFonts w:hint="eastAsia"/>
        </w:rPr>
        <w:t>。</w:t>
      </w:r>
    </w:p>
    <w:p>
      <w:pPr>
        <w:pStyle w:val="4"/>
      </w:pPr>
      <w:bookmarkStart w:id="103" w:name="_Toc32354"/>
      <w:bookmarkStart w:id="104" w:name="_Toc30952"/>
      <w:r>
        <w:rPr>
          <w:rFonts w:hint="default" w:ascii="Times New Roman" w:hAnsi="Times New Roman" w:cs="Times New Roman"/>
        </w:rPr>
        <w:t>4.5</w:t>
      </w:r>
      <w:r>
        <w:rPr>
          <w:rFonts w:hint="eastAsia"/>
        </w:rPr>
        <w:t xml:space="preserve">  </w:t>
      </w:r>
      <w:r>
        <w:rPr>
          <w:rFonts w:hint="eastAsia" w:ascii="黑体" w:hAnsi="黑体" w:eastAsia="黑体" w:cs="黑体"/>
        </w:rPr>
        <w:t>质量</w:t>
      </w:r>
      <w:bookmarkEnd w:id="103"/>
      <w:bookmarkStart w:id="105" w:name="_Toc16247"/>
      <w:r>
        <w:fldChar w:fldCharType="begin"/>
      </w:r>
      <w:r>
        <w:instrText xml:space="preserve"> TC  "4.</w:instrText>
      </w:r>
      <w:r>
        <w:rPr>
          <w:rFonts w:hint="eastAsia"/>
          <w:lang w:val="en-US" w:eastAsia="zh-CN"/>
        </w:rPr>
        <w:instrText xml:space="preserve">5</w:instrText>
      </w:r>
      <w:r>
        <w:instrText xml:space="preserve">  </w:instrText>
      </w:r>
      <w:r>
        <w:rPr>
          <w:rFonts w:hint="eastAsia"/>
          <w:lang w:val="en-US" w:eastAsia="zh-CN"/>
        </w:rPr>
        <w:instrText xml:space="preserve">Q</w:instrText>
      </w:r>
      <w:r>
        <w:rPr>
          <w:rFonts w:hint="eastAsia"/>
          <w:lang w:val="en-US" w:eastAsia="zh-CN"/>
        </w:rPr>
        <w:instrText xml:space="preserve">uality</w:instrText>
      </w:r>
      <w:r>
        <w:instrText xml:space="preserve">" \l 2 </w:instrText>
      </w:r>
      <w:r>
        <w:fldChar w:fldCharType="end"/>
      </w:r>
      <w:bookmarkEnd w:id="104"/>
      <w:bookmarkEnd w:id="105"/>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106" w:name="_Toc27773"/>
      <w:r>
        <w:rPr>
          <w:rFonts w:hint="eastAsia" w:ascii="仿宋_GB2312" w:hAnsi="仿宋_GB2312" w:eastAsia="仿宋_GB2312" w:cs="仿宋_GB2312"/>
          <w:b w:val="0"/>
          <w:bCs w:val="0"/>
          <w:sz w:val="28"/>
          <w:szCs w:val="28"/>
        </w:rPr>
        <w:t>Ⅰ 产品和服务认证</w:t>
      </w:r>
      <w:bookmarkStart w:id="107" w:name="_Toc1627"/>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Ⅰ</w:instrText>
      </w:r>
      <w:r>
        <w:rPr>
          <w:rFonts w:hint="eastAsia"/>
        </w:rPr>
        <w:instrText xml:space="preserve">  </w:instrText>
      </w:r>
      <w:r>
        <w:rPr>
          <w:rFonts w:hint="eastAsia"/>
          <w:lang w:val="en-US" w:eastAsia="zh-CN"/>
        </w:rPr>
        <w:instrText xml:space="preserve">Product and Service Certification</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106"/>
      <w:bookmarkEnd w:id="107"/>
    </w:p>
    <w:p>
      <w:pPr>
        <w:rPr>
          <w:shd w:val="pct10" w:color="auto" w:fill="FFFFFF"/>
        </w:rPr>
      </w:pPr>
      <w:r>
        <w:rPr>
          <w:rFonts w:hint="eastAsia"/>
          <w:b/>
          <w:bCs/>
        </w:rPr>
        <w:t>4.5.1</w:t>
      </w:r>
      <w:r>
        <w:rPr>
          <w:rFonts w:hint="eastAsia"/>
        </w:rPr>
        <w:t xml:space="preserve">  当产品和服务</w:t>
      </w:r>
      <w:r>
        <w:rPr>
          <w:rFonts w:hint="eastAsia" w:hAnsi="Cambria Math"/>
        </w:rPr>
        <w:t>分别</w:t>
      </w:r>
      <w:r>
        <w:rPr>
          <w:rFonts w:hint="eastAsia"/>
        </w:rPr>
        <w:t>完成轧制型材认证、钢构件产品认证、施工安装服务认证工作时，每项得1</w:t>
      </w:r>
      <w:r>
        <w:t>00</w:t>
      </w:r>
      <w:r>
        <w:rPr>
          <w:rFonts w:hint="eastAsia"/>
        </w:rPr>
        <w:t>分，未进行认证，得0分。</w:t>
      </w:r>
    </w:p>
    <w:p>
      <w:pPr>
        <w:pStyle w:val="5"/>
        <w:spacing w:before="156" w:beforeLines="50" w:after="156" w:afterLines="50" w:line="360" w:lineRule="auto"/>
        <w:jc w:val="center"/>
        <w:rPr>
          <w:rFonts w:hint="eastAsia" w:ascii="仿宋_GB2312" w:hAnsi="仿宋_GB2312" w:eastAsia="仿宋_GB2312" w:cs="仿宋_GB2312"/>
          <w:b w:val="0"/>
          <w:bCs w:val="0"/>
          <w:sz w:val="24"/>
          <w:szCs w:val="24"/>
        </w:rPr>
      </w:pPr>
      <w:bookmarkStart w:id="108" w:name="_Toc29185"/>
      <w:r>
        <w:rPr>
          <w:rFonts w:hint="eastAsia" w:ascii="仿宋_GB2312" w:hAnsi="仿宋_GB2312" w:eastAsia="仿宋_GB2312" w:cs="仿宋_GB2312"/>
          <w:b w:val="0"/>
          <w:bCs w:val="0"/>
          <w:sz w:val="24"/>
          <w:szCs w:val="24"/>
        </w:rPr>
        <w:t>Ⅱ 第三方评估</w:t>
      </w:r>
      <w:bookmarkStart w:id="109" w:name="_Toc31107"/>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4"/>
          <w:szCs w:val="24"/>
        </w:rPr>
        <w:instrText xml:space="preserve">Ⅱ</w:instrText>
      </w:r>
      <w:r>
        <w:rPr>
          <w:rFonts w:hint="eastAsia"/>
        </w:rPr>
        <w:instrText xml:space="preserve">  </w:instrText>
      </w:r>
      <w:r>
        <w:rPr>
          <w:rFonts w:hint="eastAsia"/>
          <w:lang w:val="en-US" w:eastAsia="zh-CN"/>
        </w:rPr>
        <w:instrText xml:space="preserve">Third Party Assessment</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108"/>
      <w:bookmarkEnd w:id="109"/>
    </w:p>
    <w:p>
      <w:r>
        <w:rPr>
          <w:rFonts w:hint="eastAsia"/>
          <w:b/>
          <w:bCs/>
        </w:rPr>
        <w:t>4</w:t>
      </w:r>
      <w:r>
        <w:rPr>
          <w:b/>
          <w:bCs/>
        </w:rPr>
        <w:t>.6.1</w:t>
      </w:r>
      <w:r>
        <w:t xml:space="preserve">  </w:t>
      </w:r>
      <w:r>
        <w:rPr>
          <w:rFonts w:hint="eastAsia"/>
          <w:bCs/>
        </w:rPr>
        <w:t>第三方质量评估指</w:t>
      </w:r>
      <w:r>
        <w:rPr>
          <w:rFonts w:hint="eastAsia"/>
        </w:rPr>
        <w:t>被评价工程通过获得市级、省部级、国家级质量奖进行的评价。</w:t>
      </w:r>
    </w:p>
    <w:p>
      <w:r>
        <w:rPr>
          <w:rFonts w:hint="eastAsia"/>
        </w:rPr>
        <w:t xml:space="preserve"> </w:t>
      </w:r>
      <w:r>
        <w:t xml:space="preserve">   </w:t>
      </w:r>
      <w:r>
        <w:rPr>
          <w:rFonts w:hint="eastAsia"/>
        </w:rPr>
        <w:t>当取得国家级质量奖时得1</w:t>
      </w:r>
      <w:r>
        <w:t>00</w:t>
      </w:r>
      <w:r>
        <w:rPr>
          <w:rFonts w:hint="eastAsia"/>
        </w:rPr>
        <w:t>分，当取得省部级质量奖时得9</w:t>
      </w:r>
      <w:r>
        <w:t>0</w:t>
      </w:r>
      <w:r>
        <w:rPr>
          <w:rFonts w:hint="eastAsia"/>
        </w:rPr>
        <w:t>分，当取得市级质量奖时得8</w:t>
      </w:r>
      <w:r>
        <w:t>0</w:t>
      </w:r>
      <w:r>
        <w:rPr>
          <w:rFonts w:hint="eastAsia"/>
        </w:rPr>
        <w:t>分。</w:t>
      </w:r>
    </w:p>
    <w:p>
      <w:pPr>
        <w:pStyle w:val="4"/>
      </w:pPr>
      <w:bookmarkStart w:id="110" w:name="_Toc30362"/>
      <w:bookmarkStart w:id="111" w:name="_Toc29339"/>
      <w:r>
        <w:rPr>
          <w:rFonts w:hint="default" w:ascii="Times New Roman" w:hAnsi="Times New Roman" w:cs="Times New Roman"/>
        </w:rPr>
        <w:t>4.6</w:t>
      </w:r>
      <w:r>
        <w:rPr>
          <w:rFonts w:hint="eastAsia"/>
        </w:rPr>
        <w:t xml:space="preserve">  </w:t>
      </w:r>
      <w:bookmarkEnd w:id="110"/>
      <w:r>
        <w:rPr>
          <w:rFonts w:hint="eastAsia" w:ascii="黑体" w:hAnsi="黑体" w:eastAsia="黑体" w:cs="黑体"/>
        </w:rPr>
        <w:t>效益</w:t>
      </w:r>
      <w:bookmarkStart w:id="112" w:name="_Toc902"/>
      <w:r>
        <w:fldChar w:fldCharType="begin"/>
      </w:r>
      <w:r>
        <w:instrText xml:space="preserve"> TC  "4.</w:instrText>
      </w:r>
      <w:r>
        <w:rPr>
          <w:rFonts w:hint="eastAsia"/>
          <w:lang w:val="en-US" w:eastAsia="zh-CN"/>
        </w:rPr>
        <w:instrText xml:space="preserve">6</w:instrText>
      </w:r>
      <w:r>
        <w:instrText xml:space="preserve">  </w:instrText>
      </w:r>
      <w:r>
        <w:rPr>
          <w:rFonts w:hint="eastAsia"/>
          <w:lang w:val="en-US" w:eastAsia="zh-CN"/>
        </w:rPr>
        <w:instrText xml:space="preserve">B</w:instrText>
      </w:r>
      <w:r>
        <w:rPr>
          <w:rFonts w:hint="eastAsia"/>
          <w:lang w:val="en-US" w:eastAsia="zh-CN"/>
        </w:rPr>
        <w:instrText xml:space="preserve">enefit</w:instrText>
      </w:r>
      <w:r>
        <w:instrText xml:space="preserve">" \l 2 </w:instrText>
      </w:r>
      <w:r>
        <w:fldChar w:fldCharType="end"/>
      </w:r>
      <w:bookmarkEnd w:id="111"/>
      <w:bookmarkEnd w:id="112"/>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113" w:name="_Toc26510"/>
      <w:r>
        <w:rPr>
          <w:rFonts w:hint="eastAsia" w:ascii="仿宋_GB2312" w:hAnsi="仿宋_GB2312" w:eastAsia="仿宋_GB2312" w:cs="仿宋_GB2312"/>
          <w:b w:val="0"/>
          <w:bCs w:val="0"/>
          <w:sz w:val="28"/>
          <w:szCs w:val="28"/>
        </w:rPr>
        <w:t>Ⅰ 环境效益</w:t>
      </w:r>
      <w:bookmarkStart w:id="114" w:name="_Toc19006"/>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Ⅰ</w:instrText>
      </w:r>
      <w:r>
        <w:rPr>
          <w:rFonts w:hint="eastAsia"/>
        </w:rPr>
        <w:instrText xml:space="preserve">  </w:instrText>
      </w:r>
      <w:r>
        <w:rPr>
          <w:rFonts w:hint="eastAsia"/>
          <w:lang w:val="en-US" w:eastAsia="zh-CN"/>
        </w:rPr>
        <w:instrText xml:space="preserve">Environmental Benefit</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113"/>
      <w:bookmarkEnd w:id="114"/>
    </w:p>
    <w:p>
      <w:r>
        <w:rPr>
          <w:rFonts w:hint="eastAsia"/>
          <w:b/>
          <w:bCs/>
        </w:rPr>
        <w:t>4.6.</w:t>
      </w:r>
      <w:r>
        <w:rPr>
          <w:b/>
          <w:bCs/>
        </w:rPr>
        <w:t>1</w:t>
      </w:r>
      <w:r>
        <w:rPr>
          <w:rFonts w:hint="eastAsia"/>
        </w:rPr>
        <w:t xml:space="preserve">  钢材损耗度指钢材加工过程中由于各种原因导致的材料损耗率与合理损耗率的差值占合理损耗率的比例。</w:t>
      </w:r>
    </w:p>
    <w:p>
      <m:oMathPara>
        <m:oMath>
          <m:r>
            <m:rPr>
              <m:sty m:val="p"/>
            </m:rPr>
            <w:rPr>
              <w:rFonts w:hint="eastAsia" w:ascii="Cambria Math" w:hAnsi="Cambria Math"/>
            </w:rPr>
            <m:t>钢材损耗度</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钢材损耗率</m:t>
              </m:r>
              <m:r>
                <m:rPr>
                  <m:sty m:val="p"/>
                </m:rPr>
                <w:rPr>
                  <w:rFonts w:ascii="Cambria Math" w:hAnsi="Cambria Math"/>
                </w:rPr>
                <m:t>−</m:t>
              </m:r>
              <m:r>
                <m:rPr>
                  <m:sty m:val="p"/>
                </m:rPr>
                <w:rPr>
                  <w:rFonts w:hint="eastAsia" w:ascii="Cambria Math" w:hAnsi="Cambria Math"/>
                </w:rPr>
                <m:t>合理损耗率</m:t>
              </m:r>
              <m:ctrlPr>
                <w:rPr>
                  <w:rFonts w:ascii="Cambria Math" w:hAnsi="Cambria Math"/>
                </w:rPr>
              </m:ctrlPr>
            </m:num>
            <m:den>
              <m:r>
                <m:rPr>
                  <m:sty m:val="p"/>
                </m:rPr>
                <w:rPr>
                  <w:rFonts w:hint="eastAsia" w:ascii="Cambria Math" w:hAnsi="Cambria Math"/>
                </w:rPr>
                <m:t>合理损耗率</m:t>
              </m:r>
              <m:ctrlPr>
                <w:rPr>
                  <w:rFonts w:ascii="Cambria Math" w:hAnsi="Cambria Math"/>
                </w:rPr>
              </m:ctrlPr>
            </m:den>
          </m:f>
          <m:r>
            <m:rPr>
              <m:sty m:val="p"/>
            </m:rPr>
            <w:rPr>
              <w:rFonts w:ascii="Cambria Math" w:hAnsi="Cambria Math"/>
            </w:rPr>
            <m:t>×100%</m:t>
          </m:r>
        </m:oMath>
      </m:oMathPara>
    </w:p>
    <w:p>
      <m:oMathPara>
        <m:oMath>
          <m:r>
            <m:rPr>
              <m:sty m:val="p"/>
            </m:rPr>
            <w:rPr>
              <w:rFonts w:hint="eastAsia" w:ascii="Cambria Math" w:hAnsi="Cambria Math"/>
            </w:rPr>
            <m:t>钢材损耗率</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钢材损耗量</m:t>
              </m:r>
              <m:ctrlPr>
                <w:rPr>
                  <w:rFonts w:ascii="Cambria Math" w:hAnsi="Cambria Math"/>
                </w:rPr>
              </m:ctrlPr>
            </m:num>
            <m:den>
              <m:r>
                <m:rPr>
                  <m:sty m:val="p"/>
                </m:rPr>
                <w:rPr>
                  <w:rFonts w:hint="eastAsia" w:ascii="Cambria Math" w:hAnsi="Cambria Math"/>
                </w:rPr>
                <m:t>总用钢量</m:t>
              </m:r>
              <m:ctrlPr>
                <w:rPr>
                  <w:rFonts w:ascii="Cambria Math" w:hAnsi="Cambria Math"/>
                </w:rPr>
              </m:ctrlPr>
            </m:den>
          </m:f>
          <m:r>
            <m:rPr>
              <m:sty m:val="p"/>
            </m:rPr>
            <w:rPr>
              <w:rFonts w:ascii="Cambria Math" w:hAnsi="Cambria Math"/>
            </w:rPr>
            <m:t>×100%</m:t>
          </m:r>
        </m:oMath>
      </m:oMathPara>
    </w:p>
    <w:p>
      <w:r>
        <w:rPr>
          <w:rFonts w:hint="eastAsia"/>
        </w:rPr>
        <w:t xml:space="preserve"> </w:t>
      </w:r>
      <w:r>
        <w:t xml:space="preserve">   </w:t>
      </w:r>
      <w:r>
        <w:rPr>
          <w:rFonts w:hint="eastAsia"/>
        </w:rPr>
        <w:t>当钢材损耗度小于</w:t>
      </w:r>
      <w:r>
        <w:t>5</w:t>
      </w:r>
      <w:r>
        <w:rPr>
          <w:rFonts w:hint="eastAsia"/>
        </w:rPr>
        <w:t>%时，得1</w:t>
      </w:r>
      <w:r>
        <w:t>00</w:t>
      </w:r>
      <w:r>
        <w:rPr>
          <w:rFonts w:hint="eastAsia"/>
        </w:rPr>
        <w:t>分；当钢材损耗度大于或等于3</w:t>
      </w:r>
      <w:r>
        <w:t>0</w:t>
      </w:r>
      <w:r>
        <w:rPr>
          <w:rFonts w:hint="eastAsia"/>
        </w:rPr>
        <w:t>%时，得0分；中间按线性内插计算。</w:t>
      </w:r>
    </w:p>
    <w:p>
      <w:r>
        <w:rPr>
          <w:b/>
        </w:rPr>
        <w:t>4.6.2</w:t>
      </w:r>
      <w:r>
        <w:t xml:space="preserve">  </w:t>
      </w:r>
      <w:r>
        <w:rPr>
          <w:rFonts w:hint="eastAsia"/>
        </w:rPr>
        <w:t>加工阶段碳排放指数指钢材加工环节单位碳排放量与合理单位碳排放量的差值与最优单位碳排放量的比值。</w:t>
      </w:r>
    </w:p>
    <w:p>
      <m:oMathPara>
        <m:oMath>
          <m:r>
            <m:rPr>
              <m:sty m:val="p"/>
            </m:rPr>
            <w:rPr>
              <w:rFonts w:hint="eastAsia" w:ascii="Cambria Math" w:hAnsi="Cambria Math"/>
            </w:rPr>
            <m:t>加工环节碳排放指数</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单位碳排放量</m:t>
              </m:r>
              <m:r>
                <m:rPr>
                  <m:sty m:val="p"/>
                </m:rPr>
                <w:rPr>
                  <w:rFonts w:ascii="Cambria Math" w:hAnsi="Cambria Math"/>
                </w:rPr>
                <m:t>−</m:t>
              </m:r>
              <m:r>
                <m:rPr>
                  <m:sty m:val="p"/>
                </m:rPr>
                <w:rPr>
                  <w:rFonts w:hint="eastAsia" w:ascii="Cambria Math" w:hAnsi="Cambria Math"/>
                </w:rPr>
                <m:t>最优碳排放量</m:t>
              </m:r>
              <m:ctrlPr>
                <w:rPr>
                  <w:rFonts w:ascii="Cambria Math" w:hAnsi="Cambria Math"/>
                </w:rPr>
              </m:ctrlPr>
            </m:num>
            <m:den>
              <m:r>
                <m:rPr>
                  <m:sty m:val="p"/>
                </m:rPr>
                <w:rPr>
                  <w:rFonts w:hint="eastAsia" w:ascii="Cambria Math" w:hAnsi="Cambria Math"/>
                </w:rPr>
                <m:t>最优碳排放量</m:t>
              </m:r>
              <m:ctrlPr>
                <w:rPr>
                  <w:rFonts w:ascii="Cambria Math" w:hAnsi="Cambria Math"/>
                </w:rPr>
              </m:ctrlPr>
            </m:den>
          </m:f>
          <m:r>
            <m:rPr>
              <m:sty m:val="p"/>
            </m:rPr>
            <w:rPr>
              <w:rFonts w:ascii="Cambria Math" w:hAnsi="Cambria Math"/>
            </w:rPr>
            <m:t>×100%</m:t>
          </m:r>
        </m:oMath>
      </m:oMathPara>
    </w:p>
    <w:p>
      <w:pPr>
        <w:ind w:firstLine="480" w:firstLineChars="200"/>
      </w:pPr>
      <w:r>
        <w:rPr>
          <w:rFonts w:hint="eastAsia"/>
        </w:rPr>
        <w:t>当加工环节碳排放指数小于或等于</w:t>
      </w:r>
      <w:r>
        <w:t>5</w:t>
      </w:r>
      <w:r>
        <w:rPr>
          <w:rFonts w:hint="eastAsia"/>
        </w:rPr>
        <w:t>%时，得1</w:t>
      </w:r>
      <w:r>
        <w:t>00</w:t>
      </w:r>
      <w:r>
        <w:rPr>
          <w:rFonts w:hint="eastAsia"/>
        </w:rPr>
        <w:t>分；当加工环节碳排放指数大于或等于3</w:t>
      </w:r>
      <w:r>
        <w:t>0</w:t>
      </w:r>
      <w:r>
        <w:rPr>
          <w:rFonts w:hint="eastAsia"/>
        </w:rPr>
        <w:t>%时，得0分；中间按线性内插计算。</w:t>
      </w:r>
    </w:p>
    <w:p>
      <w:pPr>
        <w:rPr>
          <w:shd w:val="pct10" w:color="auto" w:fill="FFFFFF"/>
        </w:rPr>
      </w:pPr>
    </w:p>
    <w:p/>
    <w:p>
      <w:r>
        <w:rPr>
          <w:b/>
        </w:rPr>
        <w:t>4.6.3</w:t>
      </w:r>
      <w:r>
        <w:t xml:space="preserve">  </w:t>
      </w:r>
      <w:r>
        <w:rPr>
          <w:rFonts w:hint="eastAsia"/>
        </w:rPr>
        <w:t>施工阶段碳排放指数指钢材施工环节单位碳排放量与合理单位碳排放量的差值与合理单位碳排放量的比值。</w:t>
      </w:r>
    </w:p>
    <w:p>
      <m:oMathPara>
        <m:oMath>
          <m:r>
            <m:rPr>
              <m:sty m:val="p"/>
            </m:rPr>
            <w:rPr>
              <w:rFonts w:hint="eastAsia" w:ascii="Cambria Math" w:hAnsi="Cambria Math"/>
            </w:rPr>
            <m:t>施工环节碳排放指数</m:t>
          </m:r>
          <m:r>
            <m:rPr>
              <m:sty m:val="p"/>
            </m:rPr>
            <w:rPr>
              <w:rFonts w:ascii="Cambria Math" w:hAnsi="Cambria Math"/>
            </w:rPr>
            <m:t>=</m:t>
          </m:r>
          <m:f>
            <m:fPr>
              <m:ctrlPr>
                <w:rPr>
                  <w:rFonts w:ascii="Cambria Math" w:hAnsi="Cambria Math"/>
                </w:rPr>
              </m:ctrlPr>
            </m:fPr>
            <m:num>
              <m:r>
                <m:rPr>
                  <m:sty m:val="p"/>
                </m:rPr>
                <w:rPr>
                  <w:rFonts w:hint="eastAsia" w:ascii="Cambria Math" w:hAnsi="Cambria Math"/>
                </w:rPr>
                <m:t>单位碳排放量</m:t>
              </m:r>
              <m:r>
                <m:rPr>
                  <m:sty m:val="p"/>
                </m:rPr>
                <w:rPr>
                  <w:rFonts w:ascii="Cambria Math" w:hAnsi="Cambria Math"/>
                </w:rPr>
                <m:t>−</m:t>
              </m:r>
              <m:r>
                <m:rPr>
                  <m:sty m:val="p"/>
                </m:rPr>
                <w:rPr>
                  <w:rFonts w:hint="eastAsia" w:ascii="Cambria Math" w:hAnsi="Cambria Math"/>
                </w:rPr>
                <m:t>最优碳排放量</m:t>
              </m:r>
              <m:ctrlPr>
                <w:rPr>
                  <w:rFonts w:ascii="Cambria Math" w:hAnsi="Cambria Math"/>
                </w:rPr>
              </m:ctrlPr>
            </m:num>
            <m:den>
              <m:r>
                <m:rPr>
                  <m:sty m:val="p"/>
                </m:rPr>
                <w:rPr>
                  <w:rFonts w:hint="eastAsia" w:ascii="Cambria Math" w:hAnsi="Cambria Math"/>
                </w:rPr>
                <m:t>最优碳排放量</m:t>
              </m:r>
              <m:ctrlPr>
                <w:rPr>
                  <w:rFonts w:ascii="Cambria Math" w:hAnsi="Cambria Math"/>
                </w:rPr>
              </m:ctrlPr>
            </m:den>
          </m:f>
          <m:r>
            <m:rPr>
              <m:sty m:val="p"/>
            </m:rPr>
            <w:rPr>
              <w:rFonts w:ascii="Cambria Math" w:hAnsi="Cambria Math"/>
            </w:rPr>
            <m:t>×100%</m:t>
          </m:r>
        </m:oMath>
      </m:oMathPara>
    </w:p>
    <w:p>
      <w:pPr>
        <w:ind w:firstLine="480" w:firstLineChars="200"/>
      </w:pPr>
      <w:r>
        <w:rPr>
          <w:rFonts w:hint="eastAsia"/>
        </w:rPr>
        <w:t>当施工阶段碳排放指数小于或等于</w:t>
      </w:r>
      <w:r>
        <w:t>5</w:t>
      </w:r>
      <w:r>
        <w:rPr>
          <w:rFonts w:hint="eastAsia"/>
        </w:rPr>
        <w:t>%时，得1</w:t>
      </w:r>
      <w:r>
        <w:t>00</w:t>
      </w:r>
      <w:r>
        <w:rPr>
          <w:rFonts w:hint="eastAsia"/>
        </w:rPr>
        <w:t>分；当施工环节碳排放指数大于或等于3</w:t>
      </w:r>
      <w:r>
        <w:t>0</w:t>
      </w:r>
      <w:r>
        <w:rPr>
          <w:rFonts w:hint="eastAsia"/>
        </w:rPr>
        <w:t>%时，得0分；中间按线性内插计算。</w:t>
      </w:r>
    </w:p>
    <w:p>
      <w:pPr>
        <w:pStyle w:val="5"/>
        <w:spacing w:before="156" w:beforeLines="50" w:after="156" w:afterLines="50" w:line="360" w:lineRule="auto"/>
        <w:jc w:val="center"/>
        <w:rPr>
          <w:rFonts w:hint="eastAsia" w:ascii="仿宋_GB2312" w:hAnsi="仿宋_GB2312" w:eastAsia="仿宋_GB2312" w:cs="仿宋_GB2312"/>
          <w:b w:val="0"/>
          <w:bCs w:val="0"/>
          <w:sz w:val="28"/>
          <w:szCs w:val="28"/>
        </w:rPr>
      </w:pPr>
      <w:bookmarkStart w:id="115" w:name="_Toc26080"/>
      <w:r>
        <w:rPr>
          <w:rFonts w:hint="eastAsia" w:ascii="仿宋_GB2312" w:hAnsi="仿宋_GB2312" w:eastAsia="仿宋_GB2312" w:cs="仿宋_GB2312"/>
          <w:b w:val="0"/>
          <w:bCs w:val="0"/>
          <w:sz w:val="28"/>
          <w:szCs w:val="28"/>
        </w:rPr>
        <w:t>Ⅱ 经济效益</w:t>
      </w:r>
      <w:bookmarkStart w:id="116" w:name="_Toc23104"/>
      <w:r>
        <w:fldChar w:fldCharType="begin"/>
      </w:r>
      <w:r>
        <w:instrText xml:space="preserve"> </w:instrText>
      </w:r>
      <w:r>
        <w:rPr>
          <w:rFonts w:hint="eastAsia"/>
        </w:rPr>
        <w:instrText xml:space="preserve">TC  "</w:instrText>
      </w:r>
      <w:r>
        <w:rPr>
          <w:rFonts w:hint="eastAsia" w:ascii="仿宋_GB2312" w:hAnsi="仿宋_GB2312" w:eastAsia="仿宋_GB2312" w:cs="仿宋_GB2312"/>
          <w:b w:val="0"/>
          <w:bCs w:val="0"/>
          <w:sz w:val="28"/>
          <w:szCs w:val="28"/>
        </w:rPr>
        <w:instrText xml:space="preserve">Ⅱ</w:instrText>
      </w:r>
      <w:r>
        <w:rPr>
          <w:rFonts w:hint="eastAsia"/>
        </w:rPr>
        <w:instrText xml:space="preserve">  </w:instrText>
      </w:r>
      <w:r>
        <w:rPr>
          <w:rFonts w:hint="eastAsia"/>
          <w:lang w:val="en-US" w:eastAsia="zh-CN"/>
        </w:rPr>
        <w:instrText xml:space="preserve">Economic</w:instrText>
      </w:r>
      <w:r>
        <w:rPr>
          <w:rFonts w:hint="eastAsia"/>
          <w:lang w:val="en-US" w:eastAsia="zh-CN"/>
        </w:rPr>
        <w:instrText xml:space="preserve"> Benefit</w:instrText>
      </w:r>
      <w:r>
        <w:rPr>
          <w:rFonts w:hint="eastAsia"/>
        </w:rPr>
        <w:instrText xml:space="preserve">" \l </w:instrText>
      </w:r>
      <w:r>
        <w:rPr>
          <w:rFonts w:hint="eastAsia"/>
          <w:lang w:val="en-US" w:eastAsia="zh-CN"/>
        </w:rPr>
        <w:instrText xml:space="preserve">3</w:instrText>
      </w:r>
      <w:r>
        <w:instrText xml:space="preserve"> </w:instrText>
      </w:r>
      <w:r>
        <w:fldChar w:fldCharType="end"/>
      </w:r>
      <w:bookmarkEnd w:id="115"/>
      <w:bookmarkEnd w:id="116"/>
    </w:p>
    <w:p>
      <w:pPr>
        <w:rPr>
          <w:rFonts w:hint="eastAsia"/>
          <w:vertAlign w:val="baseline"/>
          <w:lang w:val="en-US" w:eastAsia="zh-CN"/>
        </w:rPr>
      </w:pPr>
      <w:r>
        <w:rPr>
          <w:rFonts w:hint="eastAsia"/>
          <w:b/>
          <w:bCs/>
        </w:rPr>
        <w:t>4.6.</w:t>
      </w:r>
      <w:r>
        <w:rPr>
          <w:b/>
          <w:bCs/>
        </w:rPr>
        <w:t>4</w:t>
      </w:r>
      <w:r>
        <w:rPr>
          <w:rFonts w:hint="eastAsia"/>
        </w:rPr>
        <w:t xml:space="preserve">  </w:t>
      </w:r>
      <w:r>
        <w:rPr>
          <w:rFonts w:hint="eastAsia"/>
          <w:lang w:val="en-US" w:eastAsia="zh-CN"/>
        </w:rPr>
        <w:t>评价单元内单位建筑面积用钢量</w:t>
      </w:r>
      <w:r>
        <w:rPr>
          <w:rFonts w:hint="eastAsia"/>
          <w:i/>
          <w:iCs/>
          <w:lang w:val="en-US" w:eastAsia="zh-CN"/>
        </w:rPr>
        <w:t>S</w:t>
      </w:r>
      <w:r>
        <w:rPr>
          <w:rFonts w:hint="eastAsia"/>
          <w:lang w:val="en-US" w:eastAsia="zh-CN"/>
        </w:rPr>
        <w:t>≤70kg/m</w:t>
      </w:r>
      <w:r>
        <w:rPr>
          <w:rFonts w:hint="eastAsia"/>
          <w:vertAlign w:val="superscript"/>
          <w:lang w:val="en-US" w:eastAsia="zh-CN"/>
        </w:rPr>
        <w:t>2</w:t>
      </w:r>
      <w:r>
        <w:rPr>
          <w:rFonts w:hint="eastAsia"/>
          <w:lang w:val="en-US" w:eastAsia="zh-CN"/>
        </w:rPr>
        <w:t>时，得100份；70</w:t>
      </w:r>
      <w:r>
        <w:rPr>
          <w:rFonts w:hint="eastAsia"/>
          <w:i w:val="0"/>
          <w:iCs w:val="0"/>
          <w:lang w:val="en-US" w:eastAsia="zh-CN"/>
        </w:rPr>
        <w:t>＜</w:t>
      </w:r>
      <w:r>
        <w:rPr>
          <w:rFonts w:hint="eastAsia"/>
          <w:i/>
          <w:iCs/>
          <w:lang w:val="en-US" w:eastAsia="zh-CN"/>
        </w:rPr>
        <w:t>S</w:t>
      </w:r>
      <w:r>
        <w:rPr>
          <w:rFonts w:hint="eastAsia"/>
          <w:i w:val="0"/>
          <w:iCs w:val="0"/>
          <w:lang w:val="en-US" w:eastAsia="zh-CN"/>
        </w:rPr>
        <w:t>≤</w:t>
      </w:r>
      <w:r>
        <w:rPr>
          <w:rFonts w:hint="eastAsia"/>
          <w:lang w:val="en-US" w:eastAsia="zh-CN"/>
        </w:rPr>
        <w:t>80kg/m</w:t>
      </w:r>
      <w:r>
        <w:rPr>
          <w:rFonts w:hint="eastAsia"/>
          <w:vertAlign w:val="superscript"/>
          <w:lang w:val="en-US" w:eastAsia="zh-CN"/>
        </w:rPr>
        <w:t>2</w:t>
      </w:r>
      <w:r>
        <w:rPr>
          <w:rFonts w:hint="eastAsia"/>
          <w:lang w:val="en-US" w:eastAsia="zh-CN"/>
        </w:rPr>
        <w:t>的，得90分；80</w:t>
      </w:r>
      <w:r>
        <w:rPr>
          <w:rFonts w:hint="eastAsia"/>
          <w:i w:val="0"/>
          <w:iCs w:val="0"/>
          <w:lang w:val="en-US" w:eastAsia="zh-CN"/>
        </w:rPr>
        <w:t>＜</w:t>
      </w:r>
      <w:r>
        <w:rPr>
          <w:rFonts w:hint="eastAsia"/>
          <w:i/>
          <w:iCs/>
          <w:lang w:val="en-US" w:eastAsia="zh-CN"/>
        </w:rPr>
        <w:t>S</w:t>
      </w:r>
      <w:r>
        <w:rPr>
          <w:rFonts w:hint="eastAsia"/>
          <w:i w:val="0"/>
          <w:iCs w:val="0"/>
          <w:lang w:val="en-US" w:eastAsia="zh-CN"/>
        </w:rPr>
        <w:t>≤</w:t>
      </w:r>
      <w:r>
        <w:rPr>
          <w:rFonts w:hint="eastAsia"/>
          <w:lang w:val="en-US" w:eastAsia="zh-CN"/>
        </w:rPr>
        <w:t>100kg/m</w:t>
      </w:r>
      <w:r>
        <w:rPr>
          <w:rFonts w:hint="eastAsia"/>
          <w:vertAlign w:val="superscript"/>
          <w:lang w:val="en-US" w:eastAsia="zh-CN"/>
        </w:rPr>
        <w:t>2</w:t>
      </w:r>
      <w:r>
        <w:rPr>
          <w:rFonts w:hint="eastAsia"/>
          <w:vertAlign w:val="baseline"/>
          <w:lang w:val="en-US" w:eastAsia="zh-CN"/>
        </w:rPr>
        <w:t>的，得80分；10</w:t>
      </w:r>
      <w:r>
        <w:rPr>
          <w:rFonts w:hint="eastAsia"/>
          <w:lang w:val="en-US" w:eastAsia="zh-CN"/>
        </w:rPr>
        <w:t>0</w:t>
      </w:r>
      <w:r>
        <w:rPr>
          <w:rFonts w:hint="eastAsia"/>
          <w:i w:val="0"/>
          <w:iCs w:val="0"/>
          <w:lang w:val="en-US" w:eastAsia="zh-CN"/>
        </w:rPr>
        <w:t>＜</w:t>
      </w:r>
      <w:r>
        <w:rPr>
          <w:rFonts w:hint="eastAsia"/>
          <w:i/>
          <w:iCs/>
          <w:lang w:val="en-US" w:eastAsia="zh-CN"/>
        </w:rPr>
        <w:t>S</w:t>
      </w:r>
      <w:r>
        <w:rPr>
          <w:rFonts w:hint="eastAsia"/>
          <w:i w:val="0"/>
          <w:iCs w:val="0"/>
          <w:lang w:val="en-US" w:eastAsia="zh-CN"/>
        </w:rPr>
        <w:t>≤</w:t>
      </w:r>
      <w:r>
        <w:rPr>
          <w:rFonts w:hint="eastAsia"/>
          <w:lang w:val="en-US" w:eastAsia="zh-CN"/>
        </w:rPr>
        <w:t>120kg/m</w:t>
      </w:r>
      <w:r>
        <w:rPr>
          <w:rFonts w:hint="eastAsia"/>
          <w:vertAlign w:val="superscript"/>
          <w:lang w:val="en-US" w:eastAsia="zh-CN"/>
        </w:rPr>
        <w:t>2</w:t>
      </w:r>
      <w:r>
        <w:rPr>
          <w:rFonts w:hint="eastAsia"/>
          <w:vertAlign w:val="baseline"/>
          <w:lang w:val="en-US" w:eastAsia="zh-CN"/>
        </w:rPr>
        <w:t>的，得70分；</w:t>
      </w:r>
      <w:r>
        <w:rPr>
          <w:rFonts w:hint="eastAsia"/>
          <w:i/>
          <w:iCs/>
          <w:lang w:val="en-US" w:eastAsia="zh-CN"/>
        </w:rPr>
        <w:t>S</w:t>
      </w:r>
      <w:r>
        <w:rPr>
          <w:rFonts w:hint="eastAsia"/>
          <w:i w:val="0"/>
          <w:iCs w:val="0"/>
          <w:lang w:val="en-US" w:eastAsia="zh-CN"/>
        </w:rPr>
        <w:t>＞</w:t>
      </w:r>
      <w:r>
        <w:rPr>
          <w:rFonts w:hint="eastAsia"/>
          <w:lang w:val="en-US" w:eastAsia="zh-CN"/>
        </w:rPr>
        <w:t>120kg/m</w:t>
      </w:r>
      <w:r>
        <w:rPr>
          <w:rFonts w:hint="eastAsia"/>
          <w:vertAlign w:val="superscript"/>
          <w:lang w:val="en-US" w:eastAsia="zh-CN"/>
        </w:rPr>
        <w:t>2</w:t>
      </w:r>
      <w:r>
        <w:rPr>
          <w:rFonts w:hint="eastAsia"/>
          <w:vertAlign w:val="baseline"/>
          <w:lang w:val="en-US" w:eastAsia="zh-CN"/>
        </w:rPr>
        <w:t>的，得60分。</w:t>
      </w:r>
    </w:p>
    <w:p>
      <w:pPr>
        <w:pageBreakBefore w:val="0"/>
        <w:widowControl w:val="0"/>
        <w:kinsoku/>
        <w:wordWrap/>
        <w:overflowPunct/>
        <w:topLinePunct w:val="0"/>
        <w:autoSpaceDE/>
        <w:autoSpaceDN/>
        <w:bidi w:val="0"/>
        <w:adjustRightInd/>
        <w:snapToGrid/>
        <w:ind w:firstLine="480" w:firstLineChars="200"/>
        <w:textAlignment w:val="auto"/>
        <w:rPr>
          <w:rFonts w:hint="eastAsia"/>
        </w:rPr>
      </w:pPr>
      <w:r>
        <w:rPr>
          <w:rFonts w:hint="eastAsia"/>
        </w:rPr>
        <w:t>该指标</w:t>
      </w:r>
      <w:r>
        <w:rPr>
          <w:rFonts w:hint="eastAsia"/>
          <w:lang w:val="en-US" w:eastAsia="zh-CN"/>
        </w:rPr>
        <w:t>为预评价指标和评价指标</w:t>
      </w:r>
      <w:r>
        <w:rPr>
          <w:rFonts w:hint="eastAsia"/>
        </w:rPr>
        <w:t>。</w:t>
      </w:r>
    </w:p>
    <w:p>
      <w:pPr>
        <w:pageBreakBefore w:val="0"/>
        <w:widowControl w:val="0"/>
        <w:kinsoku/>
        <w:wordWrap/>
        <w:overflowPunct/>
        <w:topLinePunct w:val="0"/>
        <w:autoSpaceDE/>
        <w:autoSpaceDN/>
        <w:bidi w:val="0"/>
        <w:adjustRightInd/>
        <w:snapToGrid/>
        <w:textAlignment w:val="auto"/>
        <w:rPr>
          <w:rFonts w:hint="eastAsia"/>
          <w:color w:val="0000FF"/>
          <w:lang w:val="en-US" w:eastAsia="zh-CN"/>
        </w:rPr>
      </w:pPr>
      <w:r>
        <w:rPr>
          <w:rFonts w:hint="eastAsia"/>
          <w:color w:val="0000FF"/>
          <w:lang w:val="en-US" w:eastAsia="zh-CN"/>
        </w:rPr>
        <w:t>【条文说明】单位建筑面积的用钢量可以作为一个重要的指标来反映钢结构的经济效益，但是这一指标并非孤立存在，其背后涉及到多个复杂因素，包括不同烈度地区、不同结构形式等。但这些复杂因素最终均会体现在单位建筑面积用钢量指标中，例如层数、轴网、功能完全相同的办公楼，分别建设在6度区和8度（0.20g）区，其用钢量显然不同，用钢量大的主要原因是因为其所处地区的抗震设防烈度高，地震作用大导致的，这是项目建设地点选择导致的，从横向比较，该办公楼建设在8度（0.20g）区域的经济效益的确不如建设在6度区。</w:t>
      </w:r>
    </w:p>
    <w:p>
      <w:pPr>
        <w:pageBreakBefore w:val="0"/>
        <w:widowControl w:val="0"/>
        <w:kinsoku/>
        <w:wordWrap/>
        <w:overflowPunct/>
        <w:topLinePunct w:val="0"/>
        <w:autoSpaceDE/>
        <w:autoSpaceDN/>
        <w:bidi w:val="0"/>
        <w:adjustRightInd/>
        <w:snapToGrid/>
        <w:ind w:firstLine="480" w:firstLineChars="200"/>
        <w:textAlignment w:val="auto"/>
        <w:rPr>
          <w:rFonts w:hint="default"/>
          <w:color w:val="0000FF"/>
          <w:lang w:val="en-US" w:eastAsia="zh-CN"/>
        </w:rPr>
      </w:pPr>
      <w:r>
        <w:rPr>
          <w:rFonts w:hint="eastAsia"/>
          <w:color w:val="0000FF"/>
          <w:lang w:val="en-US" w:eastAsia="zh-CN"/>
        </w:rPr>
        <w:t>本标准编制过程中，曾尝试通过数据调研给出不同烈度、不同结构形式的合理用钢量，但该数据过于离散，受多种因素制约。作为高效能标准化钢结构的评价指标之一，本标准采用评价单元内单位建筑面积的用钢量来评价高效能标准化钢结构的经济性，在横向项目比较时是可行的。</w:t>
      </w:r>
    </w:p>
    <w:p>
      <w:pPr>
        <w:rPr>
          <w:rFonts w:hint="eastAsia"/>
        </w:rPr>
      </w:pPr>
      <w:r>
        <w:rPr>
          <w:rFonts w:hint="eastAsia"/>
          <w:b/>
          <w:bCs/>
        </w:rPr>
        <w:t>4.6.</w:t>
      </w:r>
      <w:r>
        <w:rPr>
          <w:b/>
          <w:bCs/>
        </w:rPr>
        <w:t>5</w:t>
      </w:r>
      <w:r>
        <w:rPr>
          <w:rFonts w:hint="eastAsia"/>
        </w:rPr>
        <w:t xml:space="preserve">  采用工程总承包</w:t>
      </w:r>
      <w:r>
        <w:rPr>
          <w:rFonts w:hint="eastAsia"/>
          <w:lang w:val="en-US" w:eastAsia="zh-CN"/>
        </w:rPr>
        <w:t>管理</w:t>
      </w:r>
      <w:r>
        <w:rPr>
          <w:rFonts w:hint="eastAsia"/>
        </w:rPr>
        <w:t>模式</w:t>
      </w:r>
      <w:r>
        <w:rPr>
          <w:rFonts w:hint="eastAsia"/>
          <w:lang w:eastAsia="zh-CN"/>
        </w:rPr>
        <w:t>，</w:t>
      </w:r>
      <w:r>
        <w:rPr>
          <w:rFonts w:hint="eastAsia"/>
          <w:lang w:val="en-US" w:eastAsia="zh-CN"/>
        </w:rPr>
        <w:t>得100份；未采用工程总承包管理模式，该项指标得0份</w:t>
      </w:r>
      <w:r>
        <w:rPr>
          <w:rFonts w:hint="eastAsia"/>
        </w:rPr>
        <w:t>。</w:t>
      </w:r>
    </w:p>
    <w:p>
      <w:pPr>
        <w:pageBreakBefore w:val="0"/>
        <w:widowControl w:val="0"/>
        <w:kinsoku/>
        <w:wordWrap/>
        <w:overflowPunct/>
        <w:topLinePunct w:val="0"/>
        <w:autoSpaceDE/>
        <w:autoSpaceDN/>
        <w:bidi w:val="0"/>
        <w:adjustRightInd/>
        <w:snapToGrid/>
        <w:ind w:firstLine="480" w:firstLineChars="200"/>
        <w:textAlignment w:val="auto"/>
        <w:rPr>
          <w:rFonts w:hint="eastAsia"/>
          <w:lang w:val="en-US" w:eastAsia="zh-CN"/>
        </w:rPr>
      </w:pPr>
      <w:r>
        <w:rPr>
          <w:rFonts w:hint="eastAsia"/>
        </w:rPr>
        <w:t>该指标</w:t>
      </w:r>
      <w:r>
        <w:rPr>
          <w:rFonts w:hint="eastAsia"/>
          <w:lang w:val="en-US" w:eastAsia="zh-CN"/>
        </w:rPr>
        <w:t>为预评价指标和评价指标，预评价时为承诺项。</w:t>
      </w:r>
    </w:p>
    <w:p>
      <w:pPr>
        <w:pageBreakBefore w:val="0"/>
        <w:widowControl w:val="0"/>
        <w:kinsoku/>
        <w:wordWrap/>
        <w:overflowPunct/>
        <w:topLinePunct w:val="0"/>
        <w:autoSpaceDE/>
        <w:autoSpaceDN/>
        <w:bidi w:val="0"/>
        <w:adjustRightInd/>
        <w:snapToGrid/>
        <w:textAlignment w:val="auto"/>
        <w:rPr>
          <w:rFonts w:hint="eastAsia"/>
          <w:color w:val="0000FF"/>
          <w:lang w:val="en-US" w:eastAsia="zh-CN"/>
        </w:rPr>
      </w:pPr>
      <w:r>
        <w:rPr>
          <w:rFonts w:hint="eastAsia"/>
          <w:color w:val="0000FF"/>
          <w:lang w:val="en-US" w:eastAsia="zh-CN"/>
        </w:rPr>
        <w:t>【条文说明】工程总承包管理模式将设计、采购和施工等任务全部委托给一家总承包商，这种集成化的管理方式大大简化了工程管理的流程。业主只需要与总承包商进行沟通，无需直接与各个领域人员对接，从而减少了管理层次和协调难度，提高了管理效率。这种高效的管理模式有助于缩短项目周期，减少不必要的成本开支，进而提高钢结构的经济效益。</w:t>
      </w:r>
    </w:p>
    <w:p>
      <w:pPr>
        <w:pageBreakBefore w:val="0"/>
        <w:widowControl w:val="0"/>
        <w:kinsoku/>
        <w:wordWrap/>
        <w:overflowPunct/>
        <w:topLinePunct w:val="0"/>
        <w:autoSpaceDE/>
        <w:autoSpaceDN/>
        <w:bidi w:val="0"/>
        <w:adjustRightInd/>
        <w:snapToGrid/>
        <w:ind w:firstLine="480" w:firstLineChars="200"/>
        <w:textAlignment w:val="auto"/>
        <w:rPr>
          <w:rFonts w:hint="eastAsia"/>
          <w:color w:val="0000FF"/>
          <w:lang w:val="en-US" w:eastAsia="zh-CN"/>
        </w:rPr>
      </w:pPr>
      <w:r>
        <w:rPr>
          <w:rFonts w:hint="eastAsia"/>
          <w:color w:val="0000FF"/>
          <w:lang w:val="en-US" w:eastAsia="zh-CN"/>
        </w:rPr>
        <w:t>总承包商对工程的安全、质量、进度和投资全面负责，承担工程建设的风险。这种风险共担的机制有助于降低业主的风险负担，使业主能够更加专注于项目管理和决策。同时，总承包商凭借其丰富的建设经验和技术实力，能够更好地应对各种潜在风险，确保工程顺利进行，从而保障项目的经济效益。</w:t>
      </w:r>
    </w:p>
    <w:p>
      <w:pPr>
        <w:pageBreakBefore w:val="0"/>
        <w:widowControl w:val="0"/>
        <w:kinsoku/>
        <w:wordWrap/>
        <w:overflowPunct/>
        <w:topLinePunct w:val="0"/>
        <w:autoSpaceDE/>
        <w:autoSpaceDN/>
        <w:bidi w:val="0"/>
        <w:adjustRightInd/>
        <w:snapToGrid/>
        <w:ind w:firstLine="480" w:firstLineChars="200"/>
        <w:textAlignment w:val="auto"/>
        <w:rPr>
          <w:rFonts w:hint="eastAsia"/>
          <w:color w:val="0000FF"/>
          <w:lang w:val="en-US" w:eastAsia="zh-CN"/>
        </w:rPr>
      </w:pPr>
      <w:r>
        <w:rPr>
          <w:rFonts w:hint="eastAsia"/>
          <w:color w:val="0000FF"/>
          <w:lang w:val="en-US" w:eastAsia="zh-CN"/>
        </w:rPr>
        <w:t>通过总承包模式，可以快速有效地整合各类资源。总承包商能够根据工程需要，合理配置资源，实现资源的最大化利用。这种资源配置的优化有助于提高生产效率，减少资源浪费，降低生产成本，从而提高项目的经济效益。</w:t>
      </w:r>
    </w:p>
    <w:p>
      <w:pPr>
        <w:pageBreakBefore w:val="0"/>
        <w:widowControl w:val="0"/>
        <w:kinsoku/>
        <w:wordWrap/>
        <w:overflowPunct/>
        <w:topLinePunct w:val="0"/>
        <w:autoSpaceDE/>
        <w:autoSpaceDN/>
        <w:bidi w:val="0"/>
        <w:adjustRightInd/>
        <w:snapToGrid/>
        <w:ind w:firstLine="480" w:firstLineChars="200"/>
        <w:textAlignment w:val="auto"/>
        <w:rPr>
          <w:rFonts w:hint="default"/>
          <w:color w:val="0000FF"/>
          <w:lang w:val="en-US" w:eastAsia="zh-CN"/>
        </w:rPr>
      </w:pPr>
      <w:r>
        <w:rPr>
          <w:rFonts w:hint="eastAsia"/>
          <w:color w:val="0000FF"/>
          <w:lang w:val="en-US" w:eastAsia="zh-CN"/>
        </w:rPr>
        <w:t>除此之外，总承包商具有丰富的建设经验和技术实力，能够确保工程质量达到预期目标。高质量的工程不仅能够提升项目的市场竞争力，还能够减少后期维修和改造的费用，进一步提高项目的经济效益。</w:t>
      </w:r>
    </w:p>
    <w:p>
      <w:pPr>
        <w:pageBreakBefore w:val="0"/>
        <w:widowControl w:val="0"/>
        <w:kinsoku/>
        <w:wordWrap/>
        <w:overflowPunct/>
        <w:topLinePunct w:val="0"/>
        <w:autoSpaceDE/>
        <w:autoSpaceDN/>
        <w:bidi w:val="0"/>
        <w:adjustRightInd/>
        <w:snapToGrid/>
        <w:textAlignment w:val="auto"/>
        <w:rPr>
          <w:rFonts w:hint="default"/>
          <w:lang w:val="en-US" w:eastAsia="zh-CN"/>
        </w:rPr>
      </w:pPr>
    </w:p>
    <w:p>
      <w:pPr>
        <w:widowControl/>
        <w:spacing w:line="240" w:lineRule="auto"/>
        <w:jc w:val="left"/>
      </w:pPr>
      <w:r>
        <w:br w:type="page"/>
      </w:r>
    </w:p>
    <w:p>
      <w:pPr>
        <w:ind w:firstLine="480" w:firstLineChars="200"/>
      </w:pPr>
      <w:bookmarkStart w:id="117" w:name="_Toc1644"/>
      <w:r>
        <w:fldChar w:fldCharType="begin"/>
      </w:r>
      <w:r>
        <w:instrText xml:space="preserve"> </w:instrText>
      </w:r>
      <w:r>
        <w:rPr>
          <w:rFonts w:hint="eastAsia"/>
        </w:rPr>
        <w:instrText xml:space="preserve">TC  "</w:instrText>
      </w:r>
      <w:bookmarkStart w:id="118" w:name="_Toc152144916"/>
      <w:bookmarkStart w:id="119" w:name="_Toc152145803"/>
      <w:r>
        <w:rPr>
          <w:rFonts w:hint="eastAsia"/>
        </w:rPr>
        <w:instrText xml:space="preserve">5.2  Frame Structure</w:instrText>
      </w:r>
      <w:bookmarkEnd w:id="118"/>
      <w:bookmarkEnd w:id="119"/>
      <w:r>
        <w:rPr>
          <w:rFonts w:hint="eastAsia"/>
        </w:rPr>
        <w:instrText xml:space="preserve">" \l 2</w:instrText>
      </w:r>
      <w:r>
        <w:instrText xml:space="preserve"> </w:instrText>
      </w:r>
      <w:r>
        <w:fldChar w:fldCharType="end"/>
      </w:r>
      <w:bookmarkEnd w:id="117"/>
    </w:p>
    <w:bookmarkEnd w:id="56"/>
    <w:p>
      <w:pPr>
        <w:pStyle w:val="3"/>
        <w:spacing w:before="480" w:after="240"/>
      </w:pPr>
      <w:bookmarkStart w:id="120" w:name="_Toc135987401"/>
      <w:bookmarkStart w:id="121" w:name="_Toc30709"/>
      <w:bookmarkStart w:id="122" w:name="_Toc20249"/>
      <w:r>
        <w:rPr>
          <w:rFonts w:hint="eastAsia"/>
        </w:rPr>
        <w:t>本</w:t>
      </w:r>
      <w:r>
        <w:t>标准用词说明</w:t>
      </w:r>
      <w:bookmarkEnd w:id="120"/>
      <w:bookmarkStart w:id="123" w:name="_Toc4933"/>
      <w:r>
        <w:rPr>
          <w:b/>
          <w:bCs/>
          <w:vanish/>
          <w:sz w:val="32"/>
        </w:rPr>
        <w:fldChar w:fldCharType="begin"/>
      </w:r>
      <w:r>
        <w:rPr>
          <w:b/>
          <w:bCs/>
          <w:vanish/>
          <w:sz w:val="32"/>
        </w:rPr>
        <w:instrText xml:space="preserve"> TC  "</w:instrText>
      </w:r>
      <w:bookmarkStart w:id="124" w:name="_Toc152144942"/>
      <w:bookmarkStart w:id="125" w:name="_Toc152145829"/>
      <w:r>
        <w:rPr>
          <w:b/>
          <w:bCs/>
          <w:vanish/>
          <w:sz w:val="32"/>
        </w:rPr>
        <w:instrText xml:space="preserve">Explanation of Wording in This Standard</w:instrText>
      </w:r>
      <w:bookmarkEnd w:id="124"/>
      <w:bookmarkEnd w:id="125"/>
      <w:r>
        <w:rPr>
          <w:b/>
          <w:bCs/>
          <w:vanish/>
          <w:sz w:val="32"/>
        </w:rPr>
        <w:instrText xml:space="preserve">" \l 1 </w:instrText>
      </w:r>
      <w:r>
        <w:rPr>
          <w:b/>
          <w:bCs/>
          <w:vanish/>
          <w:sz w:val="32"/>
        </w:rPr>
        <w:fldChar w:fldCharType="end"/>
      </w:r>
      <w:bookmarkEnd w:id="121"/>
      <w:bookmarkEnd w:id="122"/>
      <w:bookmarkEnd w:id="123"/>
    </w:p>
    <w:p>
      <w:pPr>
        <w:ind w:firstLine="480"/>
      </w:pPr>
    </w:p>
    <w:p>
      <w:pPr>
        <w:ind w:firstLine="482"/>
        <w:rPr>
          <w:rFonts w:ascii="宋体" w:hAnsi="宋体"/>
          <w:szCs w:val="24"/>
        </w:rPr>
      </w:pPr>
      <w:r>
        <w:rPr>
          <w:rFonts w:ascii="宋体" w:hAnsi="宋体"/>
          <w:b/>
          <w:szCs w:val="24"/>
        </w:rPr>
        <w:t>1</w:t>
      </w:r>
      <w:r>
        <w:rPr>
          <w:rFonts w:ascii="宋体" w:hAnsi="宋体"/>
          <w:szCs w:val="24"/>
        </w:rPr>
        <w:t>为便于在执行本</w:t>
      </w:r>
      <w:r>
        <w:rPr>
          <w:rFonts w:hint="eastAsia" w:ascii="宋体" w:hAnsi="宋体"/>
          <w:szCs w:val="24"/>
        </w:rPr>
        <w:t>标准</w:t>
      </w:r>
      <w:r>
        <w:rPr>
          <w:rFonts w:ascii="宋体" w:hAnsi="宋体"/>
          <w:szCs w:val="24"/>
        </w:rPr>
        <w:t>条文时区别对待，对于要求严格程度不同的用词说明如下：</w:t>
      </w:r>
    </w:p>
    <w:p>
      <w:pPr>
        <w:pStyle w:val="38"/>
        <w:numPr>
          <w:ilvl w:val="0"/>
          <w:numId w:val="2"/>
        </w:numPr>
        <w:ind w:left="0" w:firstLine="852" w:firstLineChars="355"/>
        <w:rPr>
          <w:rFonts w:ascii="宋体" w:hAnsi="宋体" w:eastAsia="宋体"/>
          <w:sz w:val="24"/>
          <w:szCs w:val="24"/>
        </w:rPr>
      </w:pPr>
      <w:r>
        <w:rPr>
          <w:rFonts w:ascii="宋体" w:hAnsi="宋体" w:eastAsia="宋体"/>
          <w:sz w:val="24"/>
          <w:szCs w:val="24"/>
        </w:rPr>
        <w:t>表示很严格，非这样做不可的：</w:t>
      </w:r>
    </w:p>
    <w:p>
      <w:pPr>
        <w:pStyle w:val="38"/>
        <w:ind w:firstLine="1276" w:firstLineChars="532"/>
        <w:rPr>
          <w:rFonts w:ascii="宋体" w:hAnsi="宋体" w:eastAsia="宋体"/>
          <w:sz w:val="24"/>
          <w:szCs w:val="24"/>
        </w:rPr>
      </w:pPr>
      <w:r>
        <w:rPr>
          <w:rFonts w:ascii="宋体" w:hAnsi="宋体" w:eastAsia="宋体"/>
          <w:sz w:val="24"/>
          <w:szCs w:val="24"/>
        </w:rPr>
        <w:t>正面词采用</w:t>
      </w:r>
      <w:r>
        <w:rPr>
          <w:rFonts w:hint="eastAsia" w:ascii="宋体" w:hAnsi="宋体" w:eastAsia="宋体"/>
          <w:sz w:val="24"/>
          <w:szCs w:val="24"/>
        </w:rPr>
        <w:t>“</w:t>
      </w:r>
      <w:r>
        <w:rPr>
          <w:rFonts w:ascii="宋体" w:hAnsi="宋体" w:eastAsia="宋体"/>
          <w:sz w:val="24"/>
          <w:szCs w:val="24"/>
        </w:rPr>
        <w:t>必须</w:t>
      </w:r>
      <w:r>
        <w:rPr>
          <w:rFonts w:hint="eastAsia" w:ascii="宋体" w:hAnsi="宋体" w:eastAsia="宋体"/>
          <w:sz w:val="24"/>
          <w:szCs w:val="24"/>
        </w:rPr>
        <w:t>”</w:t>
      </w:r>
      <w:r>
        <w:rPr>
          <w:rFonts w:ascii="宋体" w:hAnsi="宋体" w:eastAsia="宋体"/>
          <w:sz w:val="24"/>
          <w:szCs w:val="24"/>
        </w:rPr>
        <w:t>，反面词采用</w:t>
      </w:r>
      <w:r>
        <w:rPr>
          <w:rFonts w:hint="eastAsia" w:ascii="宋体" w:hAnsi="宋体" w:eastAsia="宋体"/>
          <w:sz w:val="24"/>
          <w:szCs w:val="24"/>
        </w:rPr>
        <w:t>“</w:t>
      </w:r>
      <w:r>
        <w:rPr>
          <w:rFonts w:ascii="宋体" w:hAnsi="宋体" w:eastAsia="宋体"/>
          <w:sz w:val="24"/>
          <w:szCs w:val="24"/>
        </w:rPr>
        <w:t>严禁</w:t>
      </w:r>
      <w:r>
        <w:rPr>
          <w:rFonts w:hint="eastAsia" w:ascii="宋体" w:hAnsi="宋体" w:eastAsia="宋体"/>
          <w:sz w:val="24"/>
          <w:szCs w:val="24"/>
        </w:rPr>
        <w:t>”</w:t>
      </w:r>
      <w:r>
        <w:rPr>
          <w:rFonts w:ascii="宋体" w:hAnsi="宋体" w:eastAsia="宋体"/>
          <w:sz w:val="24"/>
          <w:szCs w:val="24"/>
        </w:rPr>
        <w:t>；</w:t>
      </w:r>
    </w:p>
    <w:p>
      <w:pPr>
        <w:pStyle w:val="38"/>
        <w:numPr>
          <w:ilvl w:val="0"/>
          <w:numId w:val="2"/>
        </w:numPr>
        <w:ind w:left="0" w:firstLine="852" w:firstLineChars="355"/>
        <w:rPr>
          <w:rFonts w:ascii="宋体" w:hAnsi="宋体" w:eastAsia="宋体"/>
          <w:sz w:val="24"/>
          <w:szCs w:val="24"/>
        </w:rPr>
      </w:pPr>
      <w:r>
        <w:rPr>
          <w:rFonts w:ascii="宋体" w:hAnsi="宋体" w:eastAsia="宋体"/>
          <w:sz w:val="24"/>
          <w:szCs w:val="24"/>
        </w:rPr>
        <w:t>表示严格，在正常情况下均应这样做的：</w:t>
      </w:r>
    </w:p>
    <w:p>
      <w:pPr>
        <w:pStyle w:val="38"/>
        <w:ind w:firstLine="1276" w:firstLineChars="532"/>
        <w:rPr>
          <w:rFonts w:ascii="宋体" w:hAnsi="宋体" w:eastAsia="宋体"/>
          <w:sz w:val="24"/>
          <w:szCs w:val="24"/>
        </w:rPr>
      </w:pPr>
      <w:r>
        <w:rPr>
          <w:rFonts w:ascii="宋体" w:hAnsi="宋体" w:eastAsia="宋体"/>
          <w:sz w:val="24"/>
          <w:szCs w:val="24"/>
        </w:rPr>
        <w:t>正面词采用</w:t>
      </w:r>
      <w:r>
        <w:rPr>
          <w:rFonts w:hint="eastAsia" w:ascii="宋体" w:hAnsi="宋体" w:eastAsia="宋体"/>
          <w:sz w:val="24"/>
          <w:szCs w:val="24"/>
        </w:rPr>
        <w:t>“</w:t>
      </w:r>
      <w:r>
        <w:rPr>
          <w:rFonts w:ascii="宋体" w:hAnsi="宋体" w:eastAsia="宋体"/>
          <w:sz w:val="24"/>
          <w:szCs w:val="24"/>
        </w:rPr>
        <w:t>应</w:t>
      </w:r>
      <w:r>
        <w:rPr>
          <w:rFonts w:hint="eastAsia" w:ascii="宋体" w:hAnsi="宋体" w:eastAsia="宋体"/>
          <w:sz w:val="24"/>
          <w:szCs w:val="24"/>
        </w:rPr>
        <w:t>”</w:t>
      </w:r>
      <w:r>
        <w:rPr>
          <w:rFonts w:ascii="宋体" w:hAnsi="宋体" w:eastAsia="宋体"/>
          <w:sz w:val="24"/>
          <w:szCs w:val="24"/>
        </w:rPr>
        <w:t>，反面词采用</w:t>
      </w:r>
      <w:r>
        <w:rPr>
          <w:rFonts w:hint="eastAsia" w:ascii="宋体" w:hAnsi="宋体" w:eastAsia="宋体"/>
          <w:sz w:val="24"/>
          <w:szCs w:val="24"/>
        </w:rPr>
        <w:t>“</w:t>
      </w:r>
      <w:r>
        <w:rPr>
          <w:rFonts w:ascii="宋体" w:hAnsi="宋体" w:eastAsia="宋体"/>
          <w:sz w:val="24"/>
          <w:szCs w:val="24"/>
        </w:rPr>
        <w:t>不应</w:t>
      </w:r>
      <w:r>
        <w:rPr>
          <w:rFonts w:hint="eastAsia" w:ascii="宋体" w:hAnsi="宋体" w:eastAsia="宋体"/>
          <w:sz w:val="24"/>
          <w:szCs w:val="24"/>
        </w:rPr>
        <w:t>”</w:t>
      </w:r>
      <w:r>
        <w:rPr>
          <w:rFonts w:ascii="宋体" w:hAnsi="宋体" w:eastAsia="宋体"/>
          <w:sz w:val="24"/>
          <w:szCs w:val="24"/>
        </w:rPr>
        <w:t>或</w:t>
      </w:r>
      <w:r>
        <w:rPr>
          <w:rFonts w:hint="eastAsia" w:ascii="宋体" w:hAnsi="宋体" w:eastAsia="宋体"/>
          <w:sz w:val="24"/>
          <w:szCs w:val="24"/>
        </w:rPr>
        <w:t>“</w:t>
      </w:r>
      <w:r>
        <w:rPr>
          <w:rFonts w:ascii="宋体" w:hAnsi="宋体" w:eastAsia="宋体"/>
          <w:sz w:val="24"/>
          <w:szCs w:val="24"/>
        </w:rPr>
        <w:t>不得</w:t>
      </w:r>
      <w:r>
        <w:rPr>
          <w:rFonts w:hint="eastAsia" w:ascii="宋体" w:hAnsi="宋体" w:eastAsia="宋体"/>
          <w:sz w:val="24"/>
          <w:szCs w:val="24"/>
        </w:rPr>
        <w:t>”</w:t>
      </w:r>
      <w:r>
        <w:rPr>
          <w:rFonts w:ascii="宋体" w:hAnsi="宋体" w:eastAsia="宋体"/>
          <w:sz w:val="24"/>
          <w:szCs w:val="24"/>
        </w:rPr>
        <w:t>；</w:t>
      </w:r>
    </w:p>
    <w:p>
      <w:pPr>
        <w:pStyle w:val="38"/>
        <w:numPr>
          <w:ilvl w:val="0"/>
          <w:numId w:val="2"/>
        </w:numPr>
        <w:ind w:left="0" w:firstLine="852" w:firstLineChars="355"/>
        <w:rPr>
          <w:rFonts w:ascii="宋体" w:hAnsi="宋体" w:eastAsia="宋体"/>
          <w:sz w:val="24"/>
          <w:szCs w:val="24"/>
        </w:rPr>
      </w:pPr>
      <w:r>
        <w:rPr>
          <w:rFonts w:ascii="宋体" w:hAnsi="宋体" w:eastAsia="宋体"/>
          <w:sz w:val="24"/>
          <w:szCs w:val="24"/>
        </w:rPr>
        <w:t>表示允许稍有选择，在条件许可时首先应这样做的：</w:t>
      </w:r>
    </w:p>
    <w:p>
      <w:pPr>
        <w:pStyle w:val="38"/>
        <w:ind w:firstLine="1276" w:firstLineChars="532"/>
        <w:rPr>
          <w:rFonts w:ascii="宋体" w:hAnsi="宋体" w:eastAsia="宋体"/>
          <w:sz w:val="24"/>
          <w:szCs w:val="24"/>
        </w:rPr>
      </w:pPr>
      <w:r>
        <w:rPr>
          <w:rFonts w:ascii="宋体" w:hAnsi="宋体" w:eastAsia="宋体"/>
          <w:sz w:val="24"/>
          <w:szCs w:val="24"/>
        </w:rPr>
        <w:t>正面词采用</w:t>
      </w:r>
      <w:r>
        <w:rPr>
          <w:rFonts w:hint="eastAsia" w:ascii="宋体" w:hAnsi="宋体" w:eastAsia="宋体"/>
          <w:sz w:val="24"/>
          <w:szCs w:val="24"/>
        </w:rPr>
        <w:t>“</w:t>
      </w:r>
      <w:r>
        <w:rPr>
          <w:rFonts w:ascii="宋体" w:hAnsi="宋体" w:eastAsia="宋体"/>
          <w:sz w:val="24"/>
          <w:szCs w:val="24"/>
        </w:rPr>
        <w:t>宜</w:t>
      </w:r>
      <w:r>
        <w:rPr>
          <w:rFonts w:hint="eastAsia" w:ascii="宋体" w:hAnsi="宋体" w:eastAsia="宋体"/>
          <w:sz w:val="24"/>
          <w:szCs w:val="24"/>
        </w:rPr>
        <w:t>”</w:t>
      </w:r>
      <w:r>
        <w:rPr>
          <w:rFonts w:ascii="宋体" w:hAnsi="宋体" w:eastAsia="宋体"/>
          <w:sz w:val="24"/>
          <w:szCs w:val="24"/>
        </w:rPr>
        <w:t>，反面词采用</w:t>
      </w:r>
      <w:r>
        <w:rPr>
          <w:rFonts w:hint="eastAsia" w:ascii="宋体" w:hAnsi="宋体" w:eastAsia="宋体"/>
          <w:sz w:val="24"/>
          <w:szCs w:val="24"/>
        </w:rPr>
        <w:t>“</w:t>
      </w:r>
      <w:r>
        <w:rPr>
          <w:rFonts w:ascii="宋体" w:hAnsi="宋体" w:eastAsia="宋体"/>
          <w:sz w:val="24"/>
          <w:szCs w:val="24"/>
        </w:rPr>
        <w:t>不宜</w:t>
      </w:r>
      <w:r>
        <w:rPr>
          <w:rFonts w:hint="eastAsia" w:ascii="宋体" w:hAnsi="宋体" w:eastAsia="宋体"/>
          <w:sz w:val="24"/>
          <w:szCs w:val="24"/>
        </w:rPr>
        <w:t>”</w:t>
      </w:r>
      <w:r>
        <w:rPr>
          <w:rFonts w:ascii="宋体" w:hAnsi="宋体" w:eastAsia="宋体"/>
          <w:sz w:val="24"/>
          <w:szCs w:val="24"/>
        </w:rPr>
        <w:t>；</w:t>
      </w:r>
    </w:p>
    <w:p>
      <w:pPr>
        <w:pStyle w:val="38"/>
        <w:numPr>
          <w:ilvl w:val="0"/>
          <w:numId w:val="2"/>
        </w:numPr>
        <w:ind w:left="0" w:firstLine="852" w:firstLineChars="355"/>
        <w:rPr>
          <w:rFonts w:ascii="宋体" w:hAnsi="宋体" w:eastAsia="宋体"/>
          <w:sz w:val="24"/>
          <w:szCs w:val="24"/>
        </w:rPr>
      </w:pPr>
      <w:r>
        <w:rPr>
          <w:rFonts w:ascii="宋体" w:hAnsi="宋体" w:eastAsia="宋体"/>
          <w:sz w:val="24"/>
          <w:szCs w:val="24"/>
        </w:rPr>
        <w:t>表示有选择，在一定条件下可以这样做的，采用</w:t>
      </w:r>
      <w:r>
        <w:rPr>
          <w:rFonts w:hint="eastAsia" w:ascii="宋体" w:hAnsi="宋体" w:eastAsia="宋体"/>
          <w:sz w:val="24"/>
          <w:szCs w:val="24"/>
        </w:rPr>
        <w:t>“</w:t>
      </w:r>
      <w:r>
        <w:rPr>
          <w:rFonts w:ascii="宋体" w:hAnsi="宋体" w:eastAsia="宋体"/>
          <w:sz w:val="24"/>
          <w:szCs w:val="24"/>
        </w:rPr>
        <w:t>可</w:t>
      </w:r>
      <w:r>
        <w:rPr>
          <w:rFonts w:hint="eastAsia" w:ascii="宋体" w:hAnsi="宋体" w:eastAsia="宋体"/>
          <w:sz w:val="24"/>
          <w:szCs w:val="24"/>
        </w:rPr>
        <w:t>”</w:t>
      </w:r>
      <w:r>
        <w:rPr>
          <w:rFonts w:ascii="宋体" w:hAnsi="宋体" w:eastAsia="宋体"/>
          <w:sz w:val="24"/>
          <w:szCs w:val="24"/>
        </w:rPr>
        <w:t>。</w:t>
      </w:r>
    </w:p>
    <w:p>
      <w:pPr>
        <w:ind w:firstLine="482"/>
        <w:rPr>
          <w:rFonts w:ascii="宋体" w:hAnsi="宋体"/>
          <w:szCs w:val="24"/>
        </w:rPr>
      </w:pPr>
      <w:r>
        <w:rPr>
          <w:rFonts w:ascii="宋体" w:hAnsi="宋体"/>
          <w:b/>
          <w:szCs w:val="24"/>
        </w:rPr>
        <w:t>2</w:t>
      </w:r>
      <w:r>
        <w:rPr>
          <w:rFonts w:ascii="宋体" w:hAnsi="宋体"/>
          <w:szCs w:val="24"/>
        </w:rPr>
        <w:t>条文中</w:t>
      </w:r>
      <w:r>
        <w:rPr>
          <w:rFonts w:hint="eastAsia" w:ascii="宋体" w:hAnsi="宋体"/>
          <w:szCs w:val="24"/>
        </w:rPr>
        <w:t>指</w:t>
      </w:r>
      <w:r>
        <w:rPr>
          <w:rFonts w:ascii="宋体" w:hAnsi="宋体"/>
          <w:szCs w:val="24"/>
        </w:rPr>
        <w:t>明应按其</w:t>
      </w:r>
      <w:r>
        <w:rPr>
          <w:rFonts w:hint="eastAsia" w:ascii="宋体" w:hAnsi="宋体"/>
          <w:szCs w:val="24"/>
        </w:rPr>
        <w:t>他</w:t>
      </w:r>
      <w:r>
        <w:rPr>
          <w:rFonts w:ascii="宋体" w:hAnsi="宋体"/>
          <w:szCs w:val="24"/>
        </w:rPr>
        <w:t>标准执行的写法为：</w:t>
      </w:r>
      <w:r>
        <w:rPr>
          <w:rFonts w:hint="eastAsia" w:ascii="宋体" w:hAnsi="宋体"/>
          <w:szCs w:val="24"/>
        </w:rPr>
        <w:t>“</w:t>
      </w:r>
      <w:r>
        <w:rPr>
          <w:rFonts w:ascii="宋体" w:hAnsi="宋体"/>
          <w:szCs w:val="24"/>
        </w:rPr>
        <w:t>应符合</w:t>
      </w:r>
      <w:r>
        <w:rPr>
          <w:rFonts w:hint="eastAsia" w:ascii="宋体" w:hAnsi="宋体"/>
          <w:szCs w:val="24"/>
        </w:rPr>
        <w:t>……</w:t>
      </w:r>
      <w:r>
        <w:rPr>
          <w:rFonts w:ascii="宋体" w:hAnsi="宋体"/>
          <w:szCs w:val="24"/>
        </w:rPr>
        <w:t>的规定</w:t>
      </w:r>
      <w:r>
        <w:rPr>
          <w:rFonts w:hint="eastAsia" w:ascii="宋体" w:hAnsi="宋体"/>
          <w:szCs w:val="24"/>
        </w:rPr>
        <w:t>”</w:t>
      </w:r>
      <w:r>
        <w:rPr>
          <w:rFonts w:ascii="宋体" w:hAnsi="宋体"/>
          <w:szCs w:val="24"/>
        </w:rPr>
        <w:t>或</w:t>
      </w:r>
      <w:r>
        <w:rPr>
          <w:rFonts w:hint="eastAsia" w:ascii="宋体" w:hAnsi="宋体"/>
          <w:szCs w:val="24"/>
        </w:rPr>
        <w:t>“</w:t>
      </w:r>
      <w:r>
        <w:rPr>
          <w:rFonts w:ascii="宋体" w:hAnsi="宋体"/>
          <w:szCs w:val="24"/>
        </w:rPr>
        <w:t>应按</w:t>
      </w:r>
      <w:r>
        <w:rPr>
          <w:rFonts w:hint="eastAsia" w:ascii="宋体" w:hAnsi="宋体"/>
          <w:szCs w:val="24"/>
        </w:rPr>
        <w:t>……</w:t>
      </w:r>
      <w:r>
        <w:rPr>
          <w:rFonts w:ascii="宋体" w:hAnsi="宋体"/>
          <w:szCs w:val="24"/>
        </w:rPr>
        <w:t>执行</w:t>
      </w:r>
      <w:r>
        <w:rPr>
          <w:rFonts w:hint="eastAsia" w:ascii="宋体" w:hAnsi="宋体"/>
          <w:szCs w:val="24"/>
        </w:rPr>
        <w:t>”。</w:t>
      </w:r>
    </w:p>
    <w:p>
      <w:pPr>
        <w:pStyle w:val="34"/>
        <w:ind w:left="480"/>
      </w:pPr>
    </w:p>
    <w:p>
      <w:pPr>
        <w:pStyle w:val="34"/>
        <w:ind w:left="480"/>
      </w:pPr>
    </w:p>
    <w:p>
      <w:pPr>
        <w:pStyle w:val="34"/>
        <w:ind w:left="480"/>
      </w:pPr>
    </w:p>
    <w:p>
      <w:pPr>
        <w:pStyle w:val="34"/>
        <w:ind w:left="480"/>
      </w:pPr>
    </w:p>
    <w:p>
      <w:pPr>
        <w:widowControl/>
        <w:spacing w:line="240" w:lineRule="auto"/>
        <w:jc w:val="left"/>
        <w:rPr>
          <w:rFonts w:ascii="宋体" w:hAnsi="宋体"/>
          <w:kern w:val="2"/>
          <w:szCs w:val="24"/>
        </w:rPr>
      </w:pPr>
      <w:r>
        <w:br w:type="page"/>
      </w:r>
    </w:p>
    <w:p>
      <w:pPr>
        <w:pStyle w:val="3"/>
        <w:spacing w:before="480" w:after="240"/>
        <w:ind w:firstLine="883"/>
      </w:pPr>
      <w:bookmarkStart w:id="126" w:name="_Toc135987402"/>
      <w:bookmarkStart w:id="127" w:name="_Toc22541"/>
      <w:bookmarkStart w:id="128" w:name="_Toc13267"/>
      <w:r>
        <w:rPr>
          <w:rFonts w:hint="eastAsia"/>
        </w:rPr>
        <w:t>引用标准名录</w:t>
      </w:r>
      <w:bookmarkEnd w:id="126"/>
      <w:bookmarkStart w:id="129" w:name="_Toc1744"/>
      <w:r>
        <w:fldChar w:fldCharType="begin"/>
      </w:r>
      <w:r>
        <w:instrText xml:space="preserve"> </w:instrText>
      </w:r>
      <w:r>
        <w:rPr>
          <w:rFonts w:hint="eastAsia"/>
        </w:rPr>
        <w:instrText xml:space="preserve">TC  "</w:instrText>
      </w:r>
      <w:bookmarkStart w:id="130" w:name="_Toc152144943"/>
      <w:bookmarkStart w:id="131" w:name="_Toc152145830"/>
      <w:r>
        <w:rPr>
          <w:rFonts w:hint="eastAsia"/>
        </w:rPr>
        <w:instrText xml:space="preserve">List of Quoted Standards</w:instrText>
      </w:r>
      <w:bookmarkEnd w:id="130"/>
      <w:bookmarkEnd w:id="131"/>
      <w:r>
        <w:rPr>
          <w:rFonts w:hint="eastAsia"/>
        </w:rPr>
        <w:instrText xml:space="preserve">" \l 1</w:instrText>
      </w:r>
      <w:r>
        <w:instrText xml:space="preserve"> </w:instrText>
      </w:r>
      <w:r>
        <w:fldChar w:fldCharType="end"/>
      </w:r>
      <w:bookmarkEnd w:id="127"/>
      <w:bookmarkEnd w:id="128"/>
      <w:bookmarkEnd w:id="129"/>
    </w:p>
    <w:p>
      <w:pPr>
        <w:pStyle w:val="34"/>
        <w:ind w:left="480"/>
        <w:jc w:val="left"/>
        <w:rPr>
          <w:rFonts w:hint="eastAsia"/>
        </w:rPr>
      </w:pPr>
      <w:r>
        <w:rPr>
          <w:rFonts w:hint="eastAsia" w:hAnsi="Cambria Math"/>
        </w:rPr>
        <w:t>《建筑楼盖振动舒适度技术标准》JGJ/T</w:t>
      </w:r>
      <w:r>
        <w:rPr>
          <w:rFonts w:hAnsi="Cambria Math"/>
        </w:rPr>
        <w:t xml:space="preserve"> </w:t>
      </w:r>
      <w:r>
        <w:rPr>
          <w:rFonts w:hint="eastAsia" w:hAnsi="Cambria Math"/>
        </w:rPr>
        <w:t>441</w:t>
      </w:r>
    </w:p>
    <w:p>
      <w:pPr>
        <w:pStyle w:val="34"/>
        <w:ind w:left="480"/>
        <w:jc w:val="left"/>
        <w:rPr>
          <w:rFonts w:ascii="宋体" w:hAnsi="宋体"/>
          <w:szCs w:val="24"/>
        </w:rPr>
      </w:pPr>
      <w:r>
        <w:rPr>
          <w:rFonts w:hint="eastAsia"/>
        </w:rPr>
        <w:t>《建筑模数协调标准》G</w:t>
      </w:r>
      <w:r>
        <w:t>B/T 5000</w:t>
      </w:r>
      <w:bookmarkStart w:id="132" w:name="_GoBack"/>
      <w:bookmarkEnd w:id="132"/>
    </w:p>
    <w:sectPr>
      <w:footerReference r:id="rId6" w:type="default"/>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60034393"/>
      <w:showingPlcHdr/>
    </w:sdtPr>
    <w:sdtContent>
      <w:p>
        <w:pPr>
          <w:pStyle w:val="13"/>
          <w:jc w:val="center"/>
        </w:pPr>
        <w:r>
          <w:t xml:space="preserve">     </w:t>
        </w:r>
      </w:p>
    </w:sdtContent>
  </w:sdt>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58437058"/>
    </w:sdtPr>
    <w:sdtContent>
      <w:p>
        <w:pPr>
          <w:pStyle w:val="13"/>
          <w:jc w:val="center"/>
        </w:pPr>
        <w:r>
          <w:fldChar w:fldCharType="begin"/>
        </w:r>
        <w:r>
          <w:instrText xml:space="preserve">PAGE   \* MERGEFORMAT</w:instrText>
        </w:r>
        <w:r>
          <w:fldChar w:fldCharType="separate"/>
        </w:r>
        <w:r>
          <w:rPr>
            <w:lang w:val="zh-CN"/>
          </w:rPr>
          <w:t>16</w:t>
        </w:r>
        <w:r>
          <w:fldChar w:fldCharType="end"/>
        </w:r>
      </w:p>
    </w:sdtContent>
  </w:sdt>
  <w:p>
    <w:pPr>
      <w:pStyle w:val="1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3A7E93"/>
    <w:multiLevelType w:val="multilevel"/>
    <w:tmpl w:val="0A3A7E93"/>
    <w:lvl w:ilvl="0" w:tentative="0">
      <w:start w:val="1"/>
      <w:numFmt w:val="decimal"/>
      <w:lvlText w:val="%1）"/>
      <w:lvlJc w:val="left"/>
      <w:pPr>
        <w:ind w:left="360" w:hanging="360"/>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DE81F06"/>
    <w:multiLevelType w:val="multilevel"/>
    <w:tmpl w:val="6DE81F06"/>
    <w:lvl w:ilvl="0" w:tentative="0">
      <w:start w:val="1"/>
      <w:numFmt w:val="decimal"/>
      <w:pStyle w:val="50"/>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420"/>
  <w:drawingGridHorizontalSpacing w:val="120"/>
  <w:drawingGridVerticalSpacing w:val="163"/>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763"/>
    <w:rsid w:val="0000047F"/>
    <w:rsid w:val="000004EF"/>
    <w:rsid w:val="00001269"/>
    <w:rsid w:val="00001E3D"/>
    <w:rsid w:val="000067FE"/>
    <w:rsid w:val="000073F4"/>
    <w:rsid w:val="000115CC"/>
    <w:rsid w:val="00011D14"/>
    <w:rsid w:val="00011D16"/>
    <w:rsid w:val="000128D1"/>
    <w:rsid w:val="000141FC"/>
    <w:rsid w:val="000157B6"/>
    <w:rsid w:val="00016325"/>
    <w:rsid w:val="00016CEB"/>
    <w:rsid w:val="00025DDF"/>
    <w:rsid w:val="00025F1B"/>
    <w:rsid w:val="00026017"/>
    <w:rsid w:val="00026C90"/>
    <w:rsid w:val="00026EE7"/>
    <w:rsid w:val="00027380"/>
    <w:rsid w:val="00030796"/>
    <w:rsid w:val="0003106B"/>
    <w:rsid w:val="000315AF"/>
    <w:rsid w:val="0003361D"/>
    <w:rsid w:val="000346E2"/>
    <w:rsid w:val="00041F0E"/>
    <w:rsid w:val="000465C6"/>
    <w:rsid w:val="00046FDE"/>
    <w:rsid w:val="00051EAA"/>
    <w:rsid w:val="00052DF2"/>
    <w:rsid w:val="00056B9E"/>
    <w:rsid w:val="00057E1A"/>
    <w:rsid w:val="00060F47"/>
    <w:rsid w:val="00062258"/>
    <w:rsid w:val="00062675"/>
    <w:rsid w:val="00062D4F"/>
    <w:rsid w:val="00063516"/>
    <w:rsid w:val="00063DE5"/>
    <w:rsid w:val="000663E9"/>
    <w:rsid w:val="00072860"/>
    <w:rsid w:val="00074466"/>
    <w:rsid w:val="00074BA1"/>
    <w:rsid w:val="00080537"/>
    <w:rsid w:val="00083DEC"/>
    <w:rsid w:val="00084928"/>
    <w:rsid w:val="00087859"/>
    <w:rsid w:val="000911BA"/>
    <w:rsid w:val="000930DD"/>
    <w:rsid w:val="00094742"/>
    <w:rsid w:val="0009644A"/>
    <w:rsid w:val="00096E5D"/>
    <w:rsid w:val="000A00B9"/>
    <w:rsid w:val="000A3AE8"/>
    <w:rsid w:val="000B1E53"/>
    <w:rsid w:val="000B27CB"/>
    <w:rsid w:val="000B42CC"/>
    <w:rsid w:val="000B5B55"/>
    <w:rsid w:val="000B5B6F"/>
    <w:rsid w:val="000B5B9D"/>
    <w:rsid w:val="000B5FD5"/>
    <w:rsid w:val="000B6021"/>
    <w:rsid w:val="000C016C"/>
    <w:rsid w:val="000C05B6"/>
    <w:rsid w:val="000C1D84"/>
    <w:rsid w:val="000C3C81"/>
    <w:rsid w:val="000C6155"/>
    <w:rsid w:val="000C658F"/>
    <w:rsid w:val="000C6E45"/>
    <w:rsid w:val="000D08D8"/>
    <w:rsid w:val="000D10F2"/>
    <w:rsid w:val="000D280A"/>
    <w:rsid w:val="000D4755"/>
    <w:rsid w:val="000D6F70"/>
    <w:rsid w:val="000E2403"/>
    <w:rsid w:val="000E281F"/>
    <w:rsid w:val="000E3B80"/>
    <w:rsid w:val="000E3E76"/>
    <w:rsid w:val="000E4A1F"/>
    <w:rsid w:val="000E6505"/>
    <w:rsid w:val="000F06E4"/>
    <w:rsid w:val="000F221E"/>
    <w:rsid w:val="000F4C14"/>
    <w:rsid w:val="000F4DEA"/>
    <w:rsid w:val="001005E5"/>
    <w:rsid w:val="00100F08"/>
    <w:rsid w:val="00101C83"/>
    <w:rsid w:val="0010238D"/>
    <w:rsid w:val="00103453"/>
    <w:rsid w:val="001062A4"/>
    <w:rsid w:val="00110B89"/>
    <w:rsid w:val="00111DCF"/>
    <w:rsid w:val="00117845"/>
    <w:rsid w:val="001207C9"/>
    <w:rsid w:val="00120851"/>
    <w:rsid w:val="001212A1"/>
    <w:rsid w:val="0012143C"/>
    <w:rsid w:val="0012249D"/>
    <w:rsid w:val="00123D01"/>
    <w:rsid w:val="00126F5A"/>
    <w:rsid w:val="00131502"/>
    <w:rsid w:val="00132101"/>
    <w:rsid w:val="00133E3B"/>
    <w:rsid w:val="001342B8"/>
    <w:rsid w:val="00135012"/>
    <w:rsid w:val="00135069"/>
    <w:rsid w:val="00135EA1"/>
    <w:rsid w:val="001404B4"/>
    <w:rsid w:val="00141F55"/>
    <w:rsid w:val="00142D05"/>
    <w:rsid w:val="00143A34"/>
    <w:rsid w:val="00144BE2"/>
    <w:rsid w:val="00144CD2"/>
    <w:rsid w:val="00146EF1"/>
    <w:rsid w:val="0015359B"/>
    <w:rsid w:val="00154795"/>
    <w:rsid w:val="00154B6E"/>
    <w:rsid w:val="00154F82"/>
    <w:rsid w:val="00156698"/>
    <w:rsid w:val="00156DE5"/>
    <w:rsid w:val="00157087"/>
    <w:rsid w:val="0016364D"/>
    <w:rsid w:val="0016367D"/>
    <w:rsid w:val="001645A9"/>
    <w:rsid w:val="001649BE"/>
    <w:rsid w:val="001663DD"/>
    <w:rsid w:val="001713CC"/>
    <w:rsid w:val="00171A80"/>
    <w:rsid w:val="001729F6"/>
    <w:rsid w:val="00173D30"/>
    <w:rsid w:val="0017434C"/>
    <w:rsid w:val="001745BB"/>
    <w:rsid w:val="00174BF7"/>
    <w:rsid w:val="0017538C"/>
    <w:rsid w:val="001759EA"/>
    <w:rsid w:val="0018109D"/>
    <w:rsid w:val="00181380"/>
    <w:rsid w:val="001838AB"/>
    <w:rsid w:val="00183B50"/>
    <w:rsid w:val="0018425A"/>
    <w:rsid w:val="00184FA2"/>
    <w:rsid w:val="00185209"/>
    <w:rsid w:val="00190F28"/>
    <w:rsid w:val="00190F81"/>
    <w:rsid w:val="00192B0C"/>
    <w:rsid w:val="001933F8"/>
    <w:rsid w:val="00196440"/>
    <w:rsid w:val="001967AA"/>
    <w:rsid w:val="001A1195"/>
    <w:rsid w:val="001A16FC"/>
    <w:rsid w:val="001A2069"/>
    <w:rsid w:val="001A3F30"/>
    <w:rsid w:val="001A4245"/>
    <w:rsid w:val="001A4B31"/>
    <w:rsid w:val="001A5938"/>
    <w:rsid w:val="001A59E7"/>
    <w:rsid w:val="001A6E20"/>
    <w:rsid w:val="001A79CF"/>
    <w:rsid w:val="001B0388"/>
    <w:rsid w:val="001B14D0"/>
    <w:rsid w:val="001B2C24"/>
    <w:rsid w:val="001B3475"/>
    <w:rsid w:val="001B4FFF"/>
    <w:rsid w:val="001B5FFE"/>
    <w:rsid w:val="001B7DFA"/>
    <w:rsid w:val="001B7F64"/>
    <w:rsid w:val="001C02E6"/>
    <w:rsid w:val="001C2024"/>
    <w:rsid w:val="001C2736"/>
    <w:rsid w:val="001C3EA9"/>
    <w:rsid w:val="001C5229"/>
    <w:rsid w:val="001C5328"/>
    <w:rsid w:val="001C61D5"/>
    <w:rsid w:val="001C6B21"/>
    <w:rsid w:val="001C6DB3"/>
    <w:rsid w:val="001D2142"/>
    <w:rsid w:val="001D2B3D"/>
    <w:rsid w:val="001D3962"/>
    <w:rsid w:val="001D544C"/>
    <w:rsid w:val="001D605E"/>
    <w:rsid w:val="001D6E28"/>
    <w:rsid w:val="001E002A"/>
    <w:rsid w:val="001E290C"/>
    <w:rsid w:val="001E33C8"/>
    <w:rsid w:val="001E39D1"/>
    <w:rsid w:val="001E3CF4"/>
    <w:rsid w:val="001E69DF"/>
    <w:rsid w:val="001E7815"/>
    <w:rsid w:val="001F1E4D"/>
    <w:rsid w:val="001F23F0"/>
    <w:rsid w:val="001F365F"/>
    <w:rsid w:val="001F3797"/>
    <w:rsid w:val="001F3DB3"/>
    <w:rsid w:val="001F3F28"/>
    <w:rsid w:val="00200790"/>
    <w:rsid w:val="00201814"/>
    <w:rsid w:val="00202A97"/>
    <w:rsid w:val="002042C5"/>
    <w:rsid w:val="00204C6C"/>
    <w:rsid w:val="00205C44"/>
    <w:rsid w:val="0020688B"/>
    <w:rsid w:val="0021368F"/>
    <w:rsid w:val="00215287"/>
    <w:rsid w:val="002159AE"/>
    <w:rsid w:val="00221CC8"/>
    <w:rsid w:val="0022237B"/>
    <w:rsid w:val="0022411C"/>
    <w:rsid w:val="002248F5"/>
    <w:rsid w:val="00225FFE"/>
    <w:rsid w:val="00226C48"/>
    <w:rsid w:val="00230F99"/>
    <w:rsid w:val="0023469E"/>
    <w:rsid w:val="00235C82"/>
    <w:rsid w:val="0023632B"/>
    <w:rsid w:val="00236530"/>
    <w:rsid w:val="00236F62"/>
    <w:rsid w:val="002378AD"/>
    <w:rsid w:val="00237A21"/>
    <w:rsid w:val="00240812"/>
    <w:rsid w:val="002413DA"/>
    <w:rsid w:val="00242E3A"/>
    <w:rsid w:val="002461DF"/>
    <w:rsid w:val="00246B3D"/>
    <w:rsid w:val="00250259"/>
    <w:rsid w:val="002503FE"/>
    <w:rsid w:val="00251C82"/>
    <w:rsid w:val="002557A6"/>
    <w:rsid w:val="00255B4D"/>
    <w:rsid w:val="002624B9"/>
    <w:rsid w:val="002627C8"/>
    <w:rsid w:val="0026352A"/>
    <w:rsid w:val="002648DE"/>
    <w:rsid w:val="00270AAB"/>
    <w:rsid w:val="00270CCC"/>
    <w:rsid w:val="00271869"/>
    <w:rsid w:val="00272E08"/>
    <w:rsid w:val="00275207"/>
    <w:rsid w:val="002766D3"/>
    <w:rsid w:val="00280181"/>
    <w:rsid w:val="00281747"/>
    <w:rsid w:val="002833E5"/>
    <w:rsid w:val="0028358C"/>
    <w:rsid w:val="00283D2D"/>
    <w:rsid w:val="0028470B"/>
    <w:rsid w:val="00284828"/>
    <w:rsid w:val="00285191"/>
    <w:rsid w:val="002862AB"/>
    <w:rsid w:val="0028691C"/>
    <w:rsid w:val="002875C5"/>
    <w:rsid w:val="00287C4B"/>
    <w:rsid w:val="0029225D"/>
    <w:rsid w:val="00293C7C"/>
    <w:rsid w:val="0029586E"/>
    <w:rsid w:val="00296BEE"/>
    <w:rsid w:val="00296E20"/>
    <w:rsid w:val="00297E91"/>
    <w:rsid w:val="002A0676"/>
    <w:rsid w:val="002A06CA"/>
    <w:rsid w:val="002A09B7"/>
    <w:rsid w:val="002A1375"/>
    <w:rsid w:val="002A1741"/>
    <w:rsid w:val="002A3198"/>
    <w:rsid w:val="002A31C2"/>
    <w:rsid w:val="002A46A7"/>
    <w:rsid w:val="002B23E2"/>
    <w:rsid w:val="002B3EBD"/>
    <w:rsid w:val="002B4EA9"/>
    <w:rsid w:val="002B65B3"/>
    <w:rsid w:val="002B65BC"/>
    <w:rsid w:val="002C1F5A"/>
    <w:rsid w:val="002C4284"/>
    <w:rsid w:val="002C7A93"/>
    <w:rsid w:val="002D0B6F"/>
    <w:rsid w:val="002D1202"/>
    <w:rsid w:val="002D173D"/>
    <w:rsid w:val="002D21E9"/>
    <w:rsid w:val="002D2E00"/>
    <w:rsid w:val="002D37FE"/>
    <w:rsid w:val="002D67C4"/>
    <w:rsid w:val="002E0B75"/>
    <w:rsid w:val="002E2641"/>
    <w:rsid w:val="002E39EA"/>
    <w:rsid w:val="002E4056"/>
    <w:rsid w:val="002E4BBD"/>
    <w:rsid w:val="002E52D8"/>
    <w:rsid w:val="002E5821"/>
    <w:rsid w:val="002F0316"/>
    <w:rsid w:val="002F16BA"/>
    <w:rsid w:val="002F36EC"/>
    <w:rsid w:val="002F3C02"/>
    <w:rsid w:val="002F41BF"/>
    <w:rsid w:val="002F4BDA"/>
    <w:rsid w:val="002F4D8C"/>
    <w:rsid w:val="002F5A3A"/>
    <w:rsid w:val="002F6EDB"/>
    <w:rsid w:val="002F7A13"/>
    <w:rsid w:val="003004EB"/>
    <w:rsid w:val="003020A5"/>
    <w:rsid w:val="00304E72"/>
    <w:rsid w:val="00306823"/>
    <w:rsid w:val="00306ED7"/>
    <w:rsid w:val="00307D57"/>
    <w:rsid w:val="0031015C"/>
    <w:rsid w:val="00311038"/>
    <w:rsid w:val="00311BC9"/>
    <w:rsid w:val="00312A56"/>
    <w:rsid w:val="00312C0A"/>
    <w:rsid w:val="00315390"/>
    <w:rsid w:val="003160E9"/>
    <w:rsid w:val="00320A1C"/>
    <w:rsid w:val="00323501"/>
    <w:rsid w:val="00326B95"/>
    <w:rsid w:val="0032767C"/>
    <w:rsid w:val="00327C63"/>
    <w:rsid w:val="003304F6"/>
    <w:rsid w:val="00330F87"/>
    <w:rsid w:val="003318EB"/>
    <w:rsid w:val="00333CF0"/>
    <w:rsid w:val="00333E77"/>
    <w:rsid w:val="003340F3"/>
    <w:rsid w:val="003348D8"/>
    <w:rsid w:val="003367C7"/>
    <w:rsid w:val="00341640"/>
    <w:rsid w:val="003416C4"/>
    <w:rsid w:val="003418E5"/>
    <w:rsid w:val="00341AF6"/>
    <w:rsid w:val="003424B3"/>
    <w:rsid w:val="00342E1C"/>
    <w:rsid w:val="00343148"/>
    <w:rsid w:val="0034483B"/>
    <w:rsid w:val="00344AF6"/>
    <w:rsid w:val="00345D88"/>
    <w:rsid w:val="00346B30"/>
    <w:rsid w:val="003477C3"/>
    <w:rsid w:val="003501FB"/>
    <w:rsid w:val="00352B17"/>
    <w:rsid w:val="00355C01"/>
    <w:rsid w:val="00355FB9"/>
    <w:rsid w:val="0035682E"/>
    <w:rsid w:val="00365317"/>
    <w:rsid w:val="00365C78"/>
    <w:rsid w:val="0036662A"/>
    <w:rsid w:val="003677F0"/>
    <w:rsid w:val="003712E1"/>
    <w:rsid w:val="00372222"/>
    <w:rsid w:val="00376840"/>
    <w:rsid w:val="00376ADC"/>
    <w:rsid w:val="00377414"/>
    <w:rsid w:val="0037777A"/>
    <w:rsid w:val="00380622"/>
    <w:rsid w:val="003823CE"/>
    <w:rsid w:val="0038350F"/>
    <w:rsid w:val="003860D0"/>
    <w:rsid w:val="003874ED"/>
    <w:rsid w:val="00391405"/>
    <w:rsid w:val="003916C3"/>
    <w:rsid w:val="0039268E"/>
    <w:rsid w:val="00394949"/>
    <w:rsid w:val="003A0614"/>
    <w:rsid w:val="003A1F69"/>
    <w:rsid w:val="003A2124"/>
    <w:rsid w:val="003A24A5"/>
    <w:rsid w:val="003A2A56"/>
    <w:rsid w:val="003A47B3"/>
    <w:rsid w:val="003A78F5"/>
    <w:rsid w:val="003B05F7"/>
    <w:rsid w:val="003B1597"/>
    <w:rsid w:val="003B1621"/>
    <w:rsid w:val="003B36E5"/>
    <w:rsid w:val="003B4A60"/>
    <w:rsid w:val="003B5AA2"/>
    <w:rsid w:val="003B74AB"/>
    <w:rsid w:val="003B7CE1"/>
    <w:rsid w:val="003C3E7F"/>
    <w:rsid w:val="003C772B"/>
    <w:rsid w:val="003D0206"/>
    <w:rsid w:val="003D42D2"/>
    <w:rsid w:val="003D42D3"/>
    <w:rsid w:val="003D745C"/>
    <w:rsid w:val="003E0190"/>
    <w:rsid w:val="003E3A21"/>
    <w:rsid w:val="003E60E9"/>
    <w:rsid w:val="003E6865"/>
    <w:rsid w:val="003E6CB8"/>
    <w:rsid w:val="003E7D8C"/>
    <w:rsid w:val="003F01A4"/>
    <w:rsid w:val="003F02EB"/>
    <w:rsid w:val="003F0F0C"/>
    <w:rsid w:val="003F7BDD"/>
    <w:rsid w:val="003F7E36"/>
    <w:rsid w:val="0040040F"/>
    <w:rsid w:val="004010B9"/>
    <w:rsid w:val="00402587"/>
    <w:rsid w:val="00403DB8"/>
    <w:rsid w:val="00406AE7"/>
    <w:rsid w:val="00407A24"/>
    <w:rsid w:val="00414461"/>
    <w:rsid w:val="0041520B"/>
    <w:rsid w:val="00415FA8"/>
    <w:rsid w:val="0041796A"/>
    <w:rsid w:val="00420E7A"/>
    <w:rsid w:val="00421B81"/>
    <w:rsid w:val="00422099"/>
    <w:rsid w:val="0042216E"/>
    <w:rsid w:val="004259CB"/>
    <w:rsid w:val="00426391"/>
    <w:rsid w:val="00431370"/>
    <w:rsid w:val="00431A7C"/>
    <w:rsid w:val="00432950"/>
    <w:rsid w:val="00432DD9"/>
    <w:rsid w:val="00433DCC"/>
    <w:rsid w:val="00433F91"/>
    <w:rsid w:val="004359BC"/>
    <w:rsid w:val="0043708F"/>
    <w:rsid w:val="0044012C"/>
    <w:rsid w:val="00442896"/>
    <w:rsid w:val="00442B65"/>
    <w:rsid w:val="004441F0"/>
    <w:rsid w:val="004446C2"/>
    <w:rsid w:val="004450C2"/>
    <w:rsid w:val="0044529C"/>
    <w:rsid w:val="004458FB"/>
    <w:rsid w:val="00447289"/>
    <w:rsid w:val="00447CB3"/>
    <w:rsid w:val="00451171"/>
    <w:rsid w:val="00452D02"/>
    <w:rsid w:val="00454556"/>
    <w:rsid w:val="004578A8"/>
    <w:rsid w:val="00460B88"/>
    <w:rsid w:val="00460EF3"/>
    <w:rsid w:val="00465617"/>
    <w:rsid w:val="00465888"/>
    <w:rsid w:val="00471251"/>
    <w:rsid w:val="00472585"/>
    <w:rsid w:val="00473CCF"/>
    <w:rsid w:val="004768DE"/>
    <w:rsid w:val="00477434"/>
    <w:rsid w:val="00480ABF"/>
    <w:rsid w:val="004827A6"/>
    <w:rsid w:val="004830D3"/>
    <w:rsid w:val="004837C3"/>
    <w:rsid w:val="0048396D"/>
    <w:rsid w:val="004867D3"/>
    <w:rsid w:val="004868C1"/>
    <w:rsid w:val="00487791"/>
    <w:rsid w:val="00491775"/>
    <w:rsid w:val="00491951"/>
    <w:rsid w:val="00491DE4"/>
    <w:rsid w:val="00494A79"/>
    <w:rsid w:val="004955D1"/>
    <w:rsid w:val="0049797E"/>
    <w:rsid w:val="00497EEE"/>
    <w:rsid w:val="004A0B88"/>
    <w:rsid w:val="004A1017"/>
    <w:rsid w:val="004A13B5"/>
    <w:rsid w:val="004A28AA"/>
    <w:rsid w:val="004A5E30"/>
    <w:rsid w:val="004A6591"/>
    <w:rsid w:val="004A66E5"/>
    <w:rsid w:val="004A69E0"/>
    <w:rsid w:val="004A7235"/>
    <w:rsid w:val="004B0923"/>
    <w:rsid w:val="004B1B55"/>
    <w:rsid w:val="004C0C58"/>
    <w:rsid w:val="004C21CF"/>
    <w:rsid w:val="004C3336"/>
    <w:rsid w:val="004C3C6E"/>
    <w:rsid w:val="004C78BB"/>
    <w:rsid w:val="004C79F4"/>
    <w:rsid w:val="004C7CD2"/>
    <w:rsid w:val="004D13A6"/>
    <w:rsid w:val="004D17F4"/>
    <w:rsid w:val="004D2D0C"/>
    <w:rsid w:val="004D6567"/>
    <w:rsid w:val="004D6ECF"/>
    <w:rsid w:val="004D74B3"/>
    <w:rsid w:val="004E01A5"/>
    <w:rsid w:val="004E289C"/>
    <w:rsid w:val="004E35C7"/>
    <w:rsid w:val="004E45C3"/>
    <w:rsid w:val="004E549A"/>
    <w:rsid w:val="004E7D30"/>
    <w:rsid w:val="004F2301"/>
    <w:rsid w:val="004F2B31"/>
    <w:rsid w:val="004F31E6"/>
    <w:rsid w:val="004F5548"/>
    <w:rsid w:val="004F73C2"/>
    <w:rsid w:val="004F7E5D"/>
    <w:rsid w:val="005000D2"/>
    <w:rsid w:val="0050060B"/>
    <w:rsid w:val="00501B34"/>
    <w:rsid w:val="00502890"/>
    <w:rsid w:val="00502B47"/>
    <w:rsid w:val="00503C6E"/>
    <w:rsid w:val="00505858"/>
    <w:rsid w:val="00506A32"/>
    <w:rsid w:val="00512917"/>
    <w:rsid w:val="00513958"/>
    <w:rsid w:val="005152D5"/>
    <w:rsid w:val="0051545F"/>
    <w:rsid w:val="005155DC"/>
    <w:rsid w:val="0051773F"/>
    <w:rsid w:val="00517987"/>
    <w:rsid w:val="005241B5"/>
    <w:rsid w:val="005248B5"/>
    <w:rsid w:val="00525449"/>
    <w:rsid w:val="005255BD"/>
    <w:rsid w:val="00526EDE"/>
    <w:rsid w:val="00527D55"/>
    <w:rsid w:val="00531289"/>
    <w:rsid w:val="00531D31"/>
    <w:rsid w:val="0053405C"/>
    <w:rsid w:val="005349B5"/>
    <w:rsid w:val="00534BB0"/>
    <w:rsid w:val="00535F6D"/>
    <w:rsid w:val="00536F4F"/>
    <w:rsid w:val="005409C1"/>
    <w:rsid w:val="00540E52"/>
    <w:rsid w:val="005454C0"/>
    <w:rsid w:val="00547B9F"/>
    <w:rsid w:val="00551DD8"/>
    <w:rsid w:val="0055363C"/>
    <w:rsid w:val="00554A6D"/>
    <w:rsid w:val="005565B6"/>
    <w:rsid w:val="00556DBE"/>
    <w:rsid w:val="00557108"/>
    <w:rsid w:val="00561358"/>
    <w:rsid w:val="00562CEC"/>
    <w:rsid w:val="00564097"/>
    <w:rsid w:val="00570992"/>
    <w:rsid w:val="0057194A"/>
    <w:rsid w:val="00571E01"/>
    <w:rsid w:val="00572677"/>
    <w:rsid w:val="00572E16"/>
    <w:rsid w:val="00573AFF"/>
    <w:rsid w:val="0057407D"/>
    <w:rsid w:val="00574603"/>
    <w:rsid w:val="00574C81"/>
    <w:rsid w:val="0057646A"/>
    <w:rsid w:val="00576D60"/>
    <w:rsid w:val="00577947"/>
    <w:rsid w:val="0058051B"/>
    <w:rsid w:val="00581D41"/>
    <w:rsid w:val="00585607"/>
    <w:rsid w:val="00586210"/>
    <w:rsid w:val="00586A88"/>
    <w:rsid w:val="00587EE3"/>
    <w:rsid w:val="00590A8F"/>
    <w:rsid w:val="005919A9"/>
    <w:rsid w:val="00595520"/>
    <w:rsid w:val="005A00DD"/>
    <w:rsid w:val="005A0399"/>
    <w:rsid w:val="005A05DA"/>
    <w:rsid w:val="005A22C7"/>
    <w:rsid w:val="005A26CF"/>
    <w:rsid w:val="005A50E3"/>
    <w:rsid w:val="005A6D93"/>
    <w:rsid w:val="005A7729"/>
    <w:rsid w:val="005A7CC7"/>
    <w:rsid w:val="005B2778"/>
    <w:rsid w:val="005B353F"/>
    <w:rsid w:val="005B3C2C"/>
    <w:rsid w:val="005B6659"/>
    <w:rsid w:val="005C2A1D"/>
    <w:rsid w:val="005C2DBA"/>
    <w:rsid w:val="005C379B"/>
    <w:rsid w:val="005C3C40"/>
    <w:rsid w:val="005C44DB"/>
    <w:rsid w:val="005C4ABA"/>
    <w:rsid w:val="005C60C8"/>
    <w:rsid w:val="005D0D27"/>
    <w:rsid w:val="005D1F29"/>
    <w:rsid w:val="005D22AC"/>
    <w:rsid w:val="005D35D4"/>
    <w:rsid w:val="005D3D3D"/>
    <w:rsid w:val="005D46CE"/>
    <w:rsid w:val="005D5EEF"/>
    <w:rsid w:val="005D7D1A"/>
    <w:rsid w:val="005E0785"/>
    <w:rsid w:val="005E1427"/>
    <w:rsid w:val="005E2413"/>
    <w:rsid w:val="005E2E3B"/>
    <w:rsid w:val="005E381D"/>
    <w:rsid w:val="005E5282"/>
    <w:rsid w:val="005E5EF4"/>
    <w:rsid w:val="005E64FA"/>
    <w:rsid w:val="005E7509"/>
    <w:rsid w:val="005E7963"/>
    <w:rsid w:val="005E7C34"/>
    <w:rsid w:val="005F1CA7"/>
    <w:rsid w:val="005F1DB5"/>
    <w:rsid w:val="005F409D"/>
    <w:rsid w:val="005F588B"/>
    <w:rsid w:val="00600354"/>
    <w:rsid w:val="0060168F"/>
    <w:rsid w:val="00602159"/>
    <w:rsid w:val="006022CC"/>
    <w:rsid w:val="00602A9E"/>
    <w:rsid w:val="00604A99"/>
    <w:rsid w:val="00604ECE"/>
    <w:rsid w:val="006062A0"/>
    <w:rsid w:val="0060645B"/>
    <w:rsid w:val="006076B7"/>
    <w:rsid w:val="006112E0"/>
    <w:rsid w:val="00613E41"/>
    <w:rsid w:val="006157A8"/>
    <w:rsid w:val="00615DB4"/>
    <w:rsid w:val="00616B47"/>
    <w:rsid w:val="0061785C"/>
    <w:rsid w:val="006201CB"/>
    <w:rsid w:val="00624552"/>
    <w:rsid w:val="00624BF5"/>
    <w:rsid w:val="00624F7C"/>
    <w:rsid w:val="0062562A"/>
    <w:rsid w:val="0062655F"/>
    <w:rsid w:val="0063089A"/>
    <w:rsid w:val="006325C6"/>
    <w:rsid w:val="006331DE"/>
    <w:rsid w:val="00633F8D"/>
    <w:rsid w:val="00635609"/>
    <w:rsid w:val="00635997"/>
    <w:rsid w:val="00640A96"/>
    <w:rsid w:val="00640EE9"/>
    <w:rsid w:val="00640FF2"/>
    <w:rsid w:val="0064117B"/>
    <w:rsid w:val="0064196A"/>
    <w:rsid w:val="00642C9D"/>
    <w:rsid w:val="00643AC0"/>
    <w:rsid w:val="00645012"/>
    <w:rsid w:val="00645798"/>
    <w:rsid w:val="00645EAB"/>
    <w:rsid w:val="00650E85"/>
    <w:rsid w:val="00651F62"/>
    <w:rsid w:val="00652A04"/>
    <w:rsid w:val="006544B0"/>
    <w:rsid w:val="00655150"/>
    <w:rsid w:val="00655BCA"/>
    <w:rsid w:val="0065708A"/>
    <w:rsid w:val="00660068"/>
    <w:rsid w:val="00667B8B"/>
    <w:rsid w:val="0067097E"/>
    <w:rsid w:val="0067634A"/>
    <w:rsid w:val="00677A4F"/>
    <w:rsid w:val="006808DB"/>
    <w:rsid w:val="0068584A"/>
    <w:rsid w:val="006859D0"/>
    <w:rsid w:val="006874FE"/>
    <w:rsid w:val="00690EC8"/>
    <w:rsid w:val="00691369"/>
    <w:rsid w:val="00693E56"/>
    <w:rsid w:val="00694DD7"/>
    <w:rsid w:val="006976D1"/>
    <w:rsid w:val="00697922"/>
    <w:rsid w:val="00697E8D"/>
    <w:rsid w:val="006A0E63"/>
    <w:rsid w:val="006A1D73"/>
    <w:rsid w:val="006A7DCA"/>
    <w:rsid w:val="006B0136"/>
    <w:rsid w:val="006B0469"/>
    <w:rsid w:val="006B1376"/>
    <w:rsid w:val="006B2799"/>
    <w:rsid w:val="006B45CD"/>
    <w:rsid w:val="006C1B60"/>
    <w:rsid w:val="006C34DE"/>
    <w:rsid w:val="006C3910"/>
    <w:rsid w:val="006C5079"/>
    <w:rsid w:val="006C5BC5"/>
    <w:rsid w:val="006C5BE3"/>
    <w:rsid w:val="006C62B7"/>
    <w:rsid w:val="006C6E6F"/>
    <w:rsid w:val="006C7C72"/>
    <w:rsid w:val="006D03D7"/>
    <w:rsid w:val="006D1CA9"/>
    <w:rsid w:val="006D4F40"/>
    <w:rsid w:val="006D584C"/>
    <w:rsid w:val="006D58C7"/>
    <w:rsid w:val="006D5EA4"/>
    <w:rsid w:val="006E18C8"/>
    <w:rsid w:val="006E1FC0"/>
    <w:rsid w:val="006E4003"/>
    <w:rsid w:val="006E72BA"/>
    <w:rsid w:val="006F2455"/>
    <w:rsid w:val="006F2E71"/>
    <w:rsid w:val="006F3FF9"/>
    <w:rsid w:val="006F6A11"/>
    <w:rsid w:val="007029EF"/>
    <w:rsid w:val="00702C44"/>
    <w:rsid w:val="007033D1"/>
    <w:rsid w:val="007034CC"/>
    <w:rsid w:val="00705E49"/>
    <w:rsid w:val="00706694"/>
    <w:rsid w:val="0071162C"/>
    <w:rsid w:val="0071167A"/>
    <w:rsid w:val="00711F89"/>
    <w:rsid w:val="007149B9"/>
    <w:rsid w:val="00715396"/>
    <w:rsid w:val="007159DE"/>
    <w:rsid w:val="00716BFC"/>
    <w:rsid w:val="00720552"/>
    <w:rsid w:val="00721310"/>
    <w:rsid w:val="00725B37"/>
    <w:rsid w:val="007269F5"/>
    <w:rsid w:val="00727C5B"/>
    <w:rsid w:val="00731659"/>
    <w:rsid w:val="00732157"/>
    <w:rsid w:val="0073297F"/>
    <w:rsid w:val="00733CE6"/>
    <w:rsid w:val="007352FE"/>
    <w:rsid w:val="00736939"/>
    <w:rsid w:val="0074083F"/>
    <w:rsid w:val="0074092B"/>
    <w:rsid w:val="00741364"/>
    <w:rsid w:val="0074188D"/>
    <w:rsid w:val="00744104"/>
    <w:rsid w:val="007455F4"/>
    <w:rsid w:val="00745C7D"/>
    <w:rsid w:val="00746013"/>
    <w:rsid w:val="00746481"/>
    <w:rsid w:val="0074695D"/>
    <w:rsid w:val="00747772"/>
    <w:rsid w:val="00747D99"/>
    <w:rsid w:val="00753857"/>
    <w:rsid w:val="007556EF"/>
    <w:rsid w:val="007573C0"/>
    <w:rsid w:val="0076087C"/>
    <w:rsid w:val="00761683"/>
    <w:rsid w:val="007628F7"/>
    <w:rsid w:val="007700D1"/>
    <w:rsid w:val="00771F81"/>
    <w:rsid w:val="00773C70"/>
    <w:rsid w:val="00775373"/>
    <w:rsid w:val="007755C6"/>
    <w:rsid w:val="007769BA"/>
    <w:rsid w:val="00777ADA"/>
    <w:rsid w:val="00777C9C"/>
    <w:rsid w:val="00780490"/>
    <w:rsid w:val="00780581"/>
    <w:rsid w:val="00780AD3"/>
    <w:rsid w:val="007813E9"/>
    <w:rsid w:val="0078294F"/>
    <w:rsid w:val="00783807"/>
    <w:rsid w:val="0078417C"/>
    <w:rsid w:val="007877BD"/>
    <w:rsid w:val="00790555"/>
    <w:rsid w:val="00791AC8"/>
    <w:rsid w:val="0079224E"/>
    <w:rsid w:val="00792B8D"/>
    <w:rsid w:val="00792E42"/>
    <w:rsid w:val="00794B24"/>
    <w:rsid w:val="0079551E"/>
    <w:rsid w:val="007A0883"/>
    <w:rsid w:val="007A1B67"/>
    <w:rsid w:val="007A1D97"/>
    <w:rsid w:val="007A3553"/>
    <w:rsid w:val="007A3663"/>
    <w:rsid w:val="007A464B"/>
    <w:rsid w:val="007A503C"/>
    <w:rsid w:val="007A60FD"/>
    <w:rsid w:val="007B31EC"/>
    <w:rsid w:val="007B327A"/>
    <w:rsid w:val="007B4E0B"/>
    <w:rsid w:val="007B53D3"/>
    <w:rsid w:val="007B5785"/>
    <w:rsid w:val="007B5A67"/>
    <w:rsid w:val="007B7882"/>
    <w:rsid w:val="007B78C0"/>
    <w:rsid w:val="007C069D"/>
    <w:rsid w:val="007C06B1"/>
    <w:rsid w:val="007C0C2D"/>
    <w:rsid w:val="007C1F64"/>
    <w:rsid w:val="007C24BD"/>
    <w:rsid w:val="007C3144"/>
    <w:rsid w:val="007C38DD"/>
    <w:rsid w:val="007C60E8"/>
    <w:rsid w:val="007C6D49"/>
    <w:rsid w:val="007D0D44"/>
    <w:rsid w:val="007D22D8"/>
    <w:rsid w:val="007D2CB4"/>
    <w:rsid w:val="007D3303"/>
    <w:rsid w:val="007D599B"/>
    <w:rsid w:val="007D5EB8"/>
    <w:rsid w:val="007D678B"/>
    <w:rsid w:val="007D7579"/>
    <w:rsid w:val="007D7E04"/>
    <w:rsid w:val="007E2529"/>
    <w:rsid w:val="007E4395"/>
    <w:rsid w:val="007E603A"/>
    <w:rsid w:val="007F1A05"/>
    <w:rsid w:val="007F2282"/>
    <w:rsid w:val="007F2F2A"/>
    <w:rsid w:val="007F56DC"/>
    <w:rsid w:val="0080131D"/>
    <w:rsid w:val="008028F8"/>
    <w:rsid w:val="00802A93"/>
    <w:rsid w:val="00805154"/>
    <w:rsid w:val="00805584"/>
    <w:rsid w:val="00805C71"/>
    <w:rsid w:val="00806FCA"/>
    <w:rsid w:val="008073E4"/>
    <w:rsid w:val="008074D3"/>
    <w:rsid w:val="0080767B"/>
    <w:rsid w:val="008076B0"/>
    <w:rsid w:val="00807785"/>
    <w:rsid w:val="0081223D"/>
    <w:rsid w:val="0081243F"/>
    <w:rsid w:val="008125E4"/>
    <w:rsid w:val="00813EF0"/>
    <w:rsid w:val="00814341"/>
    <w:rsid w:val="008151E3"/>
    <w:rsid w:val="00816925"/>
    <w:rsid w:val="0081792B"/>
    <w:rsid w:val="0082196B"/>
    <w:rsid w:val="00822787"/>
    <w:rsid w:val="00823006"/>
    <w:rsid w:val="008239C5"/>
    <w:rsid w:val="00824C59"/>
    <w:rsid w:val="00825E1E"/>
    <w:rsid w:val="008305D1"/>
    <w:rsid w:val="008330F7"/>
    <w:rsid w:val="00835424"/>
    <w:rsid w:val="00837321"/>
    <w:rsid w:val="00837DE4"/>
    <w:rsid w:val="008401DC"/>
    <w:rsid w:val="00840306"/>
    <w:rsid w:val="00841A81"/>
    <w:rsid w:val="008424B9"/>
    <w:rsid w:val="00842748"/>
    <w:rsid w:val="0084531B"/>
    <w:rsid w:val="008465AA"/>
    <w:rsid w:val="0084693D"/>
    <w:rsid w:val="0084741F"/>
    <w:rsid w:val="008476B5"/>
    <w:rsid w:val="00850C97"/>
    <w:rsid w:val="00850F48"/>
    <w:rsid w:val="008519DE"/>
    <w:rsid w:val="0085478B"/>
    <w:rsid w:val="00855155"/>
    <w:rsid w:val="00855F3C"/>
    <w:rsid w:val="00856328"/>
    <w:rsid w:val="00856D8F"/>
    <w:rsid w:val="00857A89"/>
    <w:rsid w:val="00857DE8"/>
    <w:rsid w:val="008604A3"/>
    <w:rsid w:val="0086206D"/>
    <w:rsid w:val="008627FC"/>
    <w:rsid w:val="00864664"/>
    <w:rsid w:val="00866D48"/>
    <w:rsid w:val="008727EB"/>
    <w:rsid w:val="008736E6"/>
    <w:rsid w:val="00876A44"/>
    <w:rsid w:val="00876C6E"/>
    <w:rsid w:val="00876E45"/>
    <w:rsid w:val="00877FEF"/>
    <w:rsid w:val="00881491"/>
    <w:rsid w:val="00881A71"/>
    <w:rsid w:val="00882B9F"/>
    <w:rsid w:val="00882EF0"/>
    <w:rsid w:val="0088324D"/>
    <w:rsid w:val="00884799"/>
    <w:rsid w:val="008847DF"/>
    <w:rsid w:val="00884DB5"/>
    <w:rsid w:val="0088546B"/>
    <w:rsid w:val="008864E2"/>
    <w:rsid w:val="00887776"/>
    <w:rsid w:val="00887A83"/>
    <w:rsid w:val="00890FD9"/>
    <w:rsid w:val="008914FD"/>
    <w:rsid w:val="008919C3"/>
    <w:rsid w:val="00892B67"/>
    <w:rsid w:val="00892D16"/>
    <w:rsid w:val="00893649"/>
    <w:rsid w:val="00893656"/>
    <w:rsid w:val="008976ED"/>
    <w:rsid w:val="00897ABA"/>
    <w:rsid w:val="008A080B"/>
    <w:rsid w:val="008A1F12"/>
    <w:rsid w:val="008A309B"/>
    <w:rsid w:val="008A32C8"/>
    <w:rsid w:val="008A50AD"/>
    <w:rsid w:val="008A5C83"/>
    <w:rsid w:val="008A6008"/>
    <w:rsid w:val="008A64DE"/>
    <w:rsid w:val="008A6941"/>
    <w:rsid w:val="008A7BA8"/>
    <w:rsid w:val="008B0105"/>
    <w:rsid w:val="008B5B3A"/>
    <w:rsid w:val="008B77BC"/>
    <w:rsid w:val="008C00AD"/>
    <w:rsid w:val="008C20FF"/>
    <w:rsid w:val="008C2B41"/>
    <w:rsid w:val="008C3DBB"/>
    <w:rsid w:val="008C3F2B"/>
    <w:rsid w:val="008C58E9"/>
    <w:rsid w:val="008C77F6"/>
    <w:rsid w:val="008D2165"/>
    <w:rsid w:val="008D5A82"/>
    <w:rsid w:val="008D7ED6"/>
    <w:rsid w:val="008E010A"/>
    <w:rsid w:val="008E0C63"/>
    <w:rsid w:val="008E2A6D"/>
    <w:rsid w:val="008E3C3F"/>
    <w:rsid w:val="008E3D68"/>
    <w:rsid w:val="008E448B"/>
    <w:rsid w:val="008E6D56"/>
    <w:rsid w:val="008E76E1"/>
    <w:rsid w:val="008E7EE4"/>
    <w:rsid w:val="008F1343"/>
    <w:rsid w:val="008F153B"/>
    <w:rsid w:val="008F2112"/>
    <w:rsid w:val="00902187"/>
    <w:rsid w:val="00902553"/>
    <w:rsid w:val="0090339C"/>
    <w:rsid w:val="00903ECC"/>
    <w:rsid w:val="00904622"/>
    <w:rsid w:val="00904BBD"/>
    <w:rsid w:val="00905680"/>
    <w:rsid w:val="00907146"/>
    <w:rsid w:val="009078AA"/>
    <w:rsid w:val="00907BEC"/>
    <w:rsid w:val="009101A0"/>
    <w:rsid w:val="00912712"/>
    <w:rsid w:val="00912BD1"/>
    <w:rsid w:val="00913BFC"/>
    <w:rsid w:val="00914617"/>
    <w:rsid w:val="00914B93"/>
    <w:rsid w:val="00915190"/>
    <w:rsid w:val="00915F87"/>
    <w:rsid w:val="00916B04"/>
    <w:rsid w:val="00917707"/>
    <w:rsid w:val="00920E0D"/>
    <w:rsid w:val="00921604"/>
    <w:rsid w:val="00922174"/>
    <w:rsid w:val="00922AF0"/>
    <w:rsid w:val="00926D32"/>
    <w:rsid w:val="009302AD"/>
    <w:rsid w:val="00932FF5"/>
    <w:rsid w:val="00935AFF"/>
    <w:rsid w:val="00936C77"/>
    <w:rsid w:val="00936F4A"/>
    <w:rsid w:val="00940859"/>
    <w:rsid w:val="00946F48"/>
    <w:rsid w:val="00947C7D"/>
    <w:rsid w:val="009509C0"/>
    <w:rsid w:val="00953E48"/>
    <w:rsid w:val="00956CE3"/>
    <w:rsid w:val="00957150"/>
    <w:rsid w:val="00957546"/>
    <w:rsid w:val="00957699"/>
    <w:rsid w:val="009600A2"/>
    <w:rsid w:val="00964A6A"/>
    <w:rsid w:val="00964C2E"/>
    <w:rsid w:val="00964FBB"/>
    <w:rsid w:val="0096591E"/>
    <w:rsid w:val="00971144"/>
    <w:rsid w:val="00973ED0"/>
    <w:rsid w:val="00976DC6"/>
    <w:rsid w:val="00977873"/>
    <w:rsid w:val="00980535"/>
    <w:rsid w:val="00982ADC"/>
    <w:rsid w:val="00985F3A"/>
    <w:rsid w:val="00987380"/>
    <w:rsid w:val="00987497"/>
    <w:rsid w:val="00991AEC"/>
    <w:rsid w:val="00995A41"/>
    <w:rsid w:val="0099606B"/>
    <w:rsid w:val="0099618C"/>
    <w:rsid w:val="00996C1C"/>
    <w:rsid w:val="00997401"/>
    <w:rsid w:val="00997B5C"/>
    <w:rsid w:val="009A19C5"/>
    <w:rsid w:val="009A208A"/>
    <w:rsid w:val="009A20DF"/>
    <w:rsid w:val="009A3850"/>
    <w:rsid w:val="009A43F9"/>
    <w:rsid w:val="009A523A"/>
    <w:rsid w:val="009A7FAF"/>
    <w:rsid w:val="009B05B7"/>
    <w:rsid w:val="009B0622"/>
    <w:rsid w:val="009B0722"/>
    <w:rsid w:val="009B27CF"/>
    <w:rsid w:val="009B2A46"/>
    <w:rsid w:val="009B403A"/>
    <w:rsid w:val="009B43DD"/>
    <w:rsid w:val="009B4E6E"/>
    <w:rsid w:val="009B5A5F"/>
    <w:rsid w:val="009B5BEB"/>
    <w:rsid w:val="009B6639"/>
    <w:rsid w:val="009B78C8"/>
    <w:rsid w:val="009C0CB6"/>
    <w:rsid w:val="009C0E67"/>
    <w:rsid w:val="009C1087"/>
    <w:rsid w:val="009C3F50"/>
    <w:rsid w:val="009C4132"/>
    <w:rsid w:val="009C590F"/>
    <w:rsid w:val="009D0F73"/>
    <w:rsid w:val="009D176C"/>
    <w:rsid w:val="009D1EE3"/>
    <w:rsid w:val="009D2F52"/>
    <w:rsid w:val="009D3966"/>
    <w:rsid w:val="009D3FCC"/>
    <w:rsid w:val="009D510D"/>
    <w:rsid w:val="009D67A6"/>
    <w:rsid w:val="009E22E6"/>
    <w:rsid w:val="009E2804"/>
    <w:rsid w:val="009E3439"/>
    <w:rsid w:val="009E3E62"/>
    <w:rsid w:val="009E60F2"/>
    <w:rsid w:val="009E6E04"/>
    <w:rsid w:val="009E7D00"/>
    <w:rsid w:val="009E7FC6"/>
    <w:rsid w:val="009F0764"/>
    <w:rsid w:val="009F163F"/>
    <w:rsid w:val="009F2EBB"/>
    <w:rsid w:val="009F355E"/>
    <w:rsid w:val="009F3822"/>
    <w:rsid w:val="009F38FF"/>
    <w:rsid w:val="009F6A01"/>
    <w:rsid w:val="009F6EFA"/>
    <w:rsid w:val="009F6F23"/>
    <w:rsid w:val="009F7A08"/>
    <w:rsid w:val="00A01169"/>
    <w:rsid w:val="00A013DB"/>
    <w:rsid w:val="00A0223D"/>
    <w:rsid w:val="00A02F40"/>
    <w:rsid w:val="00A031AC"/>
    <w:rsid w:val="00A03340"/>
    <w:rsid w:val="00A03EFF"/>
    <w:rsid w:val="00A079DD"/>
    <w:rsid w:val="00A1088A"/>
    <w:rsid w:val="00A1114D"/>
    <w:rsid w:val="00A11C40"/>
    <w:rsid w:val="00A1365F"/>
    <w:rsid w:val="00A1757E"/>
    <w:rsid w:val="00A17D43"/>
    <w:rsid w:val="00A17E06"/>
    <w:rsid w:val="00A20221"/>
    <w:rsid w:val="00A206FC"/>
    <w:rsid w:val="00A21066"/>
    <w:rsid w:val="00A2321B"/>
    <w:rsid w:val="00A23F5D"/>
    <w:rsid w:val="00A252A1"/>
    <w:rsid w:val="00A26132"/>
    <w:rsid w:val="00A27FAB"/>
    <w:rsid w:val="00A316C3"/>
    <w:rsid w:val="00A342BD"/>
    <w:rsid w:val="00A3555D"/>
    <w:rsid w:val="00A363C9"/>
    <w:rsid w:val="00A36E07"/>
    <w:rsid w:val="00A40501"/>
    <w:rsid w:val="00A41455"/>
    <w:rsid w:val="00A4186A"/>
    <w:rsid w:val="00A42A67"/>
    <w:rsid w:val="00A46E91"/>
    <w:rsid w:val="00A506AF"/>
    <w:rsid w:val="00A52286"/>
    <w:rsid w:val="00A52A6C"/>
    <w:rsid w:val="00A533FF"/>
    <w:rsid w:val="00A5380B"/>
    <w:rsid w:val="00A538F1"/>
    <w:rsid w:val="00A53B1C"/>
    <w:rsid w:val="00A54217"/>
    <w:rsid w:val="00A543A3"/>
    <w:rsid w:val="00A5489F"/>
    <w:rsid w:val="00A54FA8"/>
    <w:rsid w:val="00A555C1"/>
    <w:rsid w:val="00A56275"/>
    <w:rsid w:val="00A562CF"/>
    <w:rsid w:val="00A56573"/>
    <w:rsid w:val="00A6215D"/>
    <w:rsid w:val="00A6329B"/>
    <w:rsid w:val="00A6465E"/>
    <w:rsid w:val="00A678BB"/>
    <w:rsid w:val="00A7061B"/>
    <w:rsid w:val="00A73C9D"/>
    <w:rsid w:val="00A80541"/>
    <w:rsid w:val="00A80D1F"/>
    <w:rsid w:val="00A80DF0"/>
    <w:rsid w:val="00A82CBD"/>
    <w:rsid w:val="00A84FFC"/>
    <w:rsid w:val="00A91D9E"/>
    <w:rsid w:val="00A93580"/>
    <w:rsid w:val="00A940CE"/>
    <w:rsid w:val="00A95CBF"/>
    <w:rsid w:val="00A96A52"/>
    <w:rsid w:val="00A96D10"/>
    <w:rsid w:val="00AA00C6"/>
    <w:rsid w:val="00AA0568"/>
    <w:rsid w:val="00AA1052"/>
    <w:rsid w:val="00AA1272"/>
    <w:rsid w:val="00AA5471"/>
    <w:rsid w:val="00AA6385"/>
    <w:rsid w:val="00AB0EC0"/>
    <w:rsid w:val="00AB3F5D"/>
    <w:rsid w:val="00AB4C66"/>
    <w:rsid w:val="00AB535B"/>
    <w:rsid w:val="00AB5C09"/>
    <w:rsid w:val="00AB5D15"/>
    <w:rsid w:val="00AC141A"/>
    <w:rsid w:val="00AC589E"/>
    <w:rsid w:val="00AC78A1"/>
    <w:rsid w:val="00AD4007"/>
    <w:rsid w:val="00AD63A4"/>
    <w:rsid w:val="00AD7500"/>
    <w:rsid w:val="00AD7872"/>
    <w:rsid w:val="00AD7B28"/>
    <w:rsid w:val="00AE03D1"/>
    <w:rsid w:val="00AE1F75"/>
    <w:rsid w:val="00AE4F09"/>
    <w:rsid w:val="00AE5B2D"/>
    <w:rsid w:val="00AE71B9"/>
    <w:rsid w:val="00AE780F"/>
    <w:rsid w:val="00AF198B"/>
    <w:rsid w:val="00AF2823"/>
    <w:rsid w:val="00AF2924"/>
    <w:rsid w:val="00AF4117"/>
    <w:rsid w:val="00AF6077"/>
    <w:rsid w:val="00AF619B"/>
    <w:rsid w:val="00AF7AAC"/>
    <w:rsid w:val="00B00681"/>
    <w:rsid w:val="00B03169"/>
    <w:rsid w:val="00B079AA"/>
    <w:rsid w:val="00B123D0"/>
    <w:rsid w:val="00B1383A"/>
    <w:rsid w:val="00B146A4"/>
    <w:rsid w:val="00B15821"/>
    <w:rsid w:val="00B15EFB"/>
    <w:rsid w:val="00B1762F"/>
    <w:rsid w:val="00B210F8"/>
    <w:rsid w:val="00B231C6"/>
    <w:rsid w:val="00B232D7"/>
    <w:rsid w:val="00B247D3"/>
    <w:rsid w:val="00B25FB6"/>
    <w:rsid w:val="00B265E9"/>
    <w:rsid w:val="00B27988"/>
    <w:rsid w:val="00B30F70"/>
    <w:rsid w:val="00B337F0"/>
    <w:rsid w:val="00B35C9F"/>
    <w:rsid w:val="00B35E7E"/>
    <w:rsid w:val="00B36DDF"/>
    <w:rsid w:val="00B37B76"/>
    <w:rsid w:val="00B43093"/>
    <w:rsid w:val="00B4412E"/>
    <w:rsid w:val="00B4450A"/>
    <w:rsid w:val="00B44FB7"/>
    <w:rsid w:val="00B475F6"/>
    <w:rsid w:val="00B47C85"/>
    <w:rsid w:val="00B515D8"/>
    <w:rsid w:val="00B5243C"/>
    <w:rsid w:val="00B53BC0"/>
    <w:rsid w:val="00B54A15"/>
    <w:rsid w:val="00B55C93"/>
    <w:rsid w:val="00B57E4F"/>
    <w:rsid w:val="00B621ED"/>
    <w:rsid w:val="00B6723A"/>
    <w:rsid w:val="00B67DD9"/>
    <w:rsid w:val="00B70900"/>
    <w:rsid w:val="00B7158A"/>
    <w:rsid w:val="00B732AE"/>
    <w:rsid w:val="00B734A7"/>
    <w:rsid w:val="00B739F7"/>
    <w:rsid w:val="00B77A91"/>
    <w:rsid w:val="00B805E8"/>
    <w:rsid w:val="00B80CDA"/>
    <w:rsid w:val="00B81751"/>
    <w:rsid w:val="00B82383"/>
    <w:rsid w:val="00B90990"/>
    <w:rsid w:val="00B91F11"/>
    <w:rsid w:val="00B9231E"/>
    <w:rsid w:val="00B92767"/>
    <w:rsid w:val="00B95C4E"/>
    <w:rsid w:val="00BA040F"/>
    <w:rsid w:val="00BA4511"/>
    <w:rsid w:val="00BA548E"/>
    <w:rsid w:val="00BA5A12"/>
    <w:rsid w:val="00BA7123"/>
    <w:rsid w:val="00BB0415"/>
    <w:rsid w:val="00BB0452"/>
    <w:rsid w:val="00BB1E09"/>
    <w:rsid w:val="00BB4725"/>
    <w:rsid w:val="00BB4E8B"/>
    <w:rsid w:val="00BB61CE"/>
    <w:rsid w:val="00BB73BA"/>
    <w:rsid w:val="00BB78A5"/>
    <w:rsid w:val="00BB7A82"/>
    <w:rsid w:val="00BC1895"/>
    <w:rsid w:val="00BC1E94"/>
    <w:rsid w:val="00BC37F1"/>
    <w:rsid w:val="00BC3839"/>
    <w:rsid w:val="00BC4531"/>
    <w:rsid w:val="00BC5E4F"/>
    <w:rsid w:val="00BC6A12"/>
    <w:rsid w:val="00BD0172"/>
    <w:rsid w:val="00BD059B"/>
    <w:rsid w:val="00BD112F"/>
    <w:rsid w:val="00BD14A1"/>
    <w:rsid w:val="00BD184F"/>
    <w:rsid w:val="00BD1C3D"/>
    <w:rsid w:val="00BD2115"/>
    <w:rsid w:val="00BD266B"/>
    <w:rsid w:val="00BD3543"/>
    <w:rsid w:val="00BD3F20"/>
    <w:rsid w:val="00BD4693"/>
    <w:rsid w:val="00BD6A0C"/>
    <w:rsid w:val="00BD7A85"/>
    <w:rsid w:val="00BE0763"/>
    <w:rsid w:val="00BE3E9B"/>
    <w:rsid w:val="00BE3F49"/>
    <w:rsid w:val="00BE73C1"/>
    <w:rsid w:val="00BE7927"/>
    <w:rsid w:val="00BF04CD"/>
    <w:rsid w:val="00BF11C5"/>
    <w:rsid w:val="00BF2D44"/>
    <w:rsid w:val="00BF3266"/>
    <w:rsid w:val="00BF46BD"/>
    <w:rsid w:val="00BF4F34"/>
    <w:rsid w:val="00BF583A"/>
    <w:rsid w:val="00C01A9A"/>
    <w:rsid w:val="00C0460E"/>
    <w:rsid w:val="00C06CD6"/>
    <w:rsid w:val="00C0774B"/>
    <w:rsid w:val="00C077C0"/>
    <w:rsid w:val="00C11549"/>
    <w:rsid w:val="00C14B3F"/>
    <w:rsid w:val="00C15025"/>
    <w:rsid w:val="00C15622"/>
    <w:rsid w:val="00C15F48"/>
    <w:rsid w:val="00C162D7"/>
    <w:rsid w:val="00C17345"/>
    <w:rsid w:val="00C202B5"/>
    <w:rsid w:val="00C207ED"/>
    <w:rsid w:val="00C2524D"/>
    <w:rsid w:val="00C31A11"/>
    <w:rsid w:val="00C33EC5"/>
    <w:rsid w:val="00C3525F"/>
    <w:rsid w:val="00C411D7"/>
    <w:rsid w:val="00C437E2"/>
    <w:rsid w:val="00C44E1A"/>
    <w:rsid w:val="00C454AC"/>
    <w:rsid w:val="00C456CB"/>
    <w:rsid w:val="00C45FB8"/>
    <w:rsid w:val="00C462AE"/>
    <w:rsid w:val="00C46F9D"/>
    <w:rsid w:val="00C4740E"/>
    <w:rsid w:val="00C4796A"/>
    <w:rsid w:val="00C47E6B"/>
    <w:rsid w:val="00C516D3"/>
    <w:rsid w:val="00C55A23"/>
    <w:rsid w:val="00C60D6B"/>
    <w:rsid w:val="00C613BB"/>
    <w:rsid w:val="00C61FDC"/>
    <w:rsid w:val="00C65986"/>
    <w:rsid w:val="00C659BE"/>
    <w:rsid w:val="00C67ACC"/>
    <w:rsid w:val="00C67F69"/>
    <w:rsid w:val="00C703DB"/>
    <w:rsid w:val="00C74383"/>
    <w:rsid w:val="00C75A47"/>
    <w:rsid w:val="00C7619E"/>
    <w:rsid w:val="00C76F49"/>
    <w:rsid w:val="00C817F8"/>
    <w:rsid w:val="00C819BD"/>
    <w:rsid w:val="00C84060"/>
    <w:rsid w:val="00C8416C"/>
    <w:rsid w:val="00C91AA3"/>
    <w:rsid w:val="00C92300"/>
    <w:rsid w:val="00C92721"/>
    <w:rsid w:val="00C92D05"/>
    <w:rsid w:val="00C9435B"/>
    <w:rsid w:val="00C95C4F"/>
    <w:rsid w:val="00C97561"/>
    <w:rsid w:val="00CA03CE"/>
    <w:rsid w:val="00CA0682"/>
    <w:rsid w:val="00CA3D10"/>
    <w:rsid w:val="00CA5514"/>
    <w:rsid w:val="00CB12B9"/>
    <w:rsid w:val="00CB30FC"/>
    <w:rsid w:val="00CB3878"/>
    <w:rsid w:val="00CB4F50"/>
    <w:rsid w:val="00CC01A2"/>
    <w:rsid w:val="00CC20BD"/>
    <w:rsid w:val="00CC3212"/>
    <w:rsid w:val="00CC4811"/>
    <w:rsid w:val="00CC7CC0"/>
    <w:rsid w:val="00CD0002"/>
    <w:rsid w:val="00CD16AE"/>
    <w:rsid w:val="00CD16B6"/>
    <w:rsid w:val="00CD2315"/>
    <w:rsid w:val="00CD31FE"/>
    <w:rsid w:val="00CD3737"/>
    <w:rsid w:val="00CD4365"/>
    <w:rsid w:val="00CD5ABB"/>
    <w:rsid w:val="00CD5FBC"/>
    <w:rsid w:val="00CE4C02"/>
    <w:rsid w:val="00CE57D8"/>
    <w:rsid w:val="00CE5B52"/>
    <w:rsid w:val="00CF115A"/>
    <w:rsid w:val="00CF18AD"/>
    <w:rsid w:val="00CF3499"/>
    <w:rsid w:val="00CF6D3E"/>
    <w:rsid w:val="00CF745F"/>
    <w:rsid w:val="00CF7A9B"/>
    <w:rsid w:val="00D010D2"/>
    <w:rsid w:val="00D012F4"/>
    <w:rsid w:val="00D025E3"/>
    <w:rsid w:val="00D03BDB"/>
    <w:rsid w:val="00D041E1"/>
    <w:rsid w:val="00D057B8"/>
    <w:rsid w:val="00D05CD0"/>
    <w:rsid w:val="00D064CC"/>
    <w:rsid w:val="00D07333"/>
    <w:rsid w:val="00D07867"/>
    <w:rsid w:val="00D10401"/>
    <w:rsid w:val="00D113EA"/>
    <w:rsid w:val="00D12C55"/>
    <w:rsid w:val="00D1619A"/>
    <w:rsid w:val="00D16B4B"/>
    <w:rsid w:val="00D17920"/>
    <w:rsid w:val="00D22578"/>
    <w:rsid w:val="00D236A3"/>
    <w:rsid w:val="00D27A84"/>
    <w:rsid w:val="00D3157E"/>
    <w:rsid w:val="00D3247D"/>
    <w:rsid w:val="00D3347D"/>
    <w:rsid w:val="00D345C6"/>
    <w:rsid w:val="00D3779D"/>
    <w:rsid w:val="00D41AB4"/>
    <w:rsid w:val="00D41D28"/>
    <w:rsid w:val="00D442AD"/>
    <w:rsid w:val="00D44827"/>
    <w:rsid w:val="00D46462"/>
    <w:rsid w:val="00D467E8"/>
    <w:rsid w:val="00D46FAC"/>
    <w:rsid w:val="00D51EB2"/>
    <w:rsid w:val="00D523F8"/>
    <w:rsid w:val="00D536E8"/>
    <w:rsid w:val="00D56834"/>
    <w:rsid w:val="00D607C1"/>
    <w:rsid w:val="00D615C1"/>
    <w:rsid w:val="00D648F0"/>
    <w:rsid w:val="00D65372"/>
    <w:rsid w:val="00D7061B"/>
    <w:rsid w:val="00D711D2"/>
    <w:rsid w:val="00D72F5D"/>
    <w:rsid w:val="00D73606"/>
    <w:rsid w:val="00D749E5"/>
    <w:rsid w:val="00D7550A"/>
    <w:rsid w:val="00D75D47"/>
    <w:rsid w:val="00D76098"/>
    <w:rsid w:val="00D76334"/>
    <w:rsid w:val="00D77CDE"/>
    <w:rsid w:val="00D81F6B"/>
    <w:rsid w:val="00D83652"/>
    <w:rsid w:val="00D84389"/>
    <w:rsid w:val="00D8510D"/>
    <w:rsid w:val="00D864A6"/>
    <w:rsid w:val="00D8687C"/>
    <w:rsid w:val="00D87264"/>
    <w:rsid w:val="00D90403"/>
    <w:rsid w:val="00D928BC"/>
    <w:rsid w:val="00D93B49"/>
    <w:rsid w:val="00DA58A3"/>
    <w:rsid w:val="00DA6F6F"/>
    <w:rsid w:val="00DA7B3E"/>
    <w:rsid w:val="00DB0123"/>
    <w:rsid w:val="00DB04E9"/>
    <w:rsid w:val="00DB107B"/>
    <w:rsid w:val="00DB1698"/>
    <w:rsid w:val="00DB25FE"/>
    <w:rsid w:val="00DB2750"/>
    <w:rsid w:val="00DB40F9"/>
    <w:rsid w:val="00DB4C48"/>
    <w:rsid w:val="00DC06F2"/>
    <w:rsid w:val="00DC1CB0"/>
    <w:rsid w:val="00DC2836"/>
    <w:rsid w:val="00DC2EF0"/>
    <w:rsid w:val="00DD0E78"/>
    <w:rsid w:val="00DD1991"/>
    <w:rsid w:val="00DD2731"/>
    <w:rsid w:val="00DD2D8D"/>
    <w:rsid w:val="00DD3935"/>
    <w:rsid w:val="00DD7A6A"/>
    <w:rsid w:val="00DD7FD5"/>
    <w:rsid w:val="00DE0050"/>
    <w:rsid w:val="00DE0DD6"/>
    <w:rsid w:val="00DE2AC9"/>
    <w:rsid w:val="00DE2C2F"/>
    <w:rsid w:val="00DE5C10"/>
    <w:rsid w:val="00DE72BA"/>
    <w:rsid w:val="00DF1795"/>
    <w:rsid w:val="00DF1FE8"/>
    <w:rsid w:val="00DF2686"/>
    <w:rsid w:val="00DF4165"/>
    <w:rsid w:val="00DF5015"/>
    <w:rsid w:val="00DF6023"/>
    <w:rsid w:val="00E01B51"/>
    <w:rsid w:val="00E029D8"/>
    <w:rsid w:val="00E04097"/>
    <w:rsid w:val="00E0671C"/>
    <w:rsid w:val="00E06953"/>
    <w:rsid w:val="00E10712"/>
    <w:rsid w:val="00E11260"/>
    <w:rsid w:val="00E20D20"/>
    <w:rsid w:val="00E267DD"/>
    <w:rsid w:val="00E3142E"/>
    <w:rsid w:val="00E32AB9"/>
    <w:rsid w:val="00E32E1B"/>
    <w:rsid w:val="00E32F46"/>
    <w:rsid w:val="00E348AF"/>
    <w:rsid w:val="00E3716F"/>
    <w:rsid w:val="00E37420"/>
    <w:rsid w:val="00E4078B"/>
    <w:rsid w:val="00E422C2"/>
    <w:rsid w:val="00E4331B"/>
    <w:rsid w:val="00E4361F"/>
    <w:rsid w:val="00E43997"/>
    <w:rsid w:val="00E47D3C"/>
    <w:rsid w:val="00E5013D"/>
    <w:rsid w:val="00E52064"/>
    <w:rsid w:val="00E5227A"/>
    <w:rsid w:val="00E5242F"/>
    <w:rsid w:val="00E55A26"/>
    <w:rsid w:val="00E55D6E"/>
    <w:rsid w:val="00E56777"/>
    <w:rsid w:val="00E56844"/>
    <w:rsid w:val="00E57085"/>
    <w:rsid w:val="00E60D5E"/>
    <w:rsid w:val="00E61256"/>
    <w:rsid w:val="00E622DC"/>
    <w:rsid w:val="00E7107D"/>
    <w:rsid w:val="00E714E0"/>
    <w:rsid w:val="00E71ED7"/>
    <w:rsid w:val="00E727D2"/>
    <w:rsid w:val="00E74067"/>
    <w:rsid w:val="00E7555C"/>
    <w:rsid w:val="00E80D76"/>
    <w:rsid w:val="00E84E41"/>
    <w:rsid w:val="00E8762B"/>
    <w:rsid w:val="00E879E6"/>
    <w:rsid w:val="00E9051A"/>
    <w:rsid w:val="00E929A9"/>
    <w:rsid w:val="00E92A98"/>
    <w:rsid w:val="00E94BFE"/>
    <w:rsid w:val="00E97D05"/>
    <w:rsid w:val="00EA0E6C"/>
    <w:rsid w:val="00EA0F39"/>
    <w:rsid w:val="00EA1DE2"/>
    <w:rsid w:val="00EA396F"/>
    <w:rsid w:val="00EA517C"/>
    <w:rsid w:val="00EA575D"/>
    <w:rsid w:val="00EA75C2"/>
    <w:rsid w:val="00EB0584"/>
    <w:rsid w:val="00EB1DDB"/>
    <w:rsid w:val="00EB3ECF"/>
    <w:rsid w:val="00EB4D1F"/>
    <w:rsid w:val="00EB5A01"/>
    <w:rsid w:val="00EB750E"/>
    <w:rsid w:val="00EC70C4"/>
    <w:rsid w:val="00ED01E3"/>
    <w:rsid w:val="00ED0EA1"/>
    <w:rsid w:val="00ED4E6C"/>
    <w:rsid w:val="00ED54C0"/>
    <w:rsid w:val="00ED64D8"/>
    <w:rsid w:val="00ED76DD"/>
    <w:rsid w:val="00ED7E8A"/>
    <w:rsid w:val="00EE0A97"/>
    <w:rsid w:val="00EE274F"/>
    <w:rsid w:val="00EE531B"/>
    <w:rsid w:val="00EE6AEF"/>
    <w:rsid w:val="00EE74E9"/>
    <w:rsid w:val="00EE787D"/>
    <w:rsid w:val="00EE7E52"/>
    <w:rsid w:val="00EF0836"/>
    <w:rsid w:val="00EF10E9"/>
    <w:rsid w:val="00EF3AC0"/>
    <w:rsid w:val="00EF5635"/>
    <w:rsid w:val="00EF566A"/>
    <w:rsid w:val="00EF72A0"/>
    <w:rsid w:val="00F00A3A"/>
    <w:rsid w:val="00F01F14"/>
    <w:rsid w:val="00F02D41"/>
    <w:rsid w:val="00F04331"/>
    <w:rsid w:val="00F058C1"/>
    <w:rsid w:val="00F07ECF"/>
    <w:rsid w:val="00F13AEB"/>
    <w:rsid w:val="00F16449"/>
    <w:rsid w:val="00F16C10"/>
    <w:rsid w:val="00F17E17"/>
    <w:rsid w:val="00F20848"/>
    <w:rsid w:val="00F22A1A"/>
    <w:rsid w:val="00F23D1D"/>
    <w:rsid w:val="00F26DD5"/>
    <w:rsid w:val="00F272CE"/>
    <w:rsid w:val="00F27422"/>
    <w:rsid w:val="00F302FC"/>
    <w:rsid w:val="00F327A3"/>
    <w:rsid w:val="00F330CD"/>
    <w:rsid w:val="00F3325F"/>
    <w:rsid w:val="00F35440"/>
    <w:rsid w:val="00F35FB4"/>
    <w:rsid w:val="00F361E6"/>
    <w:rsid w:val="00F40B08"/>
    <w:rsid w:val="00F439D3"/>
    <w:rsid w:val="00F43B19"/>
    <w:rsid w:val="00F43D2B"/>
    <w:rsid w:val="00F466E2"/>
    <w:rsid w:val="00F477B4"/>
    <w:rsid w:val="00F47B18"/>
    <w:rsid w:val="00F47B94"/>
    <w:rsid w:val="00F50837"/>
    <w:rsid w:val="00F5469C"/>
    <w:rsid w:val="00F54CF8"/>
    <w:rsid w:val="00F573D8"/>
    <w:rsid w:val="00F611FC"/>
    <w:rsid w:val="00F66AF2"/>
    <w:rsid w:val="00F67A69"/>
    <w:rsid w:val="00F70101"/>
    <w:rsid w:val="00F72642"/>
    <w:rsid w:val="00F72B61"/>
    <w:rsid w:val="00F74A0C"/>
    <w:rsid w:val="00F74E72"/>
    <w:rsid w:val="00F7579B"/>
    <w:rsid w:val="00F76AAE"/>
    <w:rsid w:val="00F809CA"/>
    <w:rsid w:val="00F81462"/>
    <w:rsid w:val="00F826C9"/>
    <w:rsid w:val="00F85729"/>
    <w:rsid w:val="00F93769"/>
    <w:rsid w:val="00F93E52"/>
    <w:rsid w:val="00F94A29"/>
    <w:rsid w:val="00F96AE8"/>
    <w:rsid w:val="00F97B79"/>
    <w:rsid w:val="00FA1478"/>
    <w:rsid w:val="00FA1F99"/>
    <w:rsid w:val="00FA2CC6"/>
    <w:rsid w:val="00FA3A9F"/>
    <w:rsid w:val="00FA3AF4"/>
    <w:rsid w:val="00FA4811"/>
    <w:rsid w:val="00FA4D95"/>
    <w:rsid w:val="00FA6F13"/>
    <w:rsid w:val="00FB194E"/>
    <w:rsid w:val="00FB266E"/>
    <w:rsid w:val="00FB2D29"/>
    <w:rsid w:val="00FB2F65"/>
    <w:rsid w:val="00FB350E"/>
    <w:rsid w:val="00FB3672"/>
    <w:rsid w:val="00FC29D0"/>
    <w:rsid w:val="00FC373C"/>
    <w:rsid w:val="00FC45C5"/>
    <w:rsid w:val="00FC62D8"/>
    <w:rsid w:val="00FD07D0"/>
    <w:rsid w:val="00FD1688"/>
    <w:rsid w:val="00FD1946"/>
    <w:rsid w:val="00FD42DF"/>
    <w:rsid w:val="00FD6288"/>
    <w:rsid w:val="00FD645E"/>
    <w:rsid w:val="00FE0A1E"/>
    <w:rsid w:val="00FE0BFC"/>
    <w:rsid w:val="00FE2CA7"/>
    <w:rsid w:val="00FE3447"/>
    <w:rsid w:val="00FE3ACC"/>
    <w:rsid w:val="00FE5C43"/>
    <w:rsid w:val="00FE659A"/>
    <w:rsid w:val="00FF0C50"/>
    <w:rsid w:val="00FF12A8"/>
    <w:rsid w:val="00FF4ADC"/>
    <w:rsid w:val="00FF4FF6"/>
    <w:rsid w:val="00FF518C"/>
    <w:rsid w:val="00FF535F"/>
    <w:rsid w:val="00FF5900"/>
    <w:rsid w:val="00FF5A02"/>
    <w:rsid w:val="00FF7713"/>
    <w:rsid w:val="00FF7B68"/>
    <w:rsid w:val="00FF7C3B"/>
    <w:rsid w:val="01747B7C"/>
    <w:rsid w:val="018A0E13"/>
    <w:rsid w:val="01C90018"/>
    <w:rsid w:val="026144CB"/>
    <w:rsid w:val="02D91DBA"/>
    <w:rsid w:val="03117995"/>
    <w:rsid w:val="0329503C"/>
    <w:rsid w:val="03526967"/>
    <w:rsid w:val="0377395F"/>
    <w:rsid w:val="039943F6"/>
    <w:rsid w:val="039F62FF"/>
    <w:rsid w:val="03DA2C61"/>
    <w:rsid w:val="03DE35EF"/>
    <w:rsid w:val="03E84175"/>
    <w:rsid w:val="04024D66"/>
    <w:rsid w:val="04635904"/>
    <w:rsid w:val="04AD0346"/>
    <w:rsid w:val="04BB2116"/>
    <w:rsid w:val="04BE7BA7"/>
    <w:rsid w:val="04E9501D"/>
    <w:rsid w:val="04EF334E"/>
    <w:rsid w:val="04F856C0"/>
    <w:rsid w:val="059941D8"/>
    <w:rsid w:val="05BC2DF7"/>
    <w:rsid w:val="05D21624"/>
    <w:rsid w:val="063057C3"/>
    <w:rsid w:val="06410E51"/>
    <w:rsid w:val="06665F6A"/>
    <w:rsid w:val="066A1EAB"/>
    <w:rsid w:val="06914004"/>
    <w:rsid w:val="06F82A11"/>
    <w:rsid w:val="070C009F"/>
    <w:rsid w:val="076F3CA2"/>
    <w:rsid w:val="07F35633"/>
    <w:rsid w:val="07F776EA"/>
    <w:rsid w:val="0834218C"/>
    <w:rsid w:val="08631263"/>
    <w:rsid w:val="086B6B7B"/>
    <w:rsid w:val="08966F09"/>
    <w:rsid w:val="08C71382"/>
    <w:rsid w:val="08D975D7"/>
    <w:rsid w:val="0900752E"/>
    <w:rsid w:val="093211A4"/>
    <w:rsid w:val="095B701C"/>
    <w:rsid w:val="0963712E"/>
    <w:rsid w:val="09911D12"/>
    <w:rsid w:val="09B7433C"/>
    <w:rsid w:val="0A2A4122"/>
    <w:rsid w:val="0A316362"/>
    <w:rsid w:val="0A46326B"/>
    <w:rsid w:val="0A4679E7"/>
    <w:rsid w:val="0AE35599"/>
    <w:rsid w:val="0AE570DE"/>
    <w:rsid w:val="0B243327"/>
    <w:rsid w:val="0B6147F1"/>
    <w:rsid w:val="0B903360"/>
    <w:rsid w:val="0B9050A8"/>
    <w:rsid w:val="0BA047A1"/>
    <w:rsid w:val="0BAD6035"/>
    <w:rsid w:val="0C1B1EEC"/>
    <w:rsid w:val="0C9C0028"/>
    <w:rsid w:val="0CB91372"/>
    <w:rsid w:val="0CBA3E57"/>
    <w:rsid w:val="0CFA155A"/>
    <w:rsid w:val="0CFC7826"/>
    <w:rsid w:val="0D0522A3"/>
    <w:rsid w:val="0D5F6D00"/>
    <w:rsid w:val="0D8C5035"/>
    <w:rsid w:val="0E0B0603"/>
    <w:rsid w:val="0E142C88"/>
    <w:rsid w:val="0E2334D7"/>
    <w:rsid w:val="0E730333"/>
    <w:rsid w:val="0E9C252D"/>
    <w:rsid w:val="0E9D5B72"/>
    <w:rsid w:val="0EC73D6D"/>
    <w:rsid w:val="0F03129B"/>
    <w:rsid w:val="0F1572CB"/>
    <w:rsid w:val="0F1651EC"/>
    <w:rsid w:val="0F350CE7"/>
    <w:rsid w:val="0F761EB0"/>
    <w:rsid w:val="0F7D5665"/>
    <w:rsid w:val="0FB80A48"/>
    <w:rsid w:val="0FE71483"/>
    <w:rsid w:val="100833DB"/>
    <w:rsid w:val="103E1D5B"/>
    <w:rsid w:val="107C0898"/>
    <w:rsid w:val="11124FCE"/>
    <w:rsid w:val="111A4869"/>
    <w:rsid w:val="111D057A"/>
    <w:rsid w:val="114D039F"/>
    <w:rsid w:val="118D2588"/>
    <w:rsid w:val="11BB5C84"/>
    <w:rsid w:val="11BD6C04"/>
    <w:rsid w:val="11E26C81"/>
    <w:rsid w:val="11ED44F6"/>
    <w:rsid w:val="121E2AC6"/>
    <w:rsid w:val="122D52DF"/>
    <w:rsid w:val="123B0020"/>
    <w:rsid w:val="125E7BD3"/>
    <w:rsid w:val="12603555"/>
    <w:rsid w:val="129234CD"/>
    <w:rsid w:val="12D62831"/>
    <w:rsid w:val="13083BAB"/>
    <w:rsid w:val="130A1FC2"/>
    <w:rsid w:val="130F7E50"/>
    <w:rsid w:val="13193C31"/>
    <w:rsid w:val="132D14CB"/>
    <w:rsid w:val="1342640B"/>
    <w:rsid w:val="134A6659"/>
    <w:rsid w:val="13584DCD"/>
    <w:rsid w:val="139246D8"/>
    <w:rsid w:val="13995097"/>
    <w:rsid w:val="13AE7D5A"/>
    <w:rsid w:val="13C06F2A"/>
    <w:rsid w:val="13C30BF9"/>
    <w:rsid w:val="13C80904"/>
    <w:rsid w:val="13E77B33"/>
    <w:rsid w:val="13EB529B"/>
    <w:rsid w:val="13EF717F"/>
    <w:rsid w:val="140E7208"/>
    <w:rsid w:val="142B7EC2"/>
    <w:rsid w:val="14485708"/>
    <w:rsid w:val="14526094"/>
    <w:rsid w:val="145C0862"/>
    <w:rsid w:val="14795FB4"/>
    <w:rsid w:val="147F2631"/>
    <w:rsid w:val="14BA36A4"/>
    <w:rsid w:val="14E9425E"/>
    <w:rsid w:val="15064A21"/>
    <w:rsid w:val="153C03B6"/>
    <w:rsid w:val="15640325"/>
    <w:rsid w:val="15830BD9"/>
    <w:rsid w:val="15BA1640"/>
    <w:rsid w:val="15E47FF3"/>
    <w:rsid w:val="16436B43"/>
    <w:rsid w:val="168A33DE"/>
    <w:rsid w:val="16AD4DC6"/>
    <w:rsid w:val="16CA0396"/>
    <w:rsid w:val="174F10AF"/>
    <w:rsid w:val="176137E5"/>
    <w:rsid w:val="176912B1"/>
    <w:rsid w:val="17735263"/>
    <w:rsid w:val="17802C1E"/>
    <w:rsid w:val="17B133ED"/>
    <w:rsid w:val="1856197C"/>
    <w:rsid w:val="186F3932"/>
    <w:rsid w:val="18CF34CF"/>
    <w:rsid w:val="18D80C51"/>
    <w:rsid w:val="192039FC"/>
    <w:rsid w:val="192F6F5B"/>
    <w:rsid w:val="195A115E"/>
    <w:rsid w:val="195F17CA"/>
    <w:rsid w:val="197475BA"/>
    <w:rsid w:val="19C34713"/>
    <w:rsid w:val="19CF024F"/>
    <w:rsid w:val="19E21103"/>
    <w:rsid w:val="1A04143F"/>
    <w:rsid w:val="1A2609B5"/>
    <w:rsid w:val="1A345326"/>
    <w:rsid w:val="1A6222DF"/>
    <w:rsid w:val="1A7365B3"/>
    <w:rsid w:val="1ACB550E"/>
    <w:rsid w:val="1B0D6EF9"/>
    <w:rsid w:val="1B4E7F99"/>
    <w:rsid w:val="1B602BF9"/>
    <w:rsid w:val="1B610620"/>
    <w:rsid w:val="1B687433"/>
    <w:rsid w:val="1B8D1D85"/>
    <w:rsid w:val="1BAC19F3"/>
    <w:rsid w:val="1BCB4DCF"/>
    <w:rsid w:val="1C297D8E"/>
    <w:rsid w:val="1C8D6974"/>
    <w:rsid w:val="1C8F666D"/>
    <w:rsid w:val="1C9248CC"/>
    <w:rsid w:val="1CBC51CB"/>
    <w:rsid w:val="1CE46133"/>
    <w:rsid w:val="1CEA66DC"/>
    <w:rsid w:val="1CF3558E"/>
    <w:rsid w:val="1D02217B"/>
    <w:rsid w:val="1D274FC0"/>
    <w:rsid w:val="1D360D98"/>
    <w:rsid w:val="1D756F42"/>
    <w:rsid w:val="1DB62DE4"/>
    <w:rsid w:val="1DB80DC5"/>
    <w:rsid w:val="1DD526A6"/>
    <w:rsid w:val="1DE7719E"/>
    <w:rsid w:val="1DF40CDF"/>
    <w:rsid w:val="1E1029C1"/>
    <w:rsid w:val="1E107A8B"/>
    <w:rsid w:val="1E1B0BA7"/>
    <w:rsid w:val="1E300588"/>
    <w:rsid w:val="1E7000F2"/>
    <w:rsid w:val="1E81151C"/>
    <w:rsid w:val="1EC67341"/>
    <w:rsid w:val="1ED55723"/>
    <w:rsid w:val="1EDA6E40"/>
    <w:rsid w:val="1EFA20E0"/>
    <w:rsid w:val="1F5B189A"/>
    <w:rsid w:val="1F75782B"/>
    <w:rsid w:val="1F914CDB"/>
    <w:rsid w:val="1FC908AF"/>
    <w:rsid w:val="1FC90EF8"/>
    <w:rsid w:val="1FDB1D28"/>
    <w:rsid w:val="1FDF49FA"/>
    <w:rsid w:val="202A27D1"/>
    <w:rsid w:val="206C447D"/>
    <w:rsid w:val="20721432"/>
    <w:rsid w:val="20A5599E"/>
    <w:rsid w:val="20EA76B8"/>
    <w:rsid w:val="20FA2EAA"/>
    <w:rsid w:val="21436D2B"/>
    <w:rsid w:val="21500762"/>
    <w:rsid w:val="21962407"/>
    <w:rsid w:val="21B0073D"/>
    <w:rsid w:val="21D5280D"/>
    <w:rsid w:val="21D9663A"/>
    <w:rsid w:val="21DA6B6E"/>
    <w:rsid w:val="222B61C6"/>
    <w:rsid w:val="22784AB4"/>
    <w:rsid w:val="22C37AB3"/>
    <w:rsid w:val="22E94CCC"/>
    <w:rsid w:val="22EB2681"/>
    <w:rsid w:val="234F786D"/>
    <w:rsid w:val="23843A3D"/>
    <w:rsid w:val="239E6D05"/>
    <w:rsid w:val="23B94F32"/>
    <w:rsid w:val="240D3ED8"/>
    <w:rsid w:val="24593831"/>
    <w:rsid w:val="246B3ABA"/>
    <w:rsid w:val="24B16D88"/>
    <w:rsid w:val="24E53415"/>
    <w:rsid w:val="25076E4C"/>
    <w:rsid w:val="25733F7D"/>
    <w:rsid w:val="25823610"/>
    <w:rsid w:val="25AE0958"/>
    <w:rsid w:val="25D06628"/>
    <w:rsid w:val="25F62966"/>
    <w:rsid w:val="261F5CBD"/>
    <w:rsid w:val="26272D35"/>
    <w:rsid w:val="268C4A4A"/>
    <w:rsid w:val="26916953"/>
    <w:rsid w:val="269F6869"/>
    <w:rsid w:val="26FB67A0"/>
    <w:rsid w:val="27295BCD"/>
    <w:rsid w:val="277E0080"/>
    <w:rsid w:val="27BA76BA"/>
    <w:rsid w:val="27C634CD"/>
    <w:rsid w:val="27D51569"/>
    <w:rsid w:val="27E22024"/>
    <w:rsid w:val="28630512"/>
    <w:rsid w:val="286D7A88"/>
    <w:rsid w:val="287967F4"/>
    <w:rsid w:val="289F5623"/>
    <w:rsid w:val="28C53324"/>
    <w:rsid w:val="28E55ACF"/>
    <w:rsid w:val="28EF1CB6"/>
    <w:rsid w:val="28EF5162"/>
    <w:rsid w:val="28F909AC"/>
    <w:rsid w:val="29053E59"/>
    <w:rsid w:val="291424A1"/>
    <w:rsid w:val="29211124"/>
    <w:rsid w:val="293110F8"/>
    <w:rsid w:val="29785EFE"/>
    <w:rsid w:val="29924D42"/>
    <w:rsid w:val="29B77727"/>
    <w:rsid w:val="29D142F9"/>
    <w:rsid w:val="2A167AB8"/>
    <w:rsid w:val="2A29653A"/>
    <w:rsid w:val="2A4A765A"/>
    <w:rsid w:val="2AAE1272"/>
    <w:rsid w:val="2AAF5A11"/>
    <w:rsid w:val="2AB21D66"/>
    <w:rsid w:val="2AC11347"/>
    <w:rsid w:val="2AC91A32"/>
    <w:rsid w:val="2B10035B"/>
    <w:rsid w:val="2B1E3ADF"/>
    <w:rsid w:val="2B411A1C"/>
    <w:rsid w:val="2B425AAE"/>
    <w:rsid w:val="2B5E2ADA"/>
    <w:rsid w:val="2B736203"/>
    <w:rsid w:val="2B7A264D"/>
    <w:rsid w:val="2C0B1F53"/>
    <w:rsid w:val="2C0C6709"/>
    <w:rsid w:val="2C475230"/>
    <w:rsid w:val="2C4758B0"/>
    <w:rsid w:val="2C6B1F6C"/>
    <w:rsid w:val="2C7110D2"/>
    <w:rsid w:val="2C7A726F"/>
    <w:rsid w:val="2CD570E3"/>
    <w:rsid w:val="2D584173"/>
    <w:rsid w:val="2DB96A6D"/>
    <w:rsid w:val="2DBC3E98"/>
    <w:rsid w:val="2DCE7635"/>
    <w:rsid w:val="2DE801DF"/>
    <w:rsid w:val="2E0F14C6"/>
    <w:rsid w:val="2E2B7BB3"/>
    <w:rsid w:val="2E452AF7"/>
    <w:rsid w:val="2E475519"/>
    <w:rsid w:val="2E50038C"/>
    <w:rsid w:val="2E5C3834"/>
    <w:rsid w:val="2E7612F8"/>
    <w:rsid w:val="2EA80731"/>
    <w:rsid w:val="2EC13A3C"/>
    <w:rsid w:val="2EE13C69"/>
    <w:rsid w:val="2EF9322A"/>
    <w:rsid w:val="2F4D6D16"/>
    <w:rsid w:val="2FC672D6"/>
    <w:rsid w:val="2FF9029E"/>
    <w:rsid w:val="302D4B96"/>
    <w:rsid w:val="30506AD9"/>
    <w:rsid w:val="30517A7F"/>
    <w:rsid w:val="30954C40"/>
    <w:rsid w:val="309D6A20"/>
    <w:rsid w:val="30B63BAE"/>
    <w:rsid w:val="30BF0A52"/>
    <w:rsid w:val="30CE073A"/>
    <w:rsid w:val="30F16338"/>
    <w:rsid w:val="311822C1"/>
    <w:rsid w:val="31771D4C"/>
    <w:rsid w:val="317D53FE"/>
    <w:rsid w:val="31B93291"/>
    <w:rsid w:val="32045C51"/>
    <w:rsid w:val="3215767E"/>
    <w:rsid w:val="32307D8C"/>
    <w:rsid w:val="323A056C"/>
    <w:rsid w:val="325829EC"/>
    <w:rsid w:val="329527A4"/>
    <w:rsid w:val="32AE6D9F"/>
    <w:rsid w:val="32C02899"/>
    <w:rsid w:val="32C30B4D"/>
    <w:rsid w:val="32D9616A"/>
    <w:rsid w:val="332121B8"/>
    <w:rsid w:val="33D75268"/>
    <w:rsid w:val="33FB7DDF"/>
    <w:rsid w:val="340145E2"/>
    <w:rsid w:val="341D7B33"/>
    <w:rsid w:val="346219E8"/>
    <w:rsid w:val="35A44AD5"/>
    <w:rsid w:val="35AD26A8"/>
    <w:rsid w:val="35B56B46"/>
    <w:rsid w:val="36075C31"/>
    <w:rsid w:val="36720B63"/>
    <w:rsid w:val="368E22B9"/>
    <w:rsid w:val="36B45E9C"/>
    <w:rsid w:val="36F50D30"/>
    <w:rsid w:val="37157C5F"/>
    <w:rsid w:val="3717328F"/>
    <w:rsid w:val="372D1296"/>
    <w:rsid w:val="37AA0860"/>
    <w:rsid w:val="37D31ED1"/>
    <w:rsid w:val="37E16BE0"/>
    <w:rsid w:val="37FF5D6B"/>
    <w:rsid w:val="38331AE7"/>
    <w:rsid w:val="387376AA"/>
    <w:rsid w:val="38CB5613"/>
    <w:rsid w:val="38CF2E18"/>
    <w:rsid w:val="38D41629"/>
    <w:rsid w:val="38EF1558"/>
    <w:rsid w:val="39316126"/>
    <w:rsid w:val="393C2E57"/>
    <w:rsid w:val="393F2584"/>
    <w:rsid w:val="39586D71"/>
    <w:rsid w:val="396F0E20"/>
    <w:rsid w:val="39750C2B"/>
    <w:rsid w:val="397E0707"/>
    <w:rsid w:val="39A678DC"/>
    <w:rsid w:val="39BF18AF"/>
    <w:rsid w:val="39CB3D5D"/>
    <w:rsid w:val="39F32D23"/>
    <w:rsid w:val="3A023E13"/>
    <w:rsid w:val="3A5B05E3"/>
    <w:rsid w:val="3A6442DC"/>
    <w:rsid w:val="3A6D4104"/>
    <w:rsid w:val="3A7A2F62"/>
    <w:rsid w:val="3A980A16"/>
    <w:rsid w:val="3AA41D45"/>
    <w:rsid w:val="3B0F6387"/>
    <w:rsid w:val="3B2D5748"/>
    <w:rsid w:val="3B4D2728"/>
    <w:rsid w:val="3BC83BA3"/>
    <w:rsid w:val="3BCC3160"/>
    <w:rsid w:val="3BE0124A"/>
    <w:rsid w:val="3BF52A22"/>
    <w:rsid w:val="3C472F08"/>
    <w:rsid w:val="3C847B15"/>
    <w:rsid w:val="3C9C34C0"/>
    <w:rsid w:val="3CAA4196"/>
    <w:rsid w:val="3CE43076"/>
    <w:rsid w:val="3CED6CD6"/>
    <w:rsid w:val="3CF0297B"/>
    <w:rsid w:val="3D1228C0"/>
    <w:rsid w:val="3D18367E"/>
    <w:rsid w:val="3D402FBF"/>
    <w:rsid w:val="3D48171E"/>
    <w:rsid w:val="3D56464E"/>
    <w:rsid w:val="3D8B275A"/>
    <w:rsid w:val="3D920BBD"/>
    <w:rsid w:val="3D990D7B"/>
    <w:rsid w:val="3DAF7A51"/>
    <w:rsid w:val="3DB633CE"/>
    <w:rsid w:val="3DC21037"/>
    <w:rsid w:val="3DD1381F"/>
    <w:rsid w:val="3E1A6822"/>
    <w:rsid w:val="3E3960EE"/>
    <w:rsid w:val="3E3A5A92"/>
    <w:rsid w:val="3E5B5277"/>
    <w:rsid w:val="3EB42A27"/>
    <w:rsid w:val="3EB62F71"/>
    <w:rsid w:val="3EBD617F"/>
    <w:rsid w:val="3EC744B7"/>
    <w:rsid w:val="3EE375AE"/>
    <w:rsid w:val="3F26376D"/>
    <w:rsid w:val="3F3E32C9"/>
    <w:rsid w:val="3F490FF7"/>
    <w:rsid w:val="3F576893"/>
    <w:rsid w:val="3F9C0C0E"/>
    <w:rsid w:val="3FC85B52"/>
    <w:rsid w:val="3FCC6A38"/>
    <w:rsid w:val="3FEE7EAC"/>
    <w:rsid w:val="401F5053"/>
    <w:rsid w:val="406C6EA5"/>
    <w:rsid w:val="4100099C"/>
    <w:rsid w:val="415215C9"/>
    <w:rsid w:val="415B3AA6"/>
    <w:rsid w:val="417F09A2"/>
    <w:rsid w:val="41AA05FB"/>
    <w:rsid w:val="41DA0660"/>
    <w:rsid w:val="41ED6E81"/>
    <w:rsid w:val="41EF456B"/>
    <w:rsid w:val="41F963D9"/>
    <w:rsid w:val="42112EBD"/>
    <w:rsid w:val="422001B9"/>
    <w:rsid w:val="42760601"/>
    <w:rsid w:val="42A801E0"/>
    <w:rsid w:val="42D504B3"/>
    <w:rsid w:val="43367701"/>
    <w:rsid w:val="437B3DB7"/>
    <w:rsid w:val="43842A2A"/>
    <w:rsid w:val="43957F31"/>
    <w:rsid w:val="43A833B4"/>
    <w:rsid w:val="43D922DF"/>
    <w:rsid w:val="43EB7FFB"/>
    <w:rsid w:val="44501024"/>
    <w:rsid w:val="4456316C"/>
    <w:rsid w:val="447424DD"/>
    <w:rsid w:val="44781F6A"/>
    <w:rsid w:val="44A67651"/>
    <w:rsid w:val="44AF1344"/>
    <w:rsid w:val="44D51F86"/>
    <w:rsid w:val="44F3082D"/>
    <w:rsid w:val="45025E29"/>
    <w:rsid w:val="45060E8A"/>
    <w:rsid w:val="45164A45"/>
    <w:rsid w:val="45206347"/>
    <w:rsid w:val="45702988"/>
    <w:rsid w:val="459B5322"/>
    <w:rsid w:val="459F41C9"/>
    <w:rsid w:val="45D61ED0"/>
    <w:rsid w:val="45E939B9"/>
    <w:rsid w:val="461017DC"/>
    <w:rsid w:val="46110DBF"/>
    <w:rsid w:val="461C1861"/>
    <w:rsid w:val="46633DAA"/>
    <w:rsid w:val="46801F4D"/>
    <w:rsid w:val="468F4929"/>
    <w:rsid w:val="46B91528"/>
    <w:rsid w:val="46CB1055"/>
    <w:rsid w:val="46FF4001"/>
    <w:rsid w:val="470247C1"/>
    <w:rsid w:val="470A7882"/>
    <w:rsid w:val="47382C65"/>
    <w:rsid w:val="474D0BCB"/>
    <w:rsid w:val="476612D1"/>
    <w:rsid w:val="478D604D"/>
    <w:rsid w:val="4798260B"/>
    <w:rsid w:val="47C00153"/>
    <w:rsid w:val="47C20624"/>
    <w:rsid w:val="47D60E6E"/>
    <w:rsid w:val="47E64083"/>
    <w:rsid w:val="48011ABD"/>
    <w:rsid w:val="48087ABB"/>
    <w:rsid w:val="481214ED"/>
    <w:rsid w:val="483E7E42"/>
    <w:rsid w:val="484D4BA3"/>
    <w:rsid w:val="48AC436F"/>
    <w:rsid w:val="48E053ED"/>
    <w:rsid w:val="48FD4C9F"/>
    <w:rsid w:val="4921600A"/>
    <w:rsid w:val="49443BDB"/>
    <w:rsid w:val="49621D7E"/>
    <w:rsid w:val="49A2565E"/>
    <w:rsid w:val="49B356C4"/>
    <w:rsid w:val="49BE7174"/>
    <w:rsid w:val="49E557FE"/>
    <w:rsid w:val="49F772E6"/>
    <w:rsid w:val="4A431964"/>
    <w:rsid w:val="4A4706E0"/>
    <w:rsid w:val="4A6A3003"/>
    <w:rsid w:val="4A7E2822"/>
    <w:rsid w:val="4A7E7570"/>
    <w:rsid w:val="4A8B21F5"/>
    <w:rsid w:val="4B1712A6"/>
    <w:rsid w:val="4B307140"/>
    <w:rsid w:val="4B403A9C"/>
    <w:rsid w:val="4BB50B9C"/>
    <w:rsid w:val="4BC61CE0"/>
    <w:rsid w:val="4C7C6BDD"/>
    <w:rsid w:val="4C80480D"/>
    <w:rsid w:val="4C970742"/>
    <w:rsid w:val="4CD25495"/>
    <w:rsid w:val="4CDC2F1E"/>
    <w:rsid w:val="4D1B5734"/>
    <w:rsid w:val="4D594475"/>
    <w:rsid w:val="4D5C2D9D"/>
    <w:rsid w:val="4D762ECB"/>
    <w:rsid w:val="4D954C9A"/>
    <w:rsid w:val="4DA10C42"/>
    <w:rsid w:val="4DA14EF7"/>
    <w:rsid w:val="4DC44E7A"/>
    <w:rsid w:val="4DC46494"/>
    <w:rsid w:val="4DCF7777"/>
    <w:rsid w:val="4E0C32AE"/>
    <w:rsid w:val="4E135294"/>
    <w:rsid w:val="4E2373C0"/>
    <w:rsid w:val="4E4F0A79"/>
    <w:rsid w:val="4E8B5AEB"/>
    <w:rsid w:val="4E943A94"/>
    <w:rsid w:val="4EA25437"/>
    <w:rsid w:val="4EA56F92"/>
    <w:rsid w:val="4ED748E6"/>
    <w:rsid w:val="4EDF2D3E"/>
    <w:rsid w:val="4EE07773"/>
    <w:rsid w:val="4EE8554B"/>
    <w:rsid w:val="4EF82998"/>
    <w:rsid w:val="4F0177CA"/>
    <w:rsid w:val="4F263988"/>
    <w:rsid w:val="4F7C2213"/>
    <w:rsid w:val="4F913482"/>
    <w:rsid w:val="4FA5392E"/>
    <w:rsid w:val="4FAA18A4"/>
    <w:rsid w:val="4FB93F1E"/>
    <w:rsid w:val="4FBD38DE"/>
    <w:rsid w:val="4FDD4ED0"/>
    <w:rsid w:val="4FE25622"/>
    <w:rsid w:val="4FF04118"/>
    <w:rsid w:val="50531D17"/>
    <w:rsid w:val="5059476F"/>
    <w:rsid w:val="50CE5CFD"/>
    <w:rsid w:val="50E00577"/>
    <w:rsid w:val="510F5D67"/>
    <w:rsid w:val="51635294"/>
    <w:rsid w:val="51900462"/>
    <w:rsid w:val="51D37CD8"/>
    <w:rsid w:val="521E07F7"/>
    <w:rsid w:val="52585FDF"/>
    <w:rsid w:val="52735EE7"/>
    <w:rsid w:val="527C679B"/>
    <w:rsid w:val="52F70FD3"/>
    <w:rsid w:val="53015595"/>
    <w:rsid w:val="53A56748"/>
    <w:rsid w:val="53D1600F"/>
    <w:rsid w:val="53D24B33"/>
    <w:rsid w:val="53DD299B"/>
    <w:rsid w:val="53E917BB"/>
    <w:rsid w:val="53FD64F1"/>
    <w:rsid w:val="543321DF"/>
    <w:rsid w:val="543E0C0F"/>
    <w:rsid w:val="545A3F65"/>
    <w:rsid w:val="54D96E6B"/>
    <w:rsid w:val="550B52D3"/>
    <w:rsid w:val="551A5968"/>
    <w:rsid w:val="5542296A"/>
    <w:rsid w:val="558E78ED"/>
    <w:rsid w:val="55AB422B"/>
    <w:rsid w:val="55C4482B"/>
    <w:rsid w:val="55EE3CAB"/>
    <w:rsid w:val="55F677F2"/>
    <w:rsid w:val="560B5B9C"/>
    <w:rsid w:val="560F10BE"/>
    <w:rsid w:val="56426CE9"/>
    <w:rsid w:val="568302FE"/>
    <w:rsid w:val="56834B9A"/>
    <w:rsid w:val="56C768E9"/>
    <w:rsid w:val="570C35E6"/>
    <w:rsid w:val="572A4EF0"/>
    <w:rsid w:val="57B51470"/>
    <w:rsid w:val="57D944FA"/>
    <w:rsid w:val="57FB4891"/>
    <w:rsid w:val="58113C1F"/>
    <w:rsid w:val="58851527"/>
    <w:rsid w:val="58883613"/>
    <w:rsid w:val="58A87418"/>
    <w:rsid w:val="58B848FA"/>
    <w:rsid w:val="58D6171F"/>
    <w:rsid w:val="591710B8"/>
    <w:rsid w:val="595953A4"/>
    <w:rsid w:val="59862A15"/>
    <w:rsid w:val="59B06099"/>
    <w:rsid w:val="5A0E428B"/>
    <w:rsid w:val="5A2325D9"/>
    <w:rsid w:val="5A273808"/>
    <w:rsid w:val="5A821E11"/>
    <w:rsid w:val="5AE4407B"/>
    <w:rsid w:val="5AE825B5"/>
    <w:rsid w:val="5B385CC8"/>
    <w:rsid w:val="5BA33C64"/>
    <w:rsid w:val="5BB701E0"/>
    <w:rsid w:val="5BC716C9"/>
    <w:rsid w:val="5BD12CF0"/>
    <w:rsid w:val="5C152C9F"/>
    <w:rsid w:val="5C171A25"/>
    <w:rsid w:val="5C7774C0"/>
    <w:rsid w:val="5C914CAF"/>
    <w:rsid w:val="5CB73B2D"/>
    <w:rsid w:val="5CC870D4"/>
    <w:rsid w:val="5D035564"/>
    <w:rsid w:val="5D111AAC"/>
    <w:rsid w:val="5D63580D"/>
    <w:rsid w:val="5D6B418D"/>
    <w:rsid w:val="5D992A7F"/>
    <w:rsid w:val="5DB57A09"/>
    <w:rsid w:val="5DB623CB"/>
    <w:rsid w:val="5DDC1057"/>
    <w:rsid w:val="5DFD0D0E"/>
    <w:rsid w:val="5E440D35"/>
    <w:rsid w:val="5E4443E8"/>
    <w:rsid w:val="5E542BBB"/>
    <w:rsid w:val="5E7B0BF2"/>
    <w:rsid w:val="5EF05FE3"/>
    <w:rsid w:val="5F24539C"/>
    <w:rsid w:val="5F423DF0"/>
    <w:rsid w:val="5F43323F"/>
    <w:rsid w:val="5F6C789E"/>
    <w:rsid w:val="5F933652"/>
    <w:rsid w:val="5FD62492"/>
    <w:rsid w:val="5FD628DD"/>
    <w:rsid w:val="6048626B"/>
    <w:rsid w:val="604C498D"/>
    <w:rsid w:val="606E55A7"/>
    <w:rsid w:val="607206E3"/>
    <w:rsid w:val="60932A0E"/>
    <w:rsid w:val="60B233AB"/>
    <w:rsid w:val="60B96500"/>
    <w:rsid w:val="60D376BA"/>
    <w:rsid w:val="60D7326D"/>
    <w:rsid w:val="60E32902"/>
    <w:rsid w:val="613F521A"/>
    <w:rsid w:val="61457124"/>
    <w:rsid w:val="61491346"/>
    <w:rsid w:val="614D1683"/>
    <w:rsid w:val="61612449"/>
    <w:rsid w:val="61620180"/>
    <w:rsid w:val="617443F0"/>
    <w:rsid w:val="61792751"/>
    <w:rsid w:val="617B3D7A"/>
    <w:rsid w:val="617E7421"/>
    <w:rsid w:val="61900858"/>
    <w:rsid w:val="61AC77F3"/>
    <w:rsid w:val="61B97D59"/>
    <w:rsid w:val="61C55A56"/>
    <w:rsid w:val="61CA5405"/>
    <w:rsid w:val="61DF745D"/>
    <w:rsid w:val="621B534D"/>
    <w:rsid w:val="624102C0"/>
    <w:rsid w:val="6243189E"/>
    <w:rsid w:val="62C203EC"/>
    <w:rsid w:val="62C679EB"/>
    <w:rsid w:val="62FD0BB3"/>
    <w:rsid w:val="63062387"/>
    <w:rsid w:val="631F13B9"/>
    <w:rsid w:val="63241124"/>
    <w:rsid w:val="638B02C3"/>
    <w:rsid w:val="638E5D64"/>
    <w:rsid w:val="63AE5805"/>
    <w:rsid w:val="63D075D2"/>
    <w:rsid w:val="63D9205C"/>
    <w:rsid w:val="64140839"/>
    <w:rsid w:val="646B6F84"/>
    <w:rsid w:val="64725FD6"/>
    <w:rsid w:val="64AC073A"/>
    <w:rsid w:val="653838EB"/>
    <w:rsid w:val="654866EB"/>
    <w:rsid w:val="65942C36"/>
    <w:rsid w:val="659912BC"/>
    <w:rsid w:val="65A728A5"/>
    <w:rsid w:val="65F56853"/>
    <w:rsid w:val="662856A8"/>
    <w:rsid w:val="663432A6"/>
    <w:rsid w:val="6636351A"/>
    <w:rsid w:val="663A3EE7"/>
    <w:rsid w:val="664D7864"/>
    <w:rsid w:val="665C267F"/>
    <w:rsid w:val="66A13127"/>
    <w:rsid w:val="66A21CED"/>
    <w:rsid w:val="66D32372"/>
    <w:rsid w:val="66D74F4C"/>
    <w:rsid w:val="6703088E"/>
    <w:rsid w:val="67192A32"/>
    <w:rsid w:val="67390E0D"/>
    <w:rsid w:val="67456079"/>
    <w:rsid w:val="6759039D"/>
    <w:rsid w:val="678411C7"/>
    <w:rsid w:val="6785261C"/>
    <w:rsid w:val="67B63057"/>
    <w:rsid w:val="67C1666E"/>
    <w:rsid w:val="67D91DF8"/>
    <w:rsid w:val="67EA0E8E"/>
    <w:rsid w:val="680240B6"/>
    <w:rsid w:val="68336A02"/>
    <w:rsid w:val="689E7D3A"/>
    <w:rsid w:val="68D64B41"/>
    <w:rsid w:val="693F48BC"/>
    <w:rsid w:val="694420C2"/>
    <w:rsid w:val="696B0EBD"/>
    <w:rsid w:val="697873DA"/>
    <w:rsid w:val="69852B2B"/>
    <w:rsid w:val="69915C20"/>
    <w:rsid w:val="69AA1A66"/>
    <w:rsid w:val="69AE4852"/>
    <w:rsid w:val="6A082776"/>
    <w:rsid w:val="6A0F6702"/>
    <w:rsid w:val="6A1414C4"/>
    <w:rsid w:val="6A7363F7"/>
    <w:rsid w:val="6A884354"/>
    <w:rsid w:val="6A944B76"/>
    <w:rsid w:val="6AAE7D90"/>
    <w:rsid w:val="6AB406B0"/>
    <w:rsid w:val="6B660E04"/>
    <w:rsid w:val="6B754AC7"/>
    <w:rsid w:val="6B8C3281"/>
    <w:rsid w:val="6BA45A54"/>
    <w:rsid w:val="6BA679E6"/>
    <w:rsid w:val="6C172D01"/>
    <w:rsid w:val="6C1D2C15"/>
    <w:rsid w:val="6C1F17F4"/>
    <w:rsid w:val="6C4046EC"/>
    <w:rsid w:val="6CD921C7"/>
    <w:rsid w:val="6CE4462C"/>
    <w:rsid w:val="6CE54BAD"/>
    <w:rsid w:val="6CFD3C7D"/>
    <w:rsid w:val="6D147C72"/>
    <w:rsid w:val="6D294411"/>
    <w:rsid w:val="6D714C37"/>
    <w:rsid w:val="6D91573E"/>
    <w:rsid w:val="6D9B7C45"/>
    <w:rsid w:val="6DAD677E"/>
    <w:rsid w:val="6DAE4200"/>
    <w:rsid w:val="6DF168A1"/>
    <w:rsid w:val="6DF547E6"/>
    <w:rsid w:val="6E1F653F"/>
    <w:rsid w:val="6E7A7E7A"/>
    <w:rsid w:val="6EA35A11"/>
    <w:rsid w:val="6EB15DD3"/>
    <w:rsid w:val="6EBE2402"/>
    <w:rsid w:val="6ECA09E3"/>
    <w:rsid w:val="6EFA0514"/>
    <w:rsid w:val="6F066DAC"/>
    <w:rsid w:val="6F06719D"/>
    <w:rsid w:val="6F0E5640"/>
    <w:rsid w:val="6F5478B2"/>
    <w:rsid w:val="6F861887"/>
    <w:rsid w:val="6F885455"/>
    <w:rsid w:val="6FC12966"/>
    <w:rsid w:val="6FD0517F"/>
    <w:rsid w:val="701F75A2"/>
    <w:rsid w:val="70467EF3"/>
    <w:rsid w:val="70922C0A"/>
    <w:rsid w:val="709A28D7"/>
    <w:rsid w:val="70CB669B"/>
    <w:rsid w:val="70D0391C"/>
    <w:rsid w:val="70F467E1"/>
    <w:rsid w:val="711C6313"/>
    <w:rsid w:val="71531D0F"/>
    <w:rsid w:val="718C0485"/>
    <w:rsid w:val="71DF5A18"/>
    <w:rsid w:val="71FC5EA9"/>
    <w:rsid w:val="72025607"/>
    <w:rsid w:val="720D3DE5"/>
    <w:rsid w:val="725B51C4"/>
    <w:rsid w:val="725F62B9"/>
    <w:rsid w:val="726116B5"/>
    <w:rsid w:val="726943D2"/>
    <w:rsid w:val="726C0371"/>
    <w:rsid w:val="726D597E"/>
    <w:rsid w:val="72CE3C0B"/>
    <w:rsid w:val="72DE2078"/>
    <w:rsid w:val="72DF25B8"/>
    <w:rsid w:val="72F63990"/>
    <w:rsid w:val="731205F3"/>
    <w:rsid w:val="73190058"/>
    <w:rsid w:val="734176C7"/>
    <w:rsid w:val="734636E0"/>
    <w:rsid w:val="73622460"/>
    <w:rsid w:val="73663A61"/>
    <w:rsid w:val="73751706"/>
    <w:rsid w:val="73965F4E"/>
    <w:rsid w:val="741F2707"/>
    <w:rsid w:val="74404A49"/>
    <w:rsid w:val="744C7EA2"/>
    <w:rsid w:val="745B746C"/>
    <w:rsid w:val="74623C98"/>
    <w:rsid w:val="746F3B60"/>
    <w:rsid w:val="74AA0490"/>
    <w:rsid w:val="74BC7368"/>
    <w:rsid w:val="74C918C6"/>
    <w:rsid w:val="74E0215D"/>
    <w:rsid w:val="75172567"/>
    <w:rsid w:val="75285AD1"/>
    <w:rsid w:val="75503E6E"/>
    <w:rsid w:val="75611CC1"/>
    <w:rsid w:val="75624B17"/>
    <w:rsid w:val="756736DF"/>
    <w:rsid w:val="757C0EDB"/>
    <w:rsid w:val="7580063C"/>
    <w:rsid w:val="75B61913"/>
    <w:rsid w:val="75C25EA1"/>
    <w:rsid w:val="75D44059"/>
    <w:rsid w:val="75E83B00"/>
    <w:rsid w:val="75F26A19"/>
    <w:rsid w:val="76175E98"/>
    <w:rsid w:val="766C04D6"/>
    <w:rsid w:val="7677601E"/>
    <w:rsid w:val="767F01F0"/>
    <w:rsid w:val="76B963D7"/>
    <w:rsid w:val="76C06259"/>
    <w:rsid w:val="77002B3B"/>
    <w:rsid w:val="77074F13"/>
    <w:rsid w:val="770905E2"/>
    <w:rsid w:val="77214B4A"/>
    <w:rsid w:val="77352E85"/>
    <w:rsid w:val="77457F0E"/>
    <w:rsid w:val="77A60615"/>
    <w:rsid w:val="77AC7148"/>
    <w:rsid w:val="77E617D9"/>
    <w:rsid w:val="77FA69E3"/>
    <w:rsid w:val="7864002F"/>
    <w:rsid w:val="787E5EB6"/>
    <w:rsid w:val="78A44C7D"/>
    <w:rsid w:val="78A821EC"/>
    <w:rsid w:val="78BE050B"/>
    <w:rsid w:val="78D62CE5"/>
    <w:rsid w:val="78DD2859"/>
    <w:rsid w:val="7939467D"/>
    <w:rsid w:val="793D7B1F"/>
    <w:rsid w:val="795117F0"/>
    <w:rsid w:val="797E1C7F"/>
    <w:rsid w:val="798A174C"/>
    <w:rsid w:val="79B6253C"/>
    <w:rsid w:val="79F0361A"/>
    <w:rsid w:val="7A1C2442"/>
    <w:rsid w:val="7A2A4F5B"/>
    <w:rsid w:val="7A754FDF"/>
    <w:rsid w:val="7A893792"/>
    <w:rsid w:val="7A8952AE"/>
    <w:rsid w:val="7B152141"/>
    <w:rsid w:val="7B51487D"/>
    <w:rsid w:val="7B9207C8"/>
    <w:rsid w:val="7BA17B16"/>
    <w:rsid w:val="7BA31D83"/>
    <w:rsid w:val="7BB20363"/>
    <w:rsid w:val="7BB93BD7"/>
    <w:rsid w:val="7BC21317"/>
    <w:rsid w:val="7BC5496B"/>
    <w:rsid w:val="7C02663E"/>
    <w:rsid w:val="7C096D6B"/>
    <w:rsid w:val="7C220BDC"/>
    <w:rsid w:val="7C692410"/>
    <w:rsid w:val="7C992559"/>
    <w:rsid w:val="7C9E3AE2"/>
    <w:rsid w:val="7CA103C5"/>
    <w:rsid w:val="7CA52DEA"/>
    <w:rsid w:val="7CB54F31"/>
    <w:rsid w:val="7CE96491"/>
    <w:rsid w:val="7CED4D1B"/>
    <w:rsid w:val="7D0067A0"/>
    <w:rsid w:val="7D0E3FFA"/>
    <w:rsid w:val="7D9146F1"/>
    <w:rsid w:val="7DE52105"/>
    <w:rsid w:val="7E93243A"/>
    <w:rsid w:val="7E9E4B9D"/>
    <w:rsid w:val="7EDB120A"/>
    <w:rsid w:val="7F03048B"/>
    <w:rsid w:val="7F793F2E"/>
    <w:rsid w:val="7FB47C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nhideWhenUsed="0" w:uiPriority="35" w:semiHidden="0"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ascii="Times New Roman" w:hAnsi="Times New Roman" w:eastAsia="宋体" w:cs="Times New Roman"/>
      <w:sz w:val="24"/>
      <w:szCs w:val="21"/>
      <w:lang w:val="en-US" w:eastAsia="zh-CN" w:bidi="ar-SA"/>
    </w:rPr>
  </w:style>
  <w:style w:type="paragraph" w:styleId="3">
    <w:name w:val="heading 1"/>
    <w:basedOn w:val="1"/>
    <w:next w:val="1"/>
    <w:link w:val="35"/>
    <w:qFormat/>
    <w:uiPriority w:val="9"/>
    <w:pPr>
      <w:keepNext/>
      <w:keepLines/>
      <w:spacing w:before="340" w:after="330" w:line="578" w:lineRule="auto"/>
      <w:jc w:val="center"/>
      <w:outlineLvl w:val="0"/>
    </w:pPr>
    <w:rPr>
      <w:b/>
      <w:bCs/>
      <w:kern w:val="44"/>
      <w:sz w:val="32"/>
      <w:szCs w:val="44"/>
    </w:rPr>
  </w:style>
  <w:style w:type="paragraph" w:styleId="4">
    <w:name w:val="heading 2"/>
    <w:basedOn w:val="1"/>
    <w:next w:val="1"/>
    <w:link w:val="36"/>
    <w:unhideWhenUsed/>
    <w:qFormat/>
    <w:uiPriority w:val="9"/>
    <w:pPr>
      <w:keepNext/>
      <w:keepLines/>
      <w:spacing w:before="260" w:after="260" w:line="416" w:lineRule="auto"/>
      <w:jc w:val="center"/>
      <w:outlineLvl w:val="1"/>
    </w:pPr>
    <w:rPr>
      <w:rFonts w:asciiTheme="majorHAnsi" w:hAnsiTheme="majorHAnsi" w:cstheme="majorBidi"/>
      <w:b/>
      <w:bCs/>
      <w:sz w:val="28"/>
      <w:szCs w:val="32"/>
    </w:rPr>
  </w:style>
  <w:style w:type="paragraph" w:styleId="5">
    <w:name w:val="heading 3"/>
    <w:basedOn w:val="1"/>
    <w:next w:val="1"/>
    <w:link w:val="33"/>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37"/>
    <w:semiHidden/>
    <w:unhideWhenUsed/>
    <w:qFormat/>
    <w:uiPriority w:val="9"/>
    <w:pPr>
      <w:keepNext/>
      <w:keepLines/>
      <w:adjustRightInd w:val="0"/>
      <w:snapToGrid w:val="0"/>
      <w:spacing w:before="280" w:after="290" w:line="376" w:lineRule="auto"/>
      <w:outlineLvl w:val="3"/>
    </w:pPr>
    <w:rPr>
      <w:rFonts w:asciiTheme="majorHAnsi" w:hAnsiTheme="majorHAnsi" w:eastAsiaTheme="majorEastAsia" w:cstheme="majorBidi"/>
      <w:b/>
      <w:bCs/>
      <w:kern w:val="2"/>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7">
    <w:name w:val="caption"/>
    <w:basedOn w:val="1"/>
    <w:next w:val="1"/>
    <w:link w:val="54"/>
    <w:qFormat/>
    <w:uiPriority w:val="35"/>
    <w:pPr>
      <w:adjustRightInd w:val="0"/>
      <w:snapToGrid w:val="0"/>
      <w:spacing w:before="120" w:after="120"/>
      <w:jc w:val="center"/>
    </w:pPr>
    <w:rPr>
      <w:rFonts w:eastAsia="黑体"/>
      <w:kern w:val="2"/>
      <w:sz w:val="16"/>
      <w:szCs w:val="16"/>
    </w:rPr>
  </w:style>
  <w:style w:type="paragraph" w:styleId="8">
    <w:name w:val="annotation text"/>
    <w:basedOn w:val="1"/>
    <w:link w:val="52"/>
    <w:semiHidden/>
    <w:unhideWhenUsed/>
    <w:qFormat/>
    <w:uiPriority w:val="99"/>
    <w:pPr>
      <w:adjustRightInd w:val="0"/>
      <w:snapToGrid w:val="0"/>
      <w:jc w:val="left"/>
    </w:pPr>
    <w:rPr>
      <w:rFonts w:asciiTheme="minorHAnsi" w:hAnsiTheme="minorHAnsi" w:eastAsiaTheme="minorEastAsia" w:cstheme="minorBidi"/>
      <w:kern w:val="2"/>
      <w:sz w:val="21"/>
      <w:szCs w:val="22"/>
    </w:rPr>
  </w:style>
  <w:style w:type="paragraph" w:styleId="9">
    <w:name w:val="toc 3"/>
    <w:basedOn w:val="1"/>
    <w:next w:val="1"/>
    <w:unhideWhenUsed/>
    <w:qFormat/>
    <w:uiPriority w:val="39"/>
    <w:pPr>
      <w:adjustRightInd w:val="0"/>
      <w:snapToGrid w:val="0"/>
      <w:ind w:left="840" w:leftChars="400"/>
    </w:pPr>
    <w:rPr>
      <w:rFonts w:asciiTheme="minorHAnsi" w:hAnsiTheme="minorHAnsi" w:eastAsiaTheme="minorEastAsia" w:cstheme="minorBidi"/>
      <w:kern w:val="2"/>
      <w:sz w:val="21"/>
      <w:szCs w:val="22"/>
    </w:rPr>
  </w:style>
  <w:style w:type="paragraph" w:styleId="10">
    <w:name w:val="Date"/>
    <w:basedOn w:val="1"/>
    <w:next w:val="1"/>
    <w:link w:val="57"/>
    <w:semiHidden/>
    <w:unhideWhenUsed/>
    <w:qFormat/>
    <w:uiPriority w:val="99"/>
    <w:pPr>
      <w:adjustRightInd w:val="0"/>
      <w:snapToGrid w:val="0"/>
      <w:ind w:left="100" w:leftChars="2500"/>
    </w:pPr>
    <w:rPr>
      <w:rFonts w:asciiTheme="minorHAnsi" w:hAnsiTheme="minorHAnsi" w:eastAsiaTheme="minorEastAsia" w:cstheme="minorBidi"/>
      <w:kern w:val="2"/>
      <w:sz w:val="21"/>
      <w:szCs w:val="22"/>
    </w:rPr>
  </w:style>
  <w:style w:type="paragraph" w:styleId="11">
    <w:name w:val="Body Text Indent 2"/>
    <w:basedOn w:val="1"/>
    <w:link w:val="69"/>
    <w:qFormat/>
    <w:uiPriority w:val="99"/>
    <w:pPr>
      <w:widowControl/>
      <w:snapToGrid w:val="0"/>
      <w:jc w:val="left"/>
    </w:pPr>
    <w:rPr>
      <w:kern w:val="2"/>
      <w:szCs w:val="18"/>
    </w:rPr>
  </w:style>
  <w:style w:type="paragraph" w:styleId="12">
    <w:name w:val="Balloon Text"/>
    <w:basedOn w:val="1"/>
    <w:link w:val="39"/>
    <w:semiHidden/>
    <w:unhideWhenUsed/>
    <w:qFormat/>
    <w:uiPriority w:val="99"/>
    <w:pPr>
      <w:adjustRightInd w:val="0"/>
      <w:snapToGrid w:val="0"/>
    </w:pPr>
    <w:rPr>
      <w:rFonts w:asciiTheme="minorHAnsi" w:hAnsiTheme="minorHAnsi" w:eastAsiaTheme="minorEastAsia" w:cstheme="minorBidi"/>
      <w:kern w:val="2"/>
      <w:sz w:val="18"/>
      <w:szCs w:val="18"/>
    </w:rPr>
  </w:style>
  <w:style w:type="paragraph" w:styleId="13">
    <w:name w:val="footer"/>
    <w:basedOn w:val="1"/>
    <w:link w:val="28"/>
    <w:unhideWhenUsed/>
    <w:qFormat/>
    <w:uiPriority w:val="99"/>
    <w:pPr>
      <w:tabs>
        <w:tab w:val="center" w:pos="4153"/>
        <w:tab w:val="right" w:pos="8306"/>
      </w:tabs>
      <w:snapToGrid w:val="0"/>
      <w:spacing w:line="240" w:lineRule="auto"/>
      <w:jc w:val="left"/>
    </w:pPr>
    <w:rPr>
      <w:rFonts w:asciiTheme="minorHAnsi" w:hAnsiTheme="minorHAnsi" w:eastAsiaTheme="minorEastAsia" w:cstheme="minorBidi"/>
      <w:kern w:val="2"/>
      <w:sz w:val="18"/>
      <w:szCs w:val="18"/>
    </w:rPr>
  </w:style>
  <w:style w:type="paragraph" w:styleId="14">
    <w:name w:val="header"/>
    <w:basedOn w:val="1"/>
    <w:link w:val="27"/>
    <w:unhideWhenUsed/>
    <w:qFormat/>
    <w:uiPriority w:val="99"/>
    <w:pPr>
      <w:pBdr>
        <w:bottom w:val="single" w:color="auto" w:sz="6" w:space="1"/>
      </w:pBdr>
      <w:tabs>
        <w:tab w:val="center" w:pos="4153"/>
        <w:tab w:val="right" w:pos="8306"/>
      </w:tabs>
      <w:snapToGrid w:val="0"/>
      <w:spacing w:line="240" w:lineRule="auto"/>
      <w:jc w:val="center"/>
    </w:pPr>
    <w:rPr>
      <w:rFonts w:asciiTheme="minorHAnsi" w:hAnsiTheme="minorHAnsi" w:eastAsiaTheme="minorEastAsia" w:cstheme="minorBidi"/>
      <w:kern w:val="2"/>
      <w:sz w:val="18"/>
      <w:szCs w:val="18"/>
    </w:rPr>
  </w:style>
  <w:style w:type="paragraph" w:styleId="15">
    <w:name w:val="toc 1"/>
    <w:basedOn w:val="1"/>
    <w:next w:val="1"/>
    <w:unhideWhenUsed/>
    <w:qFormat/>
    <w:uiPriority w:val="39"/>
    <w:pPr>
      <w:tabs>
        <w:tab w:val="right" w:leader="dot" w:pos="8296"/>
      </w:tabs>
      <w:adjustRightInd w:val="0"/>
      <w:snapToGrid w:val="0"/>
    </w:pPr>
    <w:rPr>
      <w:rFonts w:cs="黑体"/>
      <w:b/>
      <w:kern w:val="2"/>
      <w:szCs w:val="24"/>
    </w:rPr>
  </w:style>
  <w:style w:type="paragraph" w:styleId="16">
    <w:name w:val="toc 2"/>
    <w:basedOn w:val="1"/>
    <w:next w:val="1"/>
    <w:unhideWhenUsed/>
    <w:qFormat/>
    <w:uiPriority w:val="39"/>
    <w:pPr>
      <w:tabs>
        <w:tab w:val="right" w:leader="dot" w:pos="8296"/>
      </w:tabs>
      <w:adjustRightInd w:val="0"/>
      <w:snapToGrid w:val="0"/>
      <w:spacing w:line="276" w:lineRule="auto"/>
      <w:ind w:left="420" w:leftChars="200"/>
    </w:pPr>
    <w:rPr>
      <w:rFonts w:eastAsia="仿宋_GB2312"/>
      <w:bCs/>
      <w:kern w:val="2"/>
      <w:szCs w:val="24"/>
    </w:rPr>
  </w:style>
  <w:style w:type="paragraph" w:styleId="17">
    <w:name w:val="Normal (Web)"/>
    <w:basedOn w:val="1"/>
    <w:qFormat/>
    <w:uiPriority w:val="99"/>
    <w:pPr>
      <w:adjustRightInd w:val="0"/>
      <w:snapToGrid w:val="0"/>
      <w:spacing w:beforeAutospacing="1" w:afterAutospacing="1"/>
      <w:jc w:val="left"/>
    </w:pPr>
    <w:rPr>
      <w:rFonts w:ascii="Calibri" w:hAnsi="Calibri"/>
      <w:szCs w:val="20"/>
    </w:rPr>
  </w:style>
  <w:style w:type="paragraph" w:styleId="18">
    <w:name w:val="Title"/>
    <w:basedOn w:val="1"/>
    <w:next w:val="1"/>
    <w:link w:val="40"/>
    <w:qFormat/>
    <w:uiPriority w:val="10"/>
    <w:pPr>
      <w:adjustRightInd w:val="0"/>
      <w:snapToGrid w:val="0"/>
      <w:spacing w:before="240" w:after="60"/>
      <w:jc w:val="center"/>
      <w:outlineLvl w:val="0"/>
    </w:pPr>
    <w:rPr>
      <w:rFonts w:asciiTheme="majorHAnsi" w:hAnsiTheme="majorHAnsi" w:cstheme="majorBidi"/>
      <w:b/>
      <w:bCs/>
      <w:kern w:val="2"/>
      <w:sz w:val="32"/>
      <w:szCs w:val="32"/>
    </w:rPr>
  </w:style>
  <w:style w:type="paragraph" w:styleId="19">
    <w:name w:val="annotation subject"/>
    <w:basedOn w:val="8"/>
    <w:next w:val="8"/>
    <w:link w:val="53"/>
    <w:semiHidden/>
    <w:unhideWhenUsed/>
    <w:qFormat/>
    <w:uiPriority w:val="99"/>
    <w:rPr>
      <w:b/>
      <w:bCs/>
    </w:rPr>
  </w:style>
  <w:style w:type="table" w:styleId="21">
    <w:name w:val="Table Grid"/>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FollowedHyperlink"/>
    <w:basedOn w:val="22"/>
    <w:semiHidden/>
    <w:unhideWhenUsed/>
    <w:qFormat/>
    <w:uiPriority w:val="99"/>
    <w:rPr>
      <w:color w:val="954F72" w:themeColor="followedHyperlink"/>
      <w:u w:val="single"/>
      <w14:textFill>
        <w14:solidFill>
          <w14:schemeClr w14:val="folHlink"/>
        </w14:solidFill>
      </w14:textFill>
    </w:rPr>
  </w:style>
  <w:style w:type="character" w:styleId="24">
    <w:name w:val="Emphasis"/>
    <w:basedOn w:val="22"/>
    <w:qFormat/>
    <w:uiPriority w:val="20"/>
    <w:rPr>
      <w:i/>
      <w:iCs/>
    </w:rPr>
  </w:style>
  <w:style w:type="character" w:styleId="25">
    <w:name w:val="Hyperlink"/>
    <w:basedOn w:val="22"/>
    <w:unhideWhenUsed/>
    <w:qFormat/>
    <w:uiPriority w:val="99"/>
    <w:rPr>
      <w:color w:val="0563C1" w:themeColor="hyperlink"/>
      <w:u w:val="single"/>
      <w14:textFill>
        <w14:solidFill>
          <w14:schemeClr w14:val="hlink"/>
        </w14:solidFill>
      </w14:textFill>
    </w:rPr>
  </w:style>
  <w:style w:type="character" w:styleId="26">
    <w:name w:val="annotation reference"/>
    <w:basedOn w:val="22"/>
    <w:unhideWhenUsed/>
    <w:qFormat/>
    <w:uiPriority w:val="99"/>
    <w:rPr>
      <w:sz w:val="21"/>
      <w:szCs w:val="21"/>
    </w:rPr>
  </w:style>
  <w:style w:type="character" w:customStyle="1" w:styleId="27">
    <w:name w:val="页眉 Char"/>
    <w:basedOn w:val="22"/>
    <w:link w:val="14"/>
    <w:qFormat/>
    <w:uiPriority w:val="99"/>
    <w:rPr>
      <w:sz w:val="18"/>
      <w:szCs w:val="18"/>
    </w:rPr>
  </w:style>
  <w:style w:type="character" w:customStyle="1" w:styleId="28">
    <w:name w:val="页脚 Char"/>
    <w:basedOn w:val="22"/>
    <w:link w:val="13"/>
    <w:qFormat/>
    <w:uiPriority w:val="99"/>
    <w:rPr>
      <w:sz w:val="18"/>
      <w:szCs w:val="18"/>
    </w:rPr>
  </w:style>
  <w:style w:type="paragraph" w:customStyle="1" w:styleId="29">
    <w:name w:val="GAO条文说明"/>
    <w:basedOn w:val="1"/>
    <w:link w:val="30"/>
    <w:qFormat/>
    <w:uiPriority w:val="0"/>
    <w:pPr>
      <w:adjustRightInd w:val="0"/>
      <w:snapToGrid w:val="0"/>
    </w:pPr>
    <w:rPr>
      <w:kern w:val="2"/>
      <w:szCs w:val="24"/>
    </w:rPr>
  </w:style>
  <w:style w:type="character" w:customStyle="1" w:styleId="30">
    <w:name w:val="GAO条文说明 Char"/>
    <w:link w:val="29"/>
    <w:qFormat/>
    <w:uiPriority w:val="0"/>
    <w:rPr>
      <w:rFonts w:ascii="Times New Roman" w:hAnsi="Times New Roman" w:eastAsia="宋体" w:cs="Times New Roman"/>
      <w:sz w:val="24"/>
      <w:szCs w:val="24"/>
    </w:rPr>
  </w:style>
  <w:style w:type="paragraph" w:customStyle="1" w:styleId="31">
    <w:name w:val="GAO概括"/>
    <w:basedOn w:val="5"/>
    <w:link w:val="32"/>
    <w:qFormat/>
    <w:uiPriority w:val="0"/>
    <w:pPr>
      <w:spacing w:before="0" w:after="0" w:line="312" w:lineRule="auto"/>
    </w:pPr>
    <w:rPr>
      <w:color w:val="843C0B" w:themeColor="accent2" w:themeShade="80"/>
      <w:sz w:val="24"/>
    </w:rPr>
  </w:style>
  <w:style w:type="character" w:customStyle="1" w:styleId="32">
    <w:name w:val="GAO概括 字符"/>
    <w:basedOn w:val="33"/>
    <w:link w:val="31"/>
    <w:qFormat/>
    <w:uiPriority w:val="0"/>
    <w:rPr>
      <w:rFonts w:ascii="Times New Roman" w:hAnsi="Times New Roman" w:eastAsia="宋体" w:cs="Times New Roman"/>
      <w:color w:val="843C0B" w:themeColor="accent2" w:themeShade="80"/>
      <w:kern w:val="0"/>
      <w:sz w:val="24"/>
      <w:szCs w:val="32"/>
    </w:rPr>
  </w:style>
  <w:style w:type="character" w:customStyle="1" w:styleId="33">
    <w:name w:val="标题 3 Char"/>
    <w:basedOn w:val="22"/>
    <w:link w:val="5"/>
    <w:qFormat/>
    <w:uiPriority w:val="9"/>
    <w:rPr>
      <w:rFonts w:ascii="Times New Roman" w:hAnsi="Times New Roman" w:eastAsia="宋体" w:cs="Times New Roman"/>
      <w:b/>
      <w:bCs/>
      <w:kern w:val="0"/>
      <w:sz w:val="32"/>
      <w:szCs w:val="32"/>
    </w:rPr>
  </w:style>
  <w:style w:type="paragraph" w:customStyle="1" w:styleId="34">
    <w:name w:val="【条文】"/>
    <w:basedOn w:val="1"/>
    <w:qFormat/>
    <w:uiPriority w:val="0"/>
    <w:pPr>
      <w:adjustRightInd w:val="0"/>
      <w:snapToGrid w:val="0"/>
    </w:pPr>
    <w:rPr>
      <w:rFonts w:ascii="宋体" w:hAnsi="宋体"/>
      <w:kern w:val="2"/>
      <w:szCs w:val="24"/>
    </w:rPr>
  </w:style>
  <w:style w:type="character" w:customStyle="1" w:styleId="35">
    <w:name w:val="标题 1 Char"/>
    <w:basedOn w:val="22"/>
    <w:link w:val="3"/>
    <w:qFormat/>
    <w:uiPriority w:val="9"/>
    <w:rPr>
      <w:rFonts w:ascii="Times New Roman" w:hAnsi="Times New Roman" w:eastAsia="宋体" w:cs="Times New Roman"/>
      <w:b/>
      <w:bCs/>
      <w:kern w:val="44"/>
      <w:sz w:val="32"/>
      <w:szCs w:val="44"/>
    </w:rPr>
  </w:style>
  <w:style w:type="character" w:customStyle="1" w:styleId="36">
    <w:name w:val="标题 2 Char"/>
    <w:basedOn w:val="22"/>
    <w:link w:val="4"/>
    <w:qFormat/>
    <w:uiPriority w:val="9"/>
    <w:rPr>
      <w:rFonts w:eastAsia="宋体" w:asciiTheme="majorHAnsi" w:hAnsiTheme="majorHAnsi" w:cstheme="majorBidi"/>
      <w:b/>
      <w:bCs/>
      <w:kern w:val="0"/>
      <w:sz w:val="28"/>
      <w:szCs w:val="32"/>
    </w:rPr>
  </w:style>
  <w:style w:type="character" w:customStyle="1" w:styleId="37">
    <w:name w:val="标题 4 Char"/>
    <w:basedOn w:val="22"/>
    <w:link w:val="6"/>
    <w:semiHidden/>
    <w:qFormat/>
    <w:uiPriority w:val="9"/>
    <w:rPr>
      <w:rFonts w:asciiTheme="majorHAnsi" w:hAnsiTheme="majorHAnsi" w:eastAsiaTheme="majorEastAsia" w:cstheme="majorBidi"/>
      <w:b/>
      <w:bCs/>
      <w:sz w:val="28"/>
      <w:szCs w:val="28"/>
    </w:rPr>
  </w:style>
  <w:style w:type="paragraph" w:styleId="38">
    <w:name w:val="List Paragraph"/>
    <w:basedOn w:val="1"/>
    <w:link w:val="51"/>
    <w:qFormat/>
    <w:uiPriority w:val="34"/>
    <w:pPr>
      <w:adjustRightInd w:val="0"/>
      <w:snapToGrid w:val="0"/>
      <w:ind w:firstLine="420" w:firstLineChars="200"/>
    </w:pPr>
    <w:rPr>
      <w:rFonts w:asciiTheme="minorHAnsi" w:hAnsiTheme="minorHAnsi" w:eastAsiaTheme="minorEastAsia" w:cstheme="minorBidi"/>
      <w:kern w:val="2"/>
      <w:sz w:val="21"/>
      <w:szCs w:val="22"/>
    </w:rPr>
  </w:style>
  <w:style w:type="character" w:customStyle="1" w:styleId="39">
    <w:name w:val="批注框文本 Char"/>
    <w:basedOn w:val="22"/>
    <w:link w:val="12"/>
    <w:semiHidden/>
    <w:qFormat/>
    <w:uiPriority w:val="99"/>
    <w:rPr>
      <w:sz w:val="18"/>
      <w:szCs w:val="18"/>
    </w:rPr>
  </w:style>
  <w:style w:type="character" w:customStyle="1" w:styleId="40">
    <w:name w:val="标题 Char"/>
    <w:basedOn w:val="22"/>
    <w:link w:val="18"/>
    <w:qFormat/>
    <w:uiPriority w:val="10"/>
    <w:rPr>
      <w:rFonts w:eastAsia="宋体" w:asciiTheme="majorHAnsi" w:hAnsiTheme="majorHAnsi" w:cstheme="majorBidi"/>
      <w:b/>
      <w:bCs/>
      <w:sz w:val="32"/>
      <w:szCs w:val="32"/>
    </w:rPr>
  </w:style>
  <w:style w:type="paragraph" w:customStyle="1" w:styleId="41">
    <w:name w:val="GAO注"/>
    <w:basedOn w:val="1"/>
    <w:qFormat/>
    <w:uiPriority w:val="0"/>
    <w:pPr>
      <w:shd w:val="clear" w:color="auto" w:fill="F7CAAC" w:themeFill="accent2" w:themeFillTint="66"/>
      <w:adjustRightInd w:val="0"/>
      <w:snapToGrid w:val="0"/>
      <w:spacing w:line="240" w:lineRule="atLeast"/>
      <w:ind w:firstLine="200" w:firstLineChars="200"/>
    </w:pPr>
    <w:rPr>
      <w:rFonts w:eastAsia="黑体"/>
      <w:b/>
      <w:vanish/>
      <w:color w:val="FF0000"/>
      <w:kern w:val="2"/>
      <w:sz w:val="18"/>
      <w:szCs w:val="24"/>
      <w:u w:val="wavyDouble" w:color="7030A0"/>
    </w:rPr>
  </w:style>
  <w:style w:type="paragraph" w:customStyle="1" w:styleId="42">
    <w:name w:val="G相关资料"/>
    <w:basedOn w:val="1"/>
    <w:qFormat/>
    <w:uiPriority w:val="0"/>
    <w:pPr>
      <w:shd w:val="clear" w:color="auto" w:fill="8EAADB" w:themeFill="accent5" w:themeFillTint="99"/>
      <w:adjustRightInd w:val="0"/>
      <w:snapToGrid w:val="0"/>
      <w:spacing w:line="260" w:lineRule="exact"/>
      <w:ind w:firstLine="200" w:firstLineChars="200"/>
    </w:pPr>
    <w:rPr>
      <w:rFonts w:eastAsia="楷体"/>
      <w:vanish/>
      <w:color w:val="535353" w:themeColor="accent3" w:themeShade="80"/>
      <w:kern w:val="2"/>
      <w:sz w:val="18"/>
      <w:szCs w:val="24"/>
    </w:rPr>
  </w:style>
  <w:style w:type="paragraph" w:customStyle="1" w:styleId="43">
    <w:name w:val="【条文说明】"/>
    <w:basedOn w:val="1"/>
    <w:qFormat/>
    <w:uiPriority w:val="0"/>
    <w:pPr>
      <w:shd w:val="clear" w:color="auto" w:fill="D0CECE" w:themeFill="background2" w:themeFillShade="E6"/>
      <w:adjustRightInd w:val="0"/>
      <w:snapToGrid w:val="0"/>
      <w:spacing w:line="300" w:lineRule="auto"/>
    </w:pPr>
    <w:rPr>
      <w:rFonts w:ascii="宋体" w:hAnsi="宋体"/>
      <w:color w:val="2E75B6" w:themeColor="accent1" w:themeShade="BF"/>
      <w:kern w:val="2"/>
      <w:szCs w:val="24"/>
    </w:rPr>
  </w:style>
  <w:style w:type="paragraph" w:customStyle="1" w:styleId="44">
    <w:name w:val="G三级标题"/>
    <w:basedOn w:val="1"/>
    <w:next w:val="1"/>
    <w:qFormat/>
    <w:uiPriority w:val="0"/>
    <w:pPr>
      <w:adjustRightInd w:val="0"/>
      <w:snapToGrid w:val="0"/>
      <w:spacing w:line="400" w:lineRule="exact"/>
      <w:outlineLvl w:val="2"/>
    </w:pPr>
    <w:rPr>
      <w:rFonts w:eastAsia="黑体"/>
      <w:color w:val="7030A0"/>
      <w:kern w:val="2"/>
      <w:szCs w:val="24"/>
    </w:rPr>
  </w:style>
  <w:style w:type="paragraph" w:customStyle="1" w:styleId="45">
    <w:name w:val="【条文来源】"/>
    <w:basedOn w:val="1"/>
    <w:qFormat/>
    <w:uiPriority w:val="0"/>
    <w:pPr>
      <w:adjustRightInd w:val="0"/>
      <w:snapToGrid w:val="0"/>
      <w:spacing w:line="300" w:lineRule="auto"/>
      <w:jc w:val="left"/>
    </w:pPr>
    <w:rPr>
      <w:rFonts w:eastAsia="仿宋"/>
      <w:color w:val="00B0F0"/>
      <w:kern w:val="2"/>
      <w:szCs w:val="24"/>
    </w:rPr>
  </w:style>
  <w:style w:type="paragraph" w:customStyle="1" w:styleId="46">
    <w:name w:val="【采纳理由】"/>
    <w:basedOn w:val="1"/>
    <w:qFormat/>
    <w:uiPriority w:val="0"/>
    <w:pPr>
      <w:adjustRightInd w:val="0"/>
      <w:snapToGrid w:val="0"/>
      <w:spacing w:line="300" w:lineRule="auto"/>
    </w:pPr>
    <w:rPr>
      <w:rFonts w:ascii="仿宋" w:hAnsi="仿宋" w:eastAsia="仿宋"/>
      <w:color w:val="00B050"/>
      <w:kern w:val="2"/>
      <w:szCs w:val="24"/>
    </w:rPr>
  </w:style>
  <w:style w:type="paragraph" w:customStyle="1" w:styleId="47">
    <w:name w:val="GAO题目"/>
    <w:basedOn w:val="1"/>
    <w:next w:val="1"/>
    <w:qFormat/>
    <w:uiPriority w:val="0"/>
    <w:pPr>
      <w:adjustRightInd w:val="0"/>
      <w:snapToGrid w:val="0"/>
      <w:spacing w:beforeLines="50" w:afterLines="50"/>
      <w:jc w:val="center"/>
    </w:pPr>
    <w:rPr>
      <w:rFonts w:eastAsia="黑体"/>
      <w:kern w:val="2"/>
      <w:sz w:val="30"/>
      <w:szCs w:val="30"/>
    </w:rPr>
  </w:style>
  <w:style w:type="paragraph" w:customStyle="1" w:styleId="48">
    <w:name w:val="样式 正文－缩进2 + 首行缩进:  2 字符"/>
    <w:basedOn w:val="1"/>
    <w:qFormat/>
    <w:uiPriority w:val="0"/>
    <w:pPr>
      <w:adjustRightInd w:val="0"/>
      <w:snapToGrid w:val="0"/>
      <w:spacing w:line="240" w:lineRule="atLeast"/>
      <w:ind w:firstLine="420" w:firstLineChars="200"/>
    </w:pPr>
    <w:rPr>
      <w:rFonts w:eastAsia="仿宋_GB2312" w:cs="宋体"/>
      <w:kern w:val="2"/>
      <w:sz w:val="21"/>
      <w:szCs w:val="20"/>
    </w:rPr>
  </w:style>
  <w:style w:type="character" w:customStyle="1" w:styleId="49">
    <w:name w:val="样式1 字符"/>
    <w:basedOn w:val="22"/>
    <w:link w:val="50"/>
    <w:qFormat/>
    <w:locked/>
    <w:uiPriority w:val="0"/>
    <w:rPr>
      <w:rFonts w:ascii="宋体" w:hAnsi="宋体" w:eastAsia="宋体" w:cs="Times New Roman"/>
      <w:sz w:val="24"/>
      <w:szCs w:val="24"/>
    </w:rPr>
  </w:style>
  <w:style w:type="paragraph" w:customStyle="1" w:styleId="50">
    <w:name w:val="样式1"/>
    <w:basedOn w:val="38"/>
    <w:link w:val="49"/>
    <w:qFormat/>
    <w:uiPriority w:val="0"/>
    <w:pPr>
      <w:numPr>
        <w:ilvl w:val="0"/>
        <w:numId w:val="1"/>
      </w:numPr>
      <w:spacing w:line="300" w:lineRule="auto"/>
      <w:ind w:firstLine="0" w:firstLineChars="0"/>
    </w:pPr>
    <w:rPr>
      <w:rFonts w:ascii="宋体" w:hAnsi="宋体" w:eastAsia="宋体" w:cs="Times New Roman"/>
      <w:sz w:val="24"/>
      <w:szCs w:val="24"/>
    </w:rPr>
  </w:style>
  <w:style w:type="character" w:customStyle="1" w:styleId="51">
    <w:name w:val="列出段落 Char1"/>
    <w:basedOn w:val="22"/>
    <w:link w:val="38"/>
    <w:qFormat/>
    <w:locked/>
    <w:uiPriority w:val="99"/>
  </w:style>
  <w:style w:type="character" w:customStyle="1" w:styleId="52">
    <w:name w:val="批注文字 Char"/>
    <w:basedOn w:val="22"/>
    <w:link w:val="8"/>
    <w:semiHidden/>
    <w:qFormat/>
    <w:uiPriority w:val="99"/>
  </w:style>
  <w:style w:type="character" w:customStyle="1" w:styleId="53">
    <w:name w:val="批注主题 Char"/>
    <w:basedOn w:val="52"/>
    <w:link w:val="19"/>
    <w:semiHidden/>
    <w:qFormat/>
    <w:uiPriority w:val="99"/>
    <w:rPr>
      <w:b/>
      <w:bCs/>
    </w:rPr>
  </w:style>
  <w:style w:type="character" w:customStyle="1" w:styleId="54">
    <w:name w:val="题注 Char"/>
    <w:link w:val="7"/>
    <w:qFormat/>
    <w:uiPriority w:val="35"/>
    <w:rPr>
      <w:rFonts w:ascii="Times New Roman" w:hAnsi="Times New Roman" w:eastAsia="黑体" w:cs="Times New Roman"/>
      <w:sz w:val="16"/>
      <w:szCs w:val="16"/>
    </w:rPr>
  </w:style>
  <w:style w:type="paragraph" w:customStyle="1" w:styleId="55">
    <w:name w:val="内装标准m"/>
    <w:basedOn w:val="1"/>
    <w:qFormat/>
    <w:uiPriority w:val="0"/>
    <w:pPr>
      <w:adjustRightInd w:val="0"/>
      <w:snapToGrid w:val="0"/>
      <w:spacing w:beforeLines="25"/>
      <w:contextualSpacing/>
    </w:pPr>
    <w:rPr>
      <w:rFonts w:asciiTheme="minorHAnsi" w:hAnsiTheme="minorHAnsi" w:eastAsiaTheme="minorEastAsia" w:cstheme="minorBidi"/>
      <w:kern w:val="2"/>
      <w:szCs w:val="24"/>
    </w:rPr>
  </w:style>
  <w:style w:type="table" w:customStyle="1" w:styleId="56">
    <w:name w:val="网格型1"/>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57">
    <w:name w:val="日期 Char"/>
    <w:basedOn w:val="22"/>
    <w:link w:val="10"/>
    <w:semiHidden/>
    <w:qFormat/>
    <w:uiPriority w:val="99"/>
  </w:style>
  <w:style w:type="paragraph" w:customStyle="1" w:styleId="58">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59">
    <w:name w:val="表格内"/>
    <w:basedOn w:val="1"/>
    <w:link w:val="60"/>
    <w:qFormat/>
    <w:uiPriority w:val="0"/>
    <w:pPr>
      <w:adjustRightInd w:val="0"/>
      <w:snapToGrid w:val="0"/>
      <w:jc w:val="left"/>
    </w:pPr>
    <w:rPr>
      <w:kern w:val="2"/>
      <w:sz w:val="21"/>
    </w:rPr>
  </w:style>
  <w:style w:type="character" w:customStyle="1" w:styleId="60">
    <w:name w:val="表格内 Char"/>
    <w:link w:val="59"/>
    <w:qFormat/>
    <w:uiPriority w:val="0"/>
    <w:rPr>
      <w:rFonts w:ascii="Times New Roman" w:hAnsi="Times New Roman" w:eastAsia="宋体" w:cs="Times New Roman"/>
      <w:szCs w:val="21"/>
    </w:rPr>
  </w:style>
  <w:style w:type="paragraph" w:customStyle="1" w:styleId="61">
    <w:name w:val="！正文"/>
    <w:basedOn w:val="1"/>
    <w:link w:val="62"/>
    <w:qFormat/>
    <w:uiPriority w:val="0"/>
    <w:pPr>
      <w:adjustRightInd w:val="0"/>
      <w:snapToGrid w:val="0"/>
      <w:ind w:firstLine="200" w:firstLineChars="200"/>
    </w:pPr>
    <w:rPr>
      <w:kern w:val="2"/>
      <w:szCs w:val="20"/>
    </w:rPr>
  </w:style>
  <w:style w:type="character" w:customStyle="1" w:styleId="62">
    <w:name w:val="！正文 字符"/>
    <w:link w:val="61"/>
    <w:qFormat/>
    <w:uiPriority w:val="0"/>
    <w:rPr>
      <w:rFonts w:ascii="Times New Roman" w:hAnsi="Times New Roman" w:eastAsia="宋体" w:cs="Times New Roman"/>
      <w:sz w:val="24"/>
      <w:szCs w:val="20"/>
    </w:rPr>
  </w:style>
  <w:style w:type="table" w:customStyle="1" w:styleId="63">
    <w:name w:val="网格型2"/>
    <w:basedOn w:val="2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4">
    <w:name w:val="TOC 标题1"/>
    <w:basedOn w:val="3"/>
    <w:next w:val="1"/>
    <w:unhideWhenUsed/>
    <w:qFormat/>
    <w:uiPriority w:val="39"/>
    <w:pPr>
      <w:widowControl/>
      <w:spacing w:before="240" w:beforeLines="200" w:after="100" w:afterLines="100" w:line="259" w:lineRule="auto"/>
      <w:jc w:val="left"/>
      <w:outlineLvl w:val="9"/>
    </w:pPr>
    <w:rPr>
      <w:rFonts w:asciiTheme="majorHAnsi" w:hAnsiTheme="majorHAnsi" w:eastAsiaTheme="majorEastAsia" w:cstheme="majorBidi"/>
      <w:b w:val="0"/>
      <w:bCs w:val="0"/>
      <w:color w:val="2E75B6" w:themeColor="accent1" w:themeShade="BF"/>
      <w:kern w:val="0"/>
      <w:szCs w:val="32"/>
    </w:rPr>
  </w:style>
  <w:style w:type="table" w:customStyle="1" w:styleId="65">
    <w:name w:val="网格型8"/>
    <w:basedOn w:val="20"/>
    <w:qFormat/>
    <w:uiPriority w:val="59"/>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66">
    <w:name w:val="G专家意见"/>
    <w:basedOn w:val="42"/>
    <w:qFormat/>
    <w:uiPriority w:val="0"/>
    <w:pPr>
      <w:shd w:val="clear" w:color="auto" w:fill="FEF2CC" w:themeFill="accent4" w:themeFillTint="33"/>
      <w:ind w:firstLine="0" w:firstLineChars="0"/>
    </w:pPr>
    <w:rPr>
      <w:rFonts w:eastAsia="宋体"/>
      <w:b/>
      <w:color w:val="5B9BD5" w:themeColor="accent1"/>
      <w14:textFill>
        <w14:solidFill>
          <w14:schemeClr w14:val="accent1"/>
        </w14:solidFill>
      </w14:textFill>
    </w:rPr>
  </w:style>
  <w:style w:type="paragraph" w:customStyle="1" w:styleId="67">
    <w:name w:val="无间隔1"/>
    <w:qFormat/>
    <w:uiPriority w:val="99"/>
    <w:rPr>
      <w:rFonts w:ascii="Times New Roman" w:hAnsi="Times New Roman" w:eastAsia="宋体" w:cs="Times New Roman"/>
      <w:kern w:val="2"/>
      <w:sz w:val="21"/>
      <w:szCs w:val="24"/>
      <w:lang w:val="en-US" w:eastAsia="zh-CN" w:bidi="ar-SA"/>
    </w:rPr>
  </w:style>
  <w:style w:type="paragraph" w:customStyle="1" w:styleId="68">
    <w:name w:val="Default"/>
    <w:qFormat/>
    <w:uiPriority w:val="0"/>
    <w:pPr>
      <w:widowControl w:val="0"/>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69">
    <w:name w:val="正文文本缩进 2 Char"/>
    <w:basedOn w:val="22"/>
    <w:link w:val="11"/>
    <w:qFormat/>
    <w:uiPriority w:val="99"/>
    <w:rPr>
      <w:rFonts w:ascii="Times New Roman" w:hAnsi="Times New Roman" w:eastAsia="宋体" w:cs="Times New Roman"/>
      <w:sz w:val="24"/>
      <w:szCs w:val="18"/>
    </w:rPr>
  </w:style>
  <w:style w:type="paragraph" w:customStyle="1" w:styleId="70">
    <w:name w:val="列出段落11"/>
    <w:basedOn w:val="1"/>
    <w:qFormat/>
    <w:uiPriority w:val="34"/>
    <w:pPr>
      <w:spacing w:line="240" w:lineRule="auto"/>
      <w:ind w:firstLine="420" w:firstLineChars="200"/>
    </w:pPr>
    <w:rPr>
      <w:rFonts w:ascii="Calibri" w:hAnsi="Calibri"/>
      <w:kern w:val="2"/>
      <w:sz w:val="21"/>
      <w:szCs w:val="22"/>
    </w:rPr>
  </w:style>
  <w:style w:type="paragraph" w:customStyle="1" w:styleId="71">
    <w:name w:val="列表段落1"/>
    <w:basedOn w:val="1"/>
    <w:qFormat/>
    <w:uiPriority w:val="34"/>
    <w:pPr>
      <w:widowControl/>
      <w:spacing w:line="360" w:lineRule="exact"/>
      <w:ind w:firstLine="420" w:firstLineChars="200"/>
      <w:jc w:val="left"/>
    </w:pPr>
    <w:rPr>
      <w:kern w:val="2"/>
      <w:sz w:val="21"/>
      <w:szCs w:val="24"/>
    </w:rPr>
  </w:style>
  <w:style w:type="paragraph" w:customStyle="1" w:styleId="72">
    <w:name w:val="【条文-正文缩进2】"/>
    <w:basedOn w:val="34"/>
    <w:qFormat/>
    <w:uiPriority w:val="0"/>
    <w:pPr>
      <w:adjustRightInd/>
      <w:snapToGrid/>
      <w:ind w:firstLine="200" w:firstLineChars="200"/>
    </w:pPr>
  </w:style>
  <w:style w:type="character" w:customStyle="1" w:styleId="73">
    <w:name w:val="_"/>
    <w:basedOn w:val="22"/>
    <w:qFormat/>
    <w:uiPriority w:val="0"/>
  </w:style>
  <w:style w:type="paragraph" w:customStyle="1" w:styleId="74">
    <w:name w:val="图片文字"/>
    <w:next w:val="1"/>
    <w:qFormat/>
    <w:uiPriority w:val="99"/>
    <w:pPr>
      <w:spacing w:line="360" w:lineRule="auto"/>
      <w:jc w:val="center"/>
    </w:pPr>
    <w:rPr>
      <w:rFonts w:ascii="Times New Roman" w:hAnsi="Times New Roman" w:eastAsia="宋体" w:cs="Times New Roman"/>
      <w:lang w:val="en-US" w:eastAsia="zh-CN" w:bidi="ar-SA"/>
    </w:rPr>
  </w:style>
  <w:style w:type="paragraph" w:customStyle="1" w:styleId="75">
    <w:name w:val="列出段落2"/>
    <w:basedOn w:val="1"/>
    <w:qFormat/>
    <w:uiPriority w:val="99"/>
    <w:pPr>
      <w:spacing w:line="240" w:lineRule="auto"/>
    </w:pPr>
    <w:rPr>
      <w:rFonts w:ascii="Calibri" w:hAnsi="Calibri" w:cs="Calibri"/>
      <w:kern w:val="2"/>
      <w:sz w:val="21"/>
      <w:szCs w:val="22"/>
    </w:rPr>
  </w:style>
  <w:style w:type="paragraph" w:customStyle="1" w:styleId="76">
    <w:name w:val="条文中图名"/>
    <w:basedOn w:val="1"/>
    <w:qFormat/>
    <w:uiPriority w:val="0"/>
    <w:pPr>
      <w:spacing w:line="240" w:lineRule="auto"/>
      <w:jc w:val="center"/>
    </w:pPr>
    <w:rPr>
      <w:rFonts w:ascii="宋体" w:hAnsi="宋体"/>
      <w:kern w:val="2"/>
      <w:sz w:val="18"/>
      <w:szCs w:val="18"/>
    </w:rPr>
  </w:style>
  <w:style w:type="paragraph" w:customStyle="1" w:styleId="77">
    <w:name w:val="图"/>
    <w:basedOn w:val="1"/>
    <w:qFormat/>
    <w:uiPriority w:val="0"/>
    <w:pPr>
      <w:adjustRightInd w:val="0"/>
      <w:snapToGrid w:val="0"/>
      <w:spacing w:line="240" w:lineRule="auto"/>
      <w:jc w:val="center"/>
    </w:pPr>
    <w:rPr>
      <w:rFonts w:ascii="宋体" w:hAnsi="宋体"/>
      <w:color w:val="000000"/>
      <w:kern w:val="2"/>
      <w:sz w:val="15"/>
      <w:szCs w:val="15"/>
    </w:rPr>
  </w:style>
  <w:style w:type="character" w:customStyle="1" w:styleId="78">
    <w:name w:val="列出段落 Char"/>
    <w:link w:val="79"/>
    <w:qFormat/>
    <w:locked/>
    <w:uiPriority w:val="0"/>
    <w:rPr>
      <w:rFonts w:ascii="Calibri" w:hAnsi="Calibri" w:cs="Calibri"/>
    </w:rPr>
  </w:style>
  <w:style w:type="paragraph" w:customStyle="1" w:styleId="79">
    <w:name w:val="列出段落1"/>
    <w:basedOn w:val="1"/>
    <w:link w:val="78"/>
    <w:qFormat/>
    <w:uiPriority w:val="0"/>
    <w:pPr>
      <w:spacing w:line="240" w:lineRule="auto"/>
    </w:pPr>
    <w:rPr>
      <w:rFonts w:ascii="Calibri" w:hAnsi="Calibri" w:cs="Calibri" w:eastAsiaTheme="minorEastAsia"/>
      <w:kern w:val="2"/>
      <w:sz w:val="21"/>
      <w:szCs w:val="22"/>
    </w:rPr>
  </w:style>
  <w:style w:type="character" w:customStyle="1" w:styleId="80">
    <w:name w:val="标准正文 Char"/>
    <w:link w:val="81"/>
    <w:qFormat/>
    <w:locked/>
    <w:uiPriority w:val="0"/>
    <w:rPr>
      <w:rFonts w:ascii="宋体" w:hAnsi="宋体" w:eastAsia="宋体"/>
      <w:color w:val="000000"/>
      <w:szCs w:val="21"/>
    </w:rPr>
  </w:style>
  <w:style w:type="paragraph" w:customStyle="1" w:styleId="81">
    <w:name w:val="标准正文"/>
    <w:basedOn w:val="1"/>
    <w:link w:val="80"/>
    <w:qFormat/>
    <w:uiPriority w:val="0"/>
    <w:pPr>
      <w:tabs>
        <w:tab w:val="left" w:pos="540"/>
        <w:tab w:val="left" w:pos="720"/>
        <w:tab w:val="left" w:pos="900"/>
        <w:tab w:val="left" w:pos="1080"/>
      </w:tabs>
      <w:snapToGrid w:val="0"/>
      <w:spacing w:line="288" w:lineRule="auto"/>
    </w:pPr>
    <w:rPr>
      <w:rFonts w:ascii="宋体" w:hAnsi="宋体" w:cstheme="minorBidi"/>
      <w:color w:val="000000"/>
      <w:kern w:val="2"/>
      <w:sz w:val="21"/>
    </w:rPr>
  </w:style>
  <w:style w:type="character" w:styleId="82">
    <w:name w:val="Placeholder Text"/>
    <w:basedOn w:val="22"/>
    <w:semiHidden/>
    <w:qFormat/>
    <w:uiPriority w:val="99"/>
    <w:rPr>
      <w:color w:val="808080"/>
    </w:rPr>
  </w:style>
  <w:style w:type="character" w:customStyle="1" w:styleId="83">
    <w:name w:val="markedcontent"/>
    <w:basedOn w:val="22"/>
    <w:qFormat/>
    <w:uiPriority w:val="0"/>
  </w:style>
  <w:style w:type="paragraph" w:customStyle="1" w:styleId="84">
    <w:name w:val="GAO相关资料"/>
    <w:basedOn w:val="1"/>
    <w:qFormat/>
    <w:uiPriority w:val="0"/>
    <w:pPr>
      <w:spacing w:line="240" w:lineRule="atLeast"/>
      <w:ind w:firstLine="200" w:firstLineChars="200"/>
    </w:pPr>
    <w:rPr>
      <w:rFonts w:eastAsia="楷体"/>
      <w:color w:val="BF9000" w:themeColor="accent4" w:themeShade="BF"/>
      <w:kern w:val="2"/>
      <w:szCs w:val="24"/>
    </w:rPr>
  </w:style>
  <w:style w:type="character" w:customStyle="1" w:styleId="85">
    <w:name w:val="fontstyle01"/>
    <w:basedOn w:val="22"/>
    <w:qFormat/>
    <w:uiPriority w:val="0"/>
    <w:rPr>
      <w:rFonts w:hint="eastAsia" w:ascii="宋体" w:hAnsi="宋体" w:eastAsia="宋体"/>
      <w:color w:val="000000"/>
      <w:sz w:val="24"/>
      <w:szCs w:val="24"/>
    </w:rPr>
  </w:style>
  <w:style w:type="paragraph" w:customStyle="1" w:styleId="86">
    <w:name w:val="样式（图名）"/>
    <w:basedOn w:val="1"/>
    <w:link w:val="87"/>
    <w:qFormat/>
    <w:uiPriority w:val="0"/>
    <w:pPr>
      <w:ind w:firstLine="420" w:firstLineChars="200"/>
      <w:jc w:val="center"/>
    </w:pPr>
    <w:rPr>
      <w:rFonts w:ascii="黑体" w:hAnsi="黑体" w:eastAsia="黑体" w:cs="Calibri"/>
      <w:kern w:val="2"/>
      <w:sz w:val="21"/>
    </w:rPr>
  </w:style>
  <w:style w:type="character" w:customStyle="1" w:styleId="87">
    <w:name w:val="样式（图名） Char"/>
    <w:basedOn w:val="22"/>
    <w:link w:val="86"/>
    <w:qFormat/>
    <w:uiPriority w:val="0"/>
    <w:rPr>
      <w:rFonts w:ascii="黑体" w:hAnsi="黑体" w:eastAsia="黑体" w:cs="Calibri"/>
      <w:szCs w:val="21"/>
    </w:rPr>
  </w:style>
  <w:style w:type="paragraph" w:customStyle="1" w:styleId="88">
    <w:name w:val="GAO正文－缩进2"/>
    <w:basedOn w:val="1"/>
    <w:qFormat/>
    <w:uiPriority w:val="0"/>
    <w:pPr>
      <w:widowControl/>
      <w:spacing w:line="240" w:lineRule="auto"/>
      <w:ind w:firstLine="200" w:firstLineChars="200"/>
      <w:jc w:val="left"/>
    </w:pPr>
    <w:rPr>
      <w:kern w:val="2"/>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emf"/><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relations xmlns="http://www.yonyou.com/relation"/>
</file>

<file path=customXml/item2.xml><?xml version="1.0" encoding="utf-8"?>
<dataSourceCollection xmlns="http://www.yonyou.com/datasourc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D9C3E9-9C39-4AA3-933B-1DFBEE429A64}">
  <ds:schemaRefs/>
</ds:datastoreItem>
</file>

<file path=customXml/itemProps2.xml><?xml version="1.0" encoding="utf-8"?>
<ds:datastoreItem xmlns:ds="http://schemas.openxmlformats.org/officeDocument/2006/customXml" ds:itemID="{54CA4072-EA7F-4685-9BC5-AEA44320F60F}">
  <ds:schemaRefs/>
</ds:datastoreItem>
</file>

<file path=customXml/itemProps3.xml><?xml version="1.0" encoding="utf-8"?>
<ds:datastoreItem xmlns:ds="http://schemas.openxmlformats.org/officeDocument/2006/customXml" ds:itemID="{3B54485A-671F-4A36-9DF1-E88EB8C82916}">
  <ds:schemaRefs/>
</ds:datastoreItem>
</file>

<file path=docProps/app.xml><?xml version="1.0" encoding="utf-8"?>
<Properties xmlns="http://schemas.openxmlformats.org/officeDocument/2006/extended-properties" xmlns:vt="http://schemas.openxmlformats.org/officeDocument/2006/docPropsVTypes">
  <Template>Normal</Template>
  <Pages>27</Pages>
  <Words>1739</Words>
  <Characters>9913</Characters>
  <Lines>82</Lines>
  <Paragraphs>23</Paragraphs>
  <TotalTime>3</TotalTime>
  <ScaleCrop>false</ScaleCrop>
  <LinksUpToDate>false</LinksUpToDate>
  <CharactersWithSpaces>11629</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2024-06-18T01:14:00Z</dcterms:created>
  <dc:creator>许晶</dc:creator>
  <cp:lastModifiedBy>肖军磊</cp:lastModifiedBy>
  <cp:lastPrinted>2024-06-17T11:40:00Z</cp:lastPrinted>
  <dcterms:modified xsi:type="dcterms:W3CDTF">2024-12-04T06:08:07Z</dcterms:modified>
  <cp:revision>212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78AC0C8483094C0DBB5E8B86C09A9901</vt:lpwstr>
  </property>
</Properties>
</file>