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5D850">
      <w:pPr>
        <w:ind w:firstLine="210" w:firstLineChars="100"/>
        <w:jc w:val="left"/>
        <w:rPr>
          <w:rFonts w:ascii="黑体"/>
          <w:sz w:val="36"/>
          <w:szCs w:val="36"/>
        </w:rPr>
      </w:pPr>
      <w:r>
        <w:rPr>
          <w:szCs w:val="24"/>
        </w:rPr>
        <w:drawing>
          <wp:inline distT="0" distB="0" distL="0" distR="0">
            <wp:extent cx="1500505" cy="85280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501139" cy="853439"/>
                    </a:xfrm>
                    <a:prstGeom prst="rect">
                      <a:avLst/>
                    </a:prstGeom>
                    <a:noFill/>
                    <a:ln w="9525" cap="flat" cmpd="sng">
                      <a:noFill/>
                      <a:prstDash val="solid"/>
                      <a:round/>
                    </a:ln>
                  </pic:spPr>
                </pic:pic>
              </a:graphicData>
            </a:graphic>
          </wp:inline>
        </w:drawing>
      </w:r>
      <w:r>
        <w:rPr>
          <w:rFonts w:hint="eastAsia"/>
          <w:b/>
          <w:bCs/>
          <w:sz w:val="36"/>
          <w:szCs w:val="36"/>
        </w:rPr>
        <w:t xml:space="preserve">          Ｔ/CECS</w:t>
      </w:r>
      <w:r>
        <w:rPr>
          <w:b/>
          <w:bCs/>
          <w:sz w:val="36"/>
          <w:szCs w:val="36"/>
        </w:rPr>
        <w:t xml:space="preserve"> </w:t>
      </w:r>
      <w:r>
        <w:rPr>
          <w:rFonts w:hint="eastAsia"/>
          <w:b/>
          <w:bCs/>
          <w:sz w:val="36"/>
          <w:szCs w:val="36"/>
        </w:rPr>
        <w:t>1</w:t>
      </w:r>
      <w:r>
        <w:rPr>
          <w:rFonts w:hint="eastAsia" w:ascii="宋体"/>
          <w:sz w:val="36"/>
          <w:szCs w:val="36"/>
        </w:rPr>
        <w:t>×××-2</w:t>
      </w:r>
      <w:r>
        <w:rPr>
          <w:rFonts w:ascii="宋体"/>
          <w:sz w:val="36"/>
          <w:szCs w:val="36"/>
        </w:rPr>
        <w:t>02</w:t>
      </w:r>
      <w:r>
        <w:rPr>
          <w:rFonts w:hint="eastAsia" w:ascii="宋体"/>
          <w:sz w:val="36"/>
          <w:szCs w:val="36"/>
        </w:rPr>
        <w:t>×</w:t>
      </w:r>
    </w:p>
    <w:p w14:paraId="75885412">
      <w:pPr>
        <w:ind w:firstLine="420"/>
        <w:jc w:val="left"/>
        <w:rPr>
          <w:b/>
          <w:bCs/>
          <w:sz w:val="36"/>
          <w:szCs w:val="36"/>
        </w:rPr>
      </w:pPr>
      <w:r>
        <w:rPr>
          <w:rFonts w:hint="eastAsia"/>
          <w:b/>
          <w:bCs/>
          <w:sz w:val="36"/>
          <w:szCs w:val="36"/>
        </w:rPr>
        <w:t xml:space="preserve">     </w:t>
      </w:r>
    </w:p>
    <w:p w14:paraId="0A0E1CAC">
      <w:pPr>
        <w:spacing w:line="600" w:lineRule="exact"/>
        <w:ind w:firstLine="720"/>
        <w:jc w:val="center"/>
        <w:rPr>
          <w:rFonts w:ascii="宋体"/>
          <w:sz w:val="36"/>
          <w:szCs w:val="36"/>
        </w:rPr>
      </w:pPr>
      <w:bookmarkStart w:id="0" w:name="_Toc17326"/>
      <w:r>
        <w:rPr>
          <w:rFonts w:hint="eastAsia" w:ascii="宋体"/>
          <w:sz w:val="36"/>
          <w:szCs w:val="36"/>
        </w:rPr>
        <w:t>中国工程建设标准化协会标准</w:t>
      </w:r>
      <w:bookmarkEnd w:id="0"/>
    </w:p>
    <w:p w14:paraId="5A6E95C6">
      <w:pPr>
        <w:spacing w:line="600" w:lineRule="exact"/>
        <w:ind w:firstLine="960" w:firstLineChars="400"/>
        <w:rPr>
          <w:rFonts w:ascii="仿宋_GB2312" w:eastAsia="仿宋_GB2312"/>
          <w:sz w:val="24"/>
          <w:szCs w:val="24"/>
        </w:rPr>
      </w:pPr>
    </w:p>
    <w:p w14:paraId="5F74BBF9">
      <w:pPr>
        <w:spacing w:after="156" w:afterLines="50" w:line="600" w:lineRule="exact"/>
        <w:ind w:firstLine="0" w:firstLineChars="0"/>
        <w:rPr>
          <w:rFonts w:ascii="黑体" w:eastAsia="黑体"/>
          <w:sz w:val="48"/>
          <w:szCs w:val="48"/>
        </w:rPr>
      </w:pPr>
      <w:r>
        <w:rPr>
          <w:rFonts w:hint="eastAsia" w:ascii="黑体" w:eastAsia="黑体"/>
          <w:sz w:val="48"/>
          <w:szCs w:val="48"/>
        </w:rPr>
        <w:t>既有工业建筑民用化低碳改造评价标准</w:t>
      </w:r>
    </w:p>
    <w:p w14:paraId="1C5C20A4">
      <w:pPr>
        <w:spacing w:line="560" w:lineRule="exact"/>
        <w:ind w:firstLine="0" w:firstLineChars="0"/>
        <w:jc w:val="center"/>
        <w:rPr>
          <w:rFonts w:eastAsia="黑体"/>
          <w:sz w:val="30"/>
          <w:szCs w:val="30"/>
        </w:rPr>
      </w:pPr>
      <w:r>
        <w:rPr>
          <w:rFonts w:eastAsia="黑体"/>
          <w:sz w:val="30"/>
          <w:szCs w:val="30"/>
        </w:rPr>
        <w:t>Assessment standard for low-carbon retrofitting for civilian</w:t>
      </w:r>
    </w:p>
    <w:p w14:paraId="155CFD9C">
      <w:pPr>
        <w:spacing w:line="560" w:lineRule="exact"/>
        <w:ind w:firstLine="0" w:firstLineChars="0"/>
        <w:jc w:val="center"/>
        <w:rPr>
          <w:rFonts w:eastAsia="黑体"/>
          <w:sz w:val="30"/>
          <w:szCs w:val="30"/>
        </w:rPr>
      </w:pPr>
      <w:r>
        <w:rPr>
          <w:rFonts w:eastAsia="黑体"/>
          <w:sz w:val="30"/>
          <w:szCs w:val="30"/>
        </w:rPr>
        <w:t>use of existing industrial building</w:t>
      </w:r>
    </w:p>
    <w:p w14:paraId="2B7A0ED5">
      <w:pPr>
        <w:spacing w:line="380" w:lineRule="atLeast"/>
        <w:ind w:left="1" w:firstLine="600"/>
        <w:jc w:val="center"/>
        <w:rPr>
          <w:sz w:val="30"/>
          <w:szCs w:val="30"/>
        </w:rPr>
      </w:pPr>
    </w:p>
    <w:p w14:paraId="0497CDF6">
      <w:pPr>
        <w:spacing w:line="380" w:lineRule="atLeast"/>
        <w:ind w:firstLine="0"/>
        <w:jc w:val="center"/>
        <w:rPr>
          <w:rFonts w:ascii="宋体"/>
          <w:sz w:val="32"/>
          <w:szCs w:val="32"/>
        </w:rPr>
      </w:pPr>
      <w:r>
        <w:rPr>
          <w:rFonts w:hint="eastAsia" w:ascii="宋体"/>
          <w:sz w:val="32"/>
          <w:szCs w:val="32"/>
        </w:rPr>
        <w:t>（征求意见稿）</w:t>
      </w:r>
    </w:p>
    <w:p w14:paraId="4EC4FBE8">
      <w:pPr>
        <w:spacing w:line="380" w:lineRule="atLeast"/>
        <w:ind w:firstLine="640"/>
        <w:jc w:val="center"/>
        <w:rPr>
          <w:rFonts w:ascii="宋体"/>
          <w:sz w:val="32"/>
          <w:szCs w:val="32"/>
        </w:rPr>
      </w:pPr>
    </w:p>
    <w:p w14:paraId="7600CD31">
      <w:pPr>
        <w:spacing w:line="560" w:lineRule="exact"/>
        <w:rPr>
          <w:szCs w:val="24"/>
        </w:rPr>
      </w:pPr>
    </w:p>
    <w:p w14:paraId="17CCCFCF">
      <w:pPr>
        <w:spacing w:line="380" w:lineRule="atLeast"/>
        <w:ind w:firstLine="640"/>
        <w:jc w:val="center"/>
        <w:rPr>
          <w:rFonts w:ascii="宋体"/>
          <w:sz w:val="32"/>
          <w:szCs w:val="32"/>
        </w:rPr>
      </w:pPr>
    </w:p>
    <w:p w14:paraId="274CE72E">
      <w:pPr>
        <w:spacing w:line="380" w:lineRule="atLeast"/>
        <w:ind w:firstLine="640"/>
        <w:jc w:val="center"/>
        <w:rPr>
          <w:rFonts w:ascii="宋体"/>
          <w:sz w:val="32"/>
          <w:szCs w:val="32"/>
        </w:rPr>
      </w:pPr>
    </w:p>
    <w:p w14:paraId="4C4DA547">
      <w:pPr>
        <w:spacing w:line="380" w:lineRule="atLeast"/>
        <w:ind w:firstLine="640"/>
        <w:jc w:val="center"/>
        <w:rPr>
          <w:rFonts w:ascii="宋体"/>
          <w:sz w:val="32"/>
          <w:szCs w:val="32"/>
        </w:rPr>
      </w:pPr>
    </w:p>
    <w:p w14:paraId="59CA7F44">
      <w:pPr>
        <w:spacing w:line="380" w:lineRule="atLeast"/>
        <w:ind w:firstLine="640"/>
        <w:jc w:val="center"/>
        <w:rPr>
          <w:rFonts w:ascii="宋体"/>
          <w:sz w:val="32"/>
          <w:szCs w:val="32"/>
        </w:rPr>
      </w:pPr>
    </w:p>
    <w:p w14:paraId="488131D0">
      <w:pPr>
        <w:spacing w:line="380" w:lineRule="atLeast"/>
        <w:ind w:firstLine="640"/>
        <w:jc w:val="center"/>
        <w:rPr>
          <w:rFonts w:ascii="宋体"/>
          <w:sz w:val="32"/>
          <w:szCs w:val="32"/>
        </w:rPr>
      </w:pPr>
    </w:p>
    <w:p w14:paraId="1F60D7CC">
      <w:pPr>
        <w:spacing w:line="380" w:lineRule="atLeast"/>
        <w:ind w:firstLine="640"/>
        <w:jc w:val="center"/>
        <w:rPr>
          <w:rFonts w:ascii="宋体"/>
          <w:sz w:val="32"/>
          <w:szCs w:val="32"/>
        </w:rPr>
      </w:pPr>
    </w:p>
    <w:p w14:paraId="614381C7">
      <w:pPr>
        <w:spacing w:line="380" w:lineRule="atLeast"/>
        <w:ind w:left="0" w:firstLine="0"/>
        <w:jc w:val="center"/>
        <w:rPr>
          <w:rFonts w:ascii="宋体"/>
          <w:b/>
          <w:sz w:val="32"/>
          <w:szCs w:val="32"/>
        </w:rPr>
      </w:pPr>
      <w:r>
        <w:rPr>
          <w:rFonts w:hint="eastAsia" w:ascii="宋体"/>
          <w:b/>
          <w:sz w:val="32"/>
          <w:szCs w:val="32"/>
        </w:rPr>
        <w:t>××××××出版社</w:t>
      </w:r>
    </w:p>
    <w:p w14:paraId="75D692DF">
      <w:pPr>
        <w:spacing w:line="380" w:lineRule="atLeast"/>
        <w:ind w:left="2" w:firstLine="640"/>
        <w:jc w:val="center"/>
        <w:rPr>
          <w:rFonts w:ascii="宋体"/>
          <w:sz w:val="32"/>
          <w:szCs w:val="32"/>
        </w:rPr>
      </w:pPr>
    </w:p>
    <w:p w14:paraId="48958A18">
      <w:pPr>
        <w:spacing w:line="600" w:lineRule="exact"/>
        <w:ind w:firstLine="640"/>
        <w:jc w:val="center"/>
        <w:rPr>
          <w:rFonts w:ascii="宋体"/>
          <w:sz w:val="32"/>
          <w:szCs w:val="32"/>
        </w:rPr>
        <w:sectPr>
          <w:footerReference r:id="rId3" w:type="default"/>
          <w:pgSz w:w="11906" w:h="16838"/>
          <w:pgMar w:top="1440" w:right="1800" w:bottom="1440" w:left="1800" w:header="851" w:footer="992" w:gutter="0"/>
          <w:cols w:space="425" w:num="1"/>
          <w:docGrid w:type="lines" w:linePitch="312" w:charSpace="0"/>
        </w:sectPr>
      </w:pPr>
    </w:p>
    <w:p w14:paraId="38A4185B">
      <w:pPr>
        <w:spacing w:line="600" w:lineRule="exact"/>
        <w:ind w:firstLine="640"/>
        <w:jc w:val="center"/>
        <w:rPr>
          <w:rFonts w:ascii="宋体"/>
          <w:sz w:val="32"/>
          <w:szCs w:val="32"/>
        </w:rPr>
      </w:pPr>
    </w:p>
    <w:p w14:paraId="0A4733A1">
      <w:pPr>
        <w:spacing w:line="600" w:lineRule="exact"/>
        <w:ind w:firstLine="640"/>
        <w:jc w:val="center"/>
        <w:rPr>
          <w:rFonts w:ascii="宋体"/>
          <w:sz w:val="32"/>
          <w:szCs w:val="32"/>
        </w:rPr>
      </w:pPr>
    </w:p>
    <w:p w14:paraId="68944F6C">
      <w:pPr>
        <w:spacing w:line="600" w:lineRule="exact"/>
        <w:ind w:firstLine="640"/>
        <w:jc w:val="center"/>
        <w:rPr>
          <w:rFonts w:ascii="宋体"/>
          <w:sz w:val="32"/>
          <w:szCs w:val="32"/>
        </w:rPr>
      </w:pPr>
      <w:bookmarkStart w:id="1" w:name="_Toc21473"/>
      <w:r>
        <w:rPr>
          <w:rFonts w:hint="eastAsia" w:ascii="宋体"/>
          <w:sz w:val="32"/>
          <w:szCs w:val="32"/>
        </w:rPr>
        <w:t>中国工程建设标准化协会标准</w:t>
      </w:r>
      <w:bookmarkEnd w:id="1"/>
    </w:p>
    <w:p w14:paraId="1CB7DB52">
      <w:pPr>
        <w:spacing w:line="600" w:lineRule="exact"/>
        <w:ind w:firstLine="960" w:firstLineChars="400"/>
        <w:rPr>
          <w:rFonts w:ascii="仿宋_GB2312" w:eastAsia="仿宋_GB2312"/>
          <w:sz w:val="24"/>
          <w:szCs w:val="24"/>
        </w:rPr>
      </w:pPr>
    </w:p>
    <w:p w14:paraId="5465A0A5">
      <w:pPr>
        <w:spacing w:line="600" w:lineRule="exact"/>
        <w:ind w:firstLine="960" w:firstLineChars="400"/>
        <w:rPr>
          <w:rFonts w:ascii="仿宋_GB2312" w:eastAsia="仿宋_GB2312"/>
          <w:sz w:val="24"/>
          <w:szCs w:val="24"/>
        </w:rPr>
      </w:pPr>
    </w:p>
    <w:p w14:paraId="59D0BB32">
      <w:pPr>
        <w:spacing w:line="560" w:lineRule="exact"/>
        <w:ind w:firstLine="720"/>
        <w:rPr>
          <w:rFonts w:eastAsia="黑体"/>
          <w:sz w:val="36"/>
          <w:szCs w:val="36"/>
        </w:rPr>
      </w:pPr>
    </w:p>
    <w:p w14:paraId="37AA6487">
      <w:pPr>
        <w:spacing w:after="156" w:afterLines="50" w:line="600" w:lineRule="exact"/>
        <w:rPr>
          <w:rFonts w:ascii="黑体" w:eastAsia="黑体"/>
          <w:sz w:val="48"/>
          <w:szCs w:val="48"/>
        </w:rPr>
      </w:pPr>
      <w:r>
        <w:rPr>
          <w:rFonts w:hint="eastAsia" w:ascii="黑体" w:eastAsia="黑体"/>
          <w:sz w:val="48"/>
          <w:szCs w:val="48"/>
        </w:rPr>
        <w:t>既有工业建筑民用化低碳改造评价标准</w:t>
      </w:r>
    </w:p>
    <w:p w14:paraId="1EDF5015">
      <w:pPr>
        <w:spacing w:line="560" w:lineRule="exact"/>
        <w:ind w:firstLine="600"/>
        <w:jc w:val="center"/>
        <w:rPr>
          <w:rFonts w:eastAsia="黑体"/>
          <w:sz w:val="30"/>
          <w:szCs w:val="30"/>
        </w:rPr>
      </w:pPr>
      <w:r>
        <w:rPr>
          <w:rFonts w:eastAsia="黑体"/>
          <w:sz w:val="30"/>
          <w:szCs w:val="30"/>
        </w:rPr>
        <w:t>Assessment standard for low-carbon retrofitting for civilian</w:t>
      </w:r>
    </w:p>
    <w:p w14:paraId="78100294">
      <w:pPr>
        <w:spacing w:line="560" w:lineRule="exact"/>
        <w:ind w:firstLine="600"/>
        <w:jc w:val="center"/>
        <w:rPr>
          <w:rFonts w:eastAsia="黑体"/>
          <w:sz w:val="30"/>
          <w:szCs w:val="30"/>
        </w:rPr>
      </w:pPr>
      <w:r>
        <w:rPr>
          <w:rFonts w:eastAsia="黑体"/>
          <w:sz w:val="30"/>
          <w:szCs w:val="30"/>
        </w:rPr>
        <w:t xml:space="preserve">use of existing </w:t>
      </w:r>
      <w:r>
        <w:rPr>
          <w:rFonts w:hint="eastAsia" w:eastAsia="黑体"/>
          <w:sz w:val="30"/>
          <w:szCs w:val="30"/>
        </w:rPr>
        <w:t>i</w:t>
      </w:r>
      <w:r>
        <w:rPr>
          <w:rFonts w:eastAsia="黑体"/>
          <w:sz w:val="30"/>
          <w:szCs w:val="30"/>
        </w:rPr>
        <w:t>ndustrial building</w:t>
      </w:r>
    </w:p>
    <w:p w14:paraId="193FD683">
      <w:pPr>
        <w:spacing w:line="380" w:lineRule="atLeast"/>
        <w:ind w:left="1" w:firstLine="600"/>
        <w:jc w:val="center"/>
        <w:rPr>
          <w:sz w:val="30"/>
          <w:szCs w:val="30"/>
        </w:rPr>
      </w:pPr>
      <w:r>
        <w:rPr>
          <w:sz w:val="30"/>
          <w:szCs w:val="30"/>
        </w:rPr>
        <w:t xml:space="preserve"> </w:t>
      </w:r>
    </w:p>
    <w:p w14:paraId="4115250C">
      <w:pPr>
        <w:spacing w:line="380" w:lineRule="atLeast"/>
        <w:ind w:left="2" w:firstLine="640"/>
        <w:jc w:val="center"/>
        <w:rPr>
          <w:rFonts w:ascii="宋体"/>
          <w:sz w:val="32"/>
          <w:szCs w:val="32"/>
        </w:rPr>
      </w:pPr>
      <w:r>
        <w:rPr>
          <w:rFonts w:hint="eastAsia" w:ascii="宋体"/>
          <w:sz w:val="32"/>
          <w:szCs w:val="32"/>
        </w:rPr>
        <w:t>T/CECS 1×××-2</w:t>
      </w:r>
      <w:r>
        <w:rPr>
          <w:rFonts w:ascii="宋体"/>
          <w:sz w:val="32"/>
          <w:szCs w:val="32"/>
        </w:rPr>
        <w:t>02</w:t>
      </w:r>
      <w:r>
        <w:rPr>
          <w:rFonts w:hint="eastAsia" w:ascii="宋体"/>
          <w:sz w:val="32"/>
          <w:szCs w:val="32"/>
        </w:rPr>
        <w:t>×</w:t>
      </w:r>
    </w:p>
    <w:p w14:paraId="633B25CF">
      <w:pPr>
        <w:spacing w:line="380" w:lineRule="atLeast"/>
        <w:ind w:left="2" w:firstLine="640"/>
        <w:jc w:val="center"/>
        <w:rPr>
          <w:rFonts w:ascii="宋体"/>
          <w:sz w:val="32"/>
          <w:szCs w:val="32"/>
        </w:rPr>
      </w:pPr>
    </w:p>
    <w:p w14:paraId="6F2657FA">
      <w:pPr>
        <w:spacing w:line="380" w:lineRule="atLeast"/>
        <w:ind w:left="2" w:firstLine="640"/>
        <w:jc w:val="center"/>
        <w:rPr>
          <w:rFonts w:ascii="宋体"/>
          <w:sz w:val="32"/>
          <w:szCs w:val="32"/>
        </w:rPr>
      </w:pPr>
    </w:p>
    <w:p w14:paraId="2D0A1399">
      <w:pPr>
        <w:spacing w:line="360" w:lineRule="auto"/>
        <w:ind w:firstLine="840" w:firstLineChars="300"/>
        <w:rPr>
          <w:rFonts w:ascii="宋体"/>
          <w:sz w:val="28"/>
          <w:szCs w:val="28"/>
        </w:rPr>
      </w:pPr>
      <w:r>
        <w:rPr>
          <w:rFonts w:hint="eastAsia" w:ascii="宋体"/>
          <w:sz w:val="28"/>
          <w:szCs w:val="28"/>
        </w:rPr>
        <w:t>主编单位：中国建筑科学研究院有限公司</w:t>
      </w:r>
    </w:p>
    <w:p w14:paraId="769E9F22">
      <w:pPr>
        <w:ind w:firstLine="2240" w:firstLineChars="800"/>
        <w:rPr>
          <w:rFonts w:ascii="宋体"/>
          <w:sz w:val="28"/>
          <w:szCs w:val="28"/>
        </w:rPr>
      </w:pPr>
      <w:bookmarkStart w:id="2" w:name="_Toc24254"/>
      <w:r>
        <w:rPr>
          <w:rFonts w:ascii="宋体"/>
          <w:sz w:val="28"/>
          <w:szCs w:val="28"/>
        </w:rPr>
        <w:t>北京全联城市更新建设发展研究院有限公司</w:t>
      </w:r>
      <w:bookmarkEnd w:id="2"/>
    </w:p>
    <w:p w14:paraId="3E4BD14A">
      <w:pPr>
        <w:spacing w:line="360" w:lineRule="auto"/>
        <w:ind w:firstLine="840" w:firstLineChars="300"/>
        <w:rPr>
          <w:rFonts w:ascii="宋体"/>
          <w:sz w:val="28"/>
          <w:szCs w:val="28"/>
        </w:rPr>
      </w:pPr>
      <w:r>
        <w:rPr>
          <w:rFonts w:hint="eastAsia" w:ascii="宋体"/>
          <w:sz w:val="28"/>
          <w:szCs w:val="28"/>
        </w:rPr>
        <w:t>批准单位：中国工程建设标准化协会</w:t>
      </w:r>
    </w:p>
    <w:p w14:paraId="7DA8DA1F">
      <w:pPr>
        <w:spacing w:line="360" w:lineRule="auto"/>
        <w:ind w:firstLine="840" w:firstLineChars="300"/>
        <w:rPr>
          <w:rFonts w:ascii="宋体"/>
          <w:sz w:val="28"/>
          <w:szCs w:val="28"/>
        </w:rPr>
      </w:pPr>
      <w:r>
        <w:rPr>
          <w:rFonts w:hint="eastAsia" w:ascii="宋体"/>
          <w:sz w:val="28"/>
          <w:szCs w:val="28"/>
        </w:rPr>
        <w:t>施行日期：202X年XX月XX日</w:t>
      </w:r>
    </w:p>
    <w:p w14:paraId="51C4DA16">
      <w:pPr>
        <w:spacing w:line="380" w:lineRule="atLeast"/>
        <w:ind w:firstLine="640"/>
        <w:rPr>
          <w:rFonts w:ascii="宋体"/>
          <w:sz w:val="32"/>
          <w:szCs w:val="32"/>
        </w:rPr>
      </w:pPr>
    </w:p>
    <w:p w14:paraId="07EF5D88">
      <w:pPr>
        <w:spacing w:line="380" w:lineRule="atLeast"/>
        <w:ind w:firstLine="640"/>
        <w:rPr>
          <w:rFonts w:ascii="宋体"/>
          <w:sz w:val="32"/>
          <w:szCs w:val="32"/>
        </w:rPr>
      </w:pPr>
    </w:p>
    <w:p w14:paraId="04E3CE3A">
      <w:pPr>
        <w:spacing w:line="380" w:lineRule="atLeast"/>
        <w:ind w:firstLine="640"/>
        <w:rPr>
          <w:rFonts w:ascii="宋体"/>
          <w:sz w:val="32"/>
          <w:szCs w:val="32"/>
        </w:rPr>
      </w:pPr>
    </w:p>
    <w:p w14:paraId="326B33CE">
      <w:pPr>
        <w:spacing w:line="380" w:lineRule="atLeast"/>
        <w:ind w:left="2" w:firstLine="643"/>
        <w:jc w:val="center"/>
        <w:rPr>
          <w:rFonts w:ascii="宋体"/>
          <w:b/>
          <w:sz w:val="32"/>
          <w:szCs w:val="32"/>
        </w:rPr>
      </w:pPr>
      <w:r>
        <w:rPr>
          <w:rFonts w:hint="eastAsia" w:ascii="宋体"/>
          <w:b/>
          <w:sz w:val="32"/>
          <w:szCs w:val="32"/>
        </w:rPr>
        <w:t>××××××出版社</w:t>
      </w:r>
    </w:p>
    <w:p w14:paraId="55AF2A2B">
      <w:pPr>
        <w:spacing w:line="380" w:lineRule="atLeast"/>
        <w:jc w:val="center"/>
        <w:rPr>
          <w:rFonts w:ascii="宋体"/>
          <w:b/>
          <w:sz w:val="24"/>
          <w:szCs w:val="24"/>
        </w:rPr>
      </w:pPr>
      <w:r>
        <w:rPr>
          <w:rFonts w:ascii="宋体"/>
          <w:b/>
          <w:sz w:val="24"/>
          <w:szCs w:val="24"/>
        </w:rPr>
        <w:t xml:space="preserve">202X  </w:t>
      </w:r>
      <w:r>
        <w:rPr>
          <w:rFonts w:hint="eastAsia" w:ascii="宋体"/>
          <w:b/>
          <w:sz w:val="24"/>
          <w:szCs w:val="24"/>
        </w:rPr>
        <w:t>北京</w:t>
      </w:r>
    </w:p>
    <w:p w14:paraId="6F77FA8A">
      <w:pPr>
        <w:autoSpaceDE w:val="0"/>
        <w:autoSpaceDN w:val="0"/>
        <w:snapToGrid w:val="0"/>
        <w:spacing w:line="288" w:lineRule="auto"/>
        <w:ind w:firstLine="643"/>
        <w:jc w:val="center"/>
        <w:rPr>
          <w:b/>
          <w:bCs/>
          <w:kern w:val="44"/>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14:paraId="40928E16">
      <w:pPr>
        <w:autoSpaceDE w:val="0"/>
        <w:autoSpaceDN w:val="0"/>
        <w:snapToGrid w:val="0"/>
        <w:spacing w:line="288" w:lineRule="auto"/>
        <w:jc w:val="center"/>
        <w:outlineLvl w:val="0"/>
        <w:rPr>
          <w:b/>
          <w:bCs/>
          <w:kern w:val="44"/>
          <w:sz w:val="32"/>
          <w:szCs w:val="32"/>
        </w:rPr>
      </w:pPr>
      <w:bookmarkStart w:id="3" w:name="_Toc29453"/>
      <w:bookmarkStart w:id="4" w:name="_Toc20356"/>
      <w:bookmarkStart w:id="5" w:name="_Toc22732"/>
      <w:bookmarkStart w:id="6" w:name="_Toc2539"/>
      <w:bookmarkStart w:id="7" w:name="_Toc16192"/>
      <w:bookmarkStart w:id="8" w:name="_Toc23370"/>
      <w:bookmarkStart w:id="9" w:name="_Toc3759"/>
      <w:bookmarkStart w:id="10" w:name="_Toc19033"/>
      <w:bookmarkStart w:id="11" w:name="_Toc9877"/>
      <w:bookmarkStart w:id="12" w:name="_Toc5491"/>
      <w:bookmarkStart w:id="13" w:name="_Toc1954"/>
      <w:bookmarkStart w:id="14" w:name="_Toc31846"/>
      <w:bookmarkStart w:id="15" w:name="_Toc18201"/>
      <w:bookmarkStart w:id="16" w:name="_Toc19362"/>
      <w:bookmarkStart w:id="17" w:name="_Toc16681"/>
      <w:bookmarkStart w:id="18" w:name="_Toc10354"/>
      <w:r>
        <w:rPr>
          <w:rFonts w:hint="eastAsia"/>
          <w:b/>
          <w:bCs/>
          <w:kern w:val="44"/>
          <w:sz w:val="32"/>
          <w:szCs w:val="32"/>
        </w:rPr>
        <w:t>前  言</w:t>
      </w:r>
      <w:bookmarkEnd w:id="3"/>
      <w:bookmarkEnd w:id="4"/>
      <w:bookmarkEnd w:id="5"/>
      <w:bookmarkEnd w:id="6"/>
      <w:bookmarkEnd w:id="7"/>
    </w:p>
    <w:p w14:paraId="5161B7C9">
      <w:pPr>
        <w:autoSpaceDE w:val="0"/>
        <w:autoSpaceDN w:val="0"/>
        <w:snapToGrid w:val="0"/>
        <w:spacing w:line="288" w:lineRule="auto"/>
        <w:ind w:firstLine="643"/>
        <w:rPr>
          <w:b/>
          <w:bCs/>
          <w:kern w:val="44"/>
          <w:sz w:val="32"/>
          <w:szCs w:val="32"/>
        </w:rPr>
      </w:pPr>
    </w:p>
    <w:p w14:paraId="2CD47309">
      <w:pPr>
        <w:snapToGrid w:val="0"/>
        <w:spacing w:line="360" w:lineRule="auto"/>
        <w:ind w:firstLine="480" w:firstLineChars="200"/>
        <w:rPr>
          <w:kern w:val="44"/>
          <w:sz w:val="24"/>
          <w:szCs w:val="24"/>
        </w:rPr>
      </w:pPr>
      <w:bookmarkStart w:id="19" w:name="_Toc1832"/>
      <w:r>
        <w:rPr>
          <w:rFonts w:hint="eastAsia"/>
          <w:kern w:val="44"/>
          <w:sz w:val="24"/>
          <w:szCs w:val="24"/>
        </w:rPr>
        <w:t>《既有工业建筑民用化低碳改造评价标准》（以下简称标准）是根据中国工程建设标准化协会《关于印发&lt;2022年第二批协会标准制订、修订计划&gt;的通知》（建标协字</w:t>
      </w:r>
      <w:r>
        <w:rPr>
          <w:rFonts w:hint="eastAsia" w:ascii="宋体" w:hAnsi="宋体"/>
          <w:kern w:val="44"/>
          <w:sz w:val="24"/>
          <w:szCs w:val="24"/>
        </w:rPr>
        <w:t>〔</w:t>
      </w:r>
      <w:r>
        <w:rPr>
          <w:rFonts w:hint="eastAsia"/>
          <w:kern w:val="44"/>
          <w:sz w:val="24"/>
          <w:szCs w:val="24"/>
        </w:rPr>
        <w:t>2022</w:t>
      </w:r>
      <w:r>
        <w:rPr>
          <w:rFonts w:hint="eastAsia" w:ascii="宋体" w:hAnsi="宋体"/>
          <w:kern w:val="44"/>
          <w:sz w:val="24"/>
          <w:szCs w:val="24"/>
        </w:rPr>
        <w:t>〕</w:t>
      </w:r>
      <w:r>
        <w:rPr>
          <w:rFonts w:hint="eastAsia"/>
          <w:kern w:val="44"/>
          <w:sz w:val="24"/>
          <w:szCs w:val="24"/>
        </w:rPr>
        <w:t>40号）的要求编制的。编制组经</w:t>
      </w:r>
      <w:r>
        <w:rPr>
          <w:rFonts w:hint="default"/>
          <w:kern w:val="44"/>
          <w:sz w:val="24"/>
          <w:szCs w:val="24"/>
          <w:lang w:val="en-US"/>
        </w:rPr>
        <w:t>广泛</w:t>
      </w:r>
      <w:r>
        <w:rPr>
          <w:rFonts w:hint="eastAsia"/>
          <w:kern w:val="44"/>
          <w:sz w:val="24"/>
          <w:szCs w:val="24"/>
        </w:rPr>
        <w:t>调查研究，认真总结实践经验，参考国内外先进标准，并在广泛征求意见的基础上，制定本标准。</w:t>
      </w:r>
      <w:bookmarkEnd w:id="19"/>
    </w:p>
    <w:p w14:paraId="6D4DF204">
      <w:pPr>
        <w:snapToGrid w:val="0"/>
        <w:spacing w:line="360" w:lineRule="auto"/>
        <w:ind w:firstLine="480" w:firstLineChars="200"/>
        <w:rPr>
          <w:kern w:val="44"/>
          <w:sz w:val="24"/>
          <w:szCs w:val="24"/>
        </w:rPr>
      </w:pPr>
      <w:bookmarkStart w:id="20" w:name="_Toc18542"/>
      <w:r>
        <w:rPr>
          <w:rFonts w:hint="eastAsia"/>
          <w:kern w:val="44"/>
          <w:sz w:val="24"/>
          <w:szCs w:val="24"/>
        </w:rPr>
        <w:t>本标准共分为8章</w:t>
      </w:r>
      <w:r>
        <w:rPr>
          <w:rFonts w:hint="eastAsia"/>
          <w:kern w:val="44"/>
          <w:sz w:val="24"/>
          <w:szCs w:val="24"/>
          <w:lang w:val="en-US" w:eastAsia="zh-CN"/>
        </w:rPr>
        <w:t>和1个附录</w:t>
      </w:r>
      <w:r>
        <w:rPr>
          <w:rFonts w:hint="eastAsia"/>
          <w:kern w:val="44"/>
          <w:sz w:val="24"/>
          <w:szCs w:val="24"/>
        </w:rPr>
        <w:t>，主要内容包括</w:t>
      </w:r>
      <w:r>
        <w:rPr>
          <w:rFonts w:hint="eastAsia"/>
          <w:kern w:val="44"/>
          <w:sz w:val="24"/>
          <w:szCs w:val="24"/>
          <w:lang w:eastAsia="zh-CN"/>
        </w:rPr>
        <w:t>：</w:t>
      </w:r>
      <w:r>
        <w:rPr>
          <w:rFonts w:hint="eastAsia"/>
          <w:kern w:val="44"/>
          <w:sz w:val="24"/>
          <w:szCs w:val="24"/>
        </w:rPr>
        <w:t>总则、术语、基本规定、场地与环境、建筑改造与利用、能源与水资源利用、建材与建造、提高与创新等。</w:t>
      </w:r>
      <w:bookmarkEnd w:id="20"/>
    </w:p>
    <w:p w14:paraId="624A63CF">
      <w:pPr>
        <w:snapToGrid w:val="0"/>
        <w:spacing w:line="360" w:lineRule="auto"/>
        <w:ind w:firstLine="480" w:firstLineChars="200"/>
        <w:rPr>
          <w:kern w:val="44"/>
          <w:sz w:val="24"/>
          <w:szCs w:val="24"/>
        </w:rPr>
      </w:pPr>
      <w:bookmarkStart w:id="21" w:name="_Toc15296"/>
      <w:r>
        <w:rPr>
          <w:rFonts w:hint="eastAsia"/>
          <w:kern w:val="44"/>
          <w:sz w:val="24"/>
          <w:szCs w:val="24"/>
        </w:rPr>
        <w:t>本标准的某些内容可能直接或间接涉及专利，本标准的发布机构不识别这些专利的责任。</w:t>
      </w:r>
      <w:bookmarkEnd w:id="21"/>
    </w:p>
    <w:p w14:paraId="5AE3ECD1">
      <w:pPr>
        <w:snapToGrid w:val="0"/>
        <w:spacing w:line="360" w:lineRule="auto"/>
        <w:ind w:firstLine="480" w:firstLineChars="200"/>
        <w:rPr>
          <w:rFonts w:hint="eastAsia" w:eastAsia="宋体"/>
          <w:kern w:val="44"/>
          <w:sz w:val="24"/>
          <w:szCs w:val="24"/>
          <w:lang w:val="en-US" w:eastAsia="zh-CN"/>
        </w:rPr>
      </w:pPr>
      <w:bookmarkStart w:id="22" w:name="_Toc10188"/>
      <w:r>
        <w:rPr>
          <w:rFonts w:hint="eastAsia"/>
          <w:kern w:val="44"/>
          <w:sz w:val="24"/>
          <w:szCs w:val="24"/>
        </w:rPr>
        <w:t>本标准由中国工程建设标准化协会绿色建筑与生态城区分会归口管理，由中国建筑科学研究院有限公司负责解释。执行过程中，如有意见或建</w:t>
      </w:r>
      <w:r>
        <w:rPr>
          <w:rFonts w:hint="eastAsia"/>
          <w:kern w:val="44"/>
          <w:sz w:val="24"/>
          <w:szCs w:val="24"/>
          <w:lang w:eastAsia="zh-CN"/>
        </w:rPr>
        <w:t>议</w:t>
      </w:r>
      <w:r>
        <w:rPr>
          <w:rFonts w:hint="eastAsia"/>
          <w:kern w:val="44"/>
          <w:sz w:val="24"/>
          <w:szCs w:val="24"/>
        </w:rPr>
        <w:t>，请反馈给中国建筑科学研究院有限公司（地址：</w:t>
      </w:r>
      <w:r>
        <w:rPr>
          <w:rFonts w:hint="eastAsia"/>
          <w:kern w:val="44"/>
          <w:sz w:val="24"/>
          <w:szCs w:val="24"/>
          <w:lang w:val="en-US" w:eastAsia="zh-CN"/>
        </w:rPr>
        <w:t>XXX，</w:t>
      </w:r>
      <w:r>
        <w:rPr>
          <w:rFonts w:hint="eastAsia"/>
          <w:kern w:val="44"/>
          <w:sz w:val="24"/>
          <w:szCs w:val="24"/>
        </w:rPr>
        <w:t>邮编：</w:t>
      </w:r>
      <w:r>
        <w:rPr>
          <w:rFonts w:hint="eastAsia"/>
          <w:kern w:val="44"/>
          <w:sz w:val="24"/>
          <w:szCs w:val="24"/>
          <w:lang w:val="en-US" w:eastAsia="zh-CN"/>
        </w:rPr>
        <w:t>XXX，</w:t>
      </w:r>
      <w:r>
        <w:rPr>
          <w:rFonts w:hint="eastAsia"/>
          <w:kern w:val="44"/>
          <w:sz w:val="24"/>
          <w:szCs w:val="24"/>
        </w:rPr>
        <w:t>邮箱：</w:t>
      </w:r>
      <w:r>
        <w:rPr>
          <w:rFonts w:hint="eastAsia"/>
          <w:kern w:val="44"/>
          <w:sz w:val="24"/>
          <w:szCs w:val="24"/>
          <w:lang w:val="en-US" w:eastAsia="zh-CN"/>
        </w:rPr>
        <w:t>XXX</w:t>
      </w:r>
      <w:r>
        <w:rPr>
          <w:rFonts w:hint="eastAsia"/>
          <w:kern w:val="44"/>
          <w:sz w:val="24"/>
          <w:szCs w:val="24"/>
        </w:rPr>
        <w:t>）</w:t>
      </w:r>
      <w:bookmarkEnd w:id="22"/>
      <w:r>
        <w:rPr>
          <w:rFonts w:hint="eastAsia"/>
          <w:kern w:val="44"/>
          <w:sz w:val="24"/>
          <w:szCs w:val="24"/>
          <w:lang w:eastAsia="zh-CN"/>
        </w:rPr>
        <w:t>。</w:t>
      </w:r>
    </w:p>
    <w:p w14:paraId="7500E7FD">
      <w:pPr>
        <w:snapToGrid w:val="0"/>
        <w:spacing w:line="360" w:lineRule="auto"/>
        <w:ind w:firstLine="482" w:firstLineChars="200"/>
        <w:rPr>
          <w:kern w:val="44"/>
          <w:sz w:val="24"/>
          <w:szCs w:val="24"/>
        </w:rPr>
      </w:pPr>
      <w:bookmarkStart w:id="23" w:name="_Toc3916"/>
      <w:r>
        <w:rPr>
          <w:rFonts w:hint="eastAsia"/>
          <w:b/>
          <w:bCs/>
          <w:kern w:val="44"/>
          <w:sz w:val="24"/>
          <w:szCs w:val="24"/>
        </w:rPr>
        <w:t>主编单位：</w:t>
      </w:r>
      <w:r>
        <w:rPr>
          <w:rFonts w:hint="eastAsia"/>
          <w:kern w:val="44"/>
          <w:sz w:val="24"/>
          <w:szCs w:val="24"/>
        </w:rPr>
        <w:t>中国建筑科学研究院有限公司</w:t>
      </w:r>
      <w:bookmarkEnd w:id="23"/>
    </w:p>
    <w:p w14:paraId="3ED0BB7D">
      <w:pPr>
        <w:snapToGrid w:val="0"/>
        <w:spacing w:line="360" w:lineRule="auto"/>
        <w:ind w:firstLine="1680" w:firstLineChars="700"/>
        <w:rPr>
          <w:kern w:val="44"/>
          <w:sz w:val="24"/>
          <w:szCs w:val="24"/>
        </w:rPr>
      </w:pPr>
      <w:bookmarkStart w:id="24" w:name="_Toc7373"/>
      <w:r>
        <w:rPr>
          <w:rFonts w:hint="eastAsia"/>
          <w:kern w:val="44"/>
          <w:sz w:val="24"/>
          <w:szCs w:val="24"/>
        </w:rPr>
        <w:t>北京全联城市更新建设发展研究院有限公司</w:t>
      </w:r>
      <w:bookmarkEnd w:id="24"/>
    </w:p>
    <w:p w14:paraId="68B57782">
      <w:pPr>
        <w:snapToGrid w:val="0"/>
        <w:spacing w:line="360" w:lineRule="auto"/>
        <w:ind w:firstLine="482" w:firstLineChars="200"/>
        <w:rPr>
          <w:rFonts w:hint="default" w:eastAsia="宋体"/>
          <w:kern w:val="44"/>
          <w:sz w:val="24"/>
          <w:szCs w:val="24"/>
          <w:lang w:val="en-US" w:eastAsia="zh-CN"/>
        </w:rPr>
      </w:pPr>
      <w:bookmarkStart w:id="25" w:name="_Toc4984"/>
      <w:r>
        <w:rPr>
          <w:rFonts w:hint="eastAsia"/>
          <w:b/>
          <w:bCs/>
          <w:kern w:val="44"/>
          <w:sz w:val="24"/>
          <w:szCs w:val="24"/>
        </w:rPr>
        <w:t>参编单位：</w:t>
      </w:r>
      <w:bookmarkEnd w:id="25"/>
      <w:r>
        <w:rPr>
          <w:rFonts w:hint="eastAsia"/>
          <w:b/>
          <w:bCs/>
          <w:kern w:val="44"/>
          <w:sz w:val="24"/>
          <w:szCs w:val="24"/>
          <w:lang w:val="en-US" w:eastAsia="zh-CN"/>
        </w:rPr>
        <w:t>XXX</w:t>
      </w:r>
    </w:p>
    <w:p w14:paraId="14B6B2E9">
      <w:pPr>
        <w:snapToGrid w:val="0"/>
        <w:spacing w:line="360" w:lineRule="auto"/>
        <w:ind w:firstLine="482" w:firstLineChars="200"/>
        <w:rPr>
          <w:rFonts w:hint="default" w:eastAsia="宋体"/>
          <w:b/>
          <w:bCs/>
          <w:kern w:val="44"/>
          <w:sz w:val="24"/>
          <w:szCs w:val="24"/>
          <w:lang w:val="en-US" w:eastAsia="zh-CN"/>
        </w:rPr>
      </w:pPr>
      <w:bookmarkStart w:id="26" w:name="_Toc26749"/>
      <w:r>
        <w:rPr>
          <w:rFonts w:hint="eastAsia"/>
          <w:b/>
          <w:bCs/>
          <w:kern w:val="44"/>
          <w:sz w:val="24"/>
          <w:szCs w:val="24"/>
        </w:rPr>
        <w:t>主要起草人：</w:t>
      </w:r>
      <w:bookmarkEnd w:id="26"/>
      <w:r>
        <w:rPr>
          <w:rFonts w:hint="eastAsia"/>
          <w:b/>
          <w:bCs/>
          <w:kern w:val="44"/>
          <w:sz w:val="24"/>
          <w:szCs w:val="24"/>
          <w:lang w:val="en-US" w:eastAsia="zh-CN"/>
        </w:rPr>
        <w:t>XXX</w:t>
      </w:r>
    </w:p>
    <w:p w14:paraId="52BB2BEF">
      <w:pPr>
        <w:snapToGrid w:val="0"/>
        <w:spacing w:line="360" w:lineRule="auto"/>
        <w:ind w:firstLine="482" w:firstLineChars="200"/>
        <w:rPr>
          <w:rFonts w:hint="default" w:eastAsia="宋体"/>
          <w:b/>
          <w:bCs/>
          <w:kern w:val="44"/>
          <w:sz w:val="24"/>
          <w:szCs w:val="24"/>
          <w:lang w:val="en-US" w:eastAsia="zh-CN"/>
        </w:rPr>
      </w:pPr>
      <w:r>
        <w:rPr>
          <w:rFonts w:hint="eastAsia" w:ascii="宋体"/>
          <w:b/>
          <w:bCs/>
          <w:sz w:val="24"/>
        </w:rPr>
        <w:t>主要审查人：</w:t>
      </w:r>
      <w:r>
        <w:rPr>
          <w:rFonts w:hint="eastAsia" w:ascii="宋体"/>
          <w:b/>
          <w:bCs/>
          <w:sz w:val="24"/>
          <w:lang w:val="en-US" w:eastAsia="zh-CN"/>
        </w:rPr>
        <w:t>xxx</w:t>
      </w:r>
    </w:p>
    <w:p w14:paraId="152133E9">
      <w:pPr>
        <w:autoSpaceDE w:val="0"/>
        <w:autoSpaceDN w:val="0"/>
        <w:snapToGrid w:val="0"/>
        <w:spacing w:line="288" w:lineRule="auto"/>
        <w:ind w:firstLine="643"/>
        <w:jc w:val="center"/>
        <w:rPr>
          <w:rFonts w:hint="default" w:eastAsia="宋体"/>
          <w:b/>
          <w:bCs/>
          <w:kern w:val="44"/>
          <w:sz w:val="32"/>
          <w:szCs w:val="32"/>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p w14:paraId="011D8E62">
      <w:pPr>
        <w:autoSpaceDE w:val="0"/>
        <w:autoSpaceDN w:val="0"/>
        <w:snapToGrid w:val="0"/>
        <w:spacing w:line="288" w:lineRule="auto"/>
        <w:jc w:val="center"/>
        <w:outlineLvl w:val="0"/>
        <w:rPr>
          <w:b/>
          <w:bCs/>
          <w:kern w:val="44"/>
          <w:sz w:val="32"/>
          <w:szCs w:val="32"/>
        </w:rPr>
      </w:pPr>
      <w:bookmarkStart w:id="27" w:name="_Toc25030"/>
      <w:bookmarkStart w:id="28" w:name="_Toc25515"/>
      <w:bookmarkStart w:id="29" w:name="_Toc27530"/>
      <w:bookmarkStart w:id="30" w:name="_Toc27206"/>
      <w:bookmarkStart w:id="31" w:name="_Toc5766"/>
      <w:r>
        <w:rPr>
          <w:rFonts w:hint="eastAsia"/>
          <w:b/>
          <w:bCs/>
          <w:kern w:val="44"/>
          <w:sz w:val="32"/>
          <w:szCs w:val="32"/>
        </w:rPr>
        <w:t>目次</w:t>
      </w:r>
      <w:bookmarkEnd w:id="8"/>
      <w:bookmarkEnd w:id="9"/>
      <w:bookmarkEnd w:id="10"/>
      <w:bookmarkEnd w:id="11"/>
      <w:bookmarkEnd w:id="12"/>
      <w:bookmarkEnd w:id="13"/>
      <w:bookmarkEnd w:id="14"/>
      <w:bookmarkEnd w:id="15"/>
      <w:bookmarkEnd w:id="16"/>
      <w:bookmarkEnd w:id="17"/>
      <w:bookmarkEnd w:id="18"/>
      <w:bookmarkEnd w:id="27"/>
      <w:bookmarkEnd w:id="28"/>
      <w:bookmarkEnd w:id="29"/>
      <w:bookmarkEnd w:id="30"/>
      <w:bookmarkEnd w:id="31"/>
    </w:p>
    <w:sdt>
      <w:sdtPr>
        <w:rPr>
          <w:rFonts w:ascii="宋体" w:hAnsi="宋体"/>
        </w:rPr>
        <w:id w:val="147465577"/>
        <w15:color w:val="DBDBDB"/>
        <w:docPartObj>
          <w:docPartGallery w:val="Table of Contents"/>
          <w:docPartUnique/>
        </w:docPartObj>
      </w:sdtPr>
      <w:sdtEndPr>
        <w:rPr>
          <w:rFonts w:ascii="宋体" w:hAnsi="宋体"/>
          <w:b/>
        </w:rPr>
      </w:sdtEndPr>
      <w:sdtContent>
        <w:p w14:paraId="65EC0237">
          <w:pPr>
            <w:jc w:val="center"/>
          </w:pPr>
        </w:p>
        <w:p w14:paraId="1E498131">
          <w:pPr>
            <w:pStyle w:val="11"/>
            <w:tabs>
              <w:tab w:val="right" w:leader="dot" w:pos="8306"/>
            </w:tabs>
            <w:spacing w:line="360" w:lineRule="auto"/>
            <w:rPr>
              <w:rFonts w:hint="eastAsia" w:ascii="宋体" w:hAnsi="宋体" w:cs="宋体"/>
              <w:sz w:val="24"/>
              <w:szCs w:val="24"/>
            </w:rPr>
          </w:pPr>
          <w:r>
            <w:fldChar w:fldCharType="begin"/>
          </w:r>
          <w:r>
            <w:instrText xml:space="preserve">TOC \o "1-2" \h \u </w:instrText>
          </w:r>
          <w: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_Toc3701 </w:instrText>
          </w:r>
          <w:r>
            <w:rPr>
              <w:rFonts w:hint="eastAsia" w:ascii="宋体" w:hAnsi="宋体" w:cs="宋体"/>
              <w:sz w:val="24"/>
              <w:szCs w:val="24"/>
            </w:rPr>
            <w:fldChar w:fldCharType="separate"/>
          </w:r>
          <w:r>
            <w:rPr>
              <w:rFonts w:hint="eastAsia" w:ascii="宋体" w:hAnsi="宋体" w:cs="宋体"/>
              <w:bCs/>
              <w:kern w:val="44"/>
              <w:sz w:val="24"/>
              <w:szCs w:val="24"/>
            </w:rPr>
            <w:t>1</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_Toc3701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1EE5B2A5">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_Toc9671 </w:instrText>
          </w:r>
          <w:r>
            <w:rPr>
              <w:rFonts w:hint="eastAsia" w:ascii="宋体" w:hAnsi="宋体" w:cs="宋体"/>
              <w:sz w:val="24"/>
              <w:szCs w:val="24"/>
            </w:rPr>
            <w:fldChar w:fldCharType="separate"/>
          </w:r>
          <w:r>
            <w:rPr>
              <w:rFonts w:hint="eastAsia" w:ascii="宋体" w:hAnsi="宋体" w:cs="宋体"/>
              <w:bCs/>
              <w:kern w:val="44"/>
              <w:sz w:val="24"/>
              <w:szCs w:val="24"/>
            </w:rPr>
            <w:t>2</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术语</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_Toc9671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14825892">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_Toc4241 </w:instrText>
          </w:r>
          <w:r>
            <w:rPr>
              <w:rFonts w:hint="eastAsia" w:ascii="宋体" w:hAnsi="宋体" w:cs="宋体"/>
              <w:sz w:val="24"/>
              <w:szCs w:val="24"/>
            </w:rPr>
            <w:fldChar w:fldCharType="separate"/>
          </w:r>
          <w:r>
            <w:rPr>
              <w:rFonts w:hint="eastAsia" w:ascii="宋体" w:hAnsi="宋体" w:cs="宋体"/>
              <w:bCs/>
              <w:kern w:val="44"/>
              <w:sz w:val="24"/>
              <w:szCs w:val="24"/>
            </w:rPr>
            <w:t>3</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基本规定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_Toc4241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48F6EBA5">
          <w:pPr>
            <w:pStyle w:val="12"/>
            <w:tabs>
              <w:tab w:val="right" w:leader="dot" w:pos="8306"/>
            </w:tabs>
            <w:spacing w:line="360" w:lineRule="auto"/>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_Toc3812 </w:instrText>
          </w:r>
          <w:r>
            <w:rPr>
              <w:rFonts w:hint="eastAsia" w:ascii="宋体" w:hAnsi="宋体" w:cs="宋体"/>
              <w:sz w:val="21"/>
              <w:szCs w:val="21"/>
            </w:rPr>
            <w:fldChar w:fldCharType="separate"/>
          </w:r>
          <w:r>
            <w:rPr>
              <w:rFonts w:hint="eastAsia" w:ascii="宋体" w:hAnsi="宋体" w:eastAsia="宋体" w:cs="宋体"/>
              <w:bCs/>
              <w:sz w:val="21"/>
              <w:szCs w:val="21"/>
            </w:rPr>
            <w:t>3.1  一般规定</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_Toc3812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14:paraId="5D982E18">
          <w:pPr>
            <w:pStyle w:val="12"/>
            <w:tabs>
              <w:tab w:val="right" w:leader="dot" w:pos="8306"/>
            </w:tabs>
            <w:spacing w:line="360" w:lineRule="auto"/>
            <w:rPr>
              <w:rFonts w:hint="eastAsia" w:ascii="宋体" w:hAnsi="宋体" w:cs="宋体"/>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HYPERLINK \l _Toc9477 </w:instrText>
          </w:r>
          <w:r>
            <w:rPr>
              <w:rFonts w:hint="eastAsia" w:ascii="宋体" w:hAnsi="宋体" w:cs="宋体"/>
              <w:sz w:val="21"/>
              <w:szCs w:val="21"/>
            </w:rPr>
            <w:fldChar w:fldCharType="separate"/>
          </w:r>
          <w:r>
            <w:rPr>
              <w:rFonts w:hint="eastAsia" w:ascii="宋体" w:hAnsi="宋体" w:eastAsia="宋体" w:cs="宋体"/>
              <w:bCs/>
              <w:sz w:val="21"/>
              <w:szCs w:val="21"/>
            </w:rPr>
            <w:t>3.2  评价与等级划分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_Toc9477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14:paraId="27471BA9">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_Toc1984 </w:instrText>
          </w:r>
          <w:r>
            <w:rPr>
              <w:rFonts w:hint="eastAsia" w:ascii="宋体" w:hAnsi="宋体" w:cs="宋体"/>
              <w:sz w:val="24"/>
              <w:szCs w:val="24"/>
            </w:rPr>
            <w:fldChar w:fldCharType="separate"/>
          </w:r>
          <w:r>
            <w:rPr>
              <w:rFonts w:hint="eastAsia" w:ascii="宋体" w:hAnsi="宋体" w:cs="宋体"/>
              <w:bCs/>
              <w:kern w:val="44"/>
              <w:sz w:val="24"/>
              <w:szCs w:val="24"/>
            </w:rPr>
            <w:t>4</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场地与环境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_Toc1984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77D19249">
          <w:pPr>
            <w:pStyle w:val="12"/>
            <w:tabs>
              <w:tab w:val="right" w:leader="dot" w:pos="8306"/>
            </w:tabs>
            <w:spacing w:line="360" w:lineRule="auto"/>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_Toc9957 </w:instrText>
          </w:r>
          <w:r>
            <w:rPr>
              <w:rFonts w:hint="eastAsia" w:ascii="宋体" w:hAnsi="宋体" w:cs="宋体"/>
              <w:sz w:val="21"/>
              <w:szCs w:val="21"/>
            </w:rPr>
            <w:fldChar w:fldCharType="separate"/>
          </w:r>
          <w:r>
            <w:rPr>
              <w:rFonts w:hint="eastAsia" w:ascii="宋体" w:hAnsi="宋体" w:eastAsia="宋体" w:cs="宋体"/>
              <w:bCs/>
              <w:sz w:val="21"/>
              <w:szCs w:val="21"/>
            </w:rPr>
            <w:t>4.1</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控制项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_Toc9957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14:paraId="5B61F35E">
          <w:pPr>
            <w:pStyle w:val="12"/>
            <w:tabs>
              <w:tab w:val="right" w:leader="dot" w:pos="8306"/>
            </w:tabs>
            <w:spacing w:line="360" w:lineRule="auto"/>
            <w:rPr>
              <w:rFonts w:hint="eastAsia" w:ascii="宋体" w:hAnsi="宋体" w:cs="宋体"/>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HYPERLINK \l _Toc3939 </w:instrText>
          </w:r>
          <w:r>
            <w:rPr>
              <w:rFonts w:hint="eastAsia" w:ascii="宋体" w:hAnsi="宋体" w:cs="宋体"/>
              <w:sz w:val="21"/>
              <w:szCs w:val="21"/>
            </w:rPr>
            <w:fldChar w:fldCharType="separate"/>
          </w:r>
          <w:r>
            <w:rPr>
              <w:rFonts w:hint="eastAsia" w:ascii="宋体" w:hAnsi="宋体" w:eastAsia="宋体" w:cs="宋体"/>
              <w:bCs/>
              <w:sz w:val="21"/>
              <w:szCs w:val="21"/>
            </w:rPr>
            <w:t>4.2</w:t>
          </w:r>
          <w:r>
            <w:rPr>
              <w:rFonts w:hint="eastAsia" w:ascii="宋体" w:hAnsi="宋体" w:cs="宋体"/>
              <w:bCs/>
              <w:sz w:val="21"/>
              <w:szCs w:val="21"/>
              <w:lang w:val="en-US" w:eastAsia="zh-CN"/>
            </w:rPr>
            <w:t xml:space="preserve">  </w:t>
          </w:r>
          <w:r>
            <w:rPr>
              <w:rFonts w:hint="eastAsia" w:ascii="宋体" w:hAnsi="宋体" w:eastAsia="宋体" w:cs="宋体"/>
              <w:bCs/>
              <w:sz w:val="21"/>
              <w:szCs w:val="21"/>
            </w:rPr>
            <w:t>评分项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_Toc3939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14:paraId="48266171">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_Toc28754 </w:instrText>
          </w:r>
          <w:r>
            <w:rPr>
              <w:rFonts w:hint="eastAsia" w:ascii="宋体" w:hAnsi="宋体" w:cs="宋体"/>
              <w:sz w:val="24"/>
              <w:szCs w:val="24"/>
            </w:rPr>
            <w:fldChar w:fldCharType="separate"/>
          </w:r>
          <w:r>
            <w:rPr>
              <w:rFonts w:hint="eastAsia" w:ascii="宋体" w:hAnsi="宋体" w:cs="宋体"/>
              <w:bCs/>
              <w:kern w:val="44"/>
              <w:sz w:val="24"/>
              <w:szCs w:val="24"/>
            </w:rPr>
            <w:t>5</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建筑改造与利用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_Toc28754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22907DD9">
          <w:pPr>
            <w:pStyle w:val="12"/>
            <w:tabs>
              <w:tab w:val="right" w:leader="dot" w:pos="8306"/>
            </w:tabs>
            <w:spacing w:line="360" w:lineRule="auto"/>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_Toc31166 </w:instrText>
          </w:r>
          <w:r>
            <w:rPr>
              <w:rFonts w:hint="eastAsia" w:ascii="宋体" w:hAnsi="宋体" w:cs="宋体"/>
              <w:sz w:val="21"/>
              <w:szCs w:val="21"/>
            </w:rPr>
            <w:fldChar w:fldCharType="separate"/>
          </w:r>
          <w:r>
            <w:rPr>
              <w:rFonts w:hint="eastAsia" w:ascii="宋体" w:hAnsi="宋体" w:eastAsia="宋体" w:cs="宋体"/>
              <w:bCs/>
              <w:sz w:val="21"/>
              <w:szCs w:val="21"/>
            </w:rPr>
            <w:t>5.1</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控制项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_Toc31166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5450862C">
          <w:pPr>
            <w:pStyle w:val="12"/>
            <w:tabs>
              <w:tab w:val="right" w:leader="dot" w:pos="8306"/>
            </w:tabs>
            <w:spacing w:line="360" w:lineRule="auto"/>
            <w:rPr>
              <w:rFonts w:hint="eastAsia" w:ascii="宋体" w:hAnsi="宋体" w:cs="宋体"/>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HYPERLINK \l _Toc9858 </w:instrText>
          </w:r>
          <w:r>
            <w:rPr>
              <w:rFonts w:hint="eastAsia" w:ascii="宋体" w:hAnsi="宋体" w:cs="宋体"/>
              <w:sz w:val="21"/>
              <w:szCs w:val="21"/>
            </w:rPr>
            <w:fldChar w:fldCharType="separate"/>
          </w:r>
          <w:r>
            <w:rPr>
              <w:rFonts w:hint="eastAsia" w:ascii="宋体" w:hAnsi="宋体" w:eastAsia="宋体" w:cs="宋体"/>
              <w:bCs/>
              <w:sz w:val="21"/>
              <w:szCs w:val="21"/>
            </w:rPr>
            <w:t>5.2</w:t>
          </w:r>
          <w:r>
            <w:rPr>
              <w:rFonts w:hint="eastAsia" w:ascii="宋体" w:hAnsi="宋体" w:cs="宋体"/>
              <w:bCs/>
              <w:sz w:val="21"/>
              <w:szCs w:val="21"/>
              <w:lang w:val="en-US" w:eastAsia="zh-CN"/>
            </w:rPr>
            <w:t xml:space="preserve">  </w:t>
          </w:r>
          <w:r>
            <w:rPr>
              <w:rFonts w:hint="eastAsia" w:ascii="宋体" w:hAnsi="宋体" w:eastAsia="宋体" w:cs="宋体"/>
              <w:bCs/>
              <w:sz w:val="21"/>
              <w:szCs w:val="21"/>
            </w:rPr>
            <w:t>评分项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_Toc9858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3DF03F5B">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_Toc7179 </w:instrText>
          </w:r>
          <w:r>
            <w:rPr>
              <w:rFonts w:hint="eastAsia" w:ascii="宋体" w:hAnsi="宋体" w:cs="宋体"/>
              <w:sz w:val="24"/>
              <w:szCs w:val="24"/>
            </w:rPr>
            <w:fldChar w:fldCharType="separate"/>
          </w:r>
          <w:r>
            <w:rPr>
              <w:rFonts w:hint="eastAsia" w:ascii="宋体" w:hAnsi="宋体" w:cs="宋体"/>
              <w:bCs/>
              <w:kern w:val="44"/>
              <w:sz w:val="24"/>
              <w:szCs w:val="24"/>
            </w:rPr>
            <w:t>6</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能源与水资源利用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_Toc7179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43266AB8">
          <w:pPr>
            <w:pStyle w:val="12"/>
            <w:tabs>
              <w:tab w:val="right" w:leader="dot" w:pos="8306"/>
            </w:tabs>
            <w:spacing w:line="360" w:lineRule="auto"/>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_Toc801 </w:instrText>
          </w:r>
          <w:r>
            <w:rPr>
              <w:rFonts w:hint="eastAsia" w:ascii="宋体" w:hAnsi="宋体" w:cs="宋体"/>
              <w:sz w:val="21"/>
              <w:szCs w:val="21"/>
            </w:rPr>
            <w:fldChar w:fldCharType="separate"/>
          </w:r>
          <w:r>
            <w:rPr>
              <w:rFonts w:hint="eastAsia" w:ascii="宋体" w:hAnsi="宋体" w:eastAsia="宋体" w:cs="宋体"/>
              <w:bCs/>
              <w:sz w:val="21"/>
              <w:szCs w:val="21"/>
            </w:rPr>
            <w:t xml:space="preserve">6.1 </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控制项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_Toc801 \h </w:instrText>
          </w:r>
          <w:r>
            <w:rPr>
              <w:rFonts w:hint="eastAsia" w:ascii="宋体" w:hAnsi="宋体" w:cs="宋体"/>
              <w:sz w:val="21"/>
              <w:szCs w:val="21"/>
            </w:rPr>
            <w:fldChar w:fldCharType="separate"/>
          </w:r>
          <w:r>
            <w:rPr>
              <w:rFonts w:hint="eastAsia" w:ascii="宋体" w:hAnsi="宋体" w:cs="宋体"/>
              <w:sz w:val="21"/>
              <w:szCs w:val="21"/>
            </w:rPr>
            <w:t>12</w:t>
          </w:r>
          <w:r>
            <w:rPr>
              <w:rFonts w:hint="eastAsia" w:ascii="宋体" w:hAnsi="宋体" w:cs="宋体"/>
              <w:sz w:val="21"/>
              <w:szCs w:val="21"/>
            </w:rPr>
            <w:fldChar w:fldCharType="end"/>
          </w:r>
          <w:r>
            <w:rPr>
              <w:rFonts w:hint="eastAsia" w:ascii="宋体" w:hAnsi="宋体" w:cs="宋体"/>
              <w:sz w:val="21"/>
              <w:szCs w:val="21"/>
            </w:rPr>
            <w:fldChar w:fldCharType="end"/>
          </w:r>
        </w:p>
        <w:p w14:paraId="655147E7">
          <w:pPr>
            <w:pStyle w:val="12"/>
            <w:tabs>
              <w:tab w:val="right" w:leader="dot" w:pos="8306"/>
            </w:tabs>
            <w:spacing w:line="360" w:lineRule="auto"/>
            <w:rPr>
              <w:rFonts w:hint="eastAsia" w:ascii="宋体" w:hAnsi="宋体" w:cs="宋体"/>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HYPERLINK \l _Toc1342 </w:instrText>
          </w:r>
          <w:r>
            <w:rPr>
              <w:rFonts w:hint="eastAsia" w:ascii="宋体" w:hAnsi="宋体" w:cs="宋体"/>
              <w:sz w:val="21"/>
              <w:szCs w:val="21"/>
            </w:rPr>
            <w:fldChar w:fldCharType="separate"/>
          </w:r>
          <w:r>
            <w:rPr>
              <w:rFonts w:hint="eastAsia" w:ascii="宋体" w:hAnsi="宋体" w:eastAsia="宋体" w:cs="宋体"/>
              <w:bCs/>
              <w:sz w:val="21"/>
              <w:szCs w:val="21"/>
            </w:rPr>
            <w:t>6.2</w:t>
          </w:r>
          <w:r>
            <w:rPr>
              <w:rFonts w:hint="eastAsia" w:ascii="宋体" w:hAnsi="宋体" w:cs="宋体"/>
              <w:bCs/>
              <w:sz w:val="21"/>
              <w:szCs w:val="21"/>
              <w:lang w:val="en-US" w:eastAsia="zh-CN"/>
            </w:rPr>
            <w:t xml:space="preserve">  </w:t>
          </w:r>
          <w:r>
            <w:rPr>
              <w:rFonts w:hint="eastAsia" w:ascii="宋体" w:hAnsi="宋体" w:eastAsia="宋体" w:cs="宋体"/>
              <w:bCs/>
              <w:sz w:val="21"/>
              <w:szCs w:val="21"/>
            </w:rPr>
            <w:t>评分项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_Toc1342 \h </w:instrText>
          </w:r>
          <w:r>
            <w:rPr>
              <w:rFonts w:hint="eastAsia" w:ascii="宋体" w:hAnsi="宋体" w:cs="宋体"/>
              <w:sz w:val="21"/>
              <w:szCs w:val="21"/>
            </w:rPr>
            <w:fldChar w:fldCharType="separate"/>
          </w:r>
          <w:r>
            <w:rPr>
              <w:rFonts w:hint="eastAsia" w:ascii="宋体" w:hAnsi="宋体" w:cs="宋体"/>
              <w:sz w:val="21"/>
              <w:szCs w:val="21"/>
            </w:rPr>
            <w:t>13</w:t>
          </w:r>
          <w:r>
            <w:rPr>
              <w:rFonts w:hint="eastAsia" w:ascii="宋体" w:hAnsi="宋体" w:cs="宋体"/>
              <w:sz w:val="21"/>
              <w:szCs w:val="21"/>
            </w:rPr>
            <w:fldChar w:fldCharType="end"/>
          </w:r>
          <w:r>
            <w:rPr>
              <w:rFonts w:hint="eastAsia" w:ascii="宋体" w:hAnsi="宋体" w:cs="宋体"/>
              <w:sz w:val="21"/>
              <w:szCs w:val="21"/>
            </w:rPr>
            <w:fldChar w:fldCharType="end"/>
          </w:r>
        </w:p>
        <w:p w14:paraId="544B51AE">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_Toc28031 </w:instrText>
          </w:r>
          <w:r>
            <w:rPr>
              <w:rFonts w:hint="eastAsia" w:ascii="宋体" w:hAnsi="宋体" w:cs="宋体"/>
              <w:sz w:val="24"/>
              <w:szCs w:val="24"/>
            </w:rPr>
            <w:fldChar w:fldCharType="separate"/>
          </w:r>
          <w:r>
            <w:rPr>
              <w:rFonts w:hint="eastAsia" w:ascii="宋体" w:hAnsi="宋体" w:cs="宋体"/>
              <w:bCs/>
              <w:kern w:val="44"/>
              <w:sz w:val="24"/>
              <w:szCs w:val="24"/>
            </w:rPr>
            <w:t>7</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建材与建造</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_Toc28031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1772476">
          <w:pPr>
            <w:pStyle w:val="12"/>
            <w:tabs>
              <w:tab w:val="right" w:leader="dot" w:pos="8306"/>
            </w:tabs>
            <w:spacing w:line="360" w:lineRule="auto"/>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_Toc27364 </w:instrText>
          </w:r>
          <w:r>
            <w:rPr>
              <w:rFonts w:hint="eastAsia" w:ascii="宋体" w:hAnsi="宋体" w:cs="宋体"/>
              <w:sz w:val="21"/>
              <w:szCs w:val="21"/>
            </w:rPr>
            <w:fldChar w:fldCharType="separate"/>
          </w:r>
          <w:r>
            <w:rPr>
              <w:rFonts w:hint="eastAsia" w:ascii="宋体" w:hAnsi="宋体" w:eastAsia="宋体" w:cs="宋体"/>
              <w:bCs/>
              <w:sz w:val="21"/>
              <w:szCs w:val="21"/>
            </w:rPr>
            <w:t>7.1</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控制项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_Toc27364 \h </w:instrText>
          </w:r>
          <w:r>
            <w:rPr>
              <w:rFonts w:hint="eastAsia" w:ascii="宋体" w:hAnsi="宋体" w:cs="宋体"/>
              <w:sz w:val="21"/>
              <w:szCs w:val="21"/>
            </w:rPr>
            <w:fldChar w:fldCharType="separate"/>
          </w:r>
          <w:r>
            <w:rPr>
              <w:rFonts w:hint="eastAsia" w:ascii="宋体" w:hAnsi="宋体" w:cs="宋体"/>
              <w:sz w:val="21"/>
              <w:szCs w:val="21"/>
            </w:rPr>
            <w:t>16</w:t>
          </w:r>
          <w:r>
            <w:rPr>
              <w:rFonts w:hint="eastAsia" w:ascii="宋体" w:hAnsi="宋体" w:cs="宋体"/>
              <w:sz w:val="21"/>
              <w:szCs w:val="21"/>
            </w:rPr>
            <w:fldChar w:fldCharType="end"/>
          </w:r>
          <w:r>
            <w:rPr>
              <w:rFonts w:hint="eastAsia" w:ascii="宋体" w:hAnsi="宋体" w:cs="宋体"/>
              <w:sz w:val="21"/>
              <w:szCs w:val="21"/>
            </w:rPr>
            <w:fldChar w:fldCharType="end"/>
          </w:r>
        </w:p>
        <w:p w14:paraId="06ACBAC4">
          <w:pPr>
            <w:pStyle w:val="12"/>
            <w:tabs>
              <w:tab w:val="right" w:leader="dot" w:pos="8306"/>
            </w:tabs>
            <w:spacing w:line="360" w:lineRule="auto"/>
            <w:rPr>
              <w:rFonts w:hint="eastAsia" w:ascii="宋体" w:hAnsi="宋体" w:cs="宋体"/>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HYPERLINK \l _Toc2665 </w:instrText>
          </w:r>
          <w:r>
            <w:rPr>
              <w:rFonts w:hint="eastAsia" w:ascii="宋体" w:hAnsi="宋体" w:cs="宋体"/>
              <w:sz w:val="21"/>
              <w:szCs w:val="21"/>
            </w:rPr>
            <w:fldChar w:fldCharType="separate"/>
          </w:r>
          <w:r>
            <w:rPr>
              <w:rFonts w:hint="eastAsia" w:ascii="宋体" w:hAnsi="宋体" w:eastAsia="宋体" w:cs="宋体"/>
              <w:bCs/>
              <w:sz w:val="21"/>
              <w:szCs w:val="21"/>
            </w:rPr>
            <w:t>7.2</w:t>
          </w:r>
          <w:r>
            <w:rPr>
              <w:rFonts w:hint="eastAsia" w:ascii="宋体" w:hAnsi="宋体" w:cs="宋体"/>
              <w:bCs/>
              <w:sz w:val="21"/>
              <w:szCs w:val="21"/>
              <w:lang w:val="en-US" w:eastAsia="zh-CN"/>
            </w:rPr>
            <w:t xml:space="preserve">  </w:t>
          </w:r>
          <w:r>
            <w:rPr>
              <w:rFonts w:hint="eastAsia" w:ascii="宋体" w:hAnsi="宋体" w:eastAsia="宋体" w:cs="宋体"/>
              <w:bCs/>
              <w:sz w:val="21"/>
              <w:szCs w:val="21"/>
            </w:rPr>
            <w:t>评分项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_Toc2665 \h </w:instrText>
          </w:r>
          <w:r>
            <w:rPr>
              <w:rFonts w:hint="eastAsia" w:ascii="宋体" w:hAnsi="宋体" w:cs="宋体"/>
              <w:sz w:val="21"/>
              <w:szCs w:val="21"/>
            </w:rPr>
            <w:fldChar w:fldCharType="separate"/>
          </w:r>
          <w:r>
            <w:rPr>
              <w:rFonts w:hint="eastAsia" w:ascii="宋体" w:hAnsi="宋体" w:cs="宋体"/>
              <w:sz w:val="21"/>
              <w:szCs w:val="21"/>
            </w:rPr>
            <w:t>16</w:t>
          </w:r>
          <w:r>
            <w:rPr>
              <w:rFonts w:hint="eastAsia" w:ascii="宋体" w:hAnsi="宋体" w:cs="宋体"/>
              <w:sz w:val="21"/>
              <w:szCs w:val="21"/>
            </w:rPr>
            <w:fldChar w:fldCharType="end"/>
          </w:r>
          <w:r>
            <w:rPr>
              <w:rFonts w:hint="eastAsia" w:ascii="宋体" w:hAnsi="宋体" w:cs="宋体"/>
              <w:sz w:val="21"/>
              <w:szCs w:val="21"/>
            </w:rPr>
            <w:fldChar w:fldCharType="end"/>
          </w:r>
        </w:p>
        <w:p w14:paraId="218EC92E">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_Toc30252 </w:instrText>
          </w:r>
          <w:r>
            <w:rPr>
              <w:rFonts w:hint="eastAsia" w:ascii="宋体" w:hAnsi="宋体" w:cs="宋体"/>
              <w:sz w:val="24"/>
              <w:szCs w:val="24"/>
            </w:rPr>
            <w:fldChar w:fldCharType="separate"/>
          </w:r>
          <w:r>
            <w:rPr>
              <w:rFonts w:hint="eastAsia" w:ascii="宋体" w:hAnsi="宋体" w:cs="宋体"/>
              <w:bCs/>
              <w:kern w:val="44"/>
              <w:sz w:val="24"/>
              <w:szCs w:val="24"/>
            </w:rPr>
            <w:t>8</w:t>
          </w:r>
          <w:r>
            <w:rPr>
              <w:rFonts w:ascii="宋体" w:hAnsi="宋体" w:cs="宋体"/>
              <w:bCs/>
              <w:kern w:val="44"/>
              <w:sz w:val="24"/>
              <w:szCs w:val="24"/>
            </w:rPr>
            <w:t xml:space="preserve"> </w:t>
          </w:r>
          <w:r>
            <w:rPr>
              <w:rFonts w:hint="eastAsia" w:ascii="宋体" w:hAnsi="宋体" w:cs="宋体"/>
              <w:bCs/>
              <w:kern w:val="44"/>
              <w:sz w:val="24"/>
              <w:szCs w:val="24"/>
              <w:lang w:val="en-US" w:eastAsia="zh-CN"/>
            </w:rPr>
            <w:t xml:space="preserve"> </w:t>
          </w:r>
          <w:r>
            <w:rPr>
              <w:rFonts w:hint="eastAsia" w:ascii="宋体" w:hAnsi="宋体" w:cs="宋体"/>
              <w:bCs/>
              <w:kern w:val="44"/>
              <w:sz w:val="24"/>
              <w:szCs w:val="24"/>
            </w:rPr>
            <w:t>提高与创新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_Toc30252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0FE2BB79">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_Toc24485 </w:instrText>
          </w:r>
          <w:r>
            <w:rPr>
              <w:rFonts w:hint="eastAsia" w:ascii="宋体" w:hAnsi="宋体" w:cs="宋体"/>
              <w:sz w:val="24"/>
              <w:szCs w:val="24"/>
            </w:rPr>
            <w:fldChar w:fldCharType="separate"/>
          </w:r>
          <w:r>
            <w:rPr>
              <w:rFonts w:hint="eastAsia" w:ascii="宋体" w:hAnsi="宋体" w:cs="宋体"/>
              <w:bCs/>
              <w:kern w:val="44"/>
              <w:sz w:val="24"/>
              <w:szCs w:val="24"/>
            </w:rPr>
            <w:t>附录A</w:t>
          </w:r>
          <w:r>
            <w:rPr>
              <w:rFonts w:ascii="宋体" w:hAnsi="宋体" w:cs="宋体"/>
              <w:bCs/>
              <w:kern w:val="44"/>
              <w:sz w:val="24"/>
              <w:szCs w:val="24"/>
            </w:rPr>
            <w:t xml:space="preserve">  </w:t>
          </w:r>
          <w:r>
            <w:rPr>
              <w:rFonts w:hint="eastAsia" w:ascii="宋体" w:hAnsi="宋体" w:cs="宋体"/>
              <w:bCs/>
              <w:kern w:val="44"/>
              <w:sz w:val="24"/>
              <w:szCs w:val="24"/>
            </w:rPr>
            <w:t>既有工业建筑民用化低碳改造碳排放计算</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_Toc24485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7AD03506">
          <w:pPr>
            <w:pStyle w:val="12"/>
            <w:tabs>
              <w:tab w:val="right" w:leader="dot" w:pos="8306"/>
            </w:tabs>
            <w:spacing w:line="360" w:lineRule="auto"/>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_Toc14817 </w:instrText>
          </w:r>
          <w:r>
            <w:rPr>
              <w:rFonts w:hint="eastAsia" w:ascii="宋体" w:hAnsi="宋体" w:cs="宋体"/>
              <w:sz w:val="21"/>
              <w:szCs w:val="21"/>
            </w:rPr>
            <w:fldChar w:fldCharType="separate"/>
          </w:r>
          <w:r>
            <w:rPr>
              <w:rFonts w:hint="eastAsia" w:ascii="宋体" w:hAnsi="宋体" w:eastAsia="宋体" w:cs="宋体"/>
              <w:bCs/>
              <w:sz w:val="21"/>
              <w:szCs w:val="21"/>
            </w:rPr>
            <w:t>A.1</w:t>
          </w:r>
          <w:r>
            <w:rPr>
              <w:rFonts w:hint="eastAsia" w:ascii="宋体" w:hAnsi="宋体" w:cs="宋体"/>
              <w:bCs/>
              <w:sz w:val="21"/>
              <w:szCs w:val="21"/>
              <w:lang w:val="en-US" w:eastAsia="zh-CN"/>
            </w:rPr>
            <w:t xml:space="preserve">  </w:t>
          </w:r>
          <w:r>
            <w:rPr>
              <w:rFonts w:hint="eastAsia" w:ascii="宋体" w:hAnsi="宋体" w:eastAsia="宋体" w:cs="宋体"/>
              <w:bCs/>
              <w:sz w:val="21"/>
              <w:szCs w:val="21"/>
            </w:rPr>
            <w:t>碳排放计算方法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_Toc14817 \h </w:instrText>
          </w:r>
          <w:r>
            <w:rPr>
              <w:rFonts w:hint="eastAsia" w:ascii="宋体" w:hAnsi="宋体" w:cs="宋体"/>
              <w:sz w:val="21"/>
              <w:szCs w:val="21"/>
            </w:rPr>
            <w:fldChar w:fldCharType="separate"/>
          </w:r>
          <w:r>
            <w:rPr>
              <w:rFonts w:hint="eastAsia" w:ascii="宋体" w:hAnsi="宋体" w:cs="宋体"/>
              <w:sz w:val="21"/>
              <w:szCs w:val="21"/>
            </w:rPr>
            <w:t>21</w:t>
          </w:r>
          <w:r>
            <w:rPr>
              <w:rFonts w:hint="eastAsia" w:ascii="宋体" w:hAnsi="宋体" w:cs="宋体"/>
              <w:sz w:val="21"/>
              <w:szCs w:val="21"/>
            </w:rPr>
            <w:fldChar w:fldCharType="end"/>
          </w:r>
          <w:r>
            <w:rPr>
              <w:rFonts w:hint="eastAsia" w:ascii="宋体" w:hAnsi="宋体" w:cs="宋体"/>
              <w:sz w:val="21"/>
              <w:szCs w:val="21"/>
            </w:rPr>
            <w:fldChar w:fldCharType="end"/>
          </w:r>
        </w:p>
        <w:p w14:paraId="2780C128">
          <w:pPr>
            <w:pStyle w:val="12"/>
            <w:tabs>
              <w:tab w:val="right" w:leader="dot" w:pos="8306"/>
            </w:tabs>
            <w:spacing w:line="360" w:lineRule="auto"/>
            <w:rPr>
              <w:rFonts w:hint="eastAsia" w:ascii="宋体" w:hAnsi="宋体" w:cs="宋体"/>
              <w:sz w:val="24"/>
              <w:szCs w:val="24"/>
            </w:rPr>
          </w:pPr>
          <w:r>
            <w:rPr>
              <w:rFonts w:hint="eastAsia" w:ascii="宋体" w:hAnsi="宋体" w:cs="宋体"/>
              <w:sz w:val="21"/>
              <w:szCs w:val="21"/>
            </w:rPr>
            <w:fldChar w:fldCharType="begin"/>
          </w:r>
          <w:r>
            <w:rPr>
              <w:rFonts w:hint="eastAsia" w:ascii="宋体" w:hAnsi="宋体" w:cs="宋体"/>
              <w:sz w:val="21"/>
              <w:szCs w:val="21"/>
            </w:rPr>
            <w:instrText xml:space="preserve"> HYPERLINK \l _Toc20580 </w:instrText>
          </w:r>
          <w:r>
            <w:rPr>
              <w:rFonts w:hint="eastAsia" w:ascii="宋体" w:hAnsi="宋体" w:cs="宋体"/>
              <w:sz w:val="21"/>
              <w:szCs w:val="21"/>
            </w:rPr>
            <w:fldChar w:fldCharType="separate"/>
          </w:r>
          <w:r>
            <w:rPr>
              <w:rFonts w:hint="eastAsia" w:ascii="宋体" w:hAnsi="宋体" w:eastAsia="宋体" w:cs="宋体"/>
              <w:bCs/>
              <w:sz w:val="21"/>
              <w:szCs w:val="21"/>
            </w:rPr>
            <w:t>A.2</w:t>
          </w:r>
          <w:r>
            <w:rPr>
              <w:rFonts w:hint="eastAsia" w:ascii="宋体" w:hAnsi="宋体" w:cs="宋体"/>
              <w:bCs/>
              <w:sz w:val="21"/>
              <w:szCs w:val="21"/>
              <w:lang w:val="en-US" w:eastAsia="zh-CN"/>
            </w:rPr>
            <w:t xml:space="preserve">  </w:t>
          </w:r>
          <w:r>
            <w:rPr>
              <w:rFonts w:hint="eastAsia" w:ascii="宋体" w:hAnsi="宋体" w:eastAsia="宋体" w:cs="宋体"/>
              <w:bCs/>
              <w:sz w:val="21"/>
              <w:szCs w:val="21"/>
            </w:rPr>
            <w:t>碳减排效益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_Toc20580 \h </w:instrText>
          </w:r>
          <w:r>
            <w:rPr>
              <w:rFonts w:hint="eastAsia" w:ascii="宋体" w:hAnsi="宋体" w:cs="宋体"/>
              <w:sz w:val="21"/>
              <w:szCs w:val="21"/>
            </w:rPr>
            <w:fldChar w:fldCharType="separate"/>
          </w:r>
          <w:r>
            <w:rPr>
              <w:rFonts w:hint="eastAsia" w:ascii="宋体" w:hAnsi="宋体" w:cs="宋体"/>
              <w:sz w:val="21"/>
              <w:szCs w:val="21"/>
            </w:rPr>
            <w:t>23</w:t>
          </w:r>
          <w:r>
            <w:rPr>
              <w:rFonts w:hint="eastAsia" w:ascii="宋体" w:hAnsi="宋体" w:cs="宋体"/>
              <w:sz w:val="21"/>
              <w:szCs w:val="21"/>
            </w:rPr>
            <w:fldChar w:fldCharType="end"/>
          </w:r>
          <w:r>
            <w:rPr>
              <w:rFonts w:hint="eastAsia" w:ascii="宋体" w:hAnsi="宋体" w:cs="宋体"/>
              <w:sz w:val="21"/>
              <w:szCs w:val="21"/>
            </w:rPr>
            <w:fldChar w:fldCharType="end"/>
          </w:r>
        </w:p>
        <w:p w14:paraId="39FB06DB">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_Toc8616 </w:instrText>
          </w:r>
          <w:r>
            <w:rPr>
              <w:rFonts w:hint="eastAsia" w:ascii="宋体" w:hAnsi="宋体" w:cs="宋体"/>
              <w:sz w:val="24"/>
              <w:szCs w:val="24"/>
            </w:rPr>
            <w:fldChar w:fldCharType="separate"/>
          </w:r>
          <w:r>
            <w:rPr>
              <w:rFonts w:hint="eastAsia" w:ascii="宋体" w:hAnsi="宋体" w:cs="宋体"/>
              <w:sz w:val="24"/>
              <w:szCs w:val="24"/>
            </w:rPr>
            <w:t>用词说明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_Toc8616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14:paraId="5F349DE6">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_Toc8742 </w:instrText>
          </w:r>
          <w:r>
            <w:rPr>
              <w:rFonts w:hint="eastAsia" w:ascii="宋体" w:hAnsi="宋体" w:cs="宋体"/>
              <w:sz w:val="24"/>
              <w:szCs w:val="24"/>
            </w:rPr>
            <w:fldChar w:fldCharType="separate"/>
          </w:r>
          <w:r>
            <w:rPr>
              <w:rFonts w:hint="eastAsia" w:ascii="宋体" w:hAnsi="宋体" w:cs="宋体"/>
              <w:sz w:val="24"/>
              <w:szCs w:val="24"/>
            </w:rPr>
            <w:t>引用标准名录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_Toc8742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67399CF4">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_Toc27583 </w:instrText>
          </w:r>
          <w:r>
            <w:rPr>
              <w:rFonts w:hint="eastAsia" w:ascii="宋体" w:hAnsi="宋体" w:cs="宋体"/>
              <w:sz w:val="24"/>
              <w:szCs w:val="24"/>
            </w:rPr>
            <w:fldChar w:fldCharType="separate"/>
          </w:r>
          <w:r>
            <w:rPr>
              <w:rStyle w:val="17"/>
              <w:rFonts w:hint="eastAsia" w:ascii="宋体" w:hAnsi="宋体" w:cs="宋体"/>
              <w:sz w:val="24"/>
              <w:szCs w:val="24"/>
            </w:rPr>
            <w:t>附：</w:t>
          </w:r>
          <w:r>
            <w:rPr>
              <w:rFonts w:hint="eastAsia" w:ascii="宋体" w:hAnsi="宋体" w:cs="宋体"/>
              <w:sz w:val="24"/>
              <w:szCs w:val="24"/>
            </w:rPr>
            <w:fldChar w:fldCharType="begin"/>
          </w:r>
          <w:r>
            <w:rPr>
              <w:rFonts w:hint="eastAsia" w:ascii="宋体" w:hAnsi="宋体" w:cs="宋体"/>
              <w:sz w:val="24"/>
              <w:szCs w:val="24"/>
            </w:rPr>
            <w:instrText xml:space="preserve"> HYPERLINK \l "_Toc4129" </w:instrText>
          </w:r>
          <w:r>
            <w:rPr>
              <w:rFonts w:hint="eastAsia" w:ascii="宋体" w:hAnsi="宋体" w:cs="宋体"/>
              <w:sz w:val="24"/>
              <w:szCs w:val="24"/>
            </w:rPr>
            <w:fldChar w:fldCharType="separate"/>
          </w:r>
          <w:r>
            <w:rPr>
              <w:rStyle w:val="17"/>
              <w:rFonts w:hint="eastAsia" w:ascii="宋体" w:hAnsi="宋体" w:cs="宋体"/>
              <w:sz w:val="24"/>
              <w:szCs w:val="24"/>
            </w:rPr>
            <w:t>条文说明</w:t>
          </w:r>
          <w:r>
            <w:rPr>
              <w:rStyle w:val="17"/>
              <w:rFonts w:hint="eastAsia" w:ascii="宋体" w:hAnsi="宋体" w:cs="宋体"/>
              <w:sz w:val="24"/>
              <w:szCs w:val="24"/>
            </w:rPr>
            <w:fldChar w:fldCharType="end"/>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_Toc27583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16879B2C">
          <w:pPr>
            <w:pStyle w:val="11"/>
            <w:tabs>
              <w:tab w:val="right" w:leader="dot" w:pos="8306"/>
            </w:tabs>
            <w:spacing w:line="360" w:lineRule="auto"/>
          </w:pPr>
        </w:p>
        <w:p w14:paraId="24B3C5FC">
          <w:r>
            <w:fldChar w:fldCharType="end"/>
          </w:r>
        </w:p>
      </w:sdtContent>
    </w:sdt>
    <w:p w14:paraId="2C87F557">
      <w:pPr>
        <w:widowControl/>
        <w:snapToGrid w:val="0"/>
        <w:ind w:firstLine="643"/>
        <w:jc w:val="center"/>
        <w:outlineLvl w:val="0"/>
        <w:rPr>
          <w:b/>
          <w:bCs/>
          <w:kern w:val="44"/>
          <w:sz w:val="32"/>
          <w:szCs w:val="32"/>
        </w:rPr>
        <w:sectPr>
          <w:footerReference r:id="rId6" w:type="default"/>
          <w:pgSz w:w="11906" w:h="16838"/>
          <w:pgMar w:top="1440" w:right="1800" w:bottom="1440" w:left="1800" w:header="851" w:footer="992" w:gutter="0"/>
          <w:pgNumType w:start="1"/>
          <w:cols w:space="425" w:num="1"/>
          <w:docGrid w:type="lines" w:linePitch="312" w:charSpace="0"/>
        </w:sectPr>
      </w:pPr>
      <w:bookmarkStart w:id="32" w:name="_Toc29272"/>
      <w:bookmarkStart w:id="33" w:name="_Toc22515"/>
      <w:bookmarkStart w:id="34" w:name="_Toc2709"/>
      <w:bookmarkStart w:id="35" w:name="_Toc22437"/>
      <w:bookmarkStart w:id="36" w:name="_Toc12241"/>
      <w:bookmarkStart w:id="37" w:name="_Toc4443"/>
      <w:bookmarkStart w:id="38" w:name="_Toc763"/>
      <w:bookmarkStart w:id="39" w:name="_Toc3681"/>
    </w:p>
    <w:p w14:paraId="03B6E566">
      <w:pPr>
        <w:widowControl/>
        <w:snapToGrid w:val="0"/>
        <w:jc w:val="center"/>
        <w:outlineLvl w:val="0"/>
        <w:rPr>
          <w:b/>
          <w:bCs/>
          <w:kern w:val="44"/>
          <w:sz w:val="32"/>
          <w:szCs w:val="32"/>
        </w:rPr>
      </w:pPr>
      <w:bookmarkStart w:id="40" w:name="_Toc15422"/>
      <w:bookmarkStart w:id="41" w:name="_Toc15182"/>
      <w:bookmarkStart w:id="42" w:name="_Toc4811"/>
      <w:bookmarkStart w:id="43" w:name="_Toc29837"/>
      <w:bookmarkStart w:id="44" w:name="_Toc7271"/>
      <w:bookmarkStart w:id="45" w:name="_Toc21975"/>
      <w:bookmarkStart w:id="46" w:name="_Toc18338"/>
      <w:bookmarkStart w:id="47" w:name="_Toc22245"/>
      <w:bookmarkStart w:id="48" w:name="_Toc4648"/>
      <w:bookmarkStart w:id="49" w:name="_Toc32424"/>
      <w:bookmarkStart w:id="50" w:name="_Toc25129"/>
      <w:bookmarkStart w:id="51" w:name="_Toc7423"/>
      <w:r>
        <w:rPr>
          <w:rFonts w:hint="eastAsia"/>
          <w:b/>
          <w:bCs/>
          <w:kern w:val="44"/>
          <w:sz w:val="32"/>
          <w:szCs w:val="32"/>
        </w:rPr>
        <w:t>Contents</w:t>
      </w:r>
      <w:bookmarkEnd w:id="40"/>
      <w:bookmarkEnd w:id="41"/>
      <w:bookmarkEnd w:id="42"/>
      <w:bookmarkEnd w:id="43"/>
      <w:bookmarkEnd w:id="44"/>
    </w:p>
    <w:p w14:paraId="1A8B3E2B">
      <w:pPr>
        <w:widowControl/>
        <w:snapToGrid w:val="0"/>
        <w:ind w:firstLine="643"/>
        <w:jc w:val="center"/>
        <w:outlineLvl w:val="9"/>
        <w:rPr>
          <w:b/>
          <w:bCs/>
          <w:kern w:val="44"/>
          <w:sz w:val="32"/>
          <w:szCs w:val="32"/>
        </w:rPr>
      </w:pPr>
    </w:p>
    <w:p w14:paraId="3431E397">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_Toc3701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1</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_Toc3701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D0BC588">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_Toc9671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2</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Terms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_Toc9671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949B9B0">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_Toc4241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3</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Basic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_Toc4241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CB15553">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_Toc3812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3.1  </w:t>
      </w:r>
      <w:r>
        <w:rPr>
          <w:kern w:val="44"/>
          <w:sz w:val="21"/>
          <w:szCs w:val="21"/>
        </w:rPr>
        <w:t xml:space="preserve">General </w:t>
      </w:r>
      <w:r>
        <w:rPr>
          <w:rFonts w:hint="eastAsia"/>
          <w:kern w:val="44"/>
          <w:sz w:val="21"/>
          <w:szCs w:val="21"/>
        </w:rPr>
        <w:t>r</w:t>
      </w:r>
      <w:r>
        <w:rPr>
          <w:kern w:val="44"/>
          <w:sz w:val="21"/>
          <w:szCs w:val="21"/>
        </w:rPr>
        <w:t>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_Toc3812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1B410A9A">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_Toc9477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3.2  </w:t>
      </w:r>
      <w:r>
        <w:rPr>
          <w:rFonts w:hint="eastAsia"/>
          <w:kern w:val="44"/>
          <w:sz w:val="21"/>
          <w:szCs w:val="21"/>
        </w:rPr>
        <w:t>Assessment and rating</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_Toc9477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169E204C">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_Toc1984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4</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Site and environment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6B27C21">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_Toc9957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4.1</w:t>
      </w:r>
      <w:r>
        <w:rPr>
          <w:rFonts w:hint="default" w:ascii="Times New Roman" w:hAnsi="Times New Roman" w:cs="Times New Roman"/>
          <w:bCs/>
          <w:sz w:val="21"/>
          <w:szCs w:val="21"/>
          <w:lang w:val="en-US" w:eastAsia="zh-CN"/>
        </w:rPr>
        <w:t xml:space="preserve">  </w:t>
      </w:r>
      <w:r>
        <w:rPr>
          <w:rFonts w:hint="eastAsia"/>
          <w:kern w:val="44"/>
          <w:sz w:val="21"/>
          <w:szCs w:val="21"/>
        </w:rPr>
        <w:t>Prerequisite items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_Toc9957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15D61FC7">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_Toc3939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4.2</w:t>
      </w:r>
      <w:r>
        <w:rPr>
          <w:rFonts w:hint="default" w:ascii="Times New Roman" w:hAnsi="Times New Roman" w:cs="Times New Roman"/>
          <w:bCs/>
          <w:sz w:val="21"/>
          <w:szCs w:val="21"/>
          <w:lang w:val="en-US" w:eastAsia="zh-CN"/>
        </w:rPr>
        <w:t xml:space="preserve">  </w:t>
      </w:r>
      <w:r>
        <w:rPr>
          <w:kern w:val="44"/>
          <w:sz w:val="21"/>
          <w:szCs w:val="21"/>
        </w:rPr>
        <w:t xml:space="preserve">Scoring </w:t>
      </w:r>
      <w:r>
        <w:rPr>
          <w:rFonts w:hint="eastAsia"/>
          <w:kern w:val="44"/>
          <w:sz w:val="21"/>
          <w:szCs w:val="21"/>
        </w:rPr>
        <w:t>i</w:t>
      </w:r>
      <w:r>
        <w:rPr>
          <w:kern w:val="44"/>
          <w:sz w:val="21"/>
          <w:szCs w:val="21"/>
        </w:rPr>
        <w:t>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_Toc3939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264386C1">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_Toc28754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5</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Building retrofitting and utilization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_Toc28754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8BA7CBA">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_Toc31166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5.1</w:t>
      </w:r>
      <w:r>
        <w:rPr>
          <w:rFonts w:hint="default" w:ascii="Times New Roman" w:hAnsi="Times New Roman" w:cs="Times New Roman"/>
          <w:bCs/>
          <w:sz w:val="21"/>
          <w:szCs w:val="21"/>
          <w:lang w:val="en-US" w:eastAsia="zh-CN"/>
        </w:rPr>
        <w:t xml:space="preserve">  </w:t>
      </w:r>
      <w:r>
        <w:rPr>
          <w:rFonts w:hint="eastAsia"/>
          <w:kern w:val="44"/>
          <w:sz w:val="21"/>
          <w:szCs w:val="21"/>
        </w:rPr>
        <w:t>Prerequisite items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_Toc31166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707FDEAD">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_Toc9858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5.2</w:t>
      </w:r>
      <w:r>
        <w:rPr>
          <w:rFonts w:hint="default" w:ascii="Times New Roman" w:hAnsi="Times New Roman" w:cs="Times New Roman"/>
          <w:bCs/>
          <w:sz w:val="21"/>
          <w:szCs w:val="21"/>
          <w:lang w:val="en-US" w:eastAsia="zh-CN"/>
        </w:rPr>
        <w:t xml:space="preserve">  </w:t>
      </w:r>
      <w:r>
        <w:rPr>
          <w:kern w:val="44"/>
          <w:sz w:val="21"/>
          <w:szCs w:val="21"/>
        </w:rPr>
        <w:t xml:space="preserve">Scoring </w:t>
      </w:r>
      <w:r>
        <w:rPr>
          <w:rFonts w:hint="eastAsia"/>
          <w:kern w:val="44"/>
          <w:sz w:val="21"/>
          <w:szCs w:val="21"/>
        </w:rPr>
        <w:t>i</w:t>
      </w:r>
      <w:r>
        <w:rPr>
          <w:kern w:val="44"/>
          <w:sz w:val="21"/>
          <w:szCs w:val="21"/>
        </w:rPr>
        <w:t>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_Toc9858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0B8A0884">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_Toc7179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6</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Energy and water resource utilization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_Toc7179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E8B4AE5">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_Toc801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6.1 </w:t>
      </w:r>
      <w:r>
        <w:rPr>
          <w:rFonts w:hint="default" w:ascii="Times New Roman" w:hAnsi="Times New Roman" w:cs="Times New Roman"/>
          <w:bCs/>
          <w:sz w:val="21"/>
          <w:szCs w:val="21"/>
          <w:lang w:val="en-US" w:eastAsia="zh-CN"/>
        </w:rPr>
        <w:t xml:space="preserve"> </w:t>
      </w:r>
      <w:r>
        <w:rPr>
          <w:rFonts w:hint="eastAsia"/>
          <w:kern w:val="44"/>
          <w:sz w:val="21"/>
          <w:szCs w:val="21"/>
        </w:rPr>
        <w:t>Prerequisite items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_Toc801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60C72AE3">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_Toc1342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6.2</w:t>
      </w:r>
      <w:r>
        <w:rPr>
          <w:rFonts w:hint="default" w:ascii="Times New Roman" w:hAnsi="Times New Roman" w:cs="Times New Roman"/>
          <w:bCs/>
          <w:sz w:val="21"/>
          <w:szCs w:val="21"/>
          <w:lang w:val="en-US" w:eastAsia="zh-CN"/>
        </w:rPr>
        <w:t xml:space="preserve">  </w:t>
      </w:r>
      <w:r>
        <w:rPr>
          <w:kern w:val="44"/>
          <w:sz w:val="21"/>
          <w:szCs w:val="21"/>
        </w:rPr>
        <w:t xml:space="preserve">Scoring </w:t>
      </w:r>
      <w:r>
        <w:rPr>
          <w:rFonts w:hint="eastAsia"/>
          <w:kern w:val="44"/>
          <w:sz w:val="21"/>
          <w:szCs w:val="21"/>
        </w:rPr>
        <w:t>i</w:t>
      </w:r>
      <w:r>
        <w:rPr>
          <w:kern w:val="44"/>
          <w:sz w:val="21"/>
          <w:szCs w:val="21"/>
        </w:rPr>
        <w:t>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_Toc1342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39A2051A">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_Toc28031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7</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rFonts w:hint="eastAsia"/>
          <w:kern w:val="44"/>
          <w:sz w:val="24"/>
          <w:szCs w:val="24"/>
        </w:rPr>
        <w:t>Building materials and construction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3946EF4">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_Toc27364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7.1 </w:t>
      </w:r>
      <w:r>
        <w:rPr>
          <w:rFonts w:hint="default" w:ascii="Times New Roman" w:hAnsi="Times New Roman" w:cs="Times New Roman"/>
          <w:bCs/>
          <w:sz w:val="21"/>
          <w:szCs w:val="21"/>
          <w:lang w:val="en-US" w:eastAsia="zh-CN"/>
        </w:rPr>
        <w:t xml:space="preserve"> </w:t>
      </w:r>
      <w:r>
        <w:rPr>
          <w:rFonts w:hint="eastAsia"/>
          <w:kern w:val="44"/>
          <w:sz w:val="21"/>
          <w:szCs w:val="21"/>
        </w:rPr>
        <w:t>Prerequisite items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_Toc27364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242C59FC">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_Toc2665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7.2 </w:t>
      </w:r>
      <w:r>
        <w:rPr>
          <w:rFonts w:hint="default" w:ascii="Times New Roman" w:hAnsi="Times New Roman" w:cs="Times New Roman"/>
          <w:bCs/>
          <w:sz w:val="21"/>
          <w:szCs w:val="21"/>
          <w:lang w:val="en-US" w:eastAsia="zh-CN"/>
        </w:rPr>
        <w:t xml:space="preserve"> </w:t>
      </w:r>
      <w:r>
        <w:rPr>
          <w:kern w:val="44"/>
          <w:sz w:val="21"/>
          <w:szCs w:val="21"/>
        </w:rPr>
        <w:t xml:space="preserve">Scoring </w:t>
      </w:r>
      <w:r>
        <w:rPr>
          <w:rFonts w:hint="eastAsia"/>
          <w:kern w:val="44"/>
          <w:sz w:val="21"/>
          <w:szCs w:val="21"/>
        </w:rPr>
        <w:t>i</w:t>
      </w:r>
      <w:r>
        <w:rPr>
          <w:kern w:val="44"/>
          <w:sz w:val="21"/>
          <w:szCs w:val="21"/>
        </w:rPr>
        <w:t>tems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_Toc2665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4F100ABD">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_Toc30252 </w:instrText>
      </w:r>
      <w:r>
        <w:rPr>
          <w:rFonts w:hint="default" w:ascii="Times New Roman" w:hAnsi="Times New Roman" w:cs="Times New Roman"/>
          <w:sz w:val="24"/>
          <w:szCs w:val="24"/>
        </w:rPr>
        <w:fldChar w:fldCharType="separate"/>
      </w:r>
      <w:r>
        <w:rPr>
          <w:rFonts w:hint="default" w:ascii="Times New Roman" w:hAnsi="Times New Roman" w:cs="Times New Roman"/>
          <w:bCs/>
          <w:kern w:val="44"/>
          <w:sz w:val="24"/>
          <w:szCs w:val="24"/>
        </w:rPr>
        <w:t>8</w:t>
      </w:r>
      <w:r>
        <w:rPr>
          <w:rFonts w:ascii="Times New Roman" w:hAnsi="Times New Roman" w:cs="Times New Roman"/>
          <w:bCs/>
          <w:kern w:val="44"/>
          <w:sz w:val="24"/>
          <w:szCs w:val="24"/>
        </w:rPr>
        <w:t xml:space="preserve"> </w:t>
      </w:r>
      <w:r>
        <w:rPr>
          <w:rFonts w:hint="default" w:ascii="Times New Roman" w:hAnsi="Times New Roman" w:cs="Times New Roman"/>
          <w:bCs/>
          <w:kern w:val="44"/>
          <w:sz w:val="24"/>
          <w:szCs w:val="24"/>
          <w:lang w:val="en-US" w:eastAsia="zh-CN"/>
        </w:rPr>
        <w:t xml:space="preserve"> </w:t>
      </w:r>
      <w:r>
        <w:rPr>
          <w:kern w:val="44"/>
          <w:sz w:val="24"/>
          <w:szCs w:val="24"/>
        </w:rPr>
        <w:t xml:space="preserve">Promotion and </w:t>
      </w:r>
      <w:r>
        <w:rPr>
          <w:rFonts w:hint="eastAsia"/>
          <w:kern w:val="44"/>
          <w:sz w:val="24"/>
          <w:szCs w:val="24"/>
        </w:rPr>
        <w:t>i</w:t>
      </w:r>
      <w:r>
        <w:rPr>
          <w:kern w:val="44"/>
          <w:sz w:val="24"/>
          <w:szCs w:val="24"/>
        </w:rPr>
        <w:t>nnovation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540B54B">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_Toc24485 </w:instrText>
      </w:r>
      <w:r>
        <w:rPr>
          <w:rFonts w:hint="default" w:ascii="Times New Roman" w:hAnsi="Times New Roman" w:cs="Times New Roman"/>
          <w:sz w:val="24"/>
          <w:szCs w:val="24"/>
        </w:rPr>
        <w:fldChar w:fldCharType="separate"/>
      </w:r>
      <w:r>
        <w:rPr>
          <w:rFonts w:hint="eastAsia"/>
          <w:kern w:val="44"/>
          <w:sz w:val="24"/>
          <w:szCs w:val="24"/>
        </w:rPr>
        <w:t xml:space="preserve">Appendix </w:t>
      </w:r>
      <w:r>
        <w:rPr>
          <w:rFonts w:hint="default" w:ascii="Times New Roman" w:hAnsi="Times New Roman" w:cs="Times New Roman"/>
          <w:sz w:val="24"/>
          <w:szCs w:val="24"/>
        </w:rPr>
        <w:t xml:space="preserve">A  </w:t>
      </w:r>
      <w:r>
        <w:rPr>
          <w:rFonts w:hint="eastAsia" w:eastAsia="黑体"/>
          <w:sz w:val="24"/>
          <w:szCs w:val="24"/>
        </w:rPr>
        <w:t>Carbon emission calculation</w:t>
      </w:r>
      <w:r>
        <w:rPr>
          <w:rFonts w:eastAsia="黑体"/>
          <w:sz w:val="24"/>
          <w:szCs w:val="24"/>
        </w:rPr>
        <w:t xml:space="preserve"> for low-carbon retrofitting for civilian</w:t>
      </w:r>
      <w:r>
        <w:rPr>
          <w:rFonts w:hint="eastAsia" w:eastAsia="黑体"/>
          <w:sz w:val="24"/>
          <w:szCs w:val="24"/>
        </w:rPr>
        <w:t xml:space="preserve"> </w:t>
      </w:r>
      <w:r>
        <w:rPr>
          <w:rFonts w:eastAsia="黑体"/>
          <w:sz w:val="24"/>
          <w:szCs w:val="24"/>
        </w:rPr>
        <w:t xml:space="preserve">use of existing </w:t>
      </w:r>
      <w:r>
        <w:rPr>
          <w:rFonts w:hint="eastAsia" w:eastAsia="黑体"/>
          <w:sz w:val="24"/>
          <w:szCs w:val="24"/>
        </w:rPr>
        <w:t>i</w:t>
      </w:r>
      <w:r>
        <w:rPr>
          <w:rFonts w:eastAsia="黑体"/>
          <w:sz w:val="24"/>
          <w:szCs w:val="24"/>
        </w:rPr>
        <w:t>ndustrial building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A2C5E9B">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_Toc14817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A.1  </w:t>
      </w:r>
      <w:r>
        <w:rPr>
          <w:rFonts w:hint="eastAsia" w:eastAsia="黑体"/>
          <w:sz w:val="21"/>
          <w:szCs w:val="21"/>
        </w:rPr>
        <w:t>Carbon emission calculation method</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_Toc14817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557B6668">
      <w:pPr>
        <w:pStyle w:val="12"/>
        <w:tabs>
          <w:tab w:val="right" w:leader="dot" w:pos="8306"/>
        </w:tabs>
        <w:spacing w:line="360" w:lineRule="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_Toc20580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sz w:val="21"/>
          <w:szCs w:val="21"/>
        </w:rPr>
        <w:t xml:space="preserve">A.2  </w:t>
      </w:r>
      <w:r>
        <w:rPr>
          <w:rFonts w:hint="eastAsia" w:eastAsia="黑体"/>
          <w:sz w:val="21"/>
          <w:szCs w:val="21"/>
        </w:rPr>
        <w:t>Carbon emission reduction benefit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_Toc20580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356AF87C">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_Toc8616 </w:instrText>
      </w:r>
      <w:r>
        <w:rPr>
          <w:rFonts w:hint="default" w:ascii="Times New Roman" w:hAnsi="Times New Roman" w:cs="Times New Roman"/>
          <w:sz w:val="24"/>
          <w:szCs w:val="24"/>
        </w:rPr>
        <w:fldChar w:fldCharType="separate"/>
      </w:r>
      <w:r>
        <w:rPr>
          <w:rStyle w:val="19"/>
          <w:rFonts w:ascii="Times New Roman" w:hAnsi="Times New Roman"/>
          <w:bCs/>
          <w:color w:val="auto"/>
          <w:sz w:val="24"/>
          <w:szCs w:val="24"/>
          <w:u w:val="none"/>
        </w:rPr>
        <w:t>Explanation of wording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_Toc8616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52363E3">
      <w:pPr>
        <w:pStyle w:val="11"/>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_Toc8742 </w:instrText>
      </w:r>
      <w:r>
        <w:rPr>
          <w:rFonts w:hint="default" w:ascii="Times New Roman" w:hAnsi="Times New Roman" w:cs="Times New Roman"/>
          <w:sz w:val="24"/>
          <w:szCs w:val="24"/>
        </w:rPr>
        <w:fldChar w:fldCharType="separate"/>
      </w:r>
      <w:r>
        <w:rPr>
          <w:rStyle w:val="19"/>
          <w:rFonts w:ascii="Times New Roman" w:hAnsi="Times New Roman"/>
          <w:bCs/>
          <w:color w:val="auto"/>
          <w:sz w:val="24"/>
          <w:szCs w:val="24"/>
          <w:u w:val="none"/>
        </w:rPr>
        <w:t>List of quoted standards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_Toc8742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84094A5">
      <w:pPr>
        <w:pStyle w:val="11"/>
        <w:tabs>
          <w:tab w:val="right" w:leader="dot" w:pos="8306"/>
        </w:tabs>
        <w:spacing w:line="360" w:lineRule="auto"/>
        <w:rPr>
          <w:rFonts w:hint="default" w:ascii="Times New Roman" w:hAnsi="Times New Roman" w:eastAsia="宋体" w:cs="Times New Roman"/>
          <w:sz w:val="24"/>
          <w:szCs w:val="24"/>
          <w:lang w:val="en-US" w:eastAsia="zh-CN"/>
        </w:rPr>
      </w:pPr>
      <w:r>
        <w:fldChar w:fldCharType="begin"/>
      </w:r>
      <w:r>
        <w:instrText xml:space="preserve"> HYPERLINK \l "_Toc9579" </w:instrText>
      </w:r>
      <w:r>
        <w:fldChar w:fldCharType="separate"/>
      </w:r>
      <w:r>
        <w:rPr>
          <w:rStyle w:val="19"/>
          <w:bCs/>
          <w:color w:val="auto"/>
          <w:sz w:val="24"/>
          <w:szCs w:val="24"/>
          <w:u w:val="none"/>
        </w:rPr>
        <w:t>Addition</w:t>
      </w:r>
      <w:r>
        <w:rPr>
          <w:rStyle w:val="19"/>
          <w:rFonts w:hint="eastAsia"/>
          <w:bCs/>
          <w:color w:val="auto"/>
          <w:sz w:val="24"/>
          <w:szCs w:val="24"/>
          <w:u w:val="none"/>
        </w:rPr>
        <w:t>：</w:t>
      </w:r>
      <w:r>
        <w:rPr>
          <w:rStyle w:val="19"/>
          <w:bCs/>
          <w:color w:val="auto"/>
          <w:sz w:val="24"/>
          <w:szCs w:val="24"/>
          <w:u w:val="none"/>
        </w:rPr>
        <w:fldChar w:fldCharType="begin"/>
      </w:r>
      <w:r>
        <w:rPr>
          <w:rStyle w:val="19"/>
          <w:bCs/>
          <w:color w:val="auto"/>
          <w:sz w:val="24"/>
          <w:szCs w:val="24"/>
          <w:u w:val="none"/>
        </w:rPr>
        <w:instrText xml:space="preserve"> HYPERLINK \l "_Toc84602581" </w:instrText>
      </w:r>
      <w:r>
        <w:rPr>
          <w:rStyle w:val="19"/>
          <w:bCs/>
          <w:color w:val="auto"/>
          <w:sz w:val="24"/>
          <w:szCs w:val="24"/>
          <w:u w:val="none"/>
        </w:rPr>
        <w:fldChar w:fldCharType="separate"/>
      </w:r>
      <w:r>
        <w:rPr>
          <w:rStyle w:val="19"/>
          <w:bCs/>
          <w:color w:val="auto"/>
          <w:sz w:val="24"/>
          <w:szCs w:val="24"/>
          <w:u w:val="none"/>
        </w:rPr>
        <w:t>Explanation of provisions</w:t>
      </w:r>
      <w:r>
        <w:rPr>
          <w:rStyle w:val="19"/>
          <w:bCs/>
          <w:color w:val="auto"/>
          <w:sz w:val="24"/>
          <w:szCs w:val="24"/>
          <w:u w:val="none"/>
        </w:rPr>
        <w:fldChar w:fldCharType="end"/>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6</w:t>
      </w:r>
    </w:p>
    <w:p w14:paraId="1A7F1084">
      <w:pPr>
        <w:widowControl/>
        <w:snapToGrid w:val="0"/>
        <w:spacing w:line="360" w:lineRule="auto"/>
        <w:rPr>
          <w:rFonts w:hint="default" w:ascii="Times New Roman" w:hAnsi="Times New Roman" w:cs="Times New Roman"/>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14:paraId="048BEFEB">
      <w:pPr>
        <w:widowControl/>
        <w:snapToGrid w:val="0"/>
        <w:spacing w:line="360" w:lineRule="auto"/>
        <w:jc w:val="center"/>
        <w:outlineLvl w:val="9"/>
        <w:rPr>
          <w:rFonts w:ascii="Times New Roman" w:hAnsi="Times New Roman" w:cs="Times New Roman"/>
          <w:b/>
          <w:bCs/>
          <w:kern w:val="44"/>
          <w:sz w:val="30"/>
          <w:szCs w:val="30"/>
        </w:rPr>
      </w:pPr>
      <w:bookmarkStart w:id="52" w:name="_Toc11459"/>
      <w:bookmarkStart w:id="53" w:name="_Toc20318"/>
      <w:bookmarkStart w:id="54" w:name="_Toc29449"/>
    </w:p>
    <w:p w14:paraId="08E905BB">
      <w:pPr>
        <w:widowControl/>
        <w:snapToGrid w:val="0"/>
        <w:spacing w:line="360" w:lineRule="auto"/>
        <w:jc w:val="center"/>
        <w:outlineLvl w:val="0"/>
        <w:rPr>
          <w:b/>
          <w:bCs/>
          <w:kern w:val="44"/>
          <w:sz w:val="30"/>
          <w:szCs w:val="30"/>
        </w:rPr>
      </w:pPr>
      <w:bookmarkStart w:id="55" w:name="_Toc19007"/>
      <w:bookmarkStart w:id="56" w:name="_Toc3701"/>
      <w:r>
        <w:rPr>
          <w:rFonts w:ascii="Times New Roman" w:hAnsi="Times New Roman" w:cs="Times New Roman"/>
          <w:b/>
          <w:bCs/>
          <w:kern w:val="44"/>
          <w:sz w:val="30"/>
          <w:szCs w:val="30"/>
        </w:rPr>
        <w:t>1</w:t>
      </w:r>
      <w:r>
        <w:rPr>
          <w:rFonts w:ascii="宋体" w:hAnsi="宋体" w:cs="宋体"/>
          <w:b/>
          <w:bCs/>
          <w:kern w:val="44"/>
          <w:sz w:val="30"/>
          <w:szCs w:val="30"/>
        </w:rPr>
        <w:t xml:space="preserve"> </w:t>
      </w:r>
      <w:r>
        <w:rPr>
          <w:rFonts w:hint="eastAsia" w:ascii="宋体" w:hAnsi="宋体" w:cs="宋体"/>
          <w:b/>
          <w:bCs/>
          <w:kern w:val="44"/>
          <w:sz w:val="30"/>
          <w:szCs w:val="30"/>
        </w:rPr>
        <w:t>总则</w:t>
      </w:r>
      <w:bookmarkEnd w:id="45"/>
      <w:bookmarkEnd w:id="46"/>
      <w:bookmarkEnd w:id="47"/>
      <w:bookmarkEnd w:id="48"/>
      <w:bookmarkEnd w:id="49"/>
      <w:bookmarkEnd w:id="52"/>
      <w:bookmarkEnd w:id="53"/>
      <w:bookmarkEnd w:id="54"/>
      <w:bookmarkEnd w:id="55"/>
      <w:bookmarkEnd w:id="56"/>
    </w:p>
    <w:p w14:paraId="4461FFA6">
      <w:pPr>
        <w:spacing w:line="360" w:lineRule="auto"/>
        <w:rPr>
          <w:sz w:val="24"/>
          <w:szCs w:val="24"/>
        </w:rPr>
      </w:pPr>
      <w:r>
        <w:rPr>
          <w:rFonts w:ascii="Times New Roman" w:eastAsia="黑体"/>
          <w:b/>
          <w:bCs/>
          <w:sz w:val="24"/>
          <w:szCs w:val="24"/>
        </w:rPr>
        <w:t>1.0.1</w:t>
      </w:r>
      <w:r>
        <w:rPr>
          <w:rFonts w:hint="eastAsia"/>
          <w:sz w:val="24"/>
          <w:szCs w:val="24"/>
        </w:rPr>
        <w:t xml:space="preserve">  为促进既有工业建筑民用化低碳改造，降低既有工业建筑再利用过程中的碳排放，做到技术先进、内容科学、经济合理，规范既有工业建筑民用化低碳改造评价，制定本标准。</w:t>
      </w:r>
    </w:p>
    <w:p w14:paraId="2E4D5B61">
      <w:pPr>
        <w:spacing w:line="360" w:lineRule="auto"/>
        <w:rPr>
          <w:sz w:val="24"/>
          <w:szCs w:val="24"/>
        </w:rPr>
      </w:pPr>
      <w:r>
        <w:rPr>
          <w:rFonts w:ascii="Times New Roman" w:eastAsia="黑体"/>
          <w:b/>
          <w:bCs/>
          <w:sz w:val="24"/>
          <w:szCs w:val="24"/>
        </w:rPr>
        <w:t>1.0.2</w:t>
      </w:r>
      <w:r>
        <w:rPr>
          <w:rFonts w:hint="eastAsia"/>
          <w:sz w:val="24"/>
          <w:szCs w:val="24"/>
        </w:rPr>
        <w:t xml:space="preserve">  本标准适用于既有工业建筑民用化低碳性能改造的评价。</w:t>
      </w:r>
    </w:p>
    <w:p w14:paraId="5C368DC3">
      <w:pPr>
        <w:spacing w:line="360" w:lineRule="auto"/>
        <w:rPr>
          <w:sz w:val="24"/>
          <w:szCs w:val="24"/>
        </w:rPr>
      </w:pPr>
      <w:r>
        <w:rPr>
          <w:rFonts w:ascii="Times New Roman" w:eastAsia="黑体"/>
          <w:b/>
          <w:bCs/>
          <w:sz w:val="24"/>
          <w:szCs w:val="24"/>
        </w:rPr>
        <w:t>1.0.3</w:t>
      </w:r>
      <w:r>
        <w:rPr>
          <w:rFonts w:hint="eastAsia"/>
          <w:sz w:val="24"/>
          <w:szCs w:val="24"/>
        </w:rPr>
        <w:t xml:space="preserve">  既有工业建筑民用化低碳改造评价应遵循因地制宜的原则，结合当地的气候、环境、资源、经济和人文等特点，对既有工业建筑民用化低碳改造全寿命期内的场地与环境、建筑改造与利用、能源与水资源利用、建材与建造等性能进行综合评价。</w:t>
      </w:r>
    </w:p>
    <w:p w14:paraId="1936F64E">
      <w:pPr>
        <w:spacing w:line="360" w:lineRule="auto"/>
        <w:rPr>
          <w:sz w:val="24"/>
          <w:szCs w:val="24"/>
        </w:rPr>
      </w:pPr>
      <w:r>
        <w:rPr>
          <w:rFonts w:ascii="Times New Roman" w:eastAsia="黑体"/>
          <w:b/>
          <w:bCs/>
          <w:sz w:val="24"/>
          <w:szCs w:val="24"/>
        </w:rPr>
        <w:t>1.0.4</w:t>
      </w:r>
      <w:r>
        <w:rPr>
          <w:rFonts w:hint="eastAsia"/>
          <w:sz w:val="24"/>
          <w:szCs w:val="24"/>
        </w:rPr>
        <w:t xml:space="preserve">  既有工业建筑民用化低碳改造评价除应符合本标准的规定外，尚应符合国家现行有关标准和现行中国工程建设标准化协会有关标准的规定。</w:t>
      </w:r>
    </w:p>
    <w:p w14:paraId="59CC15CA">
      <w:pPr>
        <w:widowControl/>
        <w:snapToGrid w:val="0"/>
        <w:spacing w:line="360" w:lineRule="auto"/>
        <w:jc w:val="center"/>
        <w:outlineLvl w:val="9"/>
        <w:rPr>
          <w:rFonts w:ascii="Times New Roman" w:hAnsi="Times New Roman" w:cs="Times New Roman"/>
          <w:b/>
          <w:bCs/>
          <w:kern w:val="44"/>
          <w:sz w:val="30"/>
          <w:szCs w:val="30"/>
        </w:rPr>
        <w:sectPr>
          <w:footerReference r:id="rId8" w:type="default"/>
          <w:pgSz w:w="11906" w:h="16838"/>
          <w:pgMar w:top="1440" w:right="1800" w:bottom="1440" w:left="1800" w:header="851" w:footer="992" w:gutter="0"/>
          <w:pgNumType w:start="1"/>
          <w:cols w:space="425" w:num="1"/>
          <w:docGrid w:type="lines" w:linePitch="312" w:charSpace="0"/>
        </w:sectPr>
      </w:pPr>
      <w:bookmarkStart w:id="57" w:name="_Toc32002"/>
      <w:bookmarkStart w:id="58" w:name="_Toc6296"/>
      <w:bookmarkStart w:id="59" w:name="_Toc9579"/>
      <w:bookmarkStart w:id="60" w:name="_Toc4463"/>
      <w:bookmarkStart w:id="61" w:name="_Toc14156"/>
      <w:bookmarkStart w:id="62" w:name="_Toc4472"/>
      <w:bookmarkStart w:id="63" w:name="_Toc28801"/>
      <w:bookmarkStart w:id="64" w:name="_Toc19585"/>
    </w:p>
    <w:p w14:paraId="19C18420">
      <w:pPr>
        <w:widowControl/>
        <w:snapToGrid w:val="0"/>
        <w:spacing w:line="360" w:lineRule="auto"/>
        <w:jc w:val="center"/>
        <w:outlineLvl w:val="9"/>
        <w:rPr>
          <w:rFonts w:ascii="Times New Roman" w:hAnsi="Times New Roman" w:cs="Times New Roman"/>
          <w:b/>
          <w:bCs/>
          <w:kern w:val="44"/>
          <w:sz w:val="30"/>
          <w:szCs w:val="30"/>
        </w:rPr>
      </w:pPr>
    </w:p>
    <w:p w14:paraId="7F928B49">
      <w:pPr>
        <w:widowControl/>
        <w:snapToGrid w:val="0"/>
        <w:spacing w:line="360" w:lineRule="auto"/>
        <w:jc w:val="center"/>
        <w:outlineLvl w:val="0"/>
        <w:rPr>
          <w:rFonts w:ascii="宋体" w:hAnsi="宋体" w:cs="宋体"/>
          <w:b/>
          <w:bCs/>
          <w:kern w:val="44"/>
          <w:sz w:val="30"/>
          <w:szCs w:val="30"/>
        </w:rPr>
      </w:pPr>
      <w:bookmarkStart w:id="65" w:name="_Toc9671"/>
      <w:bookmarkStart w:id="66" w:name="_Toc7940"/>
      <w:r>
        <w:rPr>
          <w:rFonts w:ascii="Times New Roman" w:hAnsi="Times New Roman" w:cs="Times New Roman"/>
          <w:b/>
          <w:bCs/>
          <w:kern w:val="44"/>
          <w:sz w:val="30"/>
          <w:szCs w:val="30"/>
        </w:rPr>
        <w:t>2</w:t>
      </w:r>
      <w:r>
        <w:rPr>
          <w:rFonts w:ascii="宋体" w:hAnsi="宋体" w:cs="宋体"/>
          <w:b/>
          <w:bCs/>
          <w:kern w:val="44"/>
          <w:sz w:val="30"/>
          <w:szCs w:val="30"/>
        </w:rPr>
        <w:t xml:space="preserve"> </w:t>
      </w:r>
      <w:r>
        <w:rPr>
          <w:rFonts w:hint="eastAsia" w:ascii="宋体" w:hAnsi="宋体" w:cs="宋体"/>
          <w:b/>
          <w:bCs/>
          <w:kern w:val="44"/>
          <w:sz w:val="30"/>
          <w:szCs w:val="30"/>
        </w:rPr>
        <w:t>术语</w:t>
      </w:r>
      <w:bookmarkEnd w:id="57"/>
      <w:bookmarkEnd w:id="58"/>
      <w:bookmarkEnd w:id="59"/>
      <w:bookmarkEnd w:id="60"/>
      <w:bookmarkEnd w:id="61"/>
      <w:bookmarkEnd w:id="62"/>
      <w:bookmarkEnd w:id="63"/>
      <w:bookmarkEnd w:id="64"/>
      <w:bookmarkEnd w:id="65"/>
      <w:bookmarkEnd w:id="66"/>
    </w:p>
    <w:p w14:paraId="2E4AE638">
      <w:pPr>
        <w:spacing w:line="360" w:lineRule="auto"/>
        <w:rPr>
          <w:sz w:val="24"/>
          <w:szCs w:val="24"/>
        </w:rPr>
      </w:pPr>
      <w:r>
        <w:rPr>
          <w:rFonts w:ascii="Times New Roman" w:eastAsia="黑体"/>
          <w:b/>
          <w:bCs/>
          <w:sz w:val="24"/>
          <w:szCs w:val="24"/>
        </w:rPr>
        <w:t>2.0.1</w:t>
      </w:r>
      <w:r>
        <w:rPr>
          <w:rFonts w:hint="eastAsia"/>
          <w:sz w:val="24"/>
          <w:szCs w:val="24"/>
        </w:rPr>
        <w:t xml:space="preserve">  既有工业建筑existing industrial building</w:t>
      </w:r>
    </w:p>
    <w:p w14:paraId="0A6EBBB4">
      <w:pPr>
        <w:spacing w:line="360" w:lineRule="auto"/>
        <w:ind w:firstLine="480" w:firstLineChars="200"/>
        <w:rPr>
          <w:sz w:val="24"/>
          <w:szCs w:val="24"/>
        </w:rPr>
      </w:pPr>
      <w:r>
        <w:rPr>
          <w:rFonts w:hint="eastAsia"/>
          <w:sz w:val="24"/>
          <w:szCs w:val="24"/>
        </w:rPr>
        <w:t>为工业活动所建造的，仍具有使用价值的建筑物、构筑物、景观、场址、设施等。</w:t>
      </w:r>
    </w:p>
    <w:p w14:paraId="55239532">
      <w:pPr>
        <w:spacing w:line="360" w:lineRule="auto"/>
        <w:rPr>
          <w:sz w:val="24"/>
          <w:szCs w:val="24"/>
        </w:rPr>
      </w:pPr>
      <w:r>
        <w:rPr>
          <w:rFonts w:ascii="Times New Roman" w:eastAsia="黑体"/>
          <w:b/>
          <w:bCs/>
          <w:sz w:val="24"/>
          <w:szCs w:val="24"/>
        </w:rPr>
        <w:t>2.0.2</w:t>
      </w:r>
      <w:r>
        <w:rPr>
          <w:rFonts w:hint="eastAsia"/>
          <w:sz w:val="24"/>
          <w:szCs w:val="24"/>
        </w:rPr>
        <w:t xml:space="preserve">  民用化低碳改造</w:t>
      </w:r>
      <w:r>
        <w:rPr>
          <w:sz w:val="24"/>
          <w:szCs w:val="24"/>
        </w:rPr>
        <w:t>low-carbon retrofitting for civilian use</w:t>
      </w:r>
    </w:p>
    <w:p w14:paraId="511F90D4">
      <w:pPr>
        <w:spacing w:line="360" w:lineRule="auto"/>
        <w:ind w:firstLine="480" w:firstLineChars="200"/>
        <w:rPr>
          <w:sz w:val="24"/>
          <w:szCs w:val="24"/>
        </w:rPr>
      </w:pPr>
      <w:r>
        <w:rPr>
          <w:rFonts w:hint="eastAsia"/>
          <w:sz w:val="24"/>
          <w:szCs w:val="24"/>
        </w:rPr>
        <w:t>以节约能源资源、改善人居环境、提升使用功能、降低碳排放等为目标，将既有工业建筑民用化低碳改造为民用建筑所进行的维护、更新、加固等活动。</w:t>
      </w:r>
    </w:p>
    <w:p w14:paraId="430403E9">
      <w:pPr>
        <w:spacing w:line="360" w:lineRule="auto"/>
        <w:rPr>
          <w:sz w:val="24"/>
          <w:szCs w:val="24"/>
        </w:rPr>
      </w:pPr>
      <w:r>
        <w:rPr>
          <w:rFonts w:ascii="Times New Roman" w:eastAsia="黑体"/>
          <w:b/>
          <w:bCs/>
          <w:sz w:val="24"/>
          <w:szCs w:val="24"/>
        </w:rPr>
        <w:t>2.0.3</w:t>
      </w:r>
      <w:r>
        <w:rPr>
          <w:rFonts w:hint="eastAsia"/>
          <w:sz w:val="24"/>
          <w:szCs w:val="24"/>
        </w:rPr>
        <w:t xml:space="preserve">  绿色电力</w:t>
      </w:r>
      <w:r>
        <w:rPr>
          <w:sz w:val="24"/>
          <w:szCs w:val="24"/>
        </w:rPr>
        <w:t>green power</w:t>
      </w:r>
    </w:p>
    <w:p w14:paraId="0C16D4E5">
      <w:pPr>
        <w:spacing w:line="360" w:lineRule="auto"/>
        <w:ind w:firstLine="480" w:firstLineChars="200"/>
        <w:rPr>
          <w:sz w:val="24"/>
          <w:szCs w:val="24"/>
        </w:rPr>
      </w:pPr>
      <w:r>
        <w:rPr>
          <w:rFonts w:hint="eastAsia"/>
          <w:sz w:val="24"/>
          <w:szCs w:val="24"/>
        </w:rPr>
        <w:t>采用新能源或可再生能源生产的电力。</w:t>
      </w:r>
    </w:p>
    <w:p w14:paraId="62F20119">
      <w:pPr>
        <w:widowControl/>
        <w:spacing w:line="360" w:lineRule="auto"/>
        <w:rPr>
          <w:sz w:val="24"/>
          <w:szCs w:val="24"/>
        </w:rPr>
      </w:pPr>
      <w:r>
        <w:rPr>
          <w:rFonts w:ascii="Times New Roman" w:eastAsia="黑体"/>
          <w:b/>
          <w:bCs/>
          <w:sz w:val="24"/>
          <w:szCs w:val="24"/>
        </w:rPr>
        <w:t>2.0.4</w:t>
      </w:r>
      <w:r>
        <w:rPr>
          <w:sz w:val="24"/>
          <w:szCs w:val="24"/>
        </w:rPr>
        <w:t xml:space="preserve">  </w:t>
      </w:r>
      <w:r>
        <w:rPr>
          <w:rFonts w:hint="eastAsia"/>
          <w:sz w:val="24"/>
          <w:szCs w:val="24"/>
        </w:rPr>
        <w:t>碳强比</w:t>
      </w:r>
      <w:r>
        <w:rPr>
          <w:sz w:val="24"/>
          <w:szCs w:val="24"/>
        </w:rPr>
        <w:t>carbon intensity ratio</w:t>
      </w:r>
    </w:p>
    <w:p w14:paraId="14344FBB">
      <w:pPr>
        <w:widowControl/>
        <w:spacing w:line="300" w:lineRule="auto"/>
        <w:ind w:firstLine="480" w:firstLineChars="200"/>
        <w:jc w:val="left"/>
        <w:rPr>
          <w:rFonts w:hint="default" w:eastAsia="宋体"/>
          <w:lang w:val="en-US" w:eastAsia="zh-CN"/>
        </w:rPr>
      </w:pPr>
      <w:bookmarkStart w:id="67" w:name="OLE_LINK4"/>
      <w:r>
        <w:rPr>
          <w:rFonts w:hint="eastAsia"/>
          <w:sz w:val="24"/>
          <w:szCs w:val="24"/>
        </w:rPr>
        <w:t>建筑材料每单位强度需求或产生的碳排放量。</w:t>
      </w:r>
      <w:bookmarkEnd w:id="67"/>
    </w:p>
    <w:p w14:paraId="359A79A4"/>
    <w:p w14:paraId="02396BB6">
      <w:r>
        <w:rPr>
          <w:rFonts w:hint="eastAsia"/>
        </w:rPr>
        <w:br w:type="page"/>
      </w:r>
    </w:p>
    <w:p w14:paraId="1BA55CEE">
      <w:pPr>
        <w:widowControl/>
        <w:snapToGrid w:val="0"/>
        <w:spacing w:line="360" w:lineRule="auto"/>
        <w:jc w:val="center"/>
        <w:outlineLvl w:val="9"/>
        <w:rPr>
          <w:rFonts w:ascii="Times New Roman" w:hAnsi="Times New Roman" w:cs="Times New Roman"/>
          <w:b/>
          <w:bCs/>
          <w:kern w:val="44"/>
          <w:sz w:val="30"/>
          <w:szCs w:val="30"/>
        </w:rPr>
      </w:pPr>
      <w:bookmarkStart w:id="68" w:name="_Toc5631"/>
      <w:bookmarkStart w:id="69" w:name="_Toc30014"/>
      <w:bookmarkStart w:id="70" w:name="_Toc24392"/>
      <w:bookmarkStart w:id="71" w:name="_Toc32353"/>
      <w:bookmarkStart w:id="72" w:name="_Toc13691"/>
      <w:bookmarkStart w:id="73" w:name="_Toc2496"/>
      <w:bookmarkStart w:id="74" w:name="_Toc6368"/>
      <w:bookmarkStart w:id="75" w:name="_Toc3572"/>
    </w:p>
    <w:p w14:paraId="6FE5E481">
      <w:pPr>
        <w:widowControl/>
        <w:snapToGrid w:val="0"/>
        <w:spacing w:line="360" w:lineRule="auto"/>
        <w:jc w:val="center"/>
        <w:outlineLvl w:val="0"/>
        <w:rPr>
          <w:rFonts w:ascii="宋体" w:hAnsi="宋体" w:cs="宋体"/>
          <w:b/>
          <w:bCs/>
          <w:kern w:val="44"/>
          <w:sz w:val="30"/>
          <w:szCs w:val="30"/>
        </w:rPr>
      </w:pPr>
      <w:bookmarkStart w:id="76" w:name="_Toc28570"/>
      <w:bookmarkStart w:id="77" w:name="_Toc4241"/>
      <w:r>
        <w:rPr>
          <w:rFonts w:ascii="Times New Roman" w:hAnsi="Times New Roman" w:cs="Times New Roman"/>
          <w:b/>
          <w:bCs/>
          <w:kern w:val="44"/>
          <w:sz w:val="30"/>
          <w:szCs w:val="30"/>
        </w:rPr>
        <w:t>3</w:t>
      </w:r>
      <w:r>
        <w:rPr>
          <w:rFonts w:ascii="宋体" w:hAnsi="宋体" w:cs="宋体"/>
          <w:b/>
          <w:bCs/>
          <w:kern w:val="44"/>
          <w:sz w:val="30"/>
          <w:szCs w:val="30"/>
        </w:rPr>
        <w:t xml:space="preserve"> </w:t>
      </w:r>
      <w:r>
        <w:rPr>
          <w:rFonts w:hint="eastAsia" w:ascii="宋体" w:hAnsi="宋体" w:cs="宋体"/>
          <w:b/>
          <w:bCs/>
          <w:kern w:val="44"/>
          <w:sz w:val="30"/>
          <w:szCs w:val="30"/>
        </w:rPr>
        <w:t>基本规定</w:t>
      </w:r>
      <w:bookmarkEnd w:id="68"/>
      <w:bookmarkEnd w:id="69"/>
      <w:bookmarkEnd w:id="70"/>
      <w:bookmarkEnd w:id="71"/>
      <w:bookmarkEnd w:id="72"/>
      <w:bookmarkEnd w:id="73"/>
      <w:bookmarkEnd w:id="74"/>
      <w:bookmarkEnd w:id="75"/>
      <w:bookmarkEnd w:id="76"/>
      <w:bookmarkEnd w:id="77"/>
    </w:p>
    <w:p w14:paraId="7157AFD5">
      <w:pPr>
        <w:tabs>
          <w:tab w:val="left" w:pos="0"/>
        </w:tabs>
        <w:spacing w:before="0" w:beforeLines="0" w:after="0" w:afterLines="0" w:line="360" w:lineRule="auto"/>
        <w:jc w:val="center"/>
        <w:outlineLvl w:val="1"/>
        <w:rPr>
          <w:rFonts w:ascii="黑体" w:hAnsi="黑体" w:eastAsia="黑体" w:cs="黑体"/>
          <w:b/>
          <w:bCs/>
          <w:sz w:val="28"/>
          <w:szCs w:val="28"/>
        </w:rPr>
      </w:pPr>
      <w:bookmarkStart w:id="78" w:name="_Toc13286"/>
      <w:bookmarkStart w:id="79" w:name="_Toc16543"/>
      <w:bookmarkStart w:id="80" w:name="_Toc29963"/>
      <w:bookmarkStart w:id="81" w:name="_Toc1928"/>
      <w:bookmarkStart w:id="82" w:name="_Toc25533"/>
      <w:bookmarkStart w:id="83" w:name="_Toc13268"/>
      <w:bookmarkStart w:id="84" w:name="_Toc9924"/>
      <w:bookmarkStart w:id="85" w:name="_Toc3812"/>
      <w:bookmarkStart w:id="86" w:name="_Toc24540"/>
      <w:bookmarkStart w:id="87" w:name="_Toc24476"/>
      <w:r>
        <w:rPr>
          <w:rFonts w:ascii="Times New Roman" w:hAnsi="Times New Roman" w:eastAsia="黑体" w:cs="Times New Roman"/>
          <w:b/>
          <w:bCs/>
          <w:sz w:val="28"/>
          <w:szCs w:val="28"/>
        </w:rPr>
        <w:t>3.1</w:t>
      </w:r>
      <w:r>
        <w:rPr>
          <w:rFonts w:ascii="黑体" w:hAnsi="黑体" w:eastAsia="黑体" w:cs="黑体"/>
          <w:b/>
          <w:bCs/>
          <w:sz w:val="28"/>
          <w:szCs w:val="28"/>
        </w:rPr>
        <w:t xml:space="preserve">  </w:t>
      </w:r>
      <w:r>
        <w:rPr>
          <w:rFonts w:hint="eastAsia" w:ascii="黑体" w:hAnsi="黑体" w:eastAsia="黑体" w:cs="黑体"/>
          <w:b/>
          <w:bCs/>
          <w:sz w:val="28"/>
          <w:szCs w:val="28"/>
        </w:rPr>
        <w:t>一般规定</w:t>
      </w:r>
      <w:bookmarkEnd w:id="78"/>
      <w:bookmarkEnd w:id="79"/>
      <w:bookmarkEnd w:id="80"/>
      <w:bookmarkEnd w:id="81"/>
      <w:bookmarkEnd w:id="82"/>
      <w:bookmarkEnd w:id="83"/>
      <w:bookmarkEnd w:id="84"/>
      <w:bookmarkEnd w:id="85"/>
      <w:bookmarkEnd w:id="86"/>
    </w:p>
    <w:p w14:paraId="4C017F1B">
      <w:pPr>
        <w:spacing w:line="360" w:lineRule="auto"/>
        <w:rPr>
          <w:sz w:val="24"/>
          <w:szCs w:val="24"/>
        </w:rPr>
      </w:pPr>
      <w:r>
        <w:rPr>
          <w:rFonts w:ascii="Times New Roman" w:eastAsia="黑体"/>
          <w:b/>
          <w:bCs/>
          <w:sz w:val="24"/>
          <w:szCs w:val="24"/>
        </w:rPr>
        <w:t>3.1.1</w:t>
      </w:r>
      <w:r>
        <w:rPr>
          <w:rFonts w:hint="eastAsia"/>
          <w:sz w:val="24"/>
          <w:szCs w:val="24"/>
        </w:rPr>
        <w:t>　既有工业建筑民用化低碳改造评价应以单栋建筑或同一功能的建筑群为评价对象。涉及系统性、整体性的指标，应基于建筑所属工程项目的总体进行评价。</w:t>
      </w:r>
    </w:p>
    <w:p w14:paraId="317745FD">
      <w:pPr>
        <w:spacing w:line="360" w:lineRule="auto"/>
        <w:rPr>
          <w:sz w:val="24"/>
          <w:szCs w:val="24"/>
        </w:rPr>
      </w:pPr>
      <w:r>
        <w:rPr>
          <w:rFonts w:ascii="Times New Roman" w:eastAsia="黑体"/>
          <w:b/>
          <w:bCs/>
          <w:sz w:val="24"/>
          <w:szCs w:val="24"/>
        </w:rPr>
        <w:t>3.1.2</w:t>
      </w:r>
      <w:r>
        <w:rPr>
          <w:rFonts w:hint="eastAsia"/>
          <w:sz w:val="24"/>
          <w:szCs w:val="24"/>
        </w:rPr>
        <w:t>　既有工业建筑民用化低碳改造评价应在改造工程竣工后进行。在建筑工程施工图设计完成后，应进行预评价。</w:t>
      </w:r>
    </w:p>
    <w:p w14:paraId="2574C192">
      <w:pPr>
        <w:spacing w:line="360" w:lineRule="auto"/>
        <w:rPr>
          <w:sz w:val="24"/>
          <w:szCs w:val="24"/>
        </w:rPr>
      </w:pPr>
      <w:r>
        <w:rPr>
          <w:rFonts w:ascii="Times New Roman" w:eastAsia="黑体"/>
          <w:b/>
          <w:bCs/>
          <w:sz w:val="24"/>
          <w:szCs w:val="24"/>
        </w:rPr>
        <w:t>3.1.3</w:t>
      </w:r>
      <w:r>
        <w:rPr>
          <w:rFonts w:hint="eastAsia"/>
          <w:sz w:val="24"/>
          <w:szCs w:val="24"/>
        </w:rPr>
        <w:t>　改造前应对既有工业建筑结构、场地环境、土壤状况、构筑物等利用情况进行分析，并应对项目进行评估和策划，确定低碳改造目标，制定低碳改造方案。</w:t>
      </w:r>
    </w:p>
    <w:p w14:paraId="57E76D2B">
      <w:pPr>
        <w:spacing w:line="360" w:lineRule="auto"/>
        <w:rPr>
          <w:sz w:val="24"/>
          <w:szCs w:val="24"/>
        </w:rPr>
      </w:pPr>
      <w:r>
        <w:rPr>
          <w:rFonts w:ascii="Times New Roman" w:eastAsia="黑体"/>
          <w:b/>
          <w:bCs/>
          <w:sz w:val="24"/>
          <w:szCs w:val="24"/>
        </w:rPr>
        <w:t>3.1.</w:t>
      </w:r>
      <w:r>
        <w:rPr>
          <w:rFonts w:hint="default" w:ascii="Times New Roman" w:eastAsia="黑体"/>
          <w:b/>
          <w:bCs/>
          <w:sz w:val="24"/>
          <w:szCs w:val="24"/>
        </w:rPr>
        <w:t>4</w:t>
      </w:r>
      <w:r>
        <w:rPr>
          <w:rFonts w:hint="eastAsia"/>
          <w:sz w:val="24"/>
          <w:szCs w:val="24"/>
        </w:rPr>
        <w:t>　申请评价方应对参评项目的规划、设计、施工、运行阶段进行全过程控制，并应在评价时提交相应分析、测试报告和相关文件。评价机构应对申请评价方提交的资料进行审查，并应给出评价结果。</w:t>
      </w:r>
    </w:p>
    <w:p w14:paraId="5EC44A4F">
      <w:pPr>
        <w:spacing w:line="360" w:lineRule="auto"/>
        <w:rPr>
          <w:sz w:val="24"/>
          <w:szCs w:val="24"/>
        </w:rPr>
      </w:pPr>
      <w:r>
        <w:rPr>
          <w:rFonts w:ascii="Times New Roman" w:eastAsia="黑体"/>
          <w:b/>
          <w:bCs/>
          <w:sz w:val="24"/>
          <w:szCs w:val="24"/>
        </w:rPr>
        <w:t>3.1.</w:t>
      </w:r>
      <w:r>
        <w:rPr>
          <w:rFonts w:hint="default" w:ascii="Times New Roman" w:eastAsia="黑体"/>
          <w:b/>
          <w:bCs/>
          <w:sz w:val="24"/>
          <w:szCs w:val="24"/>
        </w:rPr>
        <w:t>5</w:t>
      </w:r>
      <w:r>
        <w:rPr>
          <w:rFonts w:hint="eastAsia"/>
          <w:sz w:val="24"/>
          <w:szCs w:val="24"/>
        </w:rPr>
        <w:t>　既有工业建筑民用化低碳改造应按附录</w:t>
      </w:r>
      <w:r>
        <w:rPr>
          <w:sz w:val="24"/>
          <w:szCs w:val="24"/>
        </w:rPr>
        <w:t>A</w:t>
      </w:r>
      <w:r>
        <w:rPr>
          <w:rFonts w:hint="eastAsia"/>
          <w:sz w:val="24"/>
          <w:szCs w:val="24"/>
        </w:rPr>
        <w:t>的规定对全寿命期单位面积碳排放强度进行计算，并应编写碳排放分析专项报告。</w:t>
      </w:r>
    </w:p>
    <w:p w14:paraId="2960829F">
      <w:pPr>
        <w:pStyle w:val="21"/>
        <w:spacing w:line="360" w:lineRule="auto"/>
        <w:ind w:firstLine="0" w:firstLineChars="0"/>
        <w:rPr>
          <w:rFonts w:cs="Times New Roman"/>
          <w:color w:val="auto"/>
          <w:kern w:val="2"/>
          <w:sz w:val="24"/>
        </w:rPr>
      </w:pPr>
      <w:r>
        <w:rPr>
          <w:rFonts w:ascii="Times New Roman" w:eastAsia="黑体" w:cs="Times New Roman"/>
          <w:b/>
          <w:bCs/>
          <w:sz w:val="24"/>
        </w:rPr>
        <w:t>3.1.</w:t>
      </w:r>
      <w:r>
        <w:rPr>
          <w:rFonts w:hint="default" w:ascii="Times New Roman" w:eastAsia="黑体" w:cs="Times New Roman"/>
          <w:b/>
          <w:bCs/>
          <w:sz w:val="24"/>
        </w:rPr>
        <w:t>6</w:t>
      </w:r>
      <w:r>
        <w:rPr>
          <w:rFonts w:hint="eastAsia" w:ascii="黑体" w:eastAsia="黑体"/>
          <w:b/>
          <w:bCs/>
          <w:sz w:val="24"/>
        </w:rPr>
        <w:t xml:space="preserve">  </w:t>
      </w:r>
      <w:r>
        <w:rPr>
          <w:rFonts w:hint="eastAsia" w:ascii="Times New Roman" w:eastAsia="宋体" w:cs="Times New Roman"/>
          <w:b w:val="0"/>
          <w:bCs w:val="0"/>
          <w:color w:val="auto"/>
          <w:kern w:val="2"/>
          <w:sz w:val="24"/>
        </w:rPr>
        <w:t>既有</w:t>
      </w:r>
      <w:r>
        <w:rPr>
          <w:rFonts w:hint="eastAsia" w:cs="Times New Roman"/>
          <w:color w:val="auto"/>
          <w:kern w:val="2"/>
          <w:sz w:val="24"/>
        </w:rPr>
        <w:t>工业建筑改造后应引入绿色、低碳、高效能、可持续的产业类型。</w:t>
      </w:r>
    </w:p>
    <w:p w14:paraId="767FD218">
      <w:pPr>
        <w:pStyle w:val="21"/>
        <w:ind w:firstLine="420"/>
      </w:pPr>
    </w:p>
    <w:p w14:paraId="20ABD5BC">
      <w:pPr>
        <w:tabs>
          <w:tab w:val="left" w:pos="0"/>
        </w:tabs>
        <w:spacing w:before="0" w:beforeLines="0" w:after="0" w:afterLines="0" w:line="360" w:lineRule="auto"/>
        <w:jc w:val="center"/>
        <w:outlineLvl w:val="1"/>
        <w:rPr>
          <w:rFonts w:ascii="黑体" w:hAnsi="黑体" w:eastAsia="黑体" w:cs="黑体"/>
          <w:b/>
          <w:bCs/>
          <w:sz w:val="28"/>
          <w:szCs w:val="28"/>
        </w:rPr>
      </w:pPr>
      <w:bookmarkStart w:id="88" w:name="_Toc26456"/>
      <w:bookmarkStart w:id="89" w:name="_Toc15654"/>
      <w:bookmarkStart w:id="90" w:name="_Toc28678"/>
      <w:bookmarkStart w:id="91" w:name="_Toc4846"/>
      <w:bookmarkStart w:id="92" w:name="_Toc15772"/>
      <w:bookmarkStart w:id="93" w:name="_Toc15608"/>
      <w:bookmarkStart w:id="94" w:name="_Toc30774"/>
      <w:bookmarkStart w:id="95" w:name="_Toc9477"/>
      <w:bookmarkStart w:id="96" w:name="_Toc10297"/>
      <w:r>
        <w:rPr>
          <w:rFonts w:ascii="Times New Roman" w:hAnsi="Times New Roman" w:eastAsia="黑体" w:cs="Times New Roman"/>
          <w:b/>
          <w:bCs/>
          <w:sz w:val="28"/>
          <w:szCs w:val="28"/>
        </w:rPr>
        <w:t>3.2</w:t>
      </w:r>
      <w:r>
        <w:rPr>
          <w:rFonts w:ascii="黑体" w:hAnsi="黑体" w:eastAsia="黑体" w:cs="黑体"/>
          <w:b/>
          <w:bCs/>
          <w:sz w:val="28"/>
          <w:szCs w:val="28"/>
        </w:rPr>
        <w:t xml:space="preserve">  </w:t>
      </w:r>
      <w:r>
        <w:rPr>
          <w:rFonts w:hint="eastAsia" w:ascii="黑体" w:hAnsi="黑体" w:eastAsia="黑体" w:cs="黑体"/>
          <w:b/>
          <w:bCs/>
          <w:sz w:val="28"/>
          <w:szCs w:val="28"/>
        </w:rPr>
        <w:t>评价与等级划分</w:t>
      </w:r>
      <w:bookmarkEnd w:id="87"/>
      <w:bookmarkEnd w:id="88"/>
      <w:bookmarkEnd w:id="89"/>
      <w:bookmarkEnd w:id="90"/>
      <w:bookmarkEnd w:id="91"/>
      <w:bookmarkEnd w:id="92"/>
      <w:bookmarkEnd w:id="93"/>
      <w:bookmarkEnd w:id="94"/>
      <w:bookmarkEnd w:id="95"/>
      <w:bookmarkEnd w:id="96"/>
    </w:p>
    <w:p w14:paraId="7B33603D">
      <w:pPr>
        <w:spacing w:line="360" w:lineRule="auto"/>
        <w:rPr>
          <w:sz w:val="24"/>
          <w:szCs w:val="24"/>
        </w:rPr>
      </w:pPr>
      <w:r>
        <w:rPr>
          <w:rFonts w:ascii="Times New Roman" w:eastAsia="黑体"/>
          <w:b/>
          <w:bCs/>
          <w:sz w:val="24"/>
          <w:szCs w:val="24"/>
        </w:rPr>
        <w:t>3.2.1</w:t>
      </w:r>
      <w:r>
        <w:rPr>
          <w:rFonts w:hint="eastAsia"/>
          <w:sz w:val="24"/>
          <w:szCs w:val="24"/>
        </w:rPr>
        <w:t>　既有工业建筑民用化低碳改造评价指标体系应由场地与环境、建筑改造与利用、能源与水资源利用、建材与建造4类指标组成，且每类指标均应包括控制项和评分项；评价指标体系统一设置提高与创新加分项。</w:t>
      </w:r>
    </w:p>
    <w:p w14:paraId="5D338472">
      <w:pPr>
        <w:spacing w:line="360" w:lineRule="auto"/>
        <w:rPr>
          <w:sz w:val="24"/>
          <w:szCs w:val="24"/>
        </w:rPr>
      </w:pPr>
      <w:r>
        <w:rPr>
          <w:rFonts w:ascii="Times New Roman" w:eastAsia="黑体"/>
          <w:b/>
          <w:bCs/>
          <w:sz w:val="24"/>
          <w:szCs w:val="24"/>
        </w:rPr>
        <w:t>3.2.2</w:t>
      </w:r>
      <w:r>
        <w:rPr>
          <w:rFonts w:hint="eastAsia"/>
          <w:sz w:val="24"/>
          <w:szCs w:val="24"/>
        </w:rPr>
        <w:t>　控制项的评定结果应为达标或不达标；评分项和加分项的评定结果应为分值。</w:t>
      </w:r>
    </w:p>
    <w:p w14:paraId="45EC7B65">
      <w:pPr>
        <w:spacing w:line="360" w:lineRule="auto"/>
        <w:rPr>
          <w:sz w:val="24"/>
          <w:szCs w:val="24"/>
        </w:rPr>
      </w:pPr>
      <w:r>
        <w:rPr>
          <w:rFonts w:ascii="Times New Roman" w:eastAsia="黑体"/>
          <w:b/>
          <w:bCs/>
          <w:sz w:val="24"/>
          <w:szCs w:val="24"/>
        </w:rPr>
        <w:t>3.2.3</w:t>
      </w:r>
      <w:r>
        <w:rPr>
          <w:rFonts w:hint="eastAsia"/>
          <w:sz w:val="24"/>
          <w:szCs w:val="24"/>
        </w:rPr>
        <w:t>　对于多功能的综合性单体建筑，应按本标准全部评价条文逐条对适用的区域进行评价，确定各评价条文的得分。</w:t>
      </w:r>
    </w:p>
    <w:p w14:paraId="5DBC5740">
      <w:pPr>
        <w:spacing w:line="360" w:lineRule="auto"/>
        <w:rPr>
          <w:sz w:val="24"/>
          <w:szCs w:val="24"/>
        </w:rPr>
      </w:pPr>
      <w:r>
        <w:rPr>
          <w:rFonts w:ascii="Times New Roman" w:eastAsia="黑体"/>
          <w:b/>
          <w:bCs/>
          <w:sz w:val="24"/>
          <w:szCs w:val="24"/>
        </w:rPr>
        <w:t>3.2.4</w:t>
      </w:r>
      <w:r>
        <w:rPr>
          <w:rFonts w:hint="eastAsia"/>
          <w:sz w:val="24"/>
          <w:szCs w:val="24"/>
        </w:rPr>
        <w:t>　既有工业建筑民用化低碳改造性能评价的分值设定应符合表3.2.4的规定。</w:t>
      </w:r>
    </w:p>
    <w:p w14:paraId="1D6C1708">
      <w:pPr>
        <w:spacing w:line="360" w:lineRule="auto"/>
        <w:jc w:val="center"/>
        <w:rPr>
          <w:rFonts w:hint="eastAsia" w:ascii="Calibri" w:hAnsi="Calibri"/>
          <w:b/>
          <w:bCs w:val="0"/>
          <w:szCs w:val="22"/>
        </w:rPr>
      </w:pPr>
      <w:r>
        <w:rPr>
          <w:rFonts w:hint="eastAsia" w:ascii="Calibri" w:hAnsi="Calibri"/>
          <w:b/>
          <w:bCs w:val="0"/>
          <w:szCs w:val="22"/>
        </w:rPr>
        <w:t>表</w:t>
      </w:r>
      <w:r>
        <w:rPr>
          <w:rFonts w:hint="default"/>
          <w:b/>
          <w:bCs w:val="0"/>
          <w:szCs w:val="22"/>
        </w:rPr>
        <w:t>3.2.4</w:t>
      </w:r>
      <w:r>
        <w:rPr>
          <w:rFonts w:hint="eastAsia" w:ascii="Calibri" w:hAnsi="Calibri"/>
          <w:b/>
          <w:bCs w:val="0"/>
          <w:szCs w:val="22"/>
        </w:rPr>
        <w:t xml:space="preserve">  既有工业建筑民用化低碳改造评价分值</w:t>
      </w:r>
    </w:p>
    <w:tbl>
      <w:tblPr>
        <w:tblStyle w:val="15"/>
        <w:tblW w:w="4416"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28" w:type="dxa"/>
          <w:bottom w:w="28" w:type="dxa"/>
          <w:right w:w="28" w:type="dxa"/>
        </w:tblCellMar>
      </w:tblPr>
      <w:tblGrid>
        <w:gridCol w:w="1282"/>
        <w:gridCol w:w="1088"/>
        <w:gridCol w:w="977"/>
        <w:gridCol w:w="976"/>
        <w:gridCol w:w="976"/>
        <w:gridCol w:w="983"/>
        <w:gridCol w:w="1104"/>
      </w:tblGrid>
      <w:tr w14:paraId="24F8E31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cantSplit/>
          <w:jc w:val="center"/>
        </w:trPr>
        <w:tc>
          <w:tcPr>
            <w:tcW w:w="867" w:type="pct"/>
            <w:vMerge w:val="restart"/>
            <w:vAlign w:val="center"/>
          </w:tcPr>
          <w:p w14:paraId="56BC4D25">
            <w:pPr>
              <w:ind w:firstLine="360"/>
              <w:jc w:val="center"/>
            </w:pPr>
          </w:p>
        </w:tc>
        <w:tc>
          <w:tcPr>
            <w:tcW w:w="736" w:type="pct"/>
            <w:vMerge w:val="restart"/>
            <w:vAlign w:val="center"/>
          </w:tcPr>
          <w:p w14:paraId="10E869F9">
            <w:pPr>
              <w:jc w:val="center"/>
            </w:pPr>
            <w:r>
              <w:rPr>
                <w:rFonts w:hint="eastAsia"/>
              </w:rPr>
              <w:t>控制项</w:t>
            </w:r>
          </w:p>
          <w:p w14:paraId="3F362DA7">
            <w:pPr>
              <w:jc w:val="center"/>
            </w:pPr>
            <w:r>
              <w:rPr>
                <w:rFonts w:hint="eastAsia"/>
              </w:rPr>
              <w:t>基础分值Q</w:t>
            </w:r>
            <w:r>
              <w:rPr>
                <w:vertAlign w:val="subscript"/>
              </w:rPr>
              <w:t>0</w:t>
            </w:r>
          </w:p>
        </w:tc>
        <w:tc>
          <w:tcPr>
            <w:tcW w:w="2648" w:type="pct"/>
            <w:gridSpan w:val="4"/>
            <w:vAlign w:val="center"/>
          </w:tcPr>
          <w:p w14:paraId="1C82425A">
            <w:pPr>
              <w:ind w:firstLine="360"/>
              <w:jc w:val="center"/>
            </w:pPr>
            <w:r>
              <w:rPr>
                <w:rFonts w:hint="eastAsia"/>
              </w:rPr>
              <w:t>评价指标评分项满分值</w:t>
            </w:r>
          </w:p>
        </w:tc>
        <w:tc>
          <w:tcPr>
            <w:tcW w:w="747" w:type="pct"/>
            <w:vAlign w:val="center"/>
          </w:tcPr>
          <w:p w14:paraId="4C3832A3">
            <w:pPr>
              <w:jc w:val="center"/>
            </w:pPr>
            <w:r>
              <w:rPr>
                <w:rFonts w:hint="eastAsia"/>
              </w:rPr>
              <w:t>加分项</w:t>
            </w:r>
          </w:p>
          <w:p w14:paraId="22FB7D0B">
            <w:pPr>
              <w:jc w:val="center"/>
            </w:pPr>
            <w:r>
              <w:rPr>
                <w:rFonts w:hint="eastAsia"/>
              </w:rPr>
              <w:t>满分值Q</w:t>
            </w:r>
            <w:r>
              <w:rPr>
                <w:vertAlign w:val="subscript"/>
              </w:rPr>
              <w:t>A</w:t>
            </w:r>
          </w:p>
        </w:tc>
      </w:tr>
      <w:tr w14:paraId="421745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cantSplit/>
          <w:jc w:val="center"/>
        </w:trPr>
        <w:tc>
          <w:tcPr>
            <w:tcW w:w="867" w:type="pct"/>
            <w:vMerge w:val="continue"/>
            <w:vAlign w:val="center"/>
          </w:tcPr>
          <w:p w14:paraId="7B2BD55E">
            <w:pPr>
              <w:ind w:firstLine="360"/>
              <w:jc w:val="center"/>
            </w:pPr>
          </w:p>
        </w:tc>
        <w:tc>
          <w:tcPr>
            <w:tcW w:w="736" w:type="pct"/>
            <w:vMerge w:val="continue"/>
            <w:vAlign w:val="center"/>
          </w:tcPr>
          <w:p w14:paraId="5BA58151">
            <w:pPr>
              <w:ind w:firstLine="360"/>
              <w:jc w:val="center"/>
            </w:pPr>
          </w:p>
        </w:tc>
        <w:tc>
          <w:tcPr>
            <w:tcW w:w="661" w:type="pct"/>
            <w:vAlign w:val="center"/>
          </w:tcPr>
          <w:p w14:paraId="775ED82A">
            <w:pPr>
              <w:jc w:val="center"/>
            </w:pPr>
            <w:r>
              <w:rPr>
                <w:rFonts w:hint="eastAsia"/>
              </w:rPr>
              <w:t>场地与环境Q</w:t>
            </w:r>
            <w:r>
              <w:rPr>
                <w:rFonts w:hint="eastAsia"/>
                <w:vertAlign w:val="subscript"/>
              </w:rPr>
              <w:t>1</w:t>
            </w:r>
          </w:p>
        </w:tc>
        <w:tc>
          <w:tcPr>
            <w:tcW w:w="660" w:type="pct"/>
            <w:vAlign w:val="center"/>
          </w:tcPr>
          <w:p w14:paraId="0C97B800">
            <w:pPr>
              <w:jc w:val="center"/>
            </w:pPr>
            <w:r>
              <w:rPr>
                <w:rFonts w:hint="eastAsia"/>
              </w:rPr>
              <w:t>建筑改造与利用Q</w:t>
            </w:r>
            <w:r>
              <w:rPr>
                <w:rFonts w:hint="eastAsia"/>
                <w:vertAlign w:val="subscript"/>
              </w:rPr>
              <w:t>2</w:t>
            </w:r>
          </w:p>
        </w:tc>
        <w:tc>
          <w:tcPr>
            <w:tcW w:w="660" w:type="pct"/>
            <w:vAlign w:val="center"/>
          </w:tcPr>
          <w:p w14:paraId="337A8B7A">
            <w:pPr>
              <w:jc w:val="center"/>
            </w:pPr>
            <w:r>
              <w:rPr>
                <w:rFonts w:hint="eastAsia"/>
              </w:rPr>
              <w:t>能源与水资源利用Q</w:t>
            </w:r>
            <w:r>
              <w:rPr>
                <w:rFonts w:hint="eastAsia"/>
                <w:vertAlign w:val="subscript"/>
              </w:rPr>
              <w:t>3</w:t>
            </w:r>
          </w:p>
        </w:tc>
        <w:tc>
          <w:tcPr>
            <w:tcW w:w="665" w:type="pct"/>
            <w:vAlign w:val="center"/>
          </w:tcPr>
          <w:p w14:paraId="7F4598FD">
            <w:pPr>
              <w:jc w:val="center"/>
            </w:pPr>
            <w:r>
              <w:rPr>
                <w:rFonts w:hint="eastAsia"/>
              </w:rPr>
              <w:t>建材与建造Q</w:t>
            </w:r>
            <w:r>
              <w:rPr>
                <w:rFonts w:hint="eastAsia"/>
                <w:vertAlign w:val="subscript"/>
              </w:rPr>
              <w:t>4</w:t>
            </w:r>
          </w:p>
        </w:tc>
        <w:tc>
          <w:tcPr>
            <w:tcW w:w="747" w:type="pct"/>
            <w:vAlign w:val="center"/>
          </w:tcPr>
          <w:p w14:paraId="2C0B21AA">
            <w:pPr>
              <w:ind w:firstLine="360"/>
              <w:jc w:val="center"/>
            </w:pPr>
          </w:p>
        </w:tc>
      </w:tr>
      <w:tr w14:paraId="12509FF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cantSplit/>
          <w:jc w:val="center"/>
        </w:trPr>
        <w:tc>
          <w:tcPr>
            <w:tcW w:w="867" w:type="pct"/>
            <w:vAlign w:val="center"/>
          </w:tcPr>
          <w:p w14:paraId="11C1232C">
            <w:pPr>
              <w:jc w:val="center"/>
            </w:pPr>
            <w:r>
              <w:rPr>
                <w:rFonts w:hint="eastAsia"/>
              </w:rPr>
              <w:t>预评价分值</w:t>
            </w:r>
          </w:p>
        </w:tc>
        <w:tc>
          <w:tcPr>
            <w:tcW w:w="736" w:type="pct"/>
            <w:vAlign w:val="center"/>
          </w:tcPr>
          <w:p w14:paraId="396F16D7">
            <w:pPr>
              <w:jc w:val="center"/>
            </w:pPr>
            <w:r>
              <w:t>400</w:t>
            </w:r>
          </w:p>
        </w:tc>
        <w:tc>
          <w:tcPr>
            <w:tcW w:w="661" w:type="pct"/>
            <w:vAlign w:val="center"/>
          </w:tcPr>
          <w:p w14:paraId="75CC175C">
            <w:pPr>
              <w:jc w:val="center"/>
            </w:pPr>
            <w:r>
              <w:t>100</w:t>
            </w:r>
          </w:p>
        </w:tc>
        <w:tc>
          <w:tcPr>
            <w:tcW w:w="660" w:type="pct"/>
            <w:vAlign w:val="center"/>
          </w:tcPr>
          <w:p w14:paraId="31A91BC9">
            <w:pPr>
              <w:jc w:val="center"/>
            </w:pPr>
            <w:r>
              <w:t>150</w:t>
            </w:r>
          </w:p>
        </w:tc>
        <w:tc>
          <w:tcPr>
            <w:tcW w:w="660" w:type="pct"/>
            <w:vAlign w:val="center"/>
          </w:tcPr>
          <w:p w14:paraId="3F9BAF22">
            <w:pPr>
              <w:jc w:val="center"/>
            </w:pPr>
            <w:r>
              <w:t>200</w:t>
            </w:r>
          </w:p>
        </w:tc>
        <w:tc>
          <w:tcPr>
            <w:tcW w:w="665" w:type="pct"/>
            <w:vAlign w:val="center"/>
          </w:tcPr>
          <w:p w14:paraId="529A7F45">
            <w:pPr>
              <w:jc w:val="center"/>
            </w:pPr>
            <w:r>
              <w:t>150</w:t>
            </w:r>
          </w:p>
        </w:tc>
        <w:tc>
          <w:tcPr>
            <w:tcW w:w="747" w:type="pct"/>
            <w:vAlign w:val="center"/>
          </w:tcPr>
          <w:p w14:paraId="0C1164B1">
            <w:pPr>
              <w:jc w:val="center"/>
            </w:pPr>
            <w:r>
              <w:t>100</w:t>
            </w:r>
          </w:p>
        </w:tc>
      </w:tr>
      <w:tr w14:paraId="744997E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cantSplit/>
          <w:jc w:val="center"/>
        </w:trPr>
        <w:tc>
          <w:tcPr>
            <w:tcW w:w="867" w:type="pct"/>
            <w:vAlign w:val="center"/>
          </w:tcPr>
          <w:p w14:paraId="3A165D8A">
            <w:pPr>
              <w:jc w:val="center"/>
            </w:pPr>
            <w:r>
              <w:rPr>
                <w:rFonts w:hint="eastAsia"/>
              </w:rPr>
              <w:t>评价分值</w:t>
            </w:r>
          </w:p>
        </w:tc>
        <w:tc>
          <w:tcPr>
            <w:tcW w:w="736" w:type="pct"/>
            <w:vAlign w:val="center"/>
          </w:tcPr>
          <w:p w14:paraId="070F4C8E">
            <w:pPr>
              <w:jc w:val="center"/>
            </w:pPr>
            <w:r>
              <w:t>400</w:t>
            </w:r>
          </w:p>
        </w:tc>
        <w:tc>
          <w:tcPr>
            <w:tcW w:w="661" w:type="pct"/>
            <w:vAlign w:val="center"/>
          </w:tcPr>
          <w:p w14:paraId="70F899C2">
            <w:pPr>
              <w:jc w:val="center"/>
            </w:pPr>
            <w:r>
              <w:t>100</w:t>
            </w:r>
          </w:p>
        </w:tc>
        <w:tc>
          <w:tcPr>
            <w:tcW w:w="660" w:type="pct"/>
            <w:vAlign w:val="center"/>
          </w:tcPr>
          <w:p w14:paraId="0C2F8DD5">
            <w:pPr>
              <w:jc w:val="center"/>
            </w:pPr>
            <w:r>
              <w:t>150</w:t>
            </w:r>
          </w:p>
        </w:tc>
        <w:tc>
          <w:tcPr>
            <w:tcW w:w="660" w:type="pct"/>
            <w:vAlign w:val="center"/>
          </w:tcPr>
          <w:p w14:paraId="1760DCA7">
            <w:pPr>
              <w:jc w:val="center"/>
            </w:pPr>
            <w:r>
              <w:t>200</w:t>
            </w:r>
          </w:p>
        </w:tc>
        <w:tc>
          <w:tcPr>
            <w:tcW w:w="665" w:type="pct"/>
            <w:vAlign w:val="center"/>
          </w:tcPr>
          <w:p w14:paraId="79FDB5F3">
            <w:pPr>
              <w:jc w:val="center"/>
            </w:pPr>
            <w:r>
              <w:t>150</w:t>
            </w:r>
          </w:p>
        </w:tc>
        <w:tc>
          <w:tcPr>
            <w:tcW w:w="747" w:type="pct"/>
            <w:vAlign w:val="center"/>
          </w:tcPr>
          <w:p w14:paraId="153A2FD4">
            <w:pPr>
              <w:jc w:val="center"/>
            </w:pPr>
            <w:r>
              <w:t>100</w:t>
            </w:r>
          </w:p>
        </w:tc>
      </w:tr>
    </w:tbl>
    <w:p w14:paraId="728A89F7">
      <w:pPr>
        <w:spacing w:line="360" w:lineRule="auto"/>
        <w:rPr>
          <w:sz w:val="24"/>
          <w:szCs w:val="24"/>
        </w:rPr>
      </w:pPr>
      <w:r>
        <w:rPr>
          <w:rFonts w:ascii="Times New Roman" w:eastAsia="黑体"/>
          <w:b/>
          <w:bCs/>
          <w:sz w:val="24"/>
          <w:szCs w:val="24"/>
        </w:rPr>
        <w:t>3.2.5</w:t>
      </w:r>
      <w:r>
        <w:rPr>
          <w:rFonts w:hint="eastAsia"/>
          <w:sz w:val="24"/>
          <w:szCs w:val="24"/>
        </w:rPr>
        <w:t>　既有工业建筑民用化低碳改造评价的总得分应按下式进行计算：</w:t>
      </w:r>
    </w:p>
    <w:p w14:paraId="47DBC2DD">
      <w:pPr>
        <w:tabs>
          <w:tab w:val="center" w:pos="4620"/>
          <w:tab w:val="left" w:pos="6720"/>
        </w:tabs>
        <w:spacing w:line="360" w:lineRule="auto"/>
        <w:jc w:val="right"/>
        <w:rPr>
          <w:sz w:val="24"/>
          <w:szCs w:val="24"/>
        </w:rPr>
      </w:pPr>
      <w:r>
        <w:rPr>
          <w:rFonts w:hint="eastAsia"/>
          <w:sz w:val="24"/>
          <w:szCs w:val="24"/>
        </w:rPr>
        <w:t>Q=（Q</w:t>
      </w:r>
      <w:r>
        <w:rPr>
          <w:sz w:val="24"/>
          <w:szCs w:val="24"/>
          <w:vertAlign w:val="subscript"/>
        </w:rPr>
        <w:t>0</w:t>
      </w:r>
      <w:r>
        <w:rPr>
          <w:rFonts w:hint="eastAsia"/>
          <w:sz w:val="24"/>
          <w:szCs w:val="24"/>
        </w:rPr>
        <w:t>+Q</w:t>
      </w:r>
      <w:r>
        <w:rPr>
          <w:sz w:val="24"/>
          <w:szCs w:val="24"/>
          <w:vertAlign w:val="subscript"/>
        </w:rPr>
        <w:t>1</w:t>
      </w:r>
      <w:r>
        <w:rPr>
          <w:rFonts w:hint="eastAsia"/>
          <w:sz w:val="24"/>
          <w:szCs w:val="24"/>
        </w:rPr>
        <w:t>+Q</w:t>
      </w:r>
      <w:r>
        <w:rPr>
          <w:sz w:val="24"/>
          <w:szCs w:val="24"/>
          <w:vertAlign w:val="subscript"/>
        </w:rPr>
        <w:t>2</w:t>
      </w:r>
      <w:r>
        <w:rPr>
          <w:rFonts w:hint="eastAsia"/>
          <w:sz w:val="24"/>
          <w:szCs w:val="24"/>
        </w:rPr>
        <w:t>+Q</w:t>
      </w:r>
      <w:r>
        <w:rPr>
          <w:sz w:val="24"/>
          <w:szCs w:val="24"/>
          <w:vertAlign w:val="subscript"/>
        </w:rPr>
        <w:t>3</w:t>
      </w:r>
      <w:r>
        <w:rPr>
          <w:rFonts w:hint="eastAsia"/>
          <w:sz w:val="24"/>
          <w:szCs w:val="24"/>
        </w:rPr>
        <w:t>+Q</w:t>
      </w:r>
      <w:r>
        <w:rPr>
          <w:sz w:val="24"/>
          <w:szCs w:val="24"/>
          <w:vertAlign w:val="subscript"/>
        </w:rPr>
        <w:t>4</w:t>
      </w:r>
      <w:r>
        <w:rPr>
          <w:rFonts w:hint="eastAsia"/>
          <w:sz w:val="24"/>
          <w:szCs w:val="24"/>
        </w:rPr>
        <w:t>+Q</w:t>
      </w:r>
      <w:r>
        <w:rPr>
          <w:sz w:val="24"/>
          <w:szCs w:val="24"/>
          <w:vertAlign w:val="subscript"/>
        </w:rPr>
        <w:t>A</w:t>
      </w:r>
      <w:r>
        <w:rPr>
          <w:rFonts w:hint="eastAsia"/>
          <w:sz w:val="24"/>
          <w:szCs w:val="24"/>
        </w:rPr>
        <w:t>）/10</w:t>
      </w:r>
      <w:r>
        <w:rPr>
          <w:sz w:val="24"/>
          <w:szCs w:val="24"/>
        </w:rPr>
        <w:t xml:space="preserve"> </w:t>
      </w:r>
      <w:r>
        <w:rPr>
          <w:rFonts w:hint="eastAsia"/>
          <w:sz w:val="24"/>
          <w:szCs w:val="24"/>
        </w:rPr>
        <w:tab/>
      </w:r>
      <w:r>
        <w:rPr>
          <w:sz w:val="24"/>
          <w:szCs w:val="24"/>
        </w:rPr>
        <w:t xml:space="preserve">     </w:t>
      </w:r>
      <w:r>
        <w:rPr>
          <w:rFonts w:hint="eastAsia"/>
          <w:sz w:val="24"/>
          <w:szCs w:val="24"/>
        </w:rPr>
        <w:t xml:space="preserve"> （3.2.5）</w:t>
      </w:r>
    </w:p>
    <w:p w14:paraId="54CF751F">
      <w:pPr>
        <w:spacing w:line="360" w:lineRule="auto"/>
        <w:rPr>
          <w:sz w:val="24"/>
          <w:szCs w:val="24"/>
        </w:rPr>
      </w:pPr>
      <w:r>
        <w:rPr>
          <w:rFonts w:hint="eastAsia"/>
          <w:sz w:val="24"/>
          <w:szCs w:val="24"/>
        </w:rPr>
        <w:t>式中：Q—总得分；</w:t>
      </w:r>
    </w:p>
    <w:p w14:paraId="35CD0220">
      <w:pPr>
        <w:spacing w:line="360" w:lineRule="auto"/>
        <w:ind w:firstLine="720" w:firstLineChars="300"/>
        <w:rPr>
          <w:sz w:val="24"/>
          <w:szCs w:val="24"/>
        </w:rPr>
      </w:pPr>
      <w:r>
        <w:rPr>
          <w:rFonts w:hint="eastAsia"/>
          <w:sz w:val="24"/>
          <w:szCs w:val="24"/>
        </w:rPr>
        <w:t>Q</w:t>
      </w:r>
      <w:r>
        <w:rPr>
          <w:sz w:val="24"/>
          <w:szCs w:val="24"/>
          <w:vertAlign w:val="subscript"/>
        </w:rPr>
        <w:t>0</w:t>
      </w:r>
      <w:r>
        <w:rPr>
          <w:rFonts w:hint="eastAsia"/>
          <w:sz w:val="24"/>
          <w:szCs w:val="24"/>
        </w:rPr>
        <w:t>—控制项基础分值，当满足所有控制项的要求时取400分；</w:t>
      </w:r>
    </w:p>
    <w:p w14:paraId="14D753A1">
      <w:pPr>
        <w:spacing w:line="360" w:lineRule="auto"/>
        <w:ind w:firstLine="720" w:firstLineChars="300"/>
        <w:rPr>
          <w:sz w:val="24"/>
          <w:szCs w:val="24"/>
        </w:rPr>
      </w:pPr>
      <w:r>
        <w:rPr>
          <w:rFonts w:hint="eastAsia"/>
          <w:sz w:val="24"/>
          <w:szCs w:val="24"/>
        </w:rPr>
        <w:t>Q</w:t>
      </w:r>
      <w:r>
        <w:rPr>
          <w:sz w:val="24"/>
          <w:szCs w:val="24"/>
          <w:vertAlign w:val="subscript"/>
        </w:rPr>
        <w:t>1</w:t>
      </w:r>
      <w:r>
        <w:rPr>
          <w:rFonts w:hint="eastAsia"/>
          <w:sz w:val="24"/>
          <w:szCs w:val="24"/>
        </w:rPr>
        <w:t>~Q</w:t>
      </w:r>
      <w:r>
        <w:rPr>
          <w:sz w:val="24"/>
          <w:szCs w:val="24"/>
          <w:vertAlign w:val="subscript"/>
        </w:rPr>
        <w:t>4</w:t>
      </w:r>
      <w:r>
        <w:rPr>
          <w:rFonts w:hint="eastAsia"/>
          <w:sz w:val="24"/>
          <w:szCs w:val="24"/>
        </w:rPr>
        <w:t>—分别为场地与环境、建筑改造与利用、能源与水资源利用、建材</w:t>
      </w:r>
    </w:p>
    <w:p w14:paraId="23AFFE56">
      <w:pPr>
        <w:spacing w:line="360" w:lineRule="auto"/>
        <w:ind w:firstLine="1680" w:firstLineChars="700"/>
        <w:rPr>
          <w:sz w:val="24"/>
          <w:szCs w:val="24"/>
        </w:rPr>
      </w:pPr>
      <w:r>
        <w:rPr>
          <w:rFonts w:hint="eastAsia"/>
          <w:sz w:val="24"/>
          <w:szCs w:val="24"/>
        </w:rPr>
        <w:t>与建造4类指标评分项得分；</w:t>
      </w:r>
    </w:p>
    <w:p w14:paraId="31BD0195">
      <w:pPr>
        <w:spacing w:line="360" w:lineRule="auto"/>
        <w:ind w:firstLine="720" w:firstLineChars="300"/>
        <w:rPr>
          <w:sz w:val="24"/>
          <w:szCs w:val="24"/>
        </w:rPr>
      </w:pPr>
      <w:r>
        <w:rPr>
          <w:rFonts w:hint="eastAsia"/>
          <w:sz w:val="24"/>
          <w:szCs w:val="24"/>
        </w:rPr>
        <w:t>Q</w:t>
      </w:r>
      <w:r>
        <w:rPr>
          <w:sz w:val="24"/>
          <w:szCs w:val="24"/>
          <w:vertAlign w:val="subscript"/>
        </w:rPr>
        <w:t>A</w:t>
      </w:r>
      <w:r>
        <w:rPr>
          <w:rFonts w:hint="eastAsia"/>
          <w:sz w:val="24"/>
          <w:szCs w:val="24"/>
        </w:rPr>
        <w:t>—提高</w:t>
      </w:r>
      <w:r>
        <w:rPr>
          <w:rFonts w:hint="eastAsia"/>
          <w:sz w:val="24"/>
          <w:szCs w:val="24"/>
          <w:lang w:val="en-US" w:eastAsia="zh-CN"/>
        </w:rPr>
        <w:t>与</w:t>
      </w:r>
      <w:r>
        <w:rPr>
          <w:rFonts w:hint="eastAsia"/>
          <w:sz w:val="24"/>
          <w:szCs w:val="24"/>
        </w:rPr>
        <w:t>创新加分项得分。</w:t>
      </w:r>
    </w:p>
    <w:p w14:paraId="06AD338D">
      <w:pPr>
        <w:spacing w:line="360" w:lineRule="auto"/>
        <w:rPr>
          <w:sz w:val="24"/>
          <w:szCs w:val="24"/>
        </w:rPr>
      </w:pPr>
      <w:r>
        <w:rPr>
          <w:rFonts w:ascii="Times New Roman" w:eastAsia="黑体"/>
          <w:b/>
          <w:bCs/>
          <w:sz w:val="24"/>
          <w:szCs w:val="24"/>
        </w:rPr>
        <w:t>3.2.6</w:t>
      </w:r>
      <w:r>
        <w:rPr>
          <w:rFonts w:hint="eastAsia"/>
          <w:sz w:val="24"/>
          <w:szCs w:val="24"/>
        </w:rPr>
        <w:t>　既有工业建筑民用化低碳改造划分应为基本级、一星级、二星级、三星级4个等级。</w:t>
      </w:r>
    </w:p>
    <w:p w14:paraId="28707277">
      <w:pPr>
        <w:spacing w:line="360" w:lineRule="auto"/>
        <w:rPr>
          <w:sz w:val="24"/>
          <w:szCs w:val="24"/>
        </w:rPr>
      </w:pPr>
      <w:r>
        <w:rPr>
          <w:rFonts w:ascii="Times New Roman" w:eastAsia="黑体"/>
          <w:b/>
          <w:bCs/>
          <w:sz w:val="24"/>
          <w:szCs w:val="24"/>
        </w:rPr>
        <w:t>3.2.7</w:t>
      </w:r>
      <w:r>
        <w:rPr>
          <w:rFonts w:hint="eastAsia"/>
          <w:sz w:val="24"/>
          <w:szCs w:val="24"/>
        </w:rPr>
        <w:t>　当满足全部控制项要求时，既有工业建筑民用化低碳改造等级应为基本级。</w:t>
      </w:r>
    </w:p>
    <w:p w14:paraId="52136235">
      <w:pPr>
        <w:spacing w:line="360" w:lineRule="auto"/>
        <w:rPr>
          <w:sz w:val="24"/>
          <w:szCs w:val="24"/>
        </w:rPr>
      </w:pPr>
      <w:r>
        <w:rPr>
          <w:rFonts w:ascii="Times New Roman" w:eastAsia="黑体"/>
          <w:b/>
          <w:bCs/>
          <w:sz w:val="24"/>
          <w:szCs w:val="24"/>
        </w:rPr>
        <w:t>3.2.8</w:t>
      </w:r>
      <w:r>
        <w:rPr>
          <w:rFonts w:hint="eastAsia"/>
          <w:sz w:val="24"/>
          <w:szCs w:val="24"/>
        </w:rPr>
        <w:t>　既有工业建筑民用化低碳改造星级等级应按下列规定确定：</w:t>
      </w:r>
    </w:p>
    <w:p w14:paraId="4CAB66BE">
      <w:pPr>
        <w:spacing w:line="360" w:lineRule="auto"/>
        <w:ind w:firstLine="482" w:firstLineChars="200"/>
        <w:rPr>
          <w:sz w:val="24"/>
          <w:szCs w:val="24"/>
        </w:rPr>
      </w:pPr>
      <w:r>
        <w:rPr>
          <w:rFonts w:hint="default" w:ascii="Times New Roman" w:eastAsia="黑体"/>
          <w:b/>
          <w:bCs/>
          <w:sz w:val="24"/>
          <w:szCs w:val="24"/>
          <w:lang w:val="en-US"/>
        </w:rPr>
        <w:t>1</w:t>
      </w:r>
      <w:r>
        <w:rPr>
          <w:rFonts w:hint="eastAsia"/>
          <w:sz w:val="24"/>
          <w:szCs w:val="24"/>
        </w:rPr>
        <w:t xml:space="preserve">  一星级、二星级、三星级3个等级的既有工业建筑民用化低碳改造均应满足本标准全部控制项的要求，且每类指标的评分项得分不应小于其评分项满分值的30%；</w:t>
      </w:r>
    </w:p>
    <w:p w14:paraId="6691588B">
      <w:pPr>
        <w:spacing w:line="360" w:lineRule="auto"/>
        <w:ind w:firstLine="482" w:firstLineChars="200"/>
        <w:rPr>
          <w:rFonts w:hint="eastAsia" w:eastAsia="宋体"/>
          <w:sz w:val="24"/>
          <w:szCs w:val="24"/>
          <w:lang w:eastAsia="zh-CN"/>
        </w:rPr>
      </w:pPr>
      <w:r>
        <w:rPr>
          <w:rFonts w:hint="default" w:ascii="Times New Roman" w:eastAsia="黑体"/>
          <w:b/>
          <w:bCs/>
          <w:sz w:val="24"/>
          <w:szCs w:val="24"/>
          <w:lang w:val="en-US"/>
        </w:rPr>
        <w:t>2</w:t>
      </w:r>
      <w:r>
        <w:rPr>
          <w:rFonts w:ascii="黑体" w:eastAsia="黑体"/>
          <w:b/>
          <w:bCs/>
          <w:sz w:val="24"/>
          <w:szCs w:val="24"/>
        </w:rPr>
        <w:t xml:space="preserve"> </w:t>
      </w:r>
      <w:r>
        <w:rPr>
          <w:rFonts w:hint="eastAsia"/>
          <w:sz w:val="24"/>
          <w:szCs w:val="24"/>
        </w:rPr>
        <w:t xml:space="preserve"> 当总得分分别达到60分、70分、85分时，既有工业建筑民用化低碳改造等级分别为一星级、二星级、三星级。</w:t>
      </w:r>
    </w:p>
    <w:p w14:paraId="5F0EDCA2">
      <w:pPr>
        <w:spacing w:line="360" w:lineRule="auto"/>
        <w:ind w:firstLine="480" w:firstLineChars="200"/>
        <w:rPr>
          <w:rFonts w:hint="eastAsia" w:eastAsia="宋体"/>
          <w:sz w:val="24"/>
          <w:szCs w:val="24"/>
          <w:lang w:eastAsia="zh-CN"/>
        </w:rPr>
      </w:pPr>
    </w:p>
    <w:p w14:paraId="6C42EC94"/>
    <w:p w14:paraId="6AA1A6CC">
      <w:pPr>
        <w:widowControl/>
        <w:jc w:val="left"/>
        <w:rPr>
          <w:b/>
          <w:bCs/>
          <w:kern w:val="44"/>
          <w:sz w:val="32"/>
          <w:szCs w:val="32"/>
        </w:rPr>
        <w:sectPr>
          <w:pgSz w:w="11906" w:h="16838"/>
          <w:pgMar w:top="1440" w:right="1800" w:bottom="1440" w:left="1800" w:header="851" w:footer="992" w:gutter="0"/>
          <w:cols w:space="425" w:num="1"/>
          <w:docGrid w:type="lines" w:linePitch="312" w:charSpace="0"/>
        </w:sectPr>
      </w:pPr>
      <w:r>
        <w:br w:type="page"/>
      </w:r>
    </w:p>
    <w:bookmarkEnd w:id="32"/>
    <w:bookmarkEnd w:id="33"/>
    <w:bookmarkEnd w:id="34"/>
    <w:bookmarkEnd w:id="35"/>
    <w:bookmarkEnd w:id="36"/>
    <w:bookmarkEnd w:id="37"/>
    <w:bookmarkEnd w:id="38"/>
    <w:bookmarkEnd w:id="39"/>
    <w:bookmarkEnd w:id="50"/>
    <w:bookmarkEnd w:id="51"/>
    <w:p w14:paraId="56BD0DA2">
      <w:pPr>
        <w:widowControl/>
        <w:snapToGrid w:val="0"/>
        <w:spacing w:line="360" w:lineRule="auto"/>
        <w:jc w:val="center"/>
        <w:outlineLvl w:val="9"/>
        <w:rPr>
          <w:rFonts w:ascii="Times New Roman" w:hAnsi="Times New Roman" w:cs="Times New Roman"/>
          <w:b/>
          <w:bCs/>
          <w:kern w:val="44"/>
          <w:sz w:val="30"/>
          <w:szCs w:val="30"/>
        </w:rPr>
      </w:pPr>
      <w:bookmarkStart w:id="97" w:name="_Toc8313"/>
      <w:bookmarkStart w:id="98" w:name="_Toc11977"/>
      <w:bookmarkStart w:id="99" w:name="_Toc150"/>
      <w:bookmarkStart w:id="100" w:name="_Toc25777"/>
      <w:bookmarkStart w:id="101" w:name="_Toc7681"/>
      <w:bookmarkStart w:id="102" w:name="_Toc23445"/>
      <w:bookmarkStart w:id="103" w:name="_Toc3249"/>
      <w:bookmarkStart w:id="104" w:name="_Toc23886"/>
      <w:bookmarkStart w:id="105" w:name="_Toc22343"/>
      <w:bookmarkStart w:id="106" w:name="_Toc4478"/>
      <w:bookmarkStart w:id="107" w:name="_Toc27424"/>
      <w:bookmarkStart w:id="108" w:name="_Toc32509"/>
    </w:p>
    <w:p w14:paraId="3D65ABFB">
      <w:pPr>
        <w:widowControl/>
        <w:snapToGrid w:val="0"/>
        <w:spacing w:line="360" w:lineRule="auto"/>
        <w:jc w:val="center"/>
        <w:outlineLvl w:val="0"/>
        <w:rPr>
          <w:rFonts w:hint="eastAsia" w:eastAsia="宋体"/>
          <w:lang w:eastAsia="zh-CN"/>
        </w:rPr>
      </w:pPr>
      <w:bookmarkStart w:id="109" w:name="_Toc24620"/>
      <w:bookmarkStart w:id="110" w:name="_Toc1984"/>
      <w:r>
        <w:rPr>
          <w:rFonts w:ascii="Times New Roman" w:hAnsi="Times New Roman" w:cs="Times New Roman"/>
          <w:b/>
          <w:bCs/>
          <w:kern w:val="44"/>
          <w:sz w:val="30"/>
          <w:szCs w:val="30"/>
        </w:rPr>
        <w:t>4</w:t>
      </w:r>
      <w:r>
        <w:rPr>
          <w:rFonts w:ascii="宋体" w:hAnsi="宋体" w:cs="宋体"/>
          <w:b/>
          <w:bCs/>
          <w:kern w:val="44"/>
          <w:sz w:val="30"/>
          <w:szCs w:val="30"/>
        </w:rPr>
        <w:t xml:space="preserve"> </w:t>
      </w:r>
      <w:r>
        <w:rPr>
          <w:rFonts w:hint="eastAsia" w:ascii="宋体" w:hAnsi="宋体" w:cs="宋体"/>
          <w:b/>
          <w:bCs/>
          <w:kern w:val="44"/>
          <w:sz w:val="30"/>
          <w:szCs w:val="30"/>
        </w:rPr>
        <w:t>场地与环境</w:t>
      </w:r>
      <w:bookmarkEnd w:id="97"/>
      <w:bookmarkEnd w:id="109"/>
      <w:bookmarkEnd w:id="110"/>
    </w:p>
    <w:p w14:paraId="00839EA5">
      <w:pPr>
        <w:tabs>
          <w:tab w:val="left" w:pos="0"/>
        </w:tabs>
        <w:spacing w:before="0" w:beforeLines="0" w:after="0" w:afterLines="0" w:line="360" w:lineRule="auto"/>
        <w:jc w:val="center"/>
        <w:outlineLvl w:val="1"/>
        <w:rPr>
          <w:rFonts w:ascii="黑体" w:hAnsi="黑体" w:eastAsia="黑体" w:cs="黑体"/>
          <w:b/>
          <w:bCs/>
          <w:sz w:val="28"/>
          <w:szCs w:val="28"/>
        </w:rPr>
      </w:pPr>
      <w:bookmarkStart w:id="111" w:name="_Toc2869"/>
      <w:bookmarkStart w:id="112" w:name="_Toc9957"/>
      <w:bookmarkStart w:id="113" w:name="_Toc14957"/>
      <w:r>
        <w:rPr>
          <w:rFonts w:hint="default" w:ascii="Times New Roman" w:hAnsi="Times New Roman" w:eastAsia="黑体" w:cs="Times New Roman"/>
          <w:b/>
          <w:bCs/>
          <w:sz w:val="28"/>
          <w:szCs w:val="28"/>
        </w:rPr>
        <w:t>4.1</w:t>
      </w:r>
      <w:r>
        <w:rPr>
          <w:rFonts w:hint="eastAsia" w:ascii="黑体" w:hAnsi="黑体" w:eastAsia="黑体" w:cs="黑体"/>
          <w:b/>
          <w:bCs/>
          <w:sz w:val="28"/>
          <w:szCs w:val="28"/>
        </w:rPr>
        <w:t>控制项</w:t>
      </w:r>
      <w:bookmarkEnd w:id="111"/>
      <w:bookmarkEnd w:id="112"/>
      <w:bookmarkEnd w:id="113"/>
    </w:p>
    <w:p w14:paraId="5469C6FA">
      <w:pPr>
        <w:spacing w:line="360" w:lineRule="auto"/>
        <w:rPr>
          <w:sz w:val="24"/>
          <w:szCs w:val="24"/>
        </w:rPr>
      </w:pPr>
      <w:r>
        <w:rPr>
          <w:rFonts w:hint="default" w:ascii="Times New Roman" w:hAnsi="Times New Roman" w:eastAsia="黑体" w:cs="Times New Roman"/>
          <w:b/>
          <w:bCs/>
          <w:sz w:val="24"/>
          <w:szCs w:val="24"/>
        </w:rPr>
        <w:t>4.1.1</w:t>
      </w:r>
      <w:r>
        <w:rPr>
          <w:rFonts w:hint="eastAsia"/>
          <w:sz w:val="24"/>
          <w:szCs w:val="24"/>
        </w:rPr>
        <w:t>　【绿地规划】改造后场地绿地率应满足上位规划要求或民用建筑绿地率要求，且不低于改造前水平。</w:t>
      </w:r>
    </w:p>
    <w:p w14:paraId="65739812">
      <w:pPr>
        <w:spacing w:line="360" w:lineRule="auto"/>
        <w:rPr>
          <w:sz w:val="24"/>
          <w:szCs w:val="24"/>
        </w:rPr>
      </w:pPr>
      <w:r>
        <w:rPr>
          <w:rFonts w:hint="default" w:ascii="Times New Roman" w:hAnsi="Times New Roman" w:eastAsia="黑体" w:cs="Times New Roman"/>
          <w:b/>
          <w:bCs/>
          <w:sz w:val="24"/>
          <w:szCs w:val="24"/>
        </w:rPr>
        <w:t>4.1.2</w:t>
      </w:r>
      <w:r>
        <w:rPr>
          <w:rFonts w:hint="eastAsia"/>
          <w:sz w:val="24"/>
          <w:szCs w:val="24"/>
        </w:rPr>
        <w:t>　【室外物理环境】既有工业建筑民用化低碳改造前应进行原有场地物理环境评估，预留可再生能源设施的安装空间。</w:t>
      </w:r>
    </w:p>
    <w:p w14:paraId="0757D7EA">
      <w:pPr>
        <w:spacing w:line="360" w:lineRule="auto"/>
        <w:rPr>
          <w:rFonts w:hint="eastAsia"/>
          <w:sz w:val="24"/>
          <w:szCs w:val="24"/>
        </w:rPr>
      </w:pPr>
      <w:r>
        <w:rPr>
          <w:rFonts w:hint="default" w:ascii="Times New Roman" w:hAnsi="Times New Roman" w:eastAsia="黑体" w:cs="Times New Roman"/>
          <w:b/>
          <w:bCs/>
          <w:sz w:val="24"/>
          <w:szCs w:val="24"/>
        </w:rPr>
        <w:t>4.1.3</w:t>
      </w:r>
      <w:r>
        <w:rPr>
          <w:rFonts w:hint="eastAsia"/>
          <w:sz w:val="24"/>
          <w:szCs w:val="24"/>
        </w:rPr>
        <w:t>　【停车设施】场地内机动车停车设施应设置充电桩。</w:t>
      </w:r>
    </w:p>
    <w:p w14:paraId="1A9529A0">
      <w:pPr>
        <w:spacing w:line="360" w:lineRule="auto"/>
        <w:rPr>
          <w:rFonts w:hint="eastAsia"/>
          <w:sz w:val="24"/>
          <w:szCs w:val="24"/>
        </w:rPr>
      </w:pPr>
    </w:p>
    <w:p w14:paraId="412A8AD4">
      <w:pPr>
        <w:tabs>
          <w:tab w:val="left" w:pos="0"/>
        </w:tabs>
        <w:spacing w:before="0" w:beforeLines="0" w:after="0" w:afterLines="0" w:line="360" w:lineRule="auto"/>
        <w:jc w:val="center"/>
        <w:outlineLvl w:val="1"/>
        <w:rPr>
          <w:rFonts w:ascii="黑体" w:hAnsi="黑体" w:eastAsia="黑体" w:cs="黑体"/>
          <w:b/>
          <w:bCs/>
          <w:sz w:val="28"/>
          <w:szCs w:val="28"/>
        </w:rPr>
      </w:pPr>
      <w:bookmarkStart w:id="114" w:name="_Toc3939"/>
      <w:bookmarkStart w:id="115" w:name="_Toc17856"/>
      <w:bookmarkStart w:id="116" w:name="_Toc5432"/>
      <w:r>
        <w:rPr>
          <w:rFonts w:hint="default" w:ascii="Times New Roman" w:hAnsi="Times New Roman" w:eastAsia="黑体" w:cs="Times New Roman"/>
          <w:b/>
          <w:bCs/>
          <w:sz w:val="28"/>
          <w:szCs w:val="28"/>
        </w:rPr>
        <w:t>4.2</w:t>
      </w:r>
      <w:r>
        <w:rPr>
          <w:rFonts w:hint="eastAsia" w:ascii="黑体" w:hAnsi="黑体" w:eastAsia="黑体" w:cs="黑体"/>
          <w:b/>
          <w:bCs/>
          <w:sz w:val="28"/>
          <w:szCs w:val="28"/>
        </w:rPr>
        <w:t>评分项</w:t>
      </w:r>
      <w:bookmarkEnd w:id="114"/>
      <w:bookmarkEnd w:id="115"/>
      <w:bookmarkEnd w:id="116"/>
    </w:p>
    <w:p w14:paraId="181CC31B">
      <w:pPr>
        <w:pStyle w:val="28"/>
        <w:spacing w:before="0" w:beforeLines="0" w:after="0" w:afterLines="0" w:line="360" w:lineRule="auto"/>
        <w:ind w:firstLine="0" w:firstLineChars="0"/>
        <w:jc w:val="center"/>
        <w:outlineLvl w:val="2"/>
        <w:rPr>
          <w:rFonts w:cs="Times New Roman"/>
          <w:b/>
          <w:bCs/>
          <w:sz w:val="28"/>
          <w:szCs w:val="28"/>
        </w:rPr>
      </w:pPr>
      <w:r>
        <w:rPr>
          <w:rFonts w:cs="Times New Roman"/>
          <w:b/>
          <w:bCs/>
          <w:sz w:val="28"/>
          <w:szCs w:val="28"/>
        </w:rPr>
        <w:fldChar w:fldCharType="begin"/>
      </w:r>
      <w:r>
        <w:rPr>
          <w:rFonts w:cs="Times New Roman"/>
          <w:b/>
          <w:bCs/>
          <w:sz w:val="28"/>
          <w:szCs w:val="28"/>
        </w:rPr>
        <w:instrText xml:space="preserve"> = 1 \* ROMAN </w:instrText>
      </w:r>
      <w:r>
        <w:rPr>
          <w:rFonts w:cs="Times New Roman"/>
          <w:b/>
          <w:bCs/>
          <w:sz w:val="28"/>
          <w:szCs w:val="28"/>
        </w:rPr>
        <w:fldChar w:fldCharType="separate"/>
      </w:r>
      <w:r>
        <w:rPr>
          <w:rFonts w:cs="Times New Roman"/>
          <w:b/>
          <w:bCs/>
          <w:sz w:val="28"/>
          <w:szCs w:val="28"/>
        </w:rPr>
        <w:t>I</w:t>
      </w:r>
      <w:r>
        <w:rPr>
          <w:rFonts w:cs="Times New Roman"/>
          <w:b/>
          <w:bCs/>
          <w:sz w:val="28"/>
          <w:szCs w:val="28"/>
        </w:rPr>
        <w:fldChar w:fldCharType="end"/>
      </w:r>
      <w:r>
        <w:rPr>
          <w:rFonts w:cs="Times New Roman"/>
          <w:b/>
          <w:bCs/>
          <w:sz w:val="28"/>
          <w:szCs w:val="28"/>
        </w:rPr>
        <w:t xml:space="preserve"> </w:t>
      </w:r>
      <w:r>
        <w:rPr>
          <w:rFonts w:hint="eastAsia" w:ascii="仿宋" w:hAnsi="仿宋" w:eastAsia="仿宋" w:cs="仿宋"/>
          <w:b/>
          <w:bCs/>
          <w:sz w:val="28"/>
          <w:szCs w:val="28"/>
        </w:rPr>
        <w:t>场地</w:t>
      </w:r>
    </w:p>
    <w:p w14:paraId="22759F5A">
      <w:pPr>
        <w:snapToGrid w:val="0"/>
        <w:spacing w:line="360" w:lineRule="auto"/>
        <w:rPr>
          <w:sz w:val="24"/>
          <w:szCs w:val="24"/>
        </w:rPr>
      </w:pPr>
      <w:r>
        <w:rPr>
          <w:rFonts w:hint="default" w:ascii="Times New Roman" w:hAnsi="Times New Roman" w:eastAsia="黑体" w:cs="Times New Roman"/>
          <w:b/>
          <w:bCs/>
          <w:sz w:val="24"/>
          <w:szCs w:val="24"/>
        </w:rPr>
        <w:t>4.2.1</w:t>
      </w:r>
      <w:r>
        <w:rPr>
          <w:rFonts w:hint="eastAsia"/>
          <w:sz w:val="24"/>
          <w:szCs w:val="24"/>
        </w:rPr>
        <w:t>　【再利用设计】对室内外场地原有结构、设备、道路等进行再利用设计。评价总分值为12分，并按下列规则分别评分并累计：</w:t>
      </w:r>
    </w:p>
    <w:p w14:paraId="156F108C">
      <w:pPr>
        <w:snapToGrid w:val="0"/>
        <w:spacing w:line="360" w:lineRule="auto"/>
        <w:ind w:firstLine="482" w:firstLineChars="200"/>
        <w:rPr>
          <w:sz w:val="24"/>
          <w:szCs w:val="24"/>
        </w:rPr>
      </w:pPr>
      <w:r>
        <w:rPr>
          <w:b/>
          <w:bCs/>
          <w:sz w:val="24"/>
          <w:szCs w:val="24"/>
        </w:rPr>
        <w:t>1</w:t>
      </w:r>
      <w:r>
        <w:rPr>
          <w:rFonts w:hint="eastAsia"/>
          <w:sz w:val="24"/>
          <w:szCs w:val="24"/>
        </w:rPr>
        <w:t xml:space="preserve">  对场地内原有工业建筑辅助设施、景观小品等构筑物进行保留改造，且赋予其新的使用功能或展示功能，得</w:t>
      </w:r>
      <w:r>
        <w:rPr>
          <w:sz w:val="24"/>
          <w:szCs w:val="24"/>
        </w:rPr>
        <w:t>6</w:t>
      </w:r>
      <w:r>
        <w:rPr>
          <w:rFonts w:hint="eastAsia"/>
          <w:sz w:val="24"/>
          <w:szCs w:val="24"/>
        </w:rPr>
        <w:t>分；</w:t>
      </w:r>
    </w:p>
    <w:p w14:paraId="60DA7DF5">
      <w:pPr>
        <w:snapToGrid w:val="0"/>
        <w:spacing w:line="360" w:lineRule="auto"/>
        <w:ind w:firstLine="482" w:firstLineChars="200"/>
        <w:rPr>
          <w:sz w:val="24"/>
          <w:szCs w:val="24"/>
        </w:rPr>
      </w:pPr>
      <w:r>
        <w:rPr>
          <w:b/>
          <w:bCs/>
          <w:sz w:val="24"/>
          <w:szCs w:val="24"/>
        </w:rPr>
        <w:t>2</w:t>
      </w:r>
      <w:r>
        <w:rPr>
          <w:rFonts w:hint="eastAsia"/>
          <w:sz w:val="24"/>
          <w:szCs w:val="24"/>
        </w:rPr>
        <w:t xml:space="preserve">  既有设备管沟、管井、管线、设备、机房等用地或空间继续承担原有功能或发挥其他功能，得</w:t>
      </w:r>
      <w:r>
        <w:rPr>
          <w:sz w:val="24"/>
          <w:szCs w:val="24"/>
        </w:rPr>
        <w:t>6</w:t>
      </w:r>
      <w:r>
        <w:rPr>
          <w:rFonts w:hint="eastAsia"/>
          <w:sz w:val="24"/>
          <w:szCs w:val="24"/>
        </w:rPr>
        <w:t>分。</w:t>
      </w:r>
    </w:p>
    <w:p w14:paraId="0025D825">
      <w:pPr>
        <w:spacing w:line="360" w:lineRule="auto"/>
        <w:rPr>
          <w:sz w:val="24"/>
          <w:szCs w:val="24"/>
        </w:rPr>
      </w:pPr>
      <w:r>
        <w:rPr>
          <w:rFonts w:hint="default" w:ascii="Times New Roman" w:hAnsi="Times New Roman" w:eastAsia="黑体" w:cs="Times New Roman"/>
          <w:b/>
          <w:bCs/>
          <w:sz w:val="24"/>
          <w:szCs w:val="24"/>
        </w:rPr>
        <w:t>4.2.2</w:t>
      </w:r>
      <w:r>
        <w:rPr>
          <w:rFonts w:hint="eastAsia"/>
          <w:sz w:val="24"/>
          <w:szCs w:val="24"/>
        </w:rPr>
        <w:t>　【停车管理】对机动车与非机动车停放场地进行管理，评价总分值为1</w:t>
      </w:r>
      <w:r>
        <w:rPr>
          <w:sz w:val="24"/>
          <w:szCs w:val="24"/>
        </w:rPr>
        <w:t>2</w:t>
      </w:r>
      <w:r>
        <w:rPr>
          <w:rFonts w:hint="eastAsia"/>
          <w:sz w:val="24"/>
          <w:szCs w:val="24"/>
        </w:rPr>
        <w:t>分，并按下列规则分别评分并累计：</w:t>
      </w:r>
    </w:p>
    <w:p w14:paraId="46E1A3F6">
      <w:pPr>
        <w:spacing w:line="360" w:lineRule="auto"/>
        <w:ind w:firstLine="482" w:firstLineChars="200"/>
        <w:rPr>
          <w:sz w:val="24"/>
          <w:szCs w:val="24"/>
        </w:rPr>
      </w:pPr>
      <w:r>
        <w:rPr>
          <w:b/>
          <w:bCs/>
          <w:sz w:val="24"/>
          <w:szCs w:val="24"/>
        </w:rPr>
        <w:t>1</w:t>
      </w:r>
      <w:r>
        <w:rPr>
          <w:rFonts w:hint="eastAsia"/>
          <w:sz w:val="24"/>
          <w:szCs w:val="24"/>
        </w:rPr>
        <w:t xml:space="preserve">  机动车停放设施设置合理，地上停车位结合雨棚设置光伏设施，得</w:t>
      </w:r>
      <w:r>
        <w:rPr>
          <w:sz w:val="24"/>
          <w:szCs w:val="24"/>
        </w:rPr>
        <w:t>4</w:t>
      </w:r>
      <w:r>
        <w:rPr>
          <w:rFonts w:hint="eastAsia"/>
          <w:sz w:val="24"/>
          <w:szCs w:val="24"/>
        </w:rPr>
        <w:t>分；</w:t>
      </w:r>
    </w:p>
    <w:p w14:paraId="595BE7C3">
      <w:pPr>
        <w:spacing w:line="360" w:lineRule="auto"/>
        <w:ind w:firstLine="482" w:firstLineChars="200"/>
        <w:rPr>
          <w:sz w:val="24"/>
          <w:szCs w:val="24"/>
        </w:rPr>
      </w:pPr>
      <w:r>
        <w:rPr>
          <w:b/>
          <w:bCs/>
          <w:sz w:val="24"/>
          <w:szCs w:val="24"/>
        </w:rPr>
        <w:t>2</w:t>
      </w:r>
      <w:r>
        <w:rPr>
          <w:rFonts w:hint="eastAsia"/>
          <w:sz w:val="24"/>
          <w:szCs w:val="24"/>
        </w:rPr>
        <w:t xml:space="preserve">  配置充电桩机动车位数占总车位数的比例不低于10%，得</w:t>
      </w:r>
      <w:r>
        <w:rPr>
          <w:sz w:val="24"/>
          <w:szCs w:val="24"/>
        </w:rPr>
        <w:t>4</w:t>
      </w:r>
      <w:r>
        <w:rPr>
          <w:rFonts w:hint="eastAsia"/>
          <w:sz w:val="24"/>
          <w:szCs w:val="24"/>
        </w:rPr>
        <w:t>分；</w:t>
      </w:r>
    </w:p>
    <w:p w14:paraId="35D7126F">
      <w:pPr>
        <w:spacing w:line="360" w:lineRule="auto"/>
        <w:ind w:firstLine="482" w:firstLineChars="200"/>
        <w:rPr>
          <w:sz w:val="24"/>
          <w:szCs w:val="24"/>
        </w:rPr>
      </w:pPr>
      <w:r>
        <w:rPr>
          <w:b/>
          <w:bCs/>
          <w:sz w:val="24"/>
          <w:szCs w:val="24"/>
        </w:rPr>
        <w:t>3</w:t>
      </w:r>
      <w:r>
        <w:rPr>
          <w:rFonts w:hint="eastAsia"/>
          <w:sz w:val="24"/>
          <w:szCs w:val="24"/>
        </w:rPr>
        <w:t xml:space="preserve">  场地内专门设置非机动车室外充电位置，得</w:t>
      </w:r>
      <w:r>
        <w:rPr>
          <w:sz w:val="24"/>
          <w:szCs w:val="24"/>
        </w:rPr>
        <w:t>4</w:t>
      </w:r>
      <w:r>
        <w:rPr>
          <w:rFonts w:hint="eastAsia"/>
          <w:sz w:val="24"/>
          <w:szCs w:val="24"/>
        </w:rPr>
        <w:t>分。</w:t>
      </w:r>
    </w:p>
    <w:p w14:paraId="1DB374F7">
      <w:pPr>
        <w:spacing w:line="360" w:lineRule="auto"/>
        <w:rPr>
          <w:sz w:val="24"/>
          <w:szCs w:val="24"/>
        </w:rPr>
      </w:pPr>
      <w:r>
        <w:rPr>
          <w:rFonts w:hint="default" w:ascii="Times New Roman" w:hAnsi="Times New Roman" w:eastAsia="黑体" w:cs="Times New Roman"/>
          <w:b/>
          <w:bCs/>
          <w:sz w:val="24"/>
          <w:szCs w:val="24"/>
        </w:rPr>
        <w:t>4.2.3</w:t>
      </w:r>
      <w:r>
        <w:rPr>
          <w:rFonts w:hint="eastAsia"/>
          <w:sz w:val="24"/>
          <w:szCs w:val="24"/>
        </w:rPr>
        <w:t>　【植物碳汇】利用绿化景观提高场地碳汇能力，评价总分值为10分，并按下列规则分别评分并累计：</w:t>
      </w:r>
    </w:p>
    <w:p w14:paraId="089AFC2E">
      <w:pPr>
        <w:spacing w:line="360" w:lineRule="auto"/>
        <w:ind w:firstLine="482" w:firstLineChars="200"/>
        <w:rPr>
          <w:sz w:val="24"/>
          <w:szCs w:val="24"/>
        </w:rPr>
      </w:pPr>
      <w:r>
        <w:rPr>
          <w:b/>
          <w:bCs/>
          <w:sz w:val="24"/>
          <w:szCs w:val="24"/>
        </w:rPr>
        <w:t xml:space="preserve">1 </w:t>
      </w:r>
      <w:r>
        <w:rPr>
          <w:rFonts w:hint="eastAsia"/>
          <w:sz w:val="24"/>
          <w:szCs w:val="24"/>
        </w:rPr>
        <w:t xml:space="preserve"> 改造后的绿地率达到改造前的105%及以上，得</w:t>
      </w:r>
      <w:r>
        <w:rPr>
          <w:sz w:val="24"/>
          <w:szCs w:val="24"/>
        </w:rPr>
        <w:t>5</w:t>
      </w:r>
      <w:r>
        <w:rPr>
          <w:rFonts w:hint="eastAsia"/>
          <w:sz w:val="24"/>
          <w:szCs w:val="24"/>
        </w:rPr>
        <w:t>分；</w:t>
      </w:r>
    </w:p>
    <w:p w14:paraId="3CC91906">
      <w:pPr>
        <w:spacing w:line="360" w:lineRule="auto"/>
        <w:ind w:firstLine="482" w:firstLineChars="200"/>
        <w:rPr>
          <w:rFonts w:hint="eastAsia" w:eastAsia="宋体"/>
          <w:sz w:val="24"/>
          <w:szCs w:val="24"/>
          <w:lang w:eastAsia="zh-CN"/>
        </w:rPr>
      </w:pPr>
      <w:r>
        <w:rPr>
          <w:b/>
          <w:bCs/>
          <w:sz w:val="24"/>
          <w:szCs w:val="24"/>
        </w:rPr>
        <w:t>2</w:t>
      </w:r>
      <w:r>
        <w:rPr>
          <w:rFonts w:hint="eastAsia"/>
          <w:sz w:val="24"/>
          <w:szCs w:val="24"/>
        </w:rPr>
        <w:t xml:space="preserve">  每100m</w:t>
      </w:r>
      <w:r>
        <w:rPr>
          <w:rFonts w:hint="eastAsia"/>
          <w:sz w:val="24"/>
          <w:szCs w:val="24"/>
          <w:vertAlign w:val="superscript"/>
        </w:rPr>
        <w:t>2</w:t>
      </w:r>
      <w:r>
        <w:rPr>
          <w:rFonts w:hint="eastAsia"/>
          <w:sz w:val="24"/>
          <w:szCs w:val="24"/>
        </w:rPr>
        <w:t>绿地面积内乔木种植数量不少于4株，得</w:t>
      </w:r>
      <w:r>
        <w:rPr>
          <w:sz w:val="24"/>
          <w:szCs w:val="24"/>
        </w:rPr>
        <w:t>5</w:t>
      </w:r>
      <w:r>
        <w:rPr>
          <w:rFonts w:hint="eastAsia"/>
          <w:sz w:val="24"/>
          <w:szCs w:val="24"/>
        </w:rPr>
        <w:t>分</w:t>
      </w:r>
      <w:r>
        <w:rPr>
          <w:rFonts w:hint="eastAsia"/>
          <w:sz w:val="24"/>
          <w:szCs w:val="24"/>
          <w:lang w:eastAsia="zh-CN"/>
        </w:rPr>
        <w:t>。</w:t>
      </w:r>
    </w:p>
    <w:p w14:paraId="707CCFE7">
      <w:pPr>
        <w:spacing w:line="360" w:lineRule="auto"/>
        <w:rPr>
          <w:sz w:val="24"/>
          <w:szCs w:val="24"/>
        </w:rPr>
      </w:pPr>
      <w:r>
        <w:rPr>
          <w:rFonts w:hint="default" w:ascii="Times New Roman" w:hAnsi="Times New Roman" w:eastAsia="黑体" w:cs="Times New Roman"/>
          <w:b/>
          <w:bCs/>
          <w:sz w:val="24"/>
          <w:szCs w:val="24"/>
        </w:rPr>
        <w:t>4.2.4</w:t>
      </w:r>
      <w:r>
        <w:rPr>
          <w:rFonts w:hint="eastAsia"/>
          <w:sz w:val="24"/>
          <w:szCs w:val="24"/>
        </w:rPr>
        <w:t>　【垃圾分类】场地内实施垃圾分类收集、密闭运输和处理，评价总分值为8分，并按下列规则分别评分并累计：</w:t>
      </w:r>
    </w:p>
    <w:p w14:paraId="7F40C461">
      <w:pPr>
        <w:spacing w:line="360" w:lineRule="auto"/>
        <w:ind w:firstLine="482" w:firstLineChars="200"/>
        <w:rPr>
          <w:sz w:val="24"/>
          <w:szCs w:val="24"/>
        </w:rPr>
      </w:pPr>
      <w:r>
        <w:rPr>
          <w:b/>
          <w:bCs/>
          <w:sz w:val="24"/>
          <w:szCs w:val="24"/>
        </w:rPr>
        <w:t>1</w:t>
      </w:r>
      <w:r>
        <w:rPr>
          <w:rFonts w:hint="eastAsia"/>
          <w:sz w:val="24"/>
          <w:szCs w:val="24"/>
        </w:rPr>
        <w:t xml:space="preserve">  设置不同类型垃圾收集器具，并制订完善的垃圾收集、运输、处理体系，得4分；</w:t>
      </w:r>
    </w:p>
    <w:p w14:paraId="72BAB9FE">
      <w:pPr>
        <w:spacing w:line="360" w:lineRule="auto"/>
        <w:ind w:firstLine="482" w:firstLineChars="200"/>
        <w:rPr>
          <w:sz w:val="24"/>
          <w:szCs w:val="24"/>
        </w:rPr>
      </w:pPr>
      <w:r>
        <w:rPr>
          <w:b/>
          <w:bCs/>
          <w:sz w:val="24"/>
          <w:szCs w:val="24"/>
        </w:rPr>
        <w:t>2</w:t>
      </w:r>
      <w:r>
        <w:rPr>
          <w:rFonts w:hint="eastAsia"/>
          <w:sz w:val="24"/>
          <w:szCs w:val="24"/>
        </w:rPr>
        <w:t xml:space="preserve">  场地内建有密闭的小型垃圾收集站，或通过气力管道垃圾收集系统与区域或市政垃圾处理厂连接，得4分。</w:t>
      </w:r>
    </w:p>
    <w:p w14:paraId="2C4D8192">
      <w:pPr>
        <w:pStyle w:val="28"/>
        <w:spacing w:line="360" w:lineRule="auto"/>
        <w:ind w:firstLine="0" w:firstLineChars="0"/>
        <w:rPr>
          <w:szCs w:val="24"/>
        </w:rPr>
      </w:pPr>
      <w:r>
        <w:rPr>
          <w:rFonts w:hint="default" w:ascii="Times New Roman" w:hAnsi="Times New Roman" w:eastAsia="黑体" w:cs="Times New Roman"/>
          <w:b/>
          <w:bCs/>
          <w:szCs w:val="24"/>
        </w:rPr>
        <w:t>4.2.5</w:t>
      </w:r>
      <w:r>
        <w:rPr>
          <w:rFonts w:hint="eastAsia"/>
          <w:szCs w:val="24"/>
        </w:rPr>
        <w:t>　【低碳出行】场地内通过提高路网密度</w:t>
      </w:r>
      <w:r>
        <w:rPr>
          <w:rFonts w:hint="eastAsia"/>
          <w:szCs w:val="24"/>
          <w:lang w:eastAsia="zh-CN"/>
        </w:rPr>
        <w:t>，</w:t>
      </w:r>
      <w:r>
        <w:rPr>
          <w:rFonts w:hint="eastAsia"/>
          <w:szCs w:val="24"/>
        </w:rPr>
        <w:t>设置接驳车、共享单车和慢行系统等措施，实现交通运行效率的提升，评价总分值为1</w:t>
      </w:r>
      <w:r>
        <w:rPr>
          <w:szCs w:val="24"/>
        </w:rPr>
        <w:t>2</w:t>
      </w:r>
      <w:r>
        <w:rPr>
          <w:rFonts w:hint="eastAsia"/>
          <w:szCs w:val="24"/>
        </w:rPr>
        <w:t>分，并按下列规则分别评分并累计：</w:t>
      </w:r>
    </w:p>
    <w:p w14:paraId="347082AD">
      <w:pPr>
        <w:snapToGrid w:val="0"/>
        <w:spacing w:line="360" w:lineRule="auto"/>
        <w:ind w:firstLine="482" w:firstLineChars="200"/>
        <w:rPr>
          <w:sz w:val="24"/>
          <w:szCs w:val="24"/>
        </w:rPr>
      </w:pPr>
      <w:r>
        <w:rPr>
          <w:rFonts w:hint="eastAsia"/>
          <w:b/>
          <w:bCs/>
          <w:sz w:val="24"/>
          <w:szCs w:val="24"/>
        </w:rPr>
        <w:t>1</w:t>
      </w:r>
      <w:r>
        <w:rPr>
          <w:rFonts w:hint="eastAsia"/>
          <w:sz w:val="24"/>
          <w:szCs w:val="24"/>
        </w:rPr>
        <w:t xml:space="preserve">  充分利用工业园区内既有道路，并通过调整，增设辅助道路，得4分；</w:t>
      </w:r>
    </w:p>
    <w:p w14:paraId="5B51E902">
      <w:pPr>
        <w:snapToGrid w:val="0"/>
        <w:spacing w:line="360" w:lineRule="auto"/>
        <w:ind w:firstLine="482" w:firstLineChars="200"/>
        <w:rPr>
          <w:sz w:val="24"/>
          <w:szCs w:val="24"/>
        </w:rPr>
      </w:pPr>
      <w:r>
        <w:rPr>
          <w:rFonts w:hint="eastAsia"/>
          <w:b/>
          <w:bCs/>
          <w:sz w:val="24"/>
          <w:szCs w:val="24"/>
        </w:rPr>
        <w:t>2</w:t>
      </w:r>
      <w:r>
        <w:rPr>
          <w:rFonts w:hint="eastAsia"/>
          <w:sz w:val="24"/>
          <w:szCs w:val="24"/>
        </w:rPr>
        <w:t xml:space="preserve">  大型园区内部设置接驳车，其他园区允许社会共享单车进入或提供内部共享单车，得</w:t>
      </w:r>
      <w:r>
        <w:rPr>
          <w:sz w:val="24"/>
          <w:szCs w:val="24"/>
        </w:rPr>
        <w:t>4</w:t>
      </w:r>
      <w:r>
        <w:rPr>
          <w:rFonts w:hint="eastAsia"/>
          <w:sz w:val="24"/>
          <w:szCs w:val="24"/>
        </w:rPr>
        <w:t>分；</w:t>
      </w:r>
    </w:p>
    <w:p w14:paraId="7064DA79">
      <w:pPr>
        <w:snapToGrid w:val="0"/>
        <w:spacing w:line="360" w:lineRule="auto"/>
        <w:ind w:firstLine="482" w:firstLineChars="200"/>
        <w:rPr>
          <w:sz w:val="24"/>
          <w:szCs w:val="24"/>
        </w:rPr>
      </w:pPr>
      <w:r>
        <w:rPr>
          <w:rFonts w:hint="eastAsia"/>
          <w:b/>
          <w:sz w:val="24"/>
          <w:szCs w:val="24"/>
        </w:rPr>
        <w:t>3</w:t>
      </w:r>
      <w:r>
        <w:rPr>
          <w:sz w:val="24"/>
          <w:szCs w:val="24"/>
        </w:rPr>
        <w:t xml:space="preserve"> </w:t>
      </w:r>
      <w:r>
        <w:rPr>
          <w:rFonts w:hint="eastAsia"/>
          <w:sz w:val="24"/>
          <w:szCs w:val="24"/>
          <w:lang w:val="en-US" w:eastAsia="zh-CN"/>
        </w:rPr>
        <w:t xml:space="preserve"> </w:t>
      </w:r>
      <w:r>
        <w:rPr>
          <w:rFonts w:hint="eastAsia"/>
          <w:sz w:val="24"/>
          <w:szCs w:val="24"/>
        </w:rPr>
        <w:t>场地内增设健身步道与人行路线一体化的慢行系统，得</w:t>
      </w:r>
      <w:r>
        <w:rPr>
          <w:sz w:val="24"/>
          <w:szCs w:val="24"/>
        </w:rPr>
        <w:t>4</w:t>
      </w:r>
      <w:r>
        <w:rPr>
          <w:rFonts w:hint="eastAsia"/>
          <w:sz w:val="24"/>
          <w:szCs w:val="24"/>
        </w:rPr>
        <w:t>分。</w:t>
      </w:r>
    </w:p>
    <w:p w14:paraId="688338E6">
      <w:pPr>
        <w:pStyle w:val="28"/>
        <w:spacing w:line="360" w:lineRule="auto"/>
        <w:ind w:firstLine="0" w:firstLineChars="0"/>
        <w:rPr>
          <w:szCs w:val="24"/>
        </w:rPr>
      </w:pPr>
      <w:r>
        <w:rPr>
          <w:rFonts w:hint="default" w:ascii="Times New Roman" w:hAnsi="Times New Roman" w:eastAsia="黑体" w:cs="Times New Roman"/>
          <w:b/>
          <w:bCs/>
          <w:szCs w:val="24"/>
        </w:rPr>
        <w:t>4.2.6</w:t>
      </w:r>
      <w:r>
        <w:rPr>
          <w:rFonts w:hint="eastAsia"/>
          <w:szCs w:val="24"/>
        </w:rPr>
        <w:t>　【低碳教育展示】利用场地开展低碳教育和展示活动，评价总分值为</w:t>
      </w:r>
      <w:r>
        <w:rPr>
          <w:szCs w:val="24"/>
        </w:rPr>
        <w:t>8</w:t>
      </w:r>
      <w:r>
        <w:rPr>
          <w:rFonts w:hint="eastAsia"/>
          <w:szCs w:val="24"/>
        </w:rPr>
        <w:t>分，并按下列规则分别评分并累计：</w:t>
      </w:r>
    </w:p>
    <w:p w14:paraId="0D2ACF63">
      <w:pPr>
        <w:pStyle w:val="28"/>
        <w:spacing w:line="360" w:lineRule="auto"/>
        <w:ind w:firstLine="482"/>
        <w:rPr>
          <w:szCs w:val="24"/>
        </w:rPr>
      </w:pPr>
      <w:r>
        <w:rPr>
          <w:rFonts w:cs="Times New Roman"/>
          <w:b/>
          <w:szCs w:val="24"/>
        </w:rPr>
        <w:t>1</w:t>
      </w:r>
      <w:r>
        <w:rPr>
          <w:szCs w:val="24"/>
        </w:rPr>
        <w:t xml:space="preserve">  </w:t>
      </w:r>
      <w:r>
        <w:rPr>
          <w:rFonts w:hint="eastAsia"/>
          <w:szCs w:val="24"/>
        </w:rPr>
        <w:t>场地内设有低碳教育展示区，得</w:t>
      </w:r>
      <w:r>
        <w:rPr>
          <w:szCs w:val="24"/>
        </w:rPr>
        <w:t>4</w:t>
      </w:r>
      <w:r>
        <w:rPr>
          <w:rFonts w:hint="eastAsia"/>
          <w:szCs w:val="24"/>
        </w:rPr>
        <w:t>分；</w:t>
      </w:r>
    </w:p>
    <w:p w14:paraId="3E62B7CC">
      <w:pPr>
        <w:pStyle w:val="28"/>
        <w:spacing w:line="360" w:lineRule="auto"/>
        <w:ind w:firstLine="482"/>
        <w:rPr>
          <w:szCs w:val="24"/>
        </w:rPr>
      </w:pPr>
      <w:r>
        <w:rPr>
          <w:rFonts w:hint="default" w:cs="Times New Roman"/>
          <w:b/>
          <w:szCs w:val="24"/>
        </w:rPr>
        <w:t>2</w:t>
      </w:r>
      <w:r>
        <w:rPr>
          <w:b/>
          <w:szCs w:val="24"/>
        </w:rPr>
        <w:t xml:space="preserve"> </w:t>
      </w:r>
      <w:r>
        <w:rPr>
          <w:szCs w:val="24"/>
        </w:rPr>
        <w:t xml:space="preserve"> 每年举办大型</w:t>
      </w:r>
      <w:r>
        <w:rPr>
          <w:rFonts w:hint="eastAsia"/>
          <w:szCs w:val="24"/>
        </w:rPr>
        <w:t>低碳教育展览或低碳公益讲座等活动不少于3次，得</w:t>
      </w:r>
      <w:r>
        <w:rPr>
          <w:szCs w:val="24"/>
        </w:rPr>
        <w:t>4</w:t>
      </w:r>
      <w:r>
        <w:rPr>
          <w:rFonts w:hint="eastAsia"/>
          <w:szCs w:val="24"/>
        </w:rPr>
        <w:t>分。</w:t>
      </w:r>
    </w:p>
    <w:p w14:paraId="1DF79419">
      <w:pPr>
        <w:pStyle w:val="28"/>
        <w:spacing w:before="0" w:beforeLines="0" w:after="0" w:afterLines="0" w:line="360" w:lineRule="auto"/>
        <w:ind w:firstLine="0" w:firstLineChars="0"/>
        <w:jc w:val="center"/>
        <w:outlineLvl w:val="2"/>
        <w:rPr>
          <w:rFonts w:cs="Times New Roman"/>
          <w:b/>
          <w:bCs/>
          <w:sz w:val="28"/>
          <w:szCs w:val="28"/>
        </w:rPr>
      </w:pPr>
      <w:r>
        <w:rPr>
          <w:rFonts w:cs="Times New Roman"/>
          <w:b/>
          <w:bCs/>
          <w:sz w:val="28"/>
          <w:szCs w:val="28"/>
        </w:rPr>
        <w:fldChar w:fldCharType="begin"/>
      </w:r>
      <w:r>
        <w:rPr>
          <w:rFonts w:cs="Times New Roman"/>
          <w:b/>
          <w:bCs/>
          <w:sz w:val="28"/>
          <w:szCs w:val="28"/>
        </w:rPr>
        <w:instrText xml:space="preserve"> = 1 \* ROMAN </w:instrText>
      </w:r>
      <w:r>
        <w:rPr>
          <w:rFonts w:cs="Times New Roman"/>
          <w:b/>
          <w:bCs/>
          <w:sz w:val="28"/>
          <w:szCs w:val="28"/>
        </w:rPr>
        <w:fldChar w:fldCharType="separate"/>
      </w:r>
      <w:r>
        <w:rPr>
          <w:rFonts w:cs="Times New Roman"/>
          <w:b/>
          <w:bCs/>
          <w:sz w:val="28"/>
          <w:szCs w:val="28"/>
        </w:rPr>
        <w:t>I</w:t>
      </w:r>
      <w:r>
        <w:rPr>
          <w:rFonts w:cs="Times New Roman"/>
          <w:b/>
          <w:bCs/>
          <w:sz w:val="28"/>
          <w:szCs w:val="28"/>
        </w:rPr>
        <w:fldChar w:fldCharType="end"/>
      </w:r>
      <w:r>
        <w:rPr>
          <w:rFonts w:cs="Times New Roman"/>
          <w:b/>
          <w:bCs/>
          <w:sz w:val="28"/>
          <w:szCs w:val="28"/>
        </w:rPr>
        <w:t xml:space="preserve">I </w:t>
      </w:r>
      <w:r>
        <w:rPr>
          <w:rFonts w:hint="eastAsia" w:ascii="仿宋" w:hAnsi="仿宋" w:eastAsia="仿宋" w:cs="仿宋"/>
          <w:b/>
          <w:bCs/>
          <w:sz w:val="28"/>
          <w:szCs w:val="28"/>
        </w:rPr>
        <w:t>室外环境</w:t>
      </w:r>
    </w:p>
    <w:p w14:paraId="3DF9562E">
      <w:pPr>
        <w:spacing w:line="360" w:lineRule="auto"/>
        <w:rPr>
          <w:sz w:val="24"/>
          <w:szCs w:val="24"/>
        </w:rPr>
      </w:pPr>
      <w:r>
        <w:rPr>
          <w:rFonts w:hint="default" w:ascii="Times New Roman" w:hAnsi="Times New Roman" w:eastAsia="黑体" w:cs="Times New Roman"/>
          <w:b/>
          <w:bCs/>
          <w:sz w:val="24"/>
          <w:szCs w:val="24"/>
        </w:rPr>
        <w:t>4.2.</w:t>
      </w:r>
      <w:r>
        <w:rPr>
          <w:rFonts w:ascii="Times New Roman" w:hAnsi="Times New Roman" w:eastAsia="黑体" w:cs="Times New Roman"/>
          <w:b/>
          <w:bCs/>
          <w:sz w:val="24"/>
          <w:szCs w:val="24"/>
        </w:rPr>
        <w:t>7</w:t>
      </w:r>
      <w:r>
        <w:rPr>
          <w:rFonts w:hint="eastAsia"/>
          <w:sz w:val="24"/>
          <w:szCs w:val="24"/>
        </w:rPr>
        <w:t>　【热环境】通过绿化和构筑物遮阴，提高场地热环境舒适度，评价总分值为1</w:t>
      </w:r>
      <w:r>
        <w:rPr>
          <w:sz w:val="24"/>
          <w:szCs w:val="24"/>
        </w:rPr>
        <w:t>2</w:t>
      </w:r>
      <w:r>
        <w:rPr>
          <w:rFonts w:hint="eastAsia"/>
          <w:sz w:val="24"/>
          <w:szCs w:val="24"/>
        </w:rPr>
        <w:t>分，按下列规则分别评分并累计：</w:t>
      </w:r>
    </w:p>
    <w:p w14:paraId="216BE70C">
      <w:pPr>
        <w:spacing w:line="360" w:lineRule="auto"/>
        <w:ind w:firstLine="482" w:firstLineChars="200"/>
        <w:rPr>
          <w:sz w:val="24"/>
          <w:szCs w:val="24"/>
        </w:rPr>
      </w:pPr>
      <w:r>
        <w:rPr>
          <w:b/>
          <w:bCs/>
          <w:sz w:val="24"/>
          <w:szCs w:val="24"/>
        </w:rPr>
        <w:t>1</w:t>
      </w:r>
      <w:r>
        <w:rPr>
          <w:rFonts w:hint="eastAsia"/>
          <w:sz w:val="24"/>
          <w:szCs w:val="24"/>
        </w:rPr>
        <w:t xml:space="preserve">  场地中处于建筑阴影区外的步道、庭院、广场等室外活动场地设有乔木、花架等遮阴措施的面积比例达到20%，得</w:t>
      </w:r>
      <w:r>
        <w:rPr>
          <w:sz w:val="24"/>
          <w:szCs w:val="24"/>
        </w:rPr>
        <w:t>4</w:t>
      </w:r>
      <w:r>
        <w:rPr>
          <w:rFonts w:hint="eastAsia"/>
          <w:sz w:val="24"/>
          <w:szCs w:val="24"/>
        </w:rPr>
        <w:t>分；</w:t>
      </w:r>
    </w:p>
    <w:p w14:paraId="438B8403">
      <w:pPr>
        <w:spacing w:line="360" w:lineRule="auto"/>
        <w:ind w:firstLine="482" w:firstLineChars="200"/>
        <w:rPr>
          <w:sz w:val="24"/>
          <w:szCs w:val="24"/>
        </w:rPr>
      </w:pPr>
      <w:r>
        <w:rPr>
          <w:b/>
          <w:bCs/>
          <w:sz w:val="24"/>
          <w:szCs w:val="24"/>
        </w:rPr>
        <w:t>2</w:t>
      </w:r>
      <w:r>
        <w:rPr>
          <w:rFonts w:hint="eastAsia"/>
          <w:sz w:val="24"/>
          <w:szCs w:val="24"/>
        </w:rPr>
        <w:t xml:space="preserve">  场地中处于建筑阴影区外的机动车道，路面太阳辐射反射系数不小于0.4或设有遮阴面积较大的行道树的路段长度超过70%，得</w:t>
      </w:r>
      <w:r>
        <w:rPr>
          <w:sz w:val="24"/>
          <w:szCs w:val="24"/>
        </w:rPr>
        <w:t>4</w:t>
      </w:r>
      <w:r>
        <w:rPr>
          <w:rFonts w:hint="eastAsia"/>
          <w:sz w:val="24"/>
          <w:szCs w:val="24"/>
        </w:rPr>
        <w:t>分；</w:t>
      </w:r>
    </w:p>
    <w:p w14:paraId="5A5439F6">
      <w:pPr>
        <w:spacing w:line="360" w:lineRule="auto"/>
        <w:ind w:firstLine="482" w:firstLineChars="200"/>
        <w:rPr>
          <w:sz w:val="24"/>
          <w:szCs w:val="24"/>
        </w:rPr>
      </w:pPr>
      <w:r>
        <w:rPr>
          <w:b/>
          <w:bCs/>
          <w:sz w:val="24"/>
          <w:szCs w:val="24"/>
        </w:rPr>
        <w:t>3</w:t>
      </w:r>
      <w:r>
        <w:rPr>
          <w:rFonts w:hint="eastAsia"/>
          <w:sz w:val="24"/>
          <w:szCs w:val="24"/>
        </w:rPr>
        <w:t xml:space="preserve">  屋顶的绿化面积、太阳能板水平投影面积以及太阳辐射反射系数不小于0.4的屋面面积合计达到75%，得4分。</w:t>
      </w:r>
    </w:p>
    <w:p w14:paraId="418ED5C3">
      <w:pPr>
        <w:spacing w:line="360" w:lineRule="auto"/>
        <w:rPr>
          <w:sz w:val="24"/>
          <w:szCs w:val="24"/>
        </w:rPr>
      </w:pPr>
      <w:r>
        <w:rPr>
          <w:rFonts w:hint="default" w:ascii="Times New Roman" w:hAnsi="Times New Roman" w:eastAsia="黑体" w:cs="Times New Roman"/>
          <w:b/>
          <w:bCs/>
          <w:sz w:val="24"/>
          <w:szCs w:val="24"/>
        </w:rPr>
        <w:t>4.2.</w:t>
      </w:r>
      <w:r>
        <w:rPr>
          <w:rFonts w:ascii="Times New Roman" w:hAnsi="Times New Roman" w:eastAsia="黑体" w:cs="Times New Roman"/>
          <w:b/>
          <w:bCs/>
          <w:sz w:val="24"/>
          <w:szCs w:val="24"/>
        </w:rPr>
        <w:t>8</w:t>
      </w:r>
      <w:r>
        <w:rPr>
          <w:rFonts w:hint="eastAsia"/>
          <w:sz w:val="24"/>
          <w:szCs w:val="24"/>
        </w:rPr>
        <w:t>　【海绵城市】场地空间绿色雨水基础设施设置和利用，评价总分值为1</w:t>
      </w:r>
      <w:r>
        <w:rPr>
          <w:sz w:val="24"/>
          <w:szCs w:val="24"/>
        </w:rPr>
        <w:t>6</w:t>
      </w:r>
      <w:r>
        <w:rPr>
          <w:rFonts w:hint="eastAsia"/>
          <w:sz w:val="24"/>
          <w:szCs w:val="24"/>
        </w:rPr>
        <w:t>分，并按下列规则分别评分并累计：</w:t>
      </w:r>
    </w:p>
    <w:p w14:paraId="1FAB6AEA">
      <w:pPr>
        <w:spacing w:line="360" w:lineRule="auto"/>
        <w:ind w:firstLine="482" w:firstLineChars="200"/>
        <w:rPr>
          <w:sz w:val="24"/>
          <w:szCs w:val="24"/>
        </w:rPr>
      </w:pPr>
      <w:r>
        <w:rPr>
          <w:b/>
          <w:bCs/>
          <w:sz w:val="24"/>
          <w:szCs w:val="24"/>
        </w:rPr>
        <w:t>1</w:t>
      </w:r>
      <w:r>
        <w:rPr>
          <w:rFonts w:hint="eastAsia"/>
          <w:sz w:val="24"/>
          <w:szCs w:val="24"/>
        </w:rPr>
        <w:t xml:space="preserve">  下凹式绿地、雨水花园等有调蓄雨水功能的绿地和水体的面积之和占绿地面积的比例达到50%，得</w:t>
      </w:r>
      <w:r>
        <w:rPr>
          <w:sz w:val="24"/>
          <w:szCs w:val="24"/>
        </w:rPr>
        <w:t>4</w:t>
      </w:r>
      <w:r>
        <w:rPr>
          <w:rFonts w:hint="eastAsia"/>
          <w:sz w:val="24"/>
          <w:szCs w:val="24"/>
        </w:rPr>
        <w:t>分；</w:t>
      </w:r>
    </w:p>
    <w:p w14:paraId="0E315B04">
      <w:pPr>
        <w:spacing w:line="360" w:lineRule="auto"/>
        <w:ind w:firstLine="482" w:firstLineChars="200"/>
        <w:rPr>
          <w:sz w:val="24"/>
          <w:szCs w:val="24"/>
        </w:rPr>
      </w:pPr>
      <w:r>
        <w:rPr>
          <w:b/>
          <w:bCs/>
          <w:sz w:val="24"/>
          <w:szCs w:val="24"/>
        </w:rPr>
        <w:t>2</w:t>
      </w:r>
      <w:r>
        <w:rPr>
          <w:rFonts w:hint="eastAsia"/>
          <w:sz w:val="24"/>
          <w:szCs w:val="24"/>
        </w:rPr>
        <w:t xml:space="preserve">  衔接和引导不少于80%的屋面雨水进入地面生态设施，雨水排入市政管网前，利用生态设施削减径流污染，得</w:t>
      </w:r>
      <w:r>
        <w:rPr>
          <w:sz w:val="24"/>
          <w:szCs w:val="24"/>
        </w:rPr>
        <w:t>4</w:t>
      </w:r>
      <w:r>
        <w:rPr>
          <w:rFonts w:hint="eastAsia"/>
          <w:sz w:val="24"/>
          <w:szCs w:val="24"/>
        </w:rPr>
        <w:t>分；</w:t>
      </w:r>
    </w:p>
    <w:p w14:paraId="167D7149">
      <w:pPr>
        <w:spacing w:line="360" w:lineRule="auto"/>
        <w:ind w:firstLine="482" w:firstLineChars="200"/>
        <w:rPr>
          <w:sz w:val="24"/>
          <w:szCs w:val="24"/>
        </w:rPr>
      </w:pPr>
      <w:r>
        <w:rPr>
          <w:b/>
          <w:bCs/>
          <w:sz w:val="24"/>
          <w:szCs w:val="24"/>
        </w:rPr>
        <w:t>3</w:t>
      </w:r>
      <w:r>
        <w:rPr>
          <w:rFonts w:hint="eastAsia"/>
          <w:sz w:val="24"/>
          <w:szCs w:val="24"/>
        </w:rPr>
        <w:t xml:space="preserve">  衔接和引导不少于80%的道路雨水进入地面生态设施，雨水排入市政管网前，利用生态设施削减径流污染，得</w:t>
      </w:r>
      <w:r>
        <w:rPr>
          <w:sz w:val="24"/>
          <w:szCs w:val="24"/>
        </w:rPr>
        <w:t>4</w:t>
      </w:r>
      <w:r>
        <w:rPr>
          <w:rFonts w:hint="eastAsia"/>
          <w:sz w:val="24"/>
          <w:szCs w:val="24"/>
        </w:rPr>
        <w:t>分；</w:t>
      </w:r>
    </w:p>
    <w:p w14:paraId="656FC646">
      <w:pPr>
        <w:spacing w:line="360" w:lineRule="auto"/>
        <w:ind w:firstLine="482" w:firstLineChars="200"/>
        <w:rPr>
          <w:sz w:val="24"/>
          <w:szCs w:val="24"/>
        </w:rPr>
      </w:pPr>
      <w:r>
        <w:rPr>
          <w:b/>
          <w:bCs/>
          <w:sz w:val="24"/>
          <w:szCs w:val="24"/>
        </w:rPr>
        <w:t>4</w:t>
      </w:r>
      <w:r>
        <w:rPr>
          <w:rFonts w:hint="eastAsia"/>
          <w:sz w:val="24"/>
          <w:szCs w:val="24"/>
        </w:rPr>
        <w:t xml:space="preserve">  硬质铺装地面中透水铺装面积的比例达到50%，得</w:t>
      </w:r>
      <w:r>
        <w:rPr>
          <w:sz w:val="24"/>
          <w:szCs w:val="24"/>
        </w:rPr>
        <w:t>4</w:t>
      </w:r>
      <w:r>
        <w:rPr>
          <w:rFonts w:hint="eastAsia"/>
          <w:sz w:val="24"/>
          <w:szCs w:val="24"/>
        </w:rPr>
        <w:t>分。</w:t>
      </w:r>
    </w:p>
    <w:p w14:paraId="3F9C397C">
      <w:pPr>
        <w:numPr>
          <w:ilvl w:val="255"/>
          <w:numId w:val="0"/>
        </w:numPr>
        <w:spacing w:line="360" w:lineRule="auto"/>
        <w:rPr>
          <w:sz w:val="24"/>
          <w:szCs w:val="24"/>
        </w:rPr>
      </w:pPr>
      <w:r>
        <w:rPr>
          <w:rFonts w:hint="default" w:ascii="Times New Roman" w:eastAsia="黑体"/>
          <w:b/>
          <w:bCs/>
          <w:sz w:val="24"/>
          <w:szCs w:val="24"/>
        </w:rPr>
        <w:t>4</w:t>
      </w:r>
      <w:r>
        <w:rPr>
          <w:rFonts w:ascii="Times New Roman" w:eastAsia="黑体"/>
          <w:b/>
          <w:bCs/>
          <w:sz w:val="24"/>
          <w:szCs w:val="24"/>
        </w:rPr>
        <w:t>.2.9</w:t>
      </w:r>
      <w:r>
        <w:rPr>
          <w:rFonts w:hint="eastAsia"/>
          <w:sz w:val="24"/>
          <w:szCs w:val="24"/>
        </w:rPr>
        <w:t>　【节水与非传统水源利用】合理使用非传统水源并采用场地节水灌溉方式，评价总分值为</w:t>
      </w:r>
      <w:r>
        <w:rPr>
          <w:sz w:val="24"/>
          <w:szCs w:val="24"/>
        </w:rPr>
        <w:t>10</w:t>
      </w:r>
      <w:r>
        <w:rPr>
          <w:rFonts w:hint="eastAsia"/>
          <w:sz w:val="24"/>
          <w:szCs w:val="24"/>
        </w:rPr>
        <w:t>分，并按下列规则分别评分并累计：</w:t>
      </w:r>
    </w:p>
    <w:p w14:paraId="67562B60">
      <w:pPr>
        <w:spacing w:line="360" w:lineRule="auto"/>
        <w:ind w:firstLine="482" w:firstLineChars="200"/>
        <w:rPr>
          <w:sz w:val="24"/>
          <w:szCs w:val="24"/>
        </w:rPr>
      </w:pPr>
      <w:r>
        <w:rPr>
          <w:rFonts w:hint="eastAsia"/>
          <w:b/>
          <w:sz w:val="24"/>
          <w:szCs w:val="24"/>
        </w:rPr>
        <w:t>1</w:t>
      </w:r>
      <w:r>
        <w:rPr>
          <w:sz w:val="24"/>
          <w:szCs w:val="24"/>
        </w:rPr>
        <w:t xml:space="preserve">  </w:t>
      </w:r>
      <w:r>
        <w:rPr>
          <w:rFonts w:hint="eastAsia"/>
          <w:sz w:val="24"/>
          <w:szCs w:val="24"/>
        </w:rPr>
        <w:t>绿化灌溉、车库及道路冲洗、洗车用水采用非传统水源的用水量占其总用水量的比例不低于30%，得</w:t>
      </w:r>
      <w:r>
        <w:rPr>
          <w:sz w:val="24"/>
          <w:szCs w:val="24"/>
        </w:rPr>
        <w:t>5</w:t>
      </w:r>
      <w:r>
        <w:rPr>
          <w:rFonts w:hint="eastAsia"/>
          <w:sz w:val="24"/>
          <w:szCs w:val="24"/>
        </w:rPr>
        <w:t>分；</w:t>
      </w:r>
    </w:p>
    <w:p w14:paraId="6FCB0034">
      <w:pPr>
        <w:spacing w:line="360" w:lineRule="auto"/>
        <w:ind w:firstLine="482" w:firstLineChars="200"/>
        <w:rPr>
          <w:sz w:val="24"/>
          <w:szCs w:val="24"/>
        </w:rPr>
      </w:pPr>
      <w:r>
        <w:rPr>
          <w:b/>
          <w:sz w:val="24"/>
          <w:szCs w:val="24"/>
        </w:rPr>
        <w:t xml:space="preserve">2  </w:t>
      </w:r>
      <w:r>
        <w:rPr>
          <w:rFonts w:hint="eastAsia"/>
          <w:sz w:val="24"/>
          <w:szCs w:val="24"/>
        </w:rPr>
        <w:t>采用节水绿化灌溉措施，或种植无需永久灌溉植物，得</w:t>
      </w:r>
      <w:r>
        <w:rPr>
          <w:sz w:val="24"/>
          <w:szCs w:val="24"/>
        </w:rPr>
        <w:t>5</w:t>
      </w:r>
      <w:r>
        <w:rPr>
          <w:rFonts w:hint="eastAsia"/>
          <w:sz w:val="24"/>
          <w:szCs w:val="24"/>
        </w:rPr>
        <w:t>分。</w:t>
      </w:r>
    </w:p>
    <w:p w14:paraId="60BB5923">
      <w:pPr>
        <w:rPr>
          <w:rFonts w:ascii="仿宋" w:hAnsi="仿宋" w:eastAsia="仿宋" w:cs="仿宋"/>
        </w:rPr>
      </w:pPr>
    </w:p>
    <w:p w14:paraId="22490749">
      <w:pPr>
        <w:widowControl/>
        <w:snapToGrid w:val="0"/>
        <w:jc w:val="center"/>
        <w:outlineLvl w:val="0"/>
        <w:rPr>
          <w:rFonts w:ascii="宋体" w:hAnsi="宋体" w:cs="宋体"/>
          <w:b/>
          <w:bCs/>
          <w:kern w:val="44"/>
          <w:sz w:val="30"/>
          <w:szCs w:val="30"/>
        </w:rPr>
        <w:sectPr>
          <w:footerReference r:id="rId9" w:type="default"/>
          <w:pgSz w:w="11906" w:h="16838"/>
          <w:pgMar w:top="1440" w:right="1800" w:bottom="1440" w:left="1800" w:header="851" w:footer="992" w:gutter="0"/>
          <w:cols w:space="425" w:num="1"/>
          <w:docGrid w:type="lines" w:linePitch="312" w:charSpace="0"/>
        </w:sectPr>
      </w:pPr>
    </w:p>
    <w:p w14:paraId="6698B99B">
      <w:pPr>
        <w:widowControl/>
        <w:snapToGrid w:val="0"/>
        <w:spacing w:line="360" w:lineRule="auto"/>
        <w:jc w:val="center"/>
        <w:outlineLvl w:val="9"/>
        <w:rPr>
          <w:rFonts w:ascii="Times New Roman" w:hAnsi="Times New Roman" w:cs="Times New Roman"/>
          <w:b/>
          <w:bCs/>
          <w:kern w:val="44"/>
          <w:sz w:val="30"/>
          <w:szCs w:val="30"/>
        </w:rPr>
      </w:pPr>
      <w:bookmarkStart w:id="117" w:name="_Toc19451"/>
    </w:p>
    <w:p w14:paraId="43719C36">
      <w:pPr>
        <w:widowControl/>
        <w:snapToGrid w:val="0"/>
        <w:spacing w:line="360" w:lineRule="auto"/>
        <w:jc w:val="center"/>
        <w:outlineLvl w:val="0"/>
        <w:rPr>
          <w:rFonts w:hint="eastAsia" w:ascii="宋体" w:hAnsi="宋体" w:eastAsia="宋体" w:cs="宋体"/>
          <w:b/>
          <w:bCs/>
          <w:kern w:val="44"/>
          <w:sz w:val="30"/>
          <w:szCs w:val="30"/>
          <w:lang w:eastAsia="zh-CN"/>
        </w:rPr>
      </w:pPr>
      <w:bookmarkStart w:id="118" w:name="_Toc28754"/>
      <w:bookmarkStart w:id="119" w:name="_Toc25714"/>
      <w:r>
        <w:rPr>
          <w:rFonts w:ascii="Times New Roman" w:hAnsi="Times New Roman" w:cs="Times New Roman"/>
          <w:b/>
          <w:bCs/>
          <w:kern w:val="44"/>
          <w:sz w:val="30"/>
          <w:szCs w:val="30"/>
        </w:rPr>
        <w:t>5</w:t>
      </w:r>
      <w:r>
        <w:rPr>
          <w:rFonts w:ascii="宋体" w:hAnsi="宋体" w:cs="宋体"/>
          <w:b/>
          <w:bCs/>
          <w:kern w:val="44"/>
          <w:sz w:val="30"/>
          <w:szCs w:val="30"/>
        </w:rPr>
        <w:t xml:space="preserve"> </w:t>
      </w:r>
      <w:r>
        <w:rPr>
          <w:rFonts w:hint="eastAsia" w:ascii="宋体" w:hAnsi="宋体" w:cs="宋体"/>
          <w:b/>
          <w:bCs/>
          <w:kern w:val="44"/>
          <w:sz w:val="30"/>
          <w:szCs w:val="30"/>
        </w:rPr>
        <w:t>建筑改造与利用</w:t>
      </w:r>
      <w:bookmarkEnd w:id="117"/>
      <w:bookmarkEnd w:id="118"/>
      <w:bookmarkEnd w:id="119"/>
    </w:p>
    <w:p w14:paraId="65CB2B21">
      <w:pPr>
        <w:tabs>
          <w:tab w:val="left" w:pos="0"/>
        </w:tabs>
        <w:spacing w:before="0" w:beforeLines="0" w:after="0" w:afterLines="0" w:line="360" w:lineRule="auto"/>
        <w:jc w:val="center"/>
        <w:outlineLvl w:val="1"/>
        <w:rPr>
          <w:rFonts w:ascii="黑体" w:hAnsi="黑体" w:eastAsia="黑体" w:cs="黑体"/>
          <w:b/>
          <w:bCs/>
          <w:sz w:val="28"/>
          <w:szCs w:val="28"/>
        </w:rPr>
      </w:pPr>
      <w:bookmarkStart w:id="120" w:name="_Toc31166"/>
      <w:bookmarkStart w:id="121" w:name="_Toc20218"/>
      <w:bookmarkStart w:id="122" w:name="_Toc22924"/>
      <w:r>
        <w:rPr>
          <w:rFonts w:ascii="Times New Roman" w:hAnsi="Times New Roman" w:eastAsia="黑体" w:cs="Times New Roman"/>
          <w:b/>
          <w:bCs/>
          <w:sz w:val="28"/>
          <w:szCs w:val="28"/>
        </w:rPr>
        <w:t>5.1</w:t>
      </w:r>
      <w:r>
        <w:rPr>
          <w:rFonts w:hint="eastAsia" w:ascii="黑体" w:hAnsi="黑体" w:eastAsia="黑体" w:cs="黑体"/>
          <w:b/>
          <w:bCs/>
          <w:sz w:val="28"/>
          <w:szCs w:val="28"/>
        </w:rPr>
        <w:t>控制项</w:t>
      </w:r>
      <w:bookmarkEnd w:id="120"/>
      <w:bookmarkEnd w:id="121"/>
      <w:bookmarkEnd w:id="122"/>
    </w:p>
    <w:p w14:paraId="478D7AA9">
      <w:pPr>
        <w:spacing w:line="360" w:lineRule="auto"/>
        <w:rPr>
          <w:rFonts w:ascii="宋体" w:hAnsi="宋体" w:cs="宋体"/>
          <w:sz w:val="24"/>
          <w:szCs w:val="24"/>
        </w:rPr>
      </w:pPr>
      <w:r>
        <w:rPr>
          <w:rFonts w:hint="default" w:ascii="Times New Roman" w:hAnsi="Times New Roman" w:eastAsia="黑体" w:cs="Times New Roman"/>
          <w:b/>
          <w:bCs/>
          <w:sz w:val="24"/>
          <w:szCs w:val="24"/>
        </w:rPr>
        <w:t>5.1.1</w:t>
      </w:r>
      <w:r>
        <w:rPr>
          <w:rFonts w:hint="eastAsia"/>
          <w:sz w:val="24"/>
          <w:szCs w:val="24"/>
        </w:rPr>
        <w:t>　应对既有工业建筑民用化低碳改造厂房用途、结构形式、空间形态、建筑层数、生产状态等方面进行分析，合理利用场地空间，实现土地集约、高效使用。</w:t>
      </w:r>
    </w:p>
    <w:p w14:paraId="17A00425">
      <w:pPr>
        <w:spacing w:line="360" w:lineRule="auto"/>
        <w:rPr>
          <w:rFonts w:ascii="宋体" w:hAnsi="宋体" w:cs="宋体"/>
          <w:sz w:val="24"/>
          <w:szCs w:val="24"/>
        </w:rPr>
      </w:pPr>
      <w:r>
        <w:rPr>
          <w:rFonts w:hint="default" w:ascii="Times New Roman" w:hAnsi="Times New Roman" w:eastAsia="黑体" w:cs="Times New Roman"/>
          <w:b/>
          <w:bCs/>
          <w:sz w:val="24"/>
          <w:szCs w:val="24"/>
        </w:rPr>
        <w:t>5.1.2</w:t>
      </w:r>
      <w:r>
        <w:rPr>
          <w:rFonts w:hint="eastAsia"/>
          <w:sz w:val="24"/>
          <w:szCs w:val="24"/>
        </w:rPr>
        <w:t>　建筑空间布局应根据室内采光、气流组织分析结果进行优化。</w:t>
      </w:r>
    </w:p>
    <w:p w14:paraId="5D45BCC1">
      <w:pPr>
        <w:spacing w:line="360" w:lineRule="auto"/>
        <w:rPr>
          <w:sz w:val="24"/>
          <w:szCs w:val="24"/>
        </w:rPr>
      </w:pPr>
      <w:r>
        <w:rPr>
          <w:rFonts w:ascii="Times New Roman" w:eastAsia="黑体"/>
          <w:b/>
          <w:bCs/>
          <w:sz w:val="24"/>
          <w:szCs w:val="24"/>
        </w:rPr>
        <w:t>5.1.3</w:t>
      </w:r>
      <w:r>
        <w:rPr>
          <w:rFonts w:hint="eastAsia"/>
          <w:sz w:val="24"/>
          <w:szCs w:val="24"/>
        </w:rPr>
        <w:t>　既有工业建筑中生产配套空间应保留并改造再利用。</w:t>
      </w:r>
    </w:p>
    <w:p w14:paraId="6F82BA62">
      <w:pPr>
        <w:spacing w:line="360" w:lineRule="auto"/>
        <w:rPr>
          <w:sz w:val="24"/>
          <w:szCs w:val="24"/>
        </w:rPr>
      </w:pPr>
      <w:r>
        <w:rPr>
          <w:rFonts w:ascii="Times New Roman" w:eastAsia="黑体"/>
          <w:b/>
          <w:bCs/>
          <w:sz w:val="24"/>
          <w:szCs w:val="24"/>
        </w:rPr>
        <w:t>5.1.</w:t>
      </w:r>
      <w:r>
        <w:rPr>
          <w:rFonts w:hint="default" w:ascii="Times New Roman" w:eastAsia="黑体"/>
          <w:b/>
          <w:bCs/>
          <w:sz w:val="24"/>
          <w:szCs w:val="24"/>
        </w:rPr>
        <w:t>4</w:t>
      </w:r>
      <w:r>
        <w:rPr>
          <w:rFonts w:hint="eastAsia"/>
          <w:sz w:val="24"/>
          <w:szCs w:val="24"/>
        </w:rPr>
        <w:t>　围护结构改造应符合现行行业标准《公共建筑节能改造技术规范》JGJ</w:t>
      </w:r>
      <w:r>
        <w:rPr>
          <w:sz w:val="24"/>
          <w:szCs w:val="24"/>
        </w:rPr>
        <w:t xml:space="preserve"> </w:t>
      </w:r>
      <w:r>
        <w:rPr>
          <w:rFonts w:hint="eastAsia"/>
          <w:sz w:val="24"/>
          <w:szCs w:val="24"/>
        </w:rPr>
        <w:t>176的有关规定。</w:t>
      </w:r>
    </w:p>
    <w:p w14:paraId="0CE5B46F">
      <w:pPr>
        <w:spacing w:line="360" w:lineRule="auto"/>
        <w:rPr>
          <w:sz w:val="24"/>
          <w:szCs w:val="24"/>
        </w:rPr>
      </w:pPr>
      <w:r>
        <w:rPr>
          <w:rFonts w:ascii="Times New Roman" w:eastAsia="黑体"/>
          <w:b/>
          <w:bCs/>
          <w:sz w:val="24"/>
          <w:szCs w:val="24"/>
        </w:rPr>
        <w:t>5.1.</w:t>
      </w:r>
      <w:r>
        <w:rPr>
          <w:rFonts w:hint="default" w:ascii="Times New Roman" w:eastAsia="黑体"/>
          <w:b/>
          <w:bCs/>
          <w:sz w:val="24"/>
          <w:szCs w:val="24"/>
        </w:rPr>
        <w:t>5</w:t>
      </w:r>
      <w:r>
        <w:rPr>
          <w:rFonts w:hint="eastAsia"/>
          <w:sz w:val="24"/>
          <w:szCs w:val="24"/>
        </w:rPr>
        <w:t>　新增玻璃幕墙和外窗安全、节能、气密性、水密性、抗风压性能应符合现行行业标准《塑料门窗工程技术规程》JGJ 103、《铝合金门窗工程技术规范》JGJ 214等的有关要求。</w:t>
      </w:r>
    </w:p>
    <w:p w14:paraId="018712CE">
      <w:pPr>
        <w:tabs>
          <w:tab w:val="left" w:pos="0"/>
        </w:tabs>
        <w:spacing w:before="0" w:beforeLines="0" w:after="0" w:afterLines="0" w:line="360" w:lineRule="auto"/>
        <w:jc w:val="center"/>
        <w:outlineLvl w:val="1"/>
        <w:rPr>
          <w:rFonts w:ascii="黑体" w:hAnsi="黑体" w:eastAsia="黑体" w:cs="黑体"/>
          <w:b/>
          <w:bCs/>
          <w:sz w:val="28"/>
          <w:szCs w:val="28"/>
        </w:rPr>
      </w:pPr>
      <w:bookmarkStart w:id="123" w:name="_Toc3360"/>
      <w:bookmarkStart w:id="124" w:name="_Toc9858"/>
      <w:bookmarkStart w:id="125" w:name="_Toc7961"/>
      <w:r>
        <w:rPr>
          <w:rFonts w:hint="default" w:ascii="Times New Roman" w:hAnsi="Times New Roman" w:eastAsia="黑体" w:cs="Times New Roman"/>
          <w:b/>
          <w:bCs/>
          <w:sz w:val="28"/>
          <w:szCs w:val="28"/>
        </w:rPr>
        <w:t>5.2</w:t>
      </w:r>
      <w:r>
        <w:rPr>
          <w:rFonts w:hint="eastAsia" w:ascii="黑体" w:hAnsi="黑体" w:eastAsia="黑体" w:cs="黑体"/>
          <w:b/>
          <w:bCs/>
          <w:sz w:val="28"/>
          <w:szCs w:val="28"/>
        </w:rPr>
        <w:t>评分项</w:t>
      </w:r>
      <w:bookmarkEnd w:id="123"/>
      <w:bookmarkEnd w:id="124"/>
      <w:bookmarkEnd w:id="125"/>
    </w:p>
    <w:p w14:paraId="1820CEA1">
      <w:pPr>
        <w:pStyle w:val="28"/>
        <w:spacing w:before="0" w:beforeLines="0" w:after="0" w:afterLines="0" w:line="360" w:lineRule="auto"/>
        <w:ind w:firstLine="0" w:firstLineChars="0"/>
        <w:jc w:val="center"/>
        <w:outlineLvl w:val="2"/>
        <w:rPr>
          <w:rFonts w:hint="eastAsia" w:eastAsia="宋体" w:cs="Times New Roman"/>
          <w:b/>
          <w:bCs/>
          <w:sz w:val="28"/>
          <w:szCs w:val="28"/>
          <w:lang w:eastAsia="zh-CN"/>
        </w:rPr>
      </w:pPr>
      <w:r>
        <w:rPr>
          <w:rFonts w:hint="default" w:ascii="Times New Roman" w:hAnsi="Times New Roman" w:eastAsia="仿宋" w:cs="Times New Roman"/>
          <w:b/>
          <w:bCs/>
          <w:sz w:val="28"/>
          <w:szCs w:val="28"/>
        </w:rPr>
        <w:t>Ⅰ</w:t>
      </w:r>
      <w:r>
        <w:rPr>
          <w:rFonts w:hint="eastAsia" w:cs="Times New Roman"/>
          <w:b/>
          <w:bCs/>
          <w:sz w:val="28"/>
          <w:szCs w:val="28"/>
        </w:rPr>
        <w:t xml:space="preserve"> </w:t>
      </w:r>
      <w:r>
        <w:rPr>
          <w:rFonts w:hint="eastAsia" w:ascii="仿宋" w:hAnsi="仿宋" w:eastAsia="仿宋" w:cs="仿宋"/>
          <w:b/>
          <w:bCs/>
          <w:sz w:val="28"/>
          <w:szCs w:val="28"/>
        </w:rPr>
        <w:t>建筑与构件</w:t>
      </w:r>
    </w:p>
    <w:p w14:paraId="5AC2ABCF">
      <w:pPr>
        <w:spacing w:line="360" w:lineRule="auto"/>
        <w:rPr>
          <w:sz w:val="24"/>
          <w:szCs w:val="24"/>
        </w:rPr>
      </w:pPr>
      <w:r>
        <w:rPr>
          <w:rFonts w:ascii="Times New Roman" w:eastAsia="黑体"/>
          <w:b/>
          <w:bCs/>
          <w:sz w:val="24"/>
          <w:szCs w:val="24"/>
        </w:rPr>
        <w:t>5.2.1</w:t>
      </w:r>
      <w:r>
        <w:rPr>
          <w:rFonts w:hint="eastAsia"/>
          <w:sz w:val="24"/>
          <w:szCs w:val="24"/>
        </w:rPr>
        <w:t>　【自然采光】既有工业建筑民用化低碳改造充分利用原有天窗、侧窗、天井等优化室内采光，评价总分值为15分，并按下列规则分别评分并累计：</w:t>
      </w:r>
    </w:p>
    <w:p w14:paraId="106AB095">
      <w:pPr>
        <w:spacing w:line="360" w:lineRule="auto"/>
        <w:ind w:firstLine="482" w:firstLineChars="200"/>
        <w:rPr>
          <w:sz w:val="24"/>
          <w:szCs w:val="24"/>
        </w:rPr>
      </w:pPr>
      <w:r>
        <w:rPr>
          <w:rFonts w:ascii="Times New Roman" w:eastAsia="黑体"/>
          <w:b/>
          <w:bCs/>
          <w:sz w:val="24"/>
          <w:szCs w:val="24"/>
        </w:rPr>
        <w:t>1</w:t>
      </w:r>
      <w:r>
        <w:rPr>
          <w:rFonts w:hint="eastAsia"/>
          <w:sz w:val="24"/>
          <w:szCs w:val="24"/>
        </w:rPr>
        <w:t>　利用原天窗、侧窗、天井等优化室内采光，采光系数满足要求的面积比例达到</w:t>
      </w:r>
      <w:r>
        <w:rPr>
          <w:sz w:val="24"/>
          <w:szCs w:val="24"/>
        </w:rPr>
        <w:t>60%</w:t>
      </w:r>
      <w:r>
        <w:rPr>
          <w:rFonts w:hint="eastAsia"/>
          <w:sz w:val="24"/>
          <w:szCs w:val="24"/>
        </w:rPr>
        <w:t>，得5分；</w:t>
      </w:r>
    </w:p>
    <w:p w14:paraId="39C9AF70">
      <w:pPr>
        <w:spacing w:line="360" w:lineRule="auto"/>
        <w:ind w:firstLine="482" w:firstLineChars="200"/>
        <w:rPr>
          <w:sz w:val="24"/>
          <w:szCs w:val="24"/>
        </w:rPr>
      </w:pPr>
      <w:r>
        <w:rPr>
          <w:rFonts w:ascii="Times New Roman" w:eastAsia="黑体"/>
          <w:b/>
          <w:bCs/>
          <w:sz w:val="24"/>
          <w:szCs w:val="24"/>
        </w:rPr>
        <w:t>2</w:t>
      </w:r>
      <w:r>
        <w:rPr>
          <w:rFonts w:hint="eastAsia"/>
          <w:sz w:val="24"/>
          <w:szCs w:val="24"/>
        </w:rPr>
        <w:t xml:space="preserve">  天窗、侧窗设置自动遮阳装置，得5分；</w:t>
      </w:r>
    </w:p>
    <w:p w14:paraId="014E481B">
      <w:pPr>
        <w:spacing w:line="360" w:lineRule="auto"/>
        <w:ind w:firstLine="482" w:firstLineChars="200"/>
        <w:rPr>
          <w:sz w:val="24"/>
          <w:szCs w:val="24"/>
        </w:rPr>
      </w:pPr>
      <w:r>
        <w:rPr>
          <w:rFonts w:ascii="Times New Roman" w:eastAsia="黑体"/>
          <w:b/>
          <w:bCs/>
          <w:sz w:val="24"/>
          <w:szCs w:val="24"/>
        </w:rPr>
        <w:t>3</w:t>
      </w:r>
      <w:r>
        <w:rPr>
          <w:rFonts w:hint="eastAsia"/>
          <w:sz w:val="24"/>
          <w:szCs w:val="24"/>
        </w:rPr>
        <w:t xml:space="preserve">  主要功能房间设置眩光控制措施，得5分；</w:t>
      </w:r>
    </w:p>
    <w:p w14:paraId="404335AC">
      <w:pPr>
        <w:spacing w:line="360" w:lineRule="auto"/>
        <w:rPr>
          <w:sz w:val="24"/>
          <w:szCs w:val="24"/>
        </w:rPr>
      </w:pPr>
      <w:r>
        <w:rPr>
          <w:rFonts w:ascii="Times New Roman" w:eastAsia="黑体"/>
          <w:b/>
          <w:bCs/>
          <w:sz w:val="24"/>
          <w:szCs w:val="24"/>
        </w:rPr>
        <w:t>5.2.</w:t>
      </w:r>
      <w:r>
        <w:rPr>
          <w:rFonts w:hint="default" w:ascii="Times New Roman" w:eastAsia="黑体"/>
          <w:b/>
          <w:bCs/>
          <w:sz w:val="24"/>
          <w:szCs w:val="24"/>
        </w:rPr>
        <w:t>2</w:t>
      </w:r>
      <w:r>
        <w:rPr>
          <w:rFonts w:hint="eastAsia"/>
          <w:sz w:val="24"/>
          <w:szCs w:val="24"/>
        </w:rPr>
        <w:t>　既有工业建筑根据改造后使用功能需求，合理提高自然通风效果，评价总分值为10分，并按下列规则分别评分并累计：</w:t>
      </w:r>
    </w:p>
    <w:p w14:paraId="467B3C4E">
      <w:pPr>
        <w:spacing w:line="360" w:lineRule="auto"/>
        <w:ind w:firstLine="482" w:firstLineChars="200"/>
        <w:rPr>
          <w:sz w:val="24"/>
          <w:szCs w:val="24"/>
        </w:rPr>
      </w:pPr>
      <w:r>
        <w:rPr>
          <w:rFonts w:ascii="Times New Roman" w:eastAsia="黑体"/>
          <w:b/>
          <w:bCs/>
          <w:sz w:val="24"/>
          <w:szCs w:val="24"/>
        </w:rPr>
        <w:t>1</w:t>
      </w:r>
      <w:r>
        <w:rPr>
          <w:rFonts w:hint="eastAsia"/>
          <w:sz w:val="24"/>
          <w:szCs w:val="24"/>
        </w:rPr>
        <w:t xml:space="preserve">  采用拔风井、导风墙等措施，得5分；</w:t>
      </w:r>
    </w:p>
    <w:p w14:paraId="1A85495D">
      <w:pPr>
        <w:spacing w:line="360" w:lineRule="auto"/>
        <w:ind w:firstLine="482" w:firstLineChars="200"/>
        <w:rPr>
          <w:sz w:val="24"/>
          <w:szCs w:val="24"/>
        </w:rPr>
      </w:pPr>
      <w:r>
        <w:rPr>
          <w:rFonts w:ascii="Times New Roman" w:eastAsia="黑体"/>
          <w:b/>
          <w:bCs/>
          <w:sz w:val="24"/>
          <w:szCs w:val="24"/>
        </w:rPr>
        <w:t>2</w:t>
      </w:r>
      <w:r>
        <w:rPr>
          <w:rFonts w:ascii="黑体" w:eastAsia="黑体"/>
          <w:b/>
          <w:bCs/>
          <w:sz w:val="24"/>
          <w:szCs w:val="24"/>
        </w:rPr>
        <w:t xml:space="preserve">  </w:t>
      </w:r>
      <w:r>
        <w:rPr>
          <w:rFonts w:hint="eastAsia"/>
          <w:sz w:val="24"/>
          <w:szCs w:val="24"/>
        </w:rPr>
        <w:t>设置天窗、内庭院、天井、中庭等措施，得5分。</w:t>
      </w:r>
    </w:p>
    <w:p w14:paraId="6AC56ACF">
      <w:pPr>
        <w:spacing w:line="360" w:lineRule="auto"/>
        <w:rPr>
          <w:sz w:val="24"/>
          <w:szCs w:val="24"/>
        </w:rPr>
      </w:pPr>
      <w:r>
        <w:rPr>
          <w:rFonts w:hint="default" w:ascii="Times New Roman" w:hAnsi="Times New Roman" w:eastAsia="黑体" w:cs="Times New Roman"/>
          <w:b/>
          <w:bCs/>
          <w:sz w:val="24"/>
          <w:szCs w:val="24"/>
        </w:rPr>
        <w:t>5.2.3</w:t>
      </w:r>
      <w:r>
        <w:rPr>
          <w:rFonts w:hint="eastAsia"/>
          <w:sz w:val="24"/>
          <w:szCs w:val="24"/>
        </w:rPr>
        <w:t>　【多维绿化】结合所在区域的气候特点，建筑采取多维度的绿化方式，评价总分值为12分，并按下列规则分别评分并累计：</w:t>
      </w:r>
    </w:p>
    <w:p w14:paraId="2CE3A1E2">
      <w:pPr>
        <w:spacing w:line="360" w:lineRule="auto"/>
        <w:ind w:firstLine="482" w:firstLineChars="200"/>
        <w:rPr>
          <w:sz w:val="24"/>
          <w:szCs w:val="24"/>
        </w:rPr>
      </w:pPr>
      <w:r>
        <w:rPr>
          <w:rFonts w:ascii="Times New Roman" w:eastAsia="黑体"/>
          <w:b/>
          <w:bCs/>
          <w:sz w:val="24"/>
          <w:szCs w:val="24"/>
        </w:rPr>
        <w:t>1</w:t>
      </w:r>
      <w:r>
        <w:rPr>
          <w:rFonts w:hint="eastAsia" w:ascii="黑体" w:eastAsia="黑体"/>
          <w:b/>
          <w:bCs/>
          <w:sz w:val="24"/>
          <w:szCs w:val="24"/>
        </w:rPr>
        <w:t xml:space="preserve"> </w:t>
      </w:r>
      <w:r>
        <w:rPr>
          <w:rFonts w:hint="eastAsia" w:ascii="黑体" w:eastAsia="黑体"/>
          <w:b/>
          <w:bCs/>
          <w:sz w:val="24"/>
          <w:szCs w:val="24"/>
          <w:lang w:val="en-US" w:eastAsia="zh-CN"/>
        </w:rPr>
        <w:t xml:space="preserve"> </w:t>
      </w:r>
      <w:r>
        <w:rPr>
          <w:rFonts w:hint="eastAsia"/>
          <w:sz w:val="24"/>
          <w:szCs w:val="24"/>
        </w:rPr>
        <w:t>建筑屋顶、建筑平台等设置屋顶绿化，且面积不小于屋顶可用面积的30%，得5分；</w:t>
      </w:r>
    </w:p>
    <w:p w14:paraId="5E86EBAF">
      <w:pPr>
        <w:spacing w:line="360" w:lineRule="auto"/>
        <w:ind w:firstLine="482" w:firstLineChars="200"/>
        <w:rPr>
          <w:sz w:val="24"/>
          <w:szCs w:val="24"/>
        </w:rPr>
      </w:pPr>
      <w:r>
        <w:rPr>
          <w:rFonts w:ascii="Times New Roman" w:eastAsia="黑体"/>
          <w:b/>
          <w:bCs/>
          <w:sz w:val="24"/>
          <w:szCs w:val="24"/>
        </w:rPr>
        <w:t>2</w:t>
      </w:r>
      <w:r>
        <w:rPr>
          <w:rFonts w:hint="eastAsia" w:eastAsia="黑体"/>
          <w:b/>
          <w:bCs/>
          <w:sz w:val="24"/>
          <w:szCs w:val="24"/>
          <w:lang w:val="en-US" w:eastAsia="zh-CN"/>
        </w:rPr>
        <w:t xml:space="preserve"> </w:t>
      </w:r>
      <w:r>
        <w:rPr>
          <w:rFonts w:hint="eastAsia"/>
          <w:sz w:val="24"/>
          <w:szCs w:val="24"/>
        </w:rPr>
        <w:t xml:space="preserve"> 建筑山墙、侧壁空间设置墙面绿化，得</w:t>
      </w:r>
      <w:r>
        <w:rPr>
          <w:rFonts w:hint="eastAsia"/>
          <w:color w:val="auto"/>
          <w:sz w:val="24"/>
          <w:szCs w:val="24"/>
          <w:lang w:val="en-US" w:eastAsia="zh-CN"/>
        </w:rPr>
        <w:t>5</w:t>
      </w:r>
      <w:r>
        <w:rPr>
          <w:rFonts w:hint="eastAsia"/>
          <w:sz w:val="24"/>
          <w:szCs w:val="24"/>
        </w:rPr>
        <w:t>分；</w:t>
      </w:r>
    </w:p>
    <w:p w14:paraId="2F749104">
      <w:pPr>
        <w:spacing w:line="360" w:lineRule="auto"/>
        <w:ind w:firstLine="482" w:firstLineChars="200"/>
        <w:rPr>
          <w:sz w:val="24"/>
          <w:szCs w:val="24"/>
          <w:highlight w:val="yellow"/>
        </w:rPr>
      </w:pPr>
      <w:r>
        <w:rPr>
          <w:rFonts w:hint="default" w:ascii="Times New Roman" w:eastAsia="黑体"/>
          <w:b/>
          <w:bCs/>
          <w:sz w:val="24"/>
          <w:szCs w:val="24"/>
        </w:rPr>
        <w:t>3</w:t>
      </w:r>
      <w:r>
        <w:rPr>
          <w:rFonts w:hint="eastAsia" w:eastAsia="黑体"/>
          <w:b/>
          <w:bCs/>
          <w:sz w:val="24"/>
          <w:szCs w:val="24"/>
          <w:lang w:val="en-US" w:eastAsia="zh-CN"/>
        </w:rPr>
        <w:t xml:space="preserve"> </w:t>
      </w:r>
      <w:r>
        <w:rPr>
          <w:rFonts w:hint="eastAsia"/>
          <w:sz w:val="24"/>
          <w:szCs w:val="24"/>
        </w:rPr>
        <w:t xml:space="preserve"> 建筑出入口、下沉庭院等具有高差变化的区域，结合室外台阶设置景观花池等提高绿地率的措施，得2分。</w:t>
      </w:r>
    </w:p>
    <w:p w14:paraId="1FBA647A">
      <w:pPr>
        <w:spacing w:line="360" w:lineRule="auto"/>
        <w:rPr>
          <w:kern w:val="0"/>
          <w:sz w:val="24"/>
          <w:szCs w:val="24"/>
        </w:rPr>
      </w:pPr>
      <w:r>
        <w:rPr>
          <w:rFonts w:ascii="Times New Roman" w:eastAsia="黑体"/>
          <w:b/>
          <w:bCs/>
          <w:sz w:val="24"/>
          <w:szCs w:val="24"/>
        </w:rPr>
        <w:t>5.2.</w:t>
      </w:r>
      <w:r>
        <w:rPr>
          <w:rFonts w:hint="default" w:ascii="Times New Roman" w:eastAsia="黑体"/>
          <w:b/>
          <w:bCs/>
          <w:sz w:val="24"/>
          <w:szCs w:val="24"/>
        </w:rPr>
        <w:t>4</w:t>
      </w:r>
      <w:r>
        <w:rPr>
          <w:rFonts w:hint="eastAsia"/>
          <w:sz w:val="24"/>
          <w:szCs w:val="24"/>
        </w:rPr>
        <w:t>　【设施利用】</w:t>
      </w:r>
      <w:r>
        <w:rPr>
          <w:rFonts w:hint="eastAsia"/>
          <w:sz w:val="24"/>
          <w:szCs w:val="24"/>
          <w:lang w:val="en-US" w:eastAsia="zh-CN"/>
        </w:rPr>
        <w:t>对</w:t>
      </w:r>
      <w:r>
        <w:rPr>
          <w:rFonts w:hint="eastAsia"/>
          <w:sz w:val="24"/>
          <w:szCs w:val="24"/>
        </w:rPr>
        <w:t>既有工业建筑遗留的管线、管沟、管井，进行充分利用并继续承担原有或其他功能，</w:t>
      </w:r>
      <w:r>
        <w:rPr>
          <w:rFonts w:hint="eastAsia"/>
          <w:kern w:val="0"/>
          <w:sz w:val="24"/>
          <w:szCs w:val="24"/>
        </w:rPr>
        <w:t>评价总分值为10分，按下列规则评分：</w:t>
      </w:r>
      <w:r>
        <w:rPr>
          <w:kern w:val="0"/>
          <w:sz w:val="24"/>
          <w:szCs w:val="24"/>
        </w:rPr>
        <w:t xml:space="preserve"> </w:t>
      </w:r>
    </w:p>
    <w:p w14:paraId="57CEB1A5">
      <w:pPr>
        <w:spacing w:line="360" w:lineRule="auto"/>
        <w:ind w:firstLine="482" w:firstLineChars="200"/>
        <w:rPr>
          <w:sz w:val="24"/>
          <w:szCs w:val="24"/>
        </w:rPr>
      </w:pPr>
      <w:r>
        <w:rPr>
          <w:rFonts w:ascii="Times New Roman" w:eastAsia="黑体"/>
          <w:b/>
          <w:bCs/>
          <w:sz w:val="24"/>
          <w:szCs w:val="24"/>
        </w:rPr>
        <w:t>1</w:t>
      </w:r>
      <w:r>
        <w:rPr>
          <w:rFonts w:hint="eastAsia"/>
          <w:sz w:val="24"/>
          <w:szCs w:val="24"/>
        </w:rPr>
        <w:t>　再利用比例占原有总量的30%及以上，得4分；</w:t>
      </w:r>
    </w:p>
    <w:p w14:paraId="0D352FA1">
      <w:pPr>
        <w:spacing w:line="360" w:lineRule="auto"/>
        <w:ind w:firstLine="482" w:firstLineChars="200"/>
        <w:rPr>
          <w:sz w:val="24"/>
          <w:szCs w:val="24"/>
        </w:rPr>
      </w:pPr>
      <w:r>
        <w:rPr>
          <w:rFonts w:ascii="Times New Roman" w:eastAsia="黑体"/>
          <w:b/>
          <w:bCs/>
          <w:sz w:val="24"/>
          <w:szCs w:val="24"/>
        </w:rPr>
        <w:t>2</w:t>
      </w:r>
      <w:r>
        <w:rPr>
          <w:rFonts w:hint="eastAsia"/>
          <w:sz w:val="24"/>
          <w:szCs w:val="24"/>
        </w:rPr>
        <w:t>　再利用比例占原有总量的50%及以上，得6分；</w:t>
      </w:r>
    </w:p>
    <w:p w14:paraId="417B8C45">
      <w:pPr>
        <w:spacing w:line="360" w:lineRule="auto"/>
        <w:ind w:firstLine="482" w:firstLineChars="200"/>
        <w:rPr>
          <w:sz w:val="24"/>
          <w:szCs w:val="24"/>
        </w:rPr>
      </w:pPr>
      <w:r>
        <w:rPr>
          <w:rFonts w:ascii="Times New Roman" w:eastAsia="黑体"/>
          <w:b/>
          <w:bCs/>
          <w:sz w:val="24"/>
          <w:szCs w:val="24"/>
        </w:rPr>
        <w:t>3</w:t>
      </w:r>
      <w:r>
        <w:rPr>
          <w:rFonts w:hint="eastAsia"/>
          <w:sz w:val="24"/>
          <w:szCs w:val="24"/>
        </w:rPr>
        <w:t>　再利用比例占原有总量的70%及以上，得10分。</w:t>
      </w:r>
    </w:p>
    <w:p w14:paraId="1BD39FF9">
      <w:pPr>
        <w:pStyle w:val="28"/>
        <w:tabs>
          <w:tab w:val="left" w:pos="0"/>
        </w:tabs>
        <w:spacing w:line="360" w:lineRule="auto"/>
        <w:ind w:firstLine="0" w:firstLineChars="0"/>
        <w:rPr>
          <w:szCs w:val="24"/>
        </w:rPr>
      </w:pPr>
      <w:r>
        <w:rPr>
          <w:rFonts w:ascii="Times New Roman" w:eastAsia="黑体" w:cs="Times New Roman"/>
          <w:b/>
          <w:bCs/>
          <w:szCs w:val="24"/>
        </w:rPr>
        <w:t>5.2.</w:t>
      </w:r>
      <w:r>
        <w:rPr>
          <w:rFonts w:hint="default" w:ascii="Times New Roman" w:eastAsia="黑体" w:cs="Times New Roman"/>
          <w:b/>
          <w:bCs/>
          <w:szCs w:val="24"/>
        </w:rPr>
        <w:t>5</w:t>
      </w:r>
      <w:r>
        <w:rPr>
          <w:rFonts w:hint="eastAsia"/>
          <w:sz w:val="24"/>
          <w:szCs w:val="24"/>
        </w:rPr>
        <w:t>　</w:t>
      </w:r>
      <w:r>
        <w:rPr>
          <w:rFonts w:hint="eastAsia" w:ascii="宋体" w:hAnsi="宋体" w:eastAsia="宋体" w:cs="宋体"/>
          <w:b/>
          <w:bCs/>
          <w:szCs w:val="24"/>
        </w:rPr>
        <w:t>【</w:t>
      </w:r>
      <w:r>
        <w:rPr>
          <w:rFonts w:hint="eastAsia" w:ascii="宋体" w:hAnsi="宋体" w:eastAsia="宋体" w:cs="宋体"/>
          <w:b w:val="0"/>
          <w:bCs w:val="0"/>
          <w:szCs w:val="24"/>
        </w:rPr>
        <w:t>减少高大空间</w:t>
      </w:r>
      <w:r>
        <w:rPr>
          <w:rFonts w:hint="eastAsia" w:ascii="宋体" w:hAnsi="宋体" w:eastAsia="宋体" w:cs="宋体"/>
          <w:b/>
          <w:bCs/>
          <w:szCs w:val="24"/>
        </w:rPr>
        <w:t>】</w:t>
      </w:r>
      <w:r>
        <w:rPr>
          <w:rFonts w:hint="eastAsia" w:ascii="宋体" w:hAnsi="宋体" w:cs="宋体"/>
          <w:szCs w:val="24"/>
        </w:rPr>
        <w:t>减少原有高大空间的面积数量。评价总分值为10分，按下列规则评分：</w:t>
      </w:r>
      <w:r>
        <w:rPr>
          <w:rFonts w:hint="eastAsia"/>
          <w:szCs w:val="24"/>
        </w:rPr>
        <w:t xml:space="preserve"> </w:t>
      </w:r>
    </w:p>
    <w:p w14:paraId="26166069">
      <w:pPr>
        <w:pStyle w:val="28"/>
        <w:tabs>
          <w:tab w:val="left" w:pos="0"/>
        </w:tabs>
        <w:spacing w:line="360" w:lineRule="auto"/>
        <w:ind w:firstLine="480"/>
        <w:rPr>
          <w:szCs w:val="24"/>
        </w:rPr>
      </w:pPr>
      <w:r>
        <w:rPr>
          <w:rFonts w:hint="default" w:cs="Times New Roman"/>
          <w:b/>
          <w:bCs/>
          <w:szCs w:val="24"/>
        </w:rPr>
        <w:t>1</w:t>
      </w:r>
      <w:r>
        <w:rPr>
          <w:rFonts w:hint="eastAsia"/>
          <w:szCs w:val="24"/>
        </w:rPr>
        <w:t>　原有高大空间的面积数量减少10%及以上，得5分；</w:t>
      </w:r>
    </w:p>
    <w:p w14:paraId="3FDD1E5A">
      <w:pPr>
        <w:pStyle w:val="28"/>
        <w:tabs>
          <w:tab w:val="left" w:pos="0"/>
        </w:tabs>
        <w:spacing w:line="360" w:lineRule="auto"/>
        <w:ind w:firstLine="480"/>
        <w:rPr>
          <w:szCs w:val="24"/>
        </w:rPr>
      </w:pPr>
      <w:r>
        <w:rPr>
          <w:rFonts w:hint="default" w:cs="Times New Roman"/>
          <w:b/>
          <w:bCs/>
          <w:szCs w:val="24"/>
        </w:rPr>
        <w:t>2</w:t>
      </w:r>
      <w:r>
        <w:rPr>
          <w:rFonts w:hint="eastAsia"/>
          <w:szCs w:val="24"/>
        </w:rPr>
        <w:t xml:space="preserve">　原有高大空间的面积数量减少20%及以上，得10分。 </w:t>
      </w:r>
    </w:p>
    <w:p w14:paraId="1CCB465B">
      <w:pPr>
        <w:pStyle w:val="28"/>
        <w:tabs>
          <w:tab w:val="left" w:pos="0"/>
        </w:tabs>
        <w:spacing w:line="360" w:lineRule="auto"/>
        <w:ind w:firstLine="0" w:firstLineChars="0"/>
        <w:rPr>
          <w:szCs w:val="24"/>
        </w:rPr>
      </w:pPr>
      <w:r>
        <w:rPr>
          <w:rFonts w:ascii="Times New Roman" w:eastAsia="黑体" w:cs="Times New Roman"/>
          <w:b/>
          <w:bCs/>
          <w:szCs w:val="24"/>
        </w:rPr>
        <w:t>5.2.</w:t>
      </w:r>
      <w:r>
        <w:rPr>
          <w:rFonts w:hint="default" w:ascii="Times New Roman" w:eastAsia="黑体" w:cs="Times New Roman"/>
          <w:b/>
          <w:bCs/>
          <w:szCs w:val="24"/>
        </w:rPr>
        <w:t>6</w:t>
      </w:r>
      <w:r>
        <w:rPr>
          <w:rFonts w:ascii="黑体" w:eastAsia="黑体"/>
          <w:b/>
          <w:bCs/>
          <w:szCs w:val="24"/>
        </w:rPr>
        <w:t>【</w:t>
      </w:r>
      <w:r>
        <w:rPr>
          <w:szCs w:val="24"/>
        </w:rPr>
        <w:t>装配化装修</w:t>
      </w:r>
      <w:r>
        <w:rPr>
          <w:rFonts w:ascii="黑体" w:eastAsia="黑体"/>
          <w:b/>
          <w:bCs/>
          <w:szCs w:val="24"/>
        </w:rPr>
        <w:t>】</w:t>
      </w:r>
      <w:r>
        <w:rPr>
          <w:rFonts w:hint="eastAsia"/>
          <w:szCs w:val="24"/>
        </w:rPr>
        <w:t>　装修采用装配式集成设计，评</w:t>
      </w:r>
      <w:r>
        <w:rPr>
          <w:rFonts w:hint="eastAsia"/>
          <w:szCs w:val="24"/>
          <w:lang w:val="en-US" w:eastAsia="zh-CN"/>
        </w:rPr>
        <w:t>价</w:t>
      </w:r>
      <w:r>
        <w:rPr>
          <w:rFonts w:hint="eastAsia"/>
          <w:szCs w:val="24"/>
        </w:rPr>
        <w:t xml:space="preserve">总分值为10分，并按下列规则分别评分并累计： </w:t>
      </w:r>
    </w:p>
    <w:p w14:paraId="482D0370">
      <w:pPr>
        <w:pStyle w:val="28"/>
        <w:tabs>
          <w:tab w:val="left" w:pos="0"/>
        </w:tabs>
        <w:spacing w:line="360" w:lineRule="auto"/>
        <w:ind w:firstLine="482"/>
        <w:rPr>
          <w:szCs w:val="24"/>
        </w:rPr>
      </w:pPr>
      <w:r>
        <w:rPr>
          <w:rFonts w:cs="Times New Roman"/>
          <w:b/>
          <w:bCs/>
          <w:szCs w:val="24"/>
        </w:rPr>
        <w:t>1</w:t>
      </w:r>
      <w:r>
        <w:rPr>
          <w:szCs w:val="24"/>
        </w:rPr>
        <w:t xml:space="preserve">  </w:t>
      </w:r>
      <w:r>
        <w:rPr>
          <w:rFonts w:hint="eastAsia"/>
          <w:szCs w:val="24"/>
        </w:rPr>
        <w:t xml:space="preserve">部品与开关、插座、管线、设施设备等同步设计，明确室内开关插座、暖通系统、门窗尺寸及安装位置，得5分； </w:t>
      </w:r>
    </w:p>
    <w:p w14:paraId="435BEE44">
      <w:pPr>
        <w:pStyle w:val="28"/>
        <w:tabs>
          <w:tab w:val="left" w:pos="0"/>
        </w:tabs>
        <w:spacing w:line="360" w:lineRule="auto"/>
        <w:ind w:firstLine="482"/>
        <w:rPr>
          <w:szCs w:val="24"/>
        </w:rPr>
      </w:pPr>
      <w:r>
        <w:rPr>
          <w:rFonts w:cs="Times New Roman"/>
          <w:b/>
          <w:bCs/>
          <w:szCs w:val="24"/>
        </w:rPr>
        <w:t>2</w:t>
      </w:r>
      <w:r>
        <w:rPr>
          <w:szCs w:val="24"/>
        </w:rPr>
        <w:t xml:space="preserve">  </w:t>
      </w:r>
      <w:r>
        <w:rPr>
          <w:rFonts w:hint="eastAsia"/>
          <w:szCs w:val="24"/>
        </w:rPr>
        <w:t>架空地面高度结合管线排布进行综合设计，并提供管线综合布置图；当采用地面供暖系统、地送风系统时，在地面平面图中明确标识供暖系统、新风系统等的准确尺寸及安装位置；当采用地面辐射供暖、供冷系统时，选用模块式集成采暖部品。三项中满足</w:t>
      </w:r>
      <w:r>
        <w:rPr>
          <w:rFonts w:hint="eastAsia"/>
          <w:szCs w:val="24"/>
          <w:lang w:val="en-US" w:eastAsia="zh-CN"/>
        </w:rPr>
        <w:t>任</w:t>
      </w:r>
      <w:r>
        <w:rPr>
          <w:rFonts w:hint="eastAsia"/>
          <w:szCs w:val="24"/>
        </w:rPr>
        <w:t>一项，得5分。</w:t>
      </w:r>
    </w:p>
    <w:p w14:paraId="1B107B48">
      <w:pPr>
        <w:spacing w:line="360" w:lineRule="auto"/>
        <w:rPr>
          <w:rFonts w:cs="宋体"/>
          <w:sz w:val="24"/>
          <w:szCs w:val="24"/>
        </w:rPr>
      </w:pPr>
      <w:r>
        <w:rPr>
          <w:rFonts w:hint="default" w:ascii="Times New Roman" w:eastAsia="黑体"/>
          <w:b/>
          <w:bCs/>
          <w:sz w:val="24"/>
          <w:szCs w:val="24"/>
        </w:rPr>
        <w:t>5.2.7</w:t>
      </w:r>
      <w:r>
        <w:rPr>
          <w:rFonts w:hint="eastAsia"/>
          <w:sz w:val="24"/>
          <w:szCs w:val="24"/>
        </w:rPr>
        <w:t>　土建工程与装修工程一体化设计施工，评价总分值为8分，</w:t>
      </w:r>
      <w:r>
        <w:rPr>
          <w:rFonts w:hint="eastAsia"/>
          <w:sz w:val="24"/>
          <w:szCs w:val="24"/>
          <w:lang w:val="en-US" w:eastAsia="zh-CN"/>
        </w:rPr>
        <w:t>并</w:t>
      </w:r>
      <w:r>
        <w:rPr>
          <w:rFonts w:hint="eastAsia"/>
          <w:sz w:val="24"/>
          <w:szCs w:val="24"/>
        </w:rPr>
        <w:t>应按下列规则评分：</w:t>
      </w:r>
    </w:p>
    <w:p w14:paraId="164C65F1">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公共部位土建与装修一体化设计施工，得5分；</w:t>
      </w:r>
    </w:p>
    <w:p w14:paraId="391850D3">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所有部位土建与装修一体化设计施工，得8分。</w:t>
      </w:r>
    </w:p>
    <w:p w14:paraId="759C2936">
      <w:pPr>
        <w:spacing w:line="360" w:lineRule="auto"/>
        <w:rPr>
          <w:rFonts w:cs="宋体"/>
          <w:sz w:val="24"/>
          <w:szCs w:val="24"/>
        </w:rPr>
      </w:pPr>
      <w:r>
        <w:rPr>
          <w:rFonts w:hint="default" w:ascii="Times New Roman" w:eastAsia="黑体"/>
          <w:b/>
          <w:bCs/>
          <w:sz w:val="24"/>
          <w:szCs w:val="24"/>
        </w:rPr>
        <w:t>5.2.8</w:t>
      </w:r>
      <w:r>
        <w:rPr>
          <w:rFonts w:hint="eastAsia"/>
          <w:sz w:val="24"/>
          <w:szCs w:val="24"/>
        </w:rPr>
        <w:t>　</w:t>
      </w:r>
      <w:r>
        <w:rPr>
          <w:rFonts w:hint="eastAsia" w:cs="宋体"/>
          <w:sz w:val="24"/>
          <w:szCs w:val="24"/>
        </w:rPr>
        <w:t>隔墙采用非砌筑建造方式，评价总分值为12分，并按下列规则分别评分并累计：</w:t>
      </w:r>
    </w:p>
    <w:p w14:paraId="67672837">
      <w:pPr>
        <w:widowControl/>
        <w:spacing w:line="360" w:lineRule="auto"/>
        <w:ind w:firstLine="482" w:firstLineChars="200"/>
        <w:jc w:val="left"/>
        <w:rPr>
          <w:rFonts w:cs="宋体"/>
          <w:sz w:val="24"/>
          <w:szCs w:val="24"/>
        </w:rPr>
      </w:pPr>
      <w:r>
        <w:rPr>
          <w:rFonts w:ascii="Times New Roman" w:eastAsia="黑体"/>
          <w:b/>
          <w:bCs/>
          <w:sz w:val="24"/>
          <w:szCs w:val="24"/>
        </w:rPr>
        <w:t>1</w:t>
      </w:r>
      <w:r>
        <w:rPr>
          <w:rFonts w:hint="eastAsia" w:cs="宋体"/>
          <w:sz w:val="24"/>
          <w:szCs w:val="24"/>
        </w:rPr>
        <w:t>　围护墙，按下列规则分别评分并累计：</w:t>
      </w:r>
    </w:p>
    <w:p w14:paraId="53648AEF">
      <w:pPr>
        <w:spacing w:line="360" w:lineRule="auto"/>
        <w:ind w:firstLine="960" w:firstLineChars="400"/>
        <w:rPr>
          <w:rFonts w:cs="宋体"/>
          <w:sz w:val="24"/>
          <w:szCs w:val="24"/>
        </w:rPr>
      </w:pPr>
      <w:r>
        <w:rPr>
          <w:rFonts w:hint="default" w:eastAsia="黑体" w:asciiTheme="minorAscii" w:hAnsiTheme="minorAscii"/>
          <w:b w:val="0"/>
          <w:bCs w:val="0"/>
          <w:sz w:val="24"/>
          <w:szCs w:val="24"/>
        </w:rPr>
        <w:t>1）</w:t>
      </w:r>
      <w:r>
        <w:rPr>
          <w:rFonts w:hint="eastAsia" w:cs="宋体"/>
          <w:sz w:val="24"/>
          <w:szCs w:val="24"/>
        </w:rPr>
        <w:t>非砌筑围护墙占新增围护墙体比例达到80%，得3分；</w:t>
      </w:r>
    </w:p>
    <w:p w14:paraId="00EB4B15">
      <w:pPr>
        <w:spacing w:line="360" w:lineRule="auto"/>
        <w:ind w:firstLine="960" w:firstLineChars="400"/>
        <w:rPr>
          <w:rFonts w:cs="宋体"/>
          <w:sz w:val="24"/>
          <w:szCs w:val="24"/>
        </w:rPr>
      </w:pPr>
      <w:r>
        <w:rPr>
          <w:rFonts w:hint="default" w:eastAsia="黑体" w:asciiTheme="minorAscii" w:hAnsiTheme="minorAscii"/>
          <w:b w:val="0"/>
          <w:bCs w:val="0"/>
          <w:sz w:val="24"/>
          <w:szCs w:val="24"/>
        </w:rPr>
        <w:t>2）</w:t>
      </w:r>
      <w:r>
        <w:rPr>
          <w:rFonts w:hint="eastAsia" w:cs="宋体"/>
          <w:sz w:val="24"/>
          <w:szCs w:val="24"/>
        </w:rPr>
        <w:t>围护墙内表面装修一体化占新增围护墙体比例达到50%，得5分。</w:t>
      </w:r>
    </w:p>
    <w:p w14:paraId="367DF9B7">
      <w:pPr>
        <w:widowControl/>
        <w:spacing w:line="360" w:lineRule="auto"/>
        <w:ind w:firstLine="482" w:firstLineChars="200"/>
        <w:jc w:val="left"/>
        <w:rPr>
          <w:rFonts w:cs="宋体"/>
          <w:sz w:val="24"/>
          <w:szCs w:val="24"/>
        </w:rPr>
      </w:pPr>
      <w:r>
        <w:rPr>
          <w:rFonts w:ascii="Times New Roman" w:eastAsia="黑体"/>
          <w:b/>
          <w:bCs/>
          <w:sz w:val="24"/>
          <w:szCs w:val="24"/>
        </w:rPr>
        <w:t>2</w:t>
      </w:r>
      <w:r>
        <w:rPr>
          <w:rFonts w:hint="eastAsia" w:cs="宋体"/>
          <w:sz w:val="24"/>
          <w:szCs w:val="24"/>
        </w:rPr>
        <w:t>　内隔墙，按下列规则分别评分并累计：</w:t>
      </w:r>
    </w:p>
    <w:p w14:paraId="1ECFADCB">
      <w:pPr>
        <w:spacing w:line="360" w:lineRule="auto"/>
        <w:ind w:firstLine="960" w:firstLineChars="400"/>
        <w:rPr>
          <w:rFonts w:cs="宋体"/>
          <w:sz w:val="24"/>
          <w:szCs w:val="24"/>
        </w:rPr>
      </w:pPr>
      <w:r>
        <w:rPr>
          <w:rFonts w:hint="default" w:eastAsia="黑体" w:asciiTheme="minorAscii" w:hAnsiTheme="minorAscii"/>
          <w:b w:val="0"/>
          <w:bCs w:val="0"/>
          <w:sz w:val="24"/>
          <w:szCs w:val="24"/>
        </w:rPr>
        <w:t>1）</w:t>
      </w:r>
      <w:r>
        <w:rPr>
          <w:rFonts w:hint="eastAsia" w:cs="宋体"/>
          <w:sz w:val="24"/>
          <w:szCs w:val="24"/>
        </w:rPr>
        <w:t>非砌筑内隔墙占新增内隔墙体比例达到50%，得3分；</w:t>
      </w:r>
    </w:p>
    <w:p w14:paraId="1A677200">
      <w:pPr>
        <w:spacing w:line="360" w:lineRule="auto"/>
        <w:ind w:firstLine="960" w:firstLineChars="400"/>
        <w:rPr>
          <w:rFonts w:cs="宋体"/>
          <w:sz w:val="24"/>
          <w:szCs w:val="24"/>
        </w:rPr>
      </w:pPr>
      <w:r>
        <w:rPr>
          <w:rFonts w:hint="default" w:eastAsia="黑体" w:asciiTheme="minorAscii" w:hAnsiTheme="minorAscii"/>
          <w:b w:val="0"/>
          <w:bCs w:val="0"/>
          <w:sz w:val="24"/>
          <w:szCs w:val="24"/>
        </w:rPr>
        <w:t>2）</w:t>
      </w:r>
      <w:r>
        <w:rPr>
          <w:rFonts w:hint="eastAsia" w:cs="宋体"/>
          <w:sz w:val="24"/>
          <w:szCs w:val="24"/>
        </w:rPr>
        <w:t>地上内隔墙采用管线、装修一体化体系占新增围护墙体比例达到50%，</w:t>
      </w:r>
    </w:p>
    <w:p w14:paraId="697B3106">
      <w:pPr>
        <w:spacing w:line="360" w:lineRule="auto"/>
        <w:ind w:firstLine="960" w:firstLineChars="400"/>
        <w:rPr>
          <w:color w:val="0000FF"/>
          <w:sz w:val="24"/>
          <w:szCs w:val="24"/>
        </w:rPr>
      </w:pPr>
      <w:r>
        <w:rPr>
          <w:rFonts w:hint="eastAsia" w:cs="宋体"/>
          <w:sz w:val="24"/>
          <w:szCs w:val="24"/>
        </w:rPr>
        <w:t>得8分。</w:t>
      </w:r>
    </w:p>
    <w:p w14:paraId="7B339FCF">
      <w:pPr>
        <w:spacing w:line="360" w:lineRule="auto"/>
        <w:rPr>
          <w:rFonts w:cs="宋体"/>
          <w:sz w:val="24"/>
          <w:szCs w:val="24"/>
        </w:rPr>
      </w:pPr>
      <w:r>
        <w:rPr>
          <w:rFonts w:hint="default" w:ascii="Times New Roman" w:eastAsia="黑体"/>
          <w:b/>
          <w:bCs/>
          <w:sz w:val="24"/>
          <w:szCs w:val="24"/>
        </w:rPr>
        <w:t>5.2.9</w:t>
      </w:r>
      <w:r>
        <w:rPr>
          <w:rFonts w:hint="eastAsia"/>
          <w:sz w:val="24"/>
          <w:szCs w:val="24"/>
        </w:rPr>
        <w:t>　</w:t>
      </w:r>
      <w:r>
        <w:rPr>
          <w:rFonts w:hint="eastAsia" w:cs="宋体"/>
          <w:sz w:val="24"/>
          <w:szCs w:val="24"/>
        </w:rPr>
        <w:t>采用干式工法楼（地）面，评价总分值为8分，应按下列规则评分：</w:t>
      </w:r>
    </w:p>
    <w:p w14:paraId="72D7434D">
      <w:pPr>
        <w:spacing w:line="360" w:lineRule="auto"/>
        <w:ind w:firstLine="482" w:firstLineChars="200"/>
        <w:rPr>
          <w:rFonts w:cs="宋体"/>
          <w:sz w:val="24"/>
          <w:szCs w:val="24"/>
        </w:rPr>
      </w:pPr>
      <w:r>
        <w:rPr>
          <w:rFonts w:hint="default" w:cs="Times New Roman"/>
          <w:b/>
          <w:bCs/>
          <w:sz w:val="24"/>
          <w:szCs w:val="24"/>
        </w:rPr>
        <w:t>1</w:t>
      </w:r>
      <w:r>
        <w:rPr>
          <w:rFonts w:hint="eastAsia" w:cs="宋体"/>
          <w:sz w:val="24"/>
          <w:szCs w:val="24"/>
        </w:rPr>
        <w:t>应用干式工法楼（地）面的比例达到50%，得5分；</w:t>
      </w:r>
    </w:p>
    <w:p w14:paraId="0F58ACAE">
      <w:pPr>
        <w:spacing w:line="360" w:lineRule="auto"/>
        <w:ind w:firstLine="482" w:firstLineChars="200"/>
        <w:rPr>
          <w:rFonts w:cs="宋体"/>
          <w:sz w:val="24"/>
          <w:szCs w:val="24"/>
        </w:rPr>
      </w:pPr>
      <w:r>
        <w:rPr>
          <w:rFonts w:hint="default" w:cs="Times New Roman"/>
          <w:b/>
          <w:bCs/>
          <w:sz w:val="24"/>
          <w:szCs w:val="24"/>
        </w:rPr>
        <w:t>2</w:t>
      </w:r>
      <w:r>
        <w:rPr>
          <w:rFonts w:hint="eastAsia" w:cs="宋体"/>
          <w:sz w:val="24"/>
          <w:szCs w:val="24"/>
        </w:rPr>
        <w:t>应用干式工法楼（地）面的比例达到70%，得8分。</w:t>
      </w:r>
    </w:p>
    <w:p w14:paraId="1E0C0D80">
      <w:pPr>
        <w:spacing w:line="360" w:lineRule="auto"/>
        <w:rPr>
          <w:rFonts w:cs="宋体"/>
          <w:sz w:val="24"/>
          <w:szCs w:val="24"/>
        </w:rPr>
      </w:pPr>
      <w:r>
        <w:rPr>
          <w:rFonts w:hint="default" w:ascii="Times New Roman" w:eastAsia="黑体"/>
          <w:b/>
          <w:bCs/>
          <w:sz w:val="24"/>
          <w:szCs w:val="24"/>
        </w:rPr>
        <w:t>5.2.10</w:t>
      </w:r>
      <w:r>
        <w:rPr>
          <w:rFonts w:hint="eastAsia"/>
          <w:sz w:val="24"/>
          <w:szCs w:val="24"/>
        </w:rPr>
        <w:t>　</w:t>
      </w:r>
      <w:r>
        <w:rPr>
          <w:rFonts w:hint="eastAsia" w:cs="宋体"/>
          <w:sz w:val="24"/>
          <w:szCs w:val="24"/>
        </w:rPr>
        <w:t>采用集成厨卫，评价总分值为12分，并按下列规则分别评分并累计：</w:t>
      </w:r>
    </w:p>
    <w:p w14:paraId="2B1C4D88">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采用集成厨房，橱柜和厨房设备全部安装到位，按下列规则分别评分并累计：</w:t>
      </w:r>
    </w:p>
    <w:p w14:paraId="353B137F">
      <w:pPr>
        <w:spacing w:line="360" w:lineRule="auto"/>
        <w:ind w:firstLine="960" w:firstLineChars="400"/>
        <w:rPr>
          <w:rFonts w:cs="宋体"/>
          <w:sz w:val="24"/>
          <w:szCs w:val="24"/>
        </w:rPr>
      </w:pPr>
      <w:r>
        <w:rPr>
          <w:rFonts w:hint="default" w:eastAsia="黑体" w:asciiTheme="minorAscii" w:hAnsiTheme="minorAscii"/>
          <w:b w:val="0"/>
          <w:bCs w:val="0"/>
          <w:sz w:val="24"/>
          <w:szCs w:val="24"/>
        </w:rPr>
        <w:t>1）</w:t>
      </w:r>
      <w:r>
        <w:rPr>
          <w:rFonts w:hint="eastAsia" w:cs="宋体"/>
          <w:sz w:val="24"/>
          <w:szCs w:val="24"/>
        </w:rPr>
        <w:t>墙面、顶面采用干式工法，得3分；</w:t>
      </w:r>
    </w:p>
    <w:p w14:paraId="44BBD192">
      <w:pPr>
        <w:spacing w:line="360" w:lineRule="auto"/>
        <w:ind w:firstLine="960" w:firstLineChars="400"/>
        <w:rPr>
          <w:rFonts w:cs="宋体"/>
          <w:sz w:val="24"/>
          <w:szCs w:val="24"/>
        </w:rPr>
      </w:pPr>
      <w:r>
        <w:rPr>
          <w:rFonts w:hint="default" w:eastAsia="黑体" w:asciiTheme="minorAscii" w:hAnsiTheme="minorAscii"/>
          <w:b w:val="0"/>
          <w:bCs w:val="0"/>
          <w:sz w:val="24"/>
          <w:szCs w:val="24"/>
        </w:rPr>
        <w:t>2）</w:t>
      </w:r>
      <w:r>
        <w:rPr>
          <w:rFonts w:hint="eastAsia" w:cs="宋体"/>
          <w:sz w:val="24"/>
          <w:szCs w:val="24"/>
        </w:rPr>
        <w:t>地面采用干式工法，得3分。</w:t>
      </w:r>
    </w:p>
    <w:p w14:paraId="4E1EBE1C">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采用集成卫生间，洁具全部安装到位，按下列规则分别评分并累计：</w:t>
      </w:r>
    </w:p>
    <w:p w14:paraId="439285E4">
      <w:pPr>
        <w:spacing w:line="360" w:lineRule="auto"/>
        <w:ind w:firstLine="960" w:firstLineChars="400"/>
        <w:rPr>
          <w:rFonts w:cs="宋体"/>
          <w:sz w:val="24"/>
          <w:szCs w:val="24"/>
        </w:rPr>
      </w:pPr>
      <w:r>
        <w:rPr>
          <w:rFonts w:hint="default" w:eastAsia="黑体" w:asciiTheme="minorAscii" w:hAnsiTheme="minorAscii"/>
          <w:b w:val="0"/>
          <w:bCs w:val="0"/>
          <w:sz w:val="24"/>
          <w:szCs w:val="24"/>
        </w:rPr>
        <w:t>1）</w:t>
      </w:r>
      <w:r>
        <w:rPr>
          <w:rFonts w:hint="eastAsia" w:cs="宋体"/>
          <w:sz w:val="24"/>
          <w:szCs w:val="24"/>
        </w:rPr>
        <w:t>墙面、顶面采用干式工法，得3分；</w:t>
      </w:r>
    </w:p>
    <w:p w14:paraId="1CF83FE0">
      <w:pPr>
        <w:spacing w:line="360" w:lineRule="auto"/>
        <w:ind w:firstLine="960" w:firstLineChars="400"/>
        <w:rPr>
          <w:rFonts w:cs="宋体"/>
          <w:sz w:val="24"/>
          <w:szCs w:val="24"/>
        </w:rPr>
      </w:pPr>
      <w:r>
        <w:rPr>
          <w:rFonts w:hint="default" w:eastAsia="黑体" w:asciiTheme="minorAscii" w:hAnsiTheme="minorAscii"/>
          <w:b w:val="0"/>
          <w:bCs w:val="0"/>
          <w:sz w:val="24"/>
          <w:szCs w:val="24"/>
        </w:rPr>
        <w:t>2）</w:t>
      </w:r>
      <w:r>
        <w:rPr>
          <w:rFonts w:hint="eastAsia" w:cs="宋体"/>
          <w:sz w:val="24"/>
          <w:szCs w:val="24"/>
        </w:rPr>
        <w:t>地面采用干式工法，得3分。</w:t>
      </w:r>
    </w:p>
    <w:p w14:paraId="3444CEDE">
      <w:pPr>
        <w:spacing w:line="360" w:lineRule="auto"/>
        <w:rPr>
          <w:rFonts w:ascii="宋体" w:hAnsi="宋体" w:cs="宋体"/>
          <w:sz w:val="24"/>
          <w:szCs w:val="24"/>
        </w:rPr>
      </w:pPr>
      <w:r>
        <w:rPr>
          <w:rFonts w:ascii="Times New Roman" w:eastAsia="黑体"/>
          <w:b/>
          <w:bCs/>
          <w:sz w:val="24"/>
          <w:szCs w:val="24"/>
        </w:rPr>
        <w:t>5.2.1</w:t>
      </w:r>
      <w:r>
        <w:rPr>
          <w:rFonts w:hint="default" w:ascii="Times New Roman" w:eastAsia="黑体"/>
          <w:b/>
          <w:bCs/>
          <w:sz w:val="24"/>
          <w:szCs w:val="24"/>
        </w:rPr>
        <w:t>1</w:t>
      </w:r>
      <w:r>
        <w:rPr>
          <w:rFonts w:hint="eastAsia" w:ascii="宋体" w:hAnsi="宋体" w:eastAsia="黑体" w:cs="宋体"/>
          <w:b/>
          <w:bCs/>
          <w:sz w:val="24"/>
          <w:szCs w:val="24"/>
        </w:rPr>
        <w:t>【</w:t>
      </w:r>
      <w:r>
        <w:rPr>
          <w:rFonts w:hint="eastAsia" w:ascii="宋体" w:hAnsi="宋体" w:cs="宋体"/>
          <w:sz w:val="24"/>
          <w:szCs w:val="24"/>
        </w:rPr>
        <w:t>可再生能源</w:t>
      </w:r>
      <w:r>
        <w:rPr>
          <w:rFonts w:hint="eastAsia" w:ascii="宋体" w:hAnsi="宋体" w:eastAsia="黑体" w:cs="宋体"/>
          <w:b/>
          <w:bCs/>
          <w:sz w:val="24"/>
          <w:szCs w:val="24"/>
        </w:rPr>
        <w:t>】</w:t>
      </w:r>
      <w:r>
        <w:rPr>
          <w:rFonts w:hint="eastAsia" w:ascii="宋体" w:hAnsi="宋体" w:cs="宋体"/>
          <w:sz w:val="24"/>
          <w:szCs w:val="24"/>
        </w:rPr>
        <w:t>　结合当地的气候及太阳能资源条件、屋面和立面情况，在不破坏原有防水及保温层条件下，合理设置太阳能光伏/光热系统，评</w:t>
      </w:r>
      <w:r>
        <w:rPr>
          <w:rFonts w:hint="eastAsia" w:ascii="宋体" w:hAnsi="宋体" w:cs="宋体"/>
          <w:sz w:val="24"/>
          <w:szCs w:val="24"/>
          <w:lang w:val="en-US" w:eastAsia="zh-CN"/>
        </w:rPr>
        <w:t>价</w:t>
      </w:r>
      <w:r>
        <w:rPr>
          <w:rFonts w:hint="eastAsia" w:ascii="宋体" w:hAnsi="宋体" w:cs="宋体"/>
          <w:sz w:val="24"/>
          <w:szCs w:val="24"/>
        </w:rPr>
        <w:t>总分值为</w:t>
      </w:r>
      <w:r>
        <w:rPr>
          <w:rFonts w:hint="default" w:ascii="Times New Roman" w:hAnsi="Times New Roman" w:cs="Times New Roman"/>
          <w:sz w:val="24"/>
          <w:szCs w:val="24"/>
        </w:rPr>
        <w:t>18</w:t>
      </w:r>
      <w:r>
        <w:rPr>
          <w:rFonts w:hint="eastAsia" w:ascii="宋体" w:hAnsi="宋体" w:cs="宋体"/>
          <w:sz w:val="24"/>
          <w:szCs w:val="24"/>
        </w:rPr>
        <w:t>分，并按下列规则分别评分并累计：</w:t>
      </w:r>
    </w:p>
    <w:p w14:paraId="57E98B2B">
      <w:pPr>
        <w:spacing w:line="360" w:lineRule="auto"/>
        <w:ind w:firstLine="482" w:firstLineChars="200"/>
        <w:rPr>
          <w:rFonts w:ascii="宋体" w:hAnsi="宋体" w:cs="宋体"/>
          <w:sz w:val="24"/>
          <w:szCs w:val="24"/>
        </w:rPr>
      </w:pPr>
      <w:r>
        <w:rPr>
          <w:rFonts w:ascii="Times New Roman" w:eastAsia="黑体"/>
          <w:b/>
          <w:bCs/>
          <w:sz w:val="24"/>
          <w:szCs w:val="24"/>
        </w:rPr>
        <w:t>1</w:t>
      </w:r>
      <w:r>
        <w:rPr>
          <w:rFonts w:hint="eastAsia" w:ascii="宋体" w:hAnsi="宋体" w:cs="宋体"/>
          <w:sz w:val="24"/>
          <w:szCs w:val="24"/>
        </w:rPr>
        <w:t xml:space="preserve">  屋面增设太阳能光伏组件或太阳能集热器，由太阳能提供空调用冷量和热量比例大于</w:t>
      </w:r>
      <w:r>
        <w:rPr>
          <w:rFonts w:hint="default" w:ascii="Times New Roman" w:hAnsi="Times New Roman" w:cs="Times New Roman"/>
          <w:sz w:val="24"/>
          <w:szCs w:val="24"/>
        </w:rPr>
        <w:t>20%</w:t>
      </w:r>
      <w:r>
        <w:rPr>
          <w:rFonts w:hint="eastAsia" w:ascii="宋体" w:hAnsi="宋体" w:cs="宋体"/>
          <w:sz w:val="24"/>
          <w:szCs w:val="24"/>
        </w:rPr>
        <w:t>或太阳能提供的生活热水比例大于</w:t>
      </w:r>
      <w:r>
        <w:rPr>
          <w:rFonts w:hint="default" w:ascii="Times New Roman" w:hAnsi="Times New Roman" w:cs="Times New Roman"/>
          <w:sz w:val="24"/>
          <w:szCs w:val="24"/>
        </w:rPr>
        <w:t>50%</w:t>
      </w:r>
      <w:r>
        <w:rPr>
          <w:rFonts w:hint="eastAsia" w:ascii="宋体" w:hAnsi="宋体" w:cs="宋体"/>
          <w:sz w:val="24"/>
          <w:szCs w:val="24"/>
        </w:rPr>
        <w:t>，得</w:t>
      </w:r>
      <w:r>
        <w:rPr>
          <w:rFonts w:hint="default" w:ascii="Times New Roman" w:hAnsi="Times New Roman" w:cs="Times New Roman"/>
          <w:sz w:val="24"/>
          <w:szCs w:val="24"/>
        </w:rPr>
        <w:t>8</w:t>
      </w:r>
      <w:r>
        <w:rPr>
          <w:rFonts w:hint="eastAsia" w:ascii="宋体" w:hAnsi="宋体" w:cs="宋体"/>
          <w:sz w:val="24"/>
          <w:szCs w:val="24"/>
        </w:rPr>
        <w:t xml:space="preserve">分； </w:t>
      </w:r>
    </w:p>
    <w:p w14:paraId="42B72E95">
      <w:pPr>
        <w:spacing w:line="360" w:lineRule="auto"/>
        <w:ind w:firstLine="482" w:firstLineChars="200"/>
        <w:rPr>
          <w:rFonts w:ascii="宋体" w:hAnsi="宋体" w:cs="宋体"/>
          <w:b/>
          <w:bCs/>
          <w:szCs w:val="24"/>
        </w:rPr>
      </w:pPr>
      <w:r>
        <w:rPr>
          <w:rFonts w:ascii="Times New Roman" w:eastAsia="黑体"/>
          <w:b/>
          <w:bCs/>
          <w:sz w:val="24"/>
          <w:szCs w:val="24"/>
        </w:rPr>
        <w:t>2</w:t>
      </w:r>
      <w:r>
        <w:rPr>
          <w:rFonts w:hint="eastAsia" w:ascii="宋体" w:hAnsi="宋体" w:cs="宋体"/>
          <w:sz w:val="24"/>
          <w:szCs w:val="24"/>
        </w:rPr>
        <w:t xml:space="preserve">  建筑外墙及外窗设置太阳能光伏组件或太阳能热水器，并兼做遮阳构件，得</w:t>
      </w:r>
      <w:r>
        <w:rPr>
          <w:rFonts w:hint="default" w:ascii="Times New Roman" w:hAnsi="Times New Roman" w:cs="Times New Roman"/>
          <w:sz w:val="24"/>
          <w:szCs w:val="24"/>
        </w:rPr>
        <w:t>10</w:t>
      </w:r>
      <w:r>
        <w:rPr>
          <w:rFonts w:hint="eastAsia" w:ascii="宋体" w:hAnsi="宋体" w:cs="宋体"/>
          <w:sz w:val="24"/>
          <w:szCs w:val="24"/>
        </w:rPr>
        <w:t>分。</w:t>
      </w:r>
    </w:p>
    <w:p w14:paraId="0936F0AF">
      <w:pPr>
        <w:pStyle w:val="28"/>
        <w:spacing w:before="0" w:beforeLines="0" w:after="0" w:afterLines="0" w:line="360" w:lineRule="auto"/>
        <w:ind w:firstLine="0" w:firstLineChars="0"/>
        <w:jc w:val="center"/>
        <w:outlineLvl w:val="2"/>
        <w:rPr>
          <w:rFonts w:hint="eastAsia" w:eastAsia="宋体" w:cs="Times New Roman"/>
          <w:b/>
          <w:bCs/>
          <w:sz w:val="28"/>
          <w:szCs w:val="28"/>
          <w:lang w:eastAsia="zh-CN"/>
        </w:rPr>
      </w:pPr>
      <w:r>
        <w:rPr>
          <w:rFonts w:hint="eastAsia" w:cs="Times New Roman"/>
          <w:b/>
          <w:bCs/>
          <w:sz w:val="28"/>
          <w:szCs w:val="28"/>
        </w:rPr>
        <w:t xml:space="preserve">Ⅱ </w:t>
      </w:r>
      <w:r>
        <w:rPr>
          <w:rFonts w:hint="eastAsia" w:ascii="仿宋" w:hAnsi="仿宋" w:eastAsia="仿宋" w:cs="仿宋"/>
          <w:b/>
          <w:bCs/>
          <w:sz w:val="28"/>
          <w:szCs w:val="28"/>
        </w:rPr>
        <w:t>建筑围护结构</w:t>
      </w:r>
    </w:p>
    <w:p w14:paraId="73EE7AAD">
      <w:pPr>
        <w:spacing w:line="360" w:lineRule="auto"/>
        <w:rPr>
          <w:sz w:val="24"/>
          <w:szCs w:val="24"/>
        </w:rPr>
      </w:pPr>
      <w:r>
        <w:rPr>
          <w:rFonts w:ascii="Times New Roman" w:eastAsia="黑体"/>
          <w:b/>
          <w:bCs/>
          <w:sz w:val="24"/>
          <w:szCs w:val="24"/>
        </w:rPr>
        <w:t>5.2.</w:t>
      </w:r>
      <w:r>
        <w:rPr>
          <w:rFonts w:hint="default" w:ascii="Times New Roman" w:eastAsia="黑体"/>
          <w:b/>
          <w:bCs/>
          <w:sz w:val="24"/>
          <w:szCs w:val="24"/>
        </w:rPr>
        <w:t>12</w:t>
      </w:r>
      <w:r>
        <w:rPr>
          <w:rFonts w:hint="eastAsia"/>
          <w:sz w:val="24"/>
          <w:szCs w:val="24"/>
        </w:rPr>
        <w:t>　既有工业建筑民用化低碳改造</w:t>
      </w:r>
      <w:r>
        <w:rPr>
          <w:rFonts w:hint="eastAsia"/>
          <w:sz w:val="24"/>
          <w:szCs w:val="24"/>
          <w:lang w:val="en-US" w:eastAsia="zh-CN"/>
        </w:rPr>
        <w:t>时</w:t>
      </w:r>
      <w:r>
        <w:rPr>
          <w:rFonts w:hint="eastAsia"/>
          <w:sz w:val="24"/>
          <w:szCs w:val="24"/>
        </w:rPr>
        <w:t>优化原建筑围护结构的热工性能，评价总分值为20分，并按下列规则评分：</w:t>
      </w:r>
    </w:p>
    <w:p w14:paraId="5B8C1E48">
      <w:pPr>
        <w:spacing w:line="360" w:lineRule="auto"/>
        <w:ind w:firstLine="482" w:firstLineChars="200"/>
        <w:rPr>
          <w:sz w:val="24"/>
          <w:szCs w:val="24"/>
        </w:rPr>
      </w:pPr>
      <w:r>
        <w:rPr>
          <w:rFonts w:ascii="Times New Roman" w:eastAsia="黑体"/>
          <w:b/>
          <w:bCs/>
          <w:sz w:val="24"/>
          <w:szCs w:val="24"/>
        </w:rPr>
        <w:t>1</w:t>
      </w:r>
      <w:r>
        <w:rPr>
          <w:rFonts w:hint="eastAsia"/>
          <w:sz w:val="24"/>
          <w:szCs w:val="24"/>
        </w:rPr>
        <w:t>　围护结构热工性能达到国家现行相关建筑节能设计标准规定的，得5分；每提高1%得1分；最高得20分。</w:t>
      </w:r>
    </w:p>
    <w:p w14:paraId="62EDB6E1">
      <w:pPr>
        <w:spacing w:line="360" w:lineRule="auto"/>
        <w:ind w:firstLine="482" w:firstLineChars="200"/>
        <w:rPr>
          <w:sz w:val="24"/>
          <w:szCs w:val="24"/>
        </w:rPr>
      </w:pPr>
      <w:r>
        <w:rPr>
          <w:rFonts w:ascii="Times New Roman" w:eastAsia="黑体"/>
          <w:b/>
          <w:bCs/>
          <w:sz w:val="24"/>
          <w:szCs w:val="24"/>
        </w:rPr>
        <w:t>2</w:t>
      </w:r>
      <w:r>
        <w:rPr>
          <w:rFonts w:hint="eastAsia"/>
          <w:sz w:val="24"/>
          <w:szCs w:val="24"/>
        </w:rPr>
        <w:t>　建筑供暖空调负荷不高于参照建筑的暖通空调负荷，得5分；每降低1%得1分；最高得20分。</w:t>
      </w:r>
    </w:p>
    <w:p w14:paraId="6AA58F1C">
      <w:pPr>
        <w:spacing w:line="360" w:lineRule="auto"/>
        <w:rPr>
          <w:sz w:val="24"/>
          <w:szCs w:val="24"/>
        </w:rPr>
      </w:pPr>
      <w:r>
        <w:rPr>
          <w:rFonts w:ascii="Times New Roman" w:eastAsia="黑体"/>
          <w:b/>
          <w:bCs/>
          <w:sz w:val="24"/>
          <w:szCs w:val="24"/>
        </w:rPr>
        <w:t>5.2.</w:t>
      </w:r>
      <w:r>
        <w:rPr>
          <w:rFonts w:hint="default" w:ascii="Times New Roman" w:eastAsia="黑体"/>
          <w:b/>
          <w:bCs/>
          <w:sz w:val="24"/>
          <w:szCs w:val="24"/>
        </w:rPr>
        <w:t>13</w:t>
      </w:r>
      <w:r>
        <w:rPr>
          <w:rFonts w:hint="eastAsia"/>
          <w:sz w:val="24"/>
          <w:szCs w:val="24"/>
        </w:rPr>
        <w:t>　与土壤直接接触的原有工业建筑地坪，结合改造后的建筑室内外高差关系，在室内设置防潮保温层，</w:t>
      </w:r>
      <w:r>
        <w:rPr>
          <w:rFonts w:hint="eastAsia"/>
          <w:sz w:val="24"/>
          <w:szCs w:val="24"/>
          <w:highlight w:val="none"/>
        </w:rPr>
        <w:t>得5分</w:t>
      </w:r>
      <w:r>
        <w:rPr>
          <w:rFonts w:hint="eastAsia"/>
          <w:sz w:val="24"/>
          <w:szCs w:val="24"/>
        </w:rPr>
        <w:t>。</w:t>
      </w:r>
    </w:p>
    <w:p w14:paraId="2B4AA79B">
      <w:pPr>
        <w:widowControl/>
        <w:snapToGrid w:val="0"/>
        <w:spacing w:line="360" w:lineRule="auto"/>
        <w:jc w:val="center"/>
        <w:outlineLvl w:val="0"/>
        <w:rPr>
          <w:rFonts w:ascii="宋体" w:hAnsi="宋体" w:cs="宋体"/>
          <w:b/>
          <w:bCs/>
          <w:kern w:val="44"/>
          <w:sz w:val="30"/>
          <w:szCs w:val="30"/>
        </w:rPr>
        <w:sectPr>
          <w:footerReference r:id="rId10" w:type="default"/>
          <w:pgSz w:w="11906" w:h="16838"/>
          <w:pgMar w:top="1440" w:right="1800" w:bottom="1440" w:left="1800" w:header="851" w:footer="992" w:gutter="0"/>
          <w:cols w:space="425" w:num="1"/>
          <w:docGrid w:type="lines" w:linePitch="312" w:charSpace="0"/>
        </w:sectPr>
      </w:pPr>
    </w:p>
    <w:p w14:paraId="6F35521E">
      <w:pPr>
        <w:widowControl/>
        <w:snapToGrid w:val="0"/>
        <w:spacing w:line="360" w:lineRule="auto"/>
        <w:jc w:val="center"/>
        <w:outlineLvl w:val="9"/>
        <w:rPr>
          <w:rFonts w:ascii="Times New Roman" w:hAnsi="Times New Roman" w:cs="Times New Roman"/>
          <w:b/>
          <w:bCs/>
          <w:kern w:val="44"/>
          <w:sz w:val="30"/>
          <w:szCs w:val="30"/>
        </w:rPr>
      </w:pPr>
    </w:p>
    <w:p w14:paraId="7E1AE65A">
      <w:pPr>
        <w:widowControl/>
        <w:snapToGrid w:val="0"/>
        <w:spacing w:line="360" w:lineRule="auto"/>
        <w:jc w:val="center"/>
        <w:outlineLvl w:val="0"/>
        <w:rPr>
          <w:rFonts w:hint="eastAsia" w:eastAsia="宋体"/>
          <w:sz w:val="30"/>
          <w:szCs w:val="30"/>
          <w:lang w:eastAsia="zh-CN"/>
        </w:rPr>
      </w:pPr>
      <w:bookmarkStart w:id="126" w:name="_Toc7179"/>
      <w:bookmarkStart w:id="127" w:name="_Toc26219"/>
      <w:r>
        <w:rPr>
          <w:rFonts w:ascii="Times New Roman" w:hAnsi="Times New Roman" w:cs="Times New Roman"/>
          <w:b/>
          <w:bCs/>
          <w:kern w:val="44"/>
          <w:sz w:val="30"/>
          <w:szCs w:val="30"/>
        </w:rPr>
        <w:t>6</w:t>
      </w:r>
      <w:r>
        <w:rPr>
          <w:rFonts w:ascii="宋体" w:hAnsi="宋体" w:cs="宋体"/>
          <w:b/>
          <w:bCs/>
          <w:kern w:val="44"/>
          <w:sz w:val="30"/>
          <w:szCs w:val="30"/>
        </w:rPr>
        <w:t xml:space="preserve"> </w:t>
      </w:r>
      <w:r>
        <w:rPr>
          <w:rFonts w:hint="eastAsia" w:ascii="宋体" w:hAnsi="宋体" w:cs="宋体"/>
          <w:b/>
          <w:bCs/>
          <w:kern w:val="44"/>
          <w:sz w:val="30"/>
          <w:szCs w:val="30"/>
        </w:rPr>
        <w:t>能源与水资源利用</w:t>
      </w:r>
      <w:bookmarkEnd w:id="126"/>
      <w:bookmarkEnd w:id="127"/>
    </w:p>
    <w:p w14:paraId="2A69ADE2">
      <w:pPr>
        <w:tabs>
          <w:tab w:val="left" w:pos="0"/>
        </w:tabs>
        <w:spacing w:before="0" w:beforeLines="0" w:after="0" w:afterLines="0" w:line="360" w:lineRule="auto"/>
        <w:jc w:val="center"/>
        <w:outlineLvl w:val="1"/>
        <w:rPr>
          <w:rFonts w:ascii="黑体" w:hAnsi="黑体" w:eastAsia="黑体" w:cs="黑体"/>
          <w:b/>
          <w:bCs/>
          <w:sz w:val="28"/>
          <w:szCs w:val="28"/>
        </w:rPr>
      </w:pPr>
      <w:bookmarkStart w:id="128" w:name="_Toc24299"/>
      <w:bookmarkStart w:id="129" w:name="_Toc14440"/>
      <w:bookmarkStart w:id="130" w:name="_Toc801"/>
      <w:r>
        <w:rPr>
          <w:rFonts w:ascii="Times New Roman" w:hAnsi="Times New Roman" w:eastAsia="黑体" w:cs="Times New Roman"/>
          <w:b/>
          <w:bCs/>
          <w:sz w:val="28"/>
          <w:szCs w:val="28"/>
        </w:rPr>
        <w:t>6.1</w:t>
      </w:r>
      <w:r>
        <w:rPr>
          <w:rFonts w:ascii="黑体" w:hAnsi="黑体" w:eastAsia="黑体" w:cs="黑体"/>
          <w:b/>
          <w:bCs/>
          <w:sz w:val="28"/>
          <w:szCs w:val="28"/>
        </w:rPr>
        <w:t xml:space="preserve"> </w:t>
      </w:r>
      <w:r>
        <w:rPr>
          <w:rFonts w:hint="eastAsia" w:ascii="黑体" w:hAnsi="黑体" w:eastAsia="黑体" w:cs="黑体"/>
          <w:b/>
          <w:bCs/>
          <w:sz w:val="28"/>
          <w:szCs w:val="28"/>
        </w:rPr>
        <w:t>控制项</w:t>
      </w:r>
      <w:bookmarkEnd w:id="128"/>
      <w:bookmarkEnd w:id="129"/>
      <w:bookmarkEnd w:id="130"/>
    </w:p>
    <w:p w14:paraId="0572D5C2">
      <w:pPr>
        <w:spacing w:line="360" w:lineRule="auto"/>
        <w:rPr>
          <w:sz w:val="24"/>
          <w:szCs w:val="24"/>
        </w:rPr>
      </w:pPr>
      <w:r>
        <w:rPr>
          <w:rFonts w:ascii="Times New Roman" w:eastAsia="黑体"/>
          <w:b/>
          <w:bCs/>
          <w:sz w:val="24"/>
          <w:szCs w:val="24"/>
        </w:rPr>
        <w:t>6.1.1</w:t>
      </w:r>
      <w:r>
        <w:rPr>
          <w:rFonts w:hint="eastAsia"/>
          <w:sz w:val="24"/>
          <w:szCs w:val="24"/>
        </w:rPr>
        <w:t>　既有工业建筑能源系统民用化改造应符合国家现行有关节能标准的规定，并应符合下列规定：</w:t>
      </w:r>
    </w:p>
    <w:p w14:paraId="2A1D7301">
      <w:pPr>
        <w:spacing w:line="360" w:lineRule="auto"/>
        <w:ind w:firstLine="482" w:firstLineChars="200"/>
        <w:rPr>
          <w:sz w:val="24"/>
          <w:szCs w:val="24"/>
        </w:rPr>
      </w:pPr>
      <w:r>
        <w:rPr>
          <w:rFonts w:ascii="Times New Roman" w:eastAsia="黑体"/>
          <w:b/>
          <w:bCs/>
          <w:sz w:val="24"/>
          <w:szCs w:val="24"/>
        </w:rPr>
        <w:t>1</w:t>
      </w:r>
      <w:r>
        <w:rPr>
          <w:rFonts w:hint="eastAsia"/>
          <w:sz w:val="24"/>
          <w:szCs w:val="24"/>
        </w:rPr>
        <w:t>　改造后房间内的温度、湿度、新风量等设计参数应符合现行国家标准《民用建筑供暖通风与空气调节设计规范》GB</w:t>
      </w:r>
      <w:r>
        <w:rPr>
          <w:rFonts w:hint="eastAsia"/>
          <w:sz w:val="24"/>
          <w:szCs w:val="24"/>
          <w:lang w:val="en-US" w:eastAsia="zh-CN"/>
        </w:rPr>
        <w:t xml:space="preserve"> </w:t>
      </w:r>
      <w:r>
        <w:rPr>
          <w:rFonts w:hint="eastAsia"/>
          <w:sz w:val="24"/>
          <w:szCs w:val="24"/>
        </w:rPr>
        <w:t>50736的规定；</w:t>
      </w:r>
    </w:p>
    <w:p w14:paraId="74E53A1B">
      <w:pPr>
        <w:spacing w:line="360" w:lineRule="auto"/>
        <w:ind w:firstLine="482" w:firstLineChars="200"/>
        <w:rPr>
          <w:sz w:val="24"/>
          <w:szCs w:val="24"/>
        </w:rPr>
      </w:pPr>
      <w:r>
        <w:rPr>
          <w:rFonts w:ascii="Times New Roman" w:eastAsia="黑体"/>
          <w:b/>
          <w:bCs/>
          <w:sz w:val="24"/>
          <w:szCs w:val="24"/>
        </w:rPr>
        <w:t>2</w:t>
      </w:r>
      <w:r>
        <w:rPr>
          <w:rFonts w:hint="eastAsia"/>
          <w:sz w:val="24"/>
          <w:szCs w:val="24"/>
        </w:rPr>
        <w:t>　新增机电系统和设备应满足现行国家标准《建筑节能与可再生能源利用通用规范》GB</w:t>
      </w:r>
      <w:r>
        <w:rPr>
          <w:rFonts w:hint="eastAsia"/>
          <w:sz w:val="24"/>
          <w:szCs w:val="24"/>
          <w:lang w:val="en-US" w:eastAsia="zh-CN"/>
        </w:rPr>
        <w:t xml:space="preserve"> </w:t>
      </w:r>
      <w:r>
        <w:rPr>
          <w:rFonts w:hint="eastAsia"/>
          <w:sz w:val="24"/>
          <w:szCs w:val="24"/>
        </w:rPr>
        <w:t>55015的要求。</w:t>
      </w:r>
    </w:p>
    <w:p w14:paraId="0BA6CA55">
      <w:pPr>
        <w:numPr>
          <w:ilvl w:val="255"/>
          <w:numId w:val="0"/>
        </w:numPr>
        <w:spacing w:line="360" w:lineRule="auto"/>
        <w:rPr>
          <w:sz w:val="24"/>
          <w:szCs w:val="24"/>
        </w:rPr>
      </w:pPr>
      <w:r>
        <w:rPr>
          <w:rFonts w:ascii="Times New Roman" w:eastAsia="黑体"/>
          <w:b/>
          <w:bCs/>
          <w:sz w:val="24"/>
          <w:szCs w:val="24"/>
        </w:rPr>
        <w:t>6.1.2</w:t>
      </w:r>
      <w:r>
        <w:rPr>
          <w:rFonts w:hint="eastAsia"/>
          <w:sz w:val="24"/>
          <w:szCs w:val="24"/>
        </w:rPr>
        <w:t>　对既有雨污合流制排水系统应进行分流改造，雨污水应达标排放，不满足国家现行相关排放标准要求时，应增设水处理设施。</w:t>
      </w:r>
    </w:p>
    <w:p w14:paraId="6DE71B92">
      <w:pPr>
        <w:numPr>
          <w:ilvl w:val="255"/>
          <w:numId w:val="0"/>
        </w:numPr>
        <w:spacing w:line="360" w:lineRule="auto"/>
        <w:rPr>
          <w:sz w:val="24"/>
          <w:szCs w:val="24"/>
        </w:rPr>
      </w:pPr>
      <w:r>
        <w:rPr>
          <w:rFonts w:ascii="Times New Roman" w:eastAsia="黑体"/>
          <w:b/>
          <w:bCs/>
          <w:sz w:val="24"/>
          <w:szCs w:val="24"/>
        </w:rPr>
        <w:t>6.1.3</w:t>
      </w:r>
      <w:r>
        <w:rPr>
          <w:rFonts w:hint="eastAsia"/>
          <w:sz w:val="24"/>
          <w:szCs w:val="24"/>
        </w:rPr>
        <w:t>　改造后使用可再生能源系统时，应符合下列规定：</w:t>
      </w:r>
    </w:p>
    <w:p w14:paraId="5968F8BC">
      <w:pPr>
        <w:spacing w:line="360" w:lineRule="auto"/>
        <w:ind w:firstLine="482" w:firstLineChars="200"/>
        <w:rPr>
          <w:sz w:val="24"/>
          <w:szCs w:val="24"/>
        </w:rPr>
      </w:pPr>
      <w:r>
        <w:rPr>
          <w:rFonts w:ascii="Times New Roman" w:eastAsia="黑体"/>
          <w:b/>
          <w:bCs/>
          <w:sz w:val="24"/>
          <w:szCs w:val="24"/>
        </w:rPr>
        <w:t>1</w:t>
      </w:r>
      <w:r>
        <w:rPr>
          <w:rFonts w:hint="eastAsia"/>
          <w:sz w:val="24"/>
          <w:szCs w:val="24"/>
        </w:rPr>
        <w:t>　太阳能热利用系统的使用寿命、集热效率应符合现行国家标准《建筑节能与可再生能源利用通用规范》GB</w:t>
      </w:r>
      <w:r>
        <w:rPr>
          <w:rFonts w:hint="eastAsia"/>
          <w:sz w:val="24"/>
          <w:szCs w:val="24"/>
          <w:lang w:val="en-US" w:eastAsia="zh-CN"/>
        </w:rPr>
        <w:t xml:space="preserve"> </w:t>
      </w:r>
      <w:r>
        <w:rPr>
          <w:rFonts w:hint="eastAsia"/>
          <w:sz w:val="24"/>
          <w:szCs w:val="24"/>
        </w:rPr>
        <w:t>55015的规定。</w:t>
      </w:r>
    </w:p>
    <w:p w14:paraId="3DD5AAE8">
      <w:pPr>
        <w:spacing w:line="360" w:lineRule="auto"/>
        <w:ind w:firstLine="482" w:firstLineChars="200"/>
        <w:rPr>
          <w:sz w:val="24"/>
          <w:szCs w:val="24"/>
        </w:rPr>
      </w:pPr>
      <w:r>
        <w:rPr>
          <w:rFonts w:ascii="Times New Roman" w:eastAsia="黑体"/>
          <w:b/>
          <w:bCs/>
          <w:sz w:val="24"/>
          <w:szCs w:val="24"/>
        </w:rPr>
        <w:t>2</w:t>
      </w:r>
      <w:r>
        <w:rPr>
          <w:rFonts w:hint="eastAsia"/>
          <w:sz w:val="24"/>
          <w:szCs w:val="24"/>
        </w:rPr>
        <w:t>　地源热泵机系统的能效不应低于现行国家标准《水（地）源热泵机组能效限定值及能效等级》GB</w:t>
      </w:r>
      <w:r>
        <w:rPr>
          <w:rFonts w:hint="eastAsia"/>
          <w:sz w:val="24"/>
          <w:szCs w:val="24"/>
          <w:lang w:val="en-US" w:eastAsia="zh-CN"/>
        </w:rPr>
        <w:t xml:space="preserve"> </w:t>
      </w:r>
      <w:r>
        <w:rPr>
          <w:rFonts w:hint="eastAsia"/>
          <w:sz w:val="24"/>
          <w:szCs w:val="24"/>
        </w:rPr>
        <w:t>30721</w:t>
      </w:r>
      <w:r>
        <w:rPr>
          <w:sz w:val="24"/>
          <w:szCs w:val="24"/>
        </w:rPr>
        <w:t xml:space="preserve"> </w:t>
      </w:r>
      <w:r>
        <w:rPr>
          <w:rFonts w:hint="eastAsia"/>
          <w:sz w:val="24"/>
          <w:szCs w:val="24"/>
        </w:rPr>
        <w:t>规定的节能评价值。</w:t>
      </w:r>
    </w:p>
    <w:p w14:paraId="415E5751">
      <w:pPr>
        <w:numPr>
          <w:ilvl w:val="255"/>
          <w:numId w:val="0"/>
        </w:numPr>
        <w:spacing w:line="360" w:lineRule="auto"/>
        <w:rPr>
          <w:sz w:val="24"/>
          <w:szCs w:val="24"/>
        </w:rPr>
      </w:pPr>
      <w:r>
        <w:rPr>
          <w:rFonts w:ascii="Times New Roman" w:eastAsia="黑体"/>
          <w:b/>
          <w:bCs/>
          <w:sz w:val="24"/>
          <w:szCs w:val="24"/>
        </w:rPr>
        <w:t>6.1.4</w:t>
      </w:r>
      <w:r>
        <w:rPr>
          <w:rFonts w:hint="eastAsia"/>
          <w:sz w:val="24"/>
          <w:szCs w:val="24"/>
        </w:rPr>
        <w:t>　改造后的主要功能房间照明功率密度值不应高于现行国家标准《建筑照明设计标准》GB/T</w:t>
      </w:r>
      <w:r>
        <w:rPr>
          <w:sz w:val="24"/>
          <w:szCs w:val="24"/>
        </w:rPr>
        <w:t xml:space="preserve"> </w:t>
      </w:r>
      <w:r>
        <w:rPr>
          <w:rFonts w:hint="eastAsia"/>
          <w:sz w:val="24"/>
          <w:szCs w:val="24"/>
        </w:rPr>
        <w:t>50034规定的现行值。</w:t>
      </w:r>
    </w:p>
    <w:p w14:paraId="3F91AE76">
      <w:pPr>
        <w:numPr>
          <w:ilvl w:val="255"/>
          <w:numId w:val="0"/>
        </w:numPr>
        <w:spacing w:line="360" w:lineRule="auto"/>
        <w:rPr>
          <w:sz w:val="24"/>
          <w:szCs w:val="24"/>
        </w:rPr>
      </w:pPr>
      <w:r>
        <w:rPr>
          <w:rFonts w:ascii="Times New Roman" w:eastAsia="黑体"/>
          <w:b/>
          <w:bCs/>
          <w:sz w:val="24"/>
          <w:szCs w:val="24"/>
        </w:rPr>
        <w:t>6.1.5</w:t>
      </w:r>
      <w:r>
        <w:rPr>
          <w:rFonts w:hint="eastAsia"/>
          <w:sz w:val="24"/>
          <w:szCs w:val="24"/>
        </w:rPr>
        <w:t>　建筑给水排水系统改造时应符合下列规定：</w:t>
      </w:r>
    </w:p>
    <w:p w14:paraId="0F9756D4">
      <w:pPr>
        <w:spacing w:line="360" w:lineRule="auto"/>
        <w:ind w:firstLine="482" w:firstLineChars="200"/>
        <w:rPr>
          <w:sz w:val="24"/>
          <w:szCs w:val="24"/>
        </w:rPr>
      </w:pPr>
      <w:r>
        <w:rPr>
          <w:rFonts w:ascii="Times New Roman" w:eastAsia="黑体"/>
          <w:b/>
          <w:bCs/>
          <w:sz w:val="24"/>
          <w:szCs w:val="24"/>
        </w:rPr>
        <w:t>1</w:t>
      </w:r>
      <w:r>
        <w:rPr>
          <w:rFonts w:hint="eastAsia"/>
          <w:sz w:val="24"/>
          <w:szCs w:val="24"/>
        </w:rPr>
        <w:t>　新增给排水设施应符合现行有关国家标准规定；</w:t>
      </w:r>
    </w:p>
    <w:p w14:paraId="5DC7F289">
      <w:pPr>
        <w:spacing w:line="360" w:lineRule="auto"/>
        <w:ind w:firstLine="482" w:firstLineChars="200"/>
        <w:rPr>
          <w:sz w:val="24"/>
          <w:szCs w:val="24"/>
        </w:rPr>
      </w:pPr>
      <w:r>
        <w:rPr>
          <w:rFonts w:ascii="Times New Roman" w:eastAsia="黑体"/>
          <w:b/>
          <w:bCs/>
          <w:sz w:val="24"/>
          <w:szCs w:val="24"/>
        </w:rPr>
        <w:t>2</w:t>
      </w:r>
      <w:r>
        <w:rPr>
          <w:rFonts w:hint="eastAsia"/>
          <w:sz w:val="24"/>
          <w:szCs w:val="24"/>
        </w:rPr>
        <w:t>　用水点处水压大于0.2MPa的配水支管应设置减压设施，并应满足给水配件最低工作压力的要求；</w:t>
      </w:r>
    </w:p>
    <w:p w14:paraId="7BC53667">
      <w:pPr>
        <w:spacing w:line="360" w:lineRule="auto"/>
        <w:ind w:firstLine="482" w:firstLineChars="200"/>
        <w:rPr>
          <w:sz w:val="24"/>
          <w:szCs w:val="24"/>
        </w:rPr>
      </w:pPr>
      <w:r>
        <w:rPr>
          <w:rFonts w:ascii="Times New Roman" w:eastAsia="黑体"/>
          <w:b/>
          <w:bCs/>
          <w:sz w:val="24"/>
          <w:szCs w:val="24"/>
        </w:rPr>
        <w:t>3</w:t>
      </w:r>
      <w:r>
        <w:rPr>
          <w:rFonts w:hint="eastAsia"/>
          <w:sz w:val="24"/>
          <w:szCs w:val="24"/>
        </w:rPr>
        <w:t>　用水器具和设备更换时，应选用节水、节能、环保的产品；</w:t>
      </w:r>
    </w:p>
    <w:p w14:paraId="72DACDC0">
      <w:pPr>
        <w:spacing w:line="360" w:lineRule="auto"/>
        <w:ind w:firstLine="482" w:firstLineChars="200"/>
        <w:rPr>
          <w:sz w:val="24"/>
          <w:szCs w:val="24"/>
        </w:rPr>
      </w:pPr>
      <w:r>
        <w:rPr>
          <w:rFonts w:ascii="Times New Roman" w:eastAsia="黑体"/>
          <w:b/>
          <w:bCs/>
          <w:sz w:val="24"/>
          <w:szCs w:val="24"/>
        </w:rPr>
        <w:t>4</w:t>
      </w:r>
      <w:r>
        <w:rPr>
          <w:rFonts w:hint="eastAsia"/>
          <w:sz w:val="24"/>
          <w:szCs w:val="24"/>
        </w:rPr>
        <w:t>　水池、水箱等储水设施应设置水位控制和溢流报警装置。</w:t>
      </w:r>
    </w:p>
    <w:p w14:paraId="3AECC6ED">
      <w:pPr>
        <w:numPr>
          <w:ilvl w:val="255"/>
          <w:numId w:val="0"/>
        </w:numPr>
        <w:spacing w:line="360" w:lineRule="auto"/>
        <w:rPr>
          <w:sz w:val="24"/>
          <w:szCs w:val="24"/>
        </w:rPr>
      </w:pPr>
      <w:r>
        <w:rPr>
          <w:rFonts w:ascii="Times New Roman" w:eastAsia="黑体"/>
          <w:b/>
          <w:bCs/>
          <w:sz w:val="24"/>
          <w:szCs w:val="24"/>
        </w:rPr>
        <w:t>6.1.6</w:t>
      </w:r>
      <w:r>
        <w:rPr>
          <w:rFonts w:hint="eastAsia"/>
          <w:sz w:val="24"/>
          <w:szCs w:val="24"/>
        </w:rPr>
        <w:t>　改造后冷热源、输配系统和照明等各部分能耗应独立分项计量。</w:t>
      </w:r>
    </w:p>
    <w:p w14:paraId="057C664A">
      <w:pPr>
        <w:numPr>
          <w:ilvl w:val="255"/>
          <w:numId w:val="0"/>
        </w:numPr>
        <w:spacing w:line="360" w:lineRule="auto"/>
        <w:rPr>
          <w:sz w:val="24"/>
          <w:szCs w:val="24"/>
        </w:rPr>
      </w:pPr>
      <w:r>
        <w:rPr>
          <w:rFonts w:ascii="Times New Roman" w:eastAsia="黑体"/>
          <w:b/>
          <w:bCs/>
          <w:sz w:val="24"/>
          <w:szCs w:val="24"/>
        </w:rPr>
        <w:t>6.1.7</w:t>
      </w:r>
      <w:r>
        <w:rPr>
          <w:rFonts w:hint="eastAsia"/>
          <w:sz w:val="24"/>
          <w:szCs w:val="24"/>
        </w:rPr>
        <w:t>　电梯和自动扶梯改造时，应采取节能控制措施，2台及以上电梯集中布置时应具备并联控制或群控功能。</w:t>
      </w:r>
    </w:p>
    <w:p w14:paraId="6CE3B3F0">
      <w:pPr>
        <w:pStyle w:val="28"/>
        <w:spacing w:line="360" w:lineRule="auto"/>
        <w:ind w:firstLine="0" w:firstLineChars="0"/>
        <w:rPr>
          <w:rFonts w:cs="Times New Roman"/>
          <w:szCs w:val="24"/>
        </w:rPr>
      </w:pPr>
      <w:r>
        <w:rPr>
          <w:rFonts w:ascii="Times New Roman" w:eastAsia="黑体" w:cs="Times New Roman"/>
          <w:b/>
          <w:bCs/>
          <w:szCs w:val="24"/>
        </w:rPr>
        <w:t>6.1.</w:t>
      </w:r>
      <w:r>
        <w:rPr>
          <w:rFonts w:hint="default" w:ascii="Times New Roman" w:eastAsia="黑体" w:cs="Times New Roman"/>
          <w:b/>
          <w:bCs/>
          <w:szCs w:val="24"/>
        </w:rPr>
        <w:t>8</w:t>
      </w:r>
      <w:r>
        <w:rPr>
          <w:rFonts w:hint="eastAsia"/>
          <w:szCs w:val="24"/>
        </w:rPr>
        <w:t>　</w:t>
      </w:r>
      <w:r>
        <w:rPr>
          <w:rFonts w:hint="eastAsia" w:cs="Times New Roman"/>
          <w:szCs w:val="24"/>
        </w:rPr>
        <w:t>配电系统改造应符合现行国家标准</w:t>
      </w:r>
      <w:r>
        <w:rPr>
          <w:szCs w:val="24"/>
        </w:rPr>
        <w:fldChar w:fldCharType="begin"/>
      </w:r>
      <w:r>
        <w:rPr>
          <w:szCs w:val="24"/>
        </w:rPr>
        <w:instrText xml:space="preserve"> HYPERLINK "https://www.waizi.org.cn/bz/130895.html" \l ":~:text=%E3%80%8A%E4%BD%8F%E6%88%BF%E5%92%8C%E5%9F%8E%E4%B9%A1%E5%BB%BA%E8%AE%BE%E9%83%A8%E5%85%B3%E4%BA%8E%E5%8F%91%E5%B8%83%E5%9B%BD%E5%AE%B6%E6%A0%87%E5%87%86%E3%80%88%E6%B0%91%E7%94%A8%E5%BB%BA%E7%AD%91%E7%94%B5%E6%B0%94%E8%AE%BE%E8%AE%A1%E6%A0%87%E5%87%86%E3%80%89%E7%9A%84%E5%85%AC%E5%91%8A%E3%80%8B %E4%BD%8F%E6%88%BF%E5%92%8C%E5%9F%8E%E4%B9%A1%E5%BB%BA%E8%AE%BE%E9%83%A8%E5%85%AC%E5%91%8A2019%E5%B9%B4%E7%AC%AC314%E5%8F%B7,%E7%8E%B0%E6%89%B9%E5%87%86%E3%80%8A%E6%B0%91%E7%94%A8%E5%BB%BA%E7%AD%91%E7%94%B5%E6%B0%94%E8%AE%BE%E8%AE%A1%E6%A0%87%E5%87%86%E3%80%8B%E4%B8%BA%E5%9B%BD%E5%AE%B6%E6%A0%87%E5%87%86%EF%BC%8C%E7%BC%96%E5%8F%B7%E4%B8%BAGB51348-2019%EF%BC%8C%E8%87%AA2020%E5%B9%B48%E6%9C%881%E6%97%A5%E8%B5%B7%E5%AE%9E%E6%96%BD%E3%80%82 %E5%85%B6%E4%B8%AD%EF%BC%8C%E7%AC%AC3.2.1%E3%80%813.2.8%E3%80%813.3.4%E3%80%814.3.5%E3%80%814.7.3%E3%80%814.10.1%E3%80%817.2.4%E3%80%817.4.6%E3%80%817.5.2%E3%80%817.6.3%E3%80%818.1.6%E3%80%819.4.5%E3%80%8111.2.3%E3%80%8111.2.4%E3%80%8111.8.8%E3%80%8112.4.10%E3%80%8112.4.14%E3%80%8112.5.8%E3%80%8113.4.6%E3%80%8113.7.6%E3%80%8114.4.3%E3%80%8114.9.4%E6%9D%A1%E4%B8%BA%E5%BC%BA%E5%88%B6%E6%80%A7%E6%9D%A1%E6%96%87%EF%BC%8C%E5%BF%85%E9%A1%BB%E4%B8%A5%E6%A0%BC%E6%89%A7%E8%A1%8C%E3%80%82" \t "https://cn.bing.com/_blank" </w:instrText>
      </w:r>
      <w:r>
        <w:rPr>
          <w:szCs w:val="24"/>
        </w:rPr>
        <w:fldChar w:fldCharType="separate"/>
      </w:r>
      <w:r>
        <w:rPr>
          <w:rFonts w:hint="eastAsia" w:cs="Times New Roman"/>
          <w:szCs w:val="24"/>
        </w:rPr>
        <w:t>《民用建筑电气设计标准》GB</w:t>
      </w:r>
      <w:r>
        <w:rPr>
          <w:rFonts w:hint="eastAsia" w:cs="Times New Roman"/>
          <w:szCs w:val="24"/>
          <w:lang w:val="en-US" w:eastAsia="zh-CN"/>
        </w:rPr>
        <w:t xml:space="preserve"> </w:t>
      </w:r>
      <w:r>
        <w:rPr>
          <w:rFonts w:hint="eastAsia" w:cs="Times New Roman"/>
          <w:szCs w:val="24"/>
        </w:rPr>
        <w:t>51348</w:t>
      </w:r>
      <w:r>
        <w:rPr>
          <w:rFonts w:hint="eastAsia" w:cs="Times New Roman"/>
          <w:szCs w:val="24"/>
        </w:rPr>
        <w:fldChar w:fldCharType="end"/>
      </w:r>
    </w:p>
    <w:p w14:paraId="37B66964">
      <w:pPr>
        <w:pStyle w:val="28"/>
        <w:spacing w:line="360" w:lineRule="auto"/>
        <w:ind w:firstLine="0" w:firstLineChars="0"/>
        <w:rPr>
          <w:rFonts w:cs="Times New Roman"/>
          <w:szCs w:val="24"/>
        </w:rPr>
      </w:pPr>
      <w:r>
        <w:rPr>
          <w:rFonts w:hint="eastAsia" w:cs="Times New Roman"/>
          <w:szCs w:val="24"/>
        </w:rPr>
        <w:t>的有关规定。</w:t>
      </w:r>
    </w:p>
    <w:p w14:paraId="101F6FAC">
      <w:pPr>
        <w:numPr>
          <w:ilvl w:val="255"/>
          <w:numId w:val="0"/>
        </w:numPr>
        <w:spacing w:before="0" w:beforeLines="0" w:after="0" w:afterLines="0" w:line="360" w:lineRule="auto"/>
        <w:jc w:val="center"/>
        <w:outlineLvl w:val="1"/>
        <w:rPr>
          <w:rFonts w:ascii="黑体" w:hAnsi="黑体" w:eastAsia="黑体" w:cs="黑体"/>
          <w:b/>
          <w:bCs/>
          <w:sz w:val="28"/>
          <w:szCs w:val="28"/>
        </w:rPr>
      </w:pPr>
      <w:bookmarkStart w:id="131" w:name="_Toc1342"/>
      <w:bookmarkStart w:id="132" w:name="_Toc17966"/>
      <w:bookmarkStart w:id="133" w:name="_Toc15110"/>
      <w:r>
        <w:rPr>
          <w:rFonts w:hint="default" w:ascii="Times New Roman" w:hAnsi="Times New Roman" w:eastAsia="黑体" w:cs="Times New Roman"/>
          <w:b/>
          <w:bCs/>
          <w:sz w:val="28"/>
          <w:szCs w:val="28"/>
        </w:rPr>
        <w:t>6.2</w:t>
      </w:r>
      <w:r>
        <w:rPr>
          <w:rFonts w:hint="eastAsia" w:ascii="黑体" w:hAnsi="黑体" w:eastAsia="黑体" w:cs="黑体"/>
          <w:b/>
          <w:bCs/>
          <w:sz w:val="28"/>
          <w:szCs w:val="28"/>
        </w:rPr>
        <w:t>评分项</w:t>
      </w:r>
      <w:bookmarkEnd w:id="131"/>
      <w:bookmarkEnd w:id="132"/>
      <w:bookmarkEnd w:id="133"/>
    </w:p>
    <w:p w14:paraId="433FDF39">
      <w:pPr>
        <w:pStyle w:val="28"/>
        <w:spacing w:before="0" w:beforeLines="0" w:after="0" w:afterLines="0" w:line="360" w:lineRule="auto"/>
        <w:ind w:firstLine="0" w:firstLineChars="0"/>
        <w:jc w:val="center"/>
        <w:outlineLvl w:val="2"/>
        <w:rPr>
          <w:rFonts w:hint="eastAsia" w:eastAsia="仿宋" w:cs="Times New Roman"/>
          <w:b/>
          <w:bCs/>
          <w:sz w:val="28"/>
          <w:szCs w:val="28"/>
          <w:lang w:eastAsia="zh-CN"/>
        </w:rPr>
      </w:pPr>
      <w:r>
        <w:rPr>
          <w:rFonts w:hint="eastAsia" w:cs="Times New Roman"/>
          <w:b/>
          <w:bCs/>
          <w:sz w:val="28"/>
          <w:szCs w:val="28"/>
        </w:rPr>
        <w:t>Ⅰ</w:t>
      </w:r>
      <w:r>
        <w:rPr>
          <w:rFonts w:cs="Times New Roman"/>
          <w:b/>
          <w:bCs/>
          <w:sz w:val="28"/>
          <w:szCs w:val="28"/>
        </w:rPr>
        <w:t xml:space="preserve"> </w:t>
      </w:r>
      <w:r>
        <w:rPr>
          <w:rFonts w:hint="eastAsia" w:cs="Times New Roman"/>
          <w:b/>
          <w:bCs/>
          <w:sz w:val="28"/>
          <w:szCs w:val="28"/>
        </w:rPr>
        <w:t>节能与</w:t>
      </w:r>
      <w:r>
        <w:rPr>
          <w:rFonts w:hint="eastAsia" w:ascii="仿宋" w:hAnsi="仿宋" w:eastAsia="仿宋" w:cs="仿宋"/>
          <w:b/>
          <w:bCs/>
          <w:sz w:val="28"/>
          <w:szCs w:val="28"/>
        </w:rPr>
        <w:t>能源</w:t>
      </w:r>
    </w:p>
    <w:p w14:paraId="3240B592">
      <w:pPr>
        <w:numPr>
          <w:ilvl w:val="255"/>
          <w:numId w:val="0"/>
        </w:numPr>
        <w:spacing w:line="360" w:lineRule="auto"/>
        <w:rPr>
          <w:b/>
          <w:bCs/>
          <w:sz w:val="24"/>
          <w:szCs w:val="24"/>
        </w:rPr>
      </w:pPr>
      <w:r>
        <w:rPr>
          <w:rFonts w:ascii="Times New Roman" w:eastAsia="黑体"/>
          <w:b/>
          <w:bCs/>
          <w:sz w:val="24"/>
          <w:szCs w:val="24"/>
        </w:rPr>
        <w:t>6.2.1</w:t>
      </w:r>
      <w:r>
        <w:rPr>
          <w:b/>
          <w:bCs/>
          <w:sz w:val="24"/>
          <w:szCs w:val="24"/>
        </w:rPr>
        <w:t xml:space="preserve">  </w:t>
      </w:r>
      <w:r>
        <w:rPr>
          <w:rFonts w:hint="eastAsia"/>
          <w:sz w:val="24"/>
          <w:szCs w:val="24"/>
        </w:rPr>
        <w:t>采用高效供暖空调系统的冷、热源机组，评价总分值为12分，并按下列规则评分：</w:t>
      </w:r>
    </w:p>
    <w:p w14:paraId="2517B533">
      <w:pPr>
        <w:numPr>
          <w:ilvl w:val="255"/>
          <w:numId w:val="0"/>
        </w:numPr>
        <w:spacing w:line="360" w:lineRule="auto"/>
        <w:ind w:firstLine="482" w:firstLineChars="200"/>
        <w:rPr>
          <w:b/>
          <w:bCs/>
          <w:sz w:val="24"/>
          <w:szCs w:val="24"/>
        </w:rPr>
      </w:pPr>
      <w:r>
        <w:rPr>
          <w:b/>
          <w:bCs/>
          <w:sz w:val="24"/>
          <w:szCs w:val="24"/>
        </w:rPr>
        <w:t>1</w:t>
      </w:r>
      <w:r>
        <w:rPr>
          <w:rFonts w:hint="eastAsia"/>
          <w:b/>
          <w:bCs/>
          <w:sz w:val="24"/>
          <w:szCs w:val="24"/>
        </w:rPr>
        <w:t>　</w:t>
      </w:r>
      <w:r>
        <w:rPr>
          <w:rFonts w:hint="eastAsia"/>
          <w:sz w:val="24"/>
          <w:szCs w:val="24"/>
        </w:rPr>
        <w:t>供暖空调系统的冷、热源机组能效达到设计时产品标准的3级能效等级限值，得</w:t>
      </w:r>
      <w:r>
        <w:rPr>
          <w:sz w:val="24"/>
          <w:szCs w:val="24"/>
        </w:rPr>
        <w:t>6</w:t>
      </w:r>
      <w:r>
        <w:rPr>
          <w:rFonts w:hint="eastAsia"/>
          <w:sz w:val="24"/>
          <w:szCs w:val="24"/>
        </w:rPr>
        <w:t>分；</w:t>
      </w:r>
    </w:p>
    <w:p w14:paraId="42077612">
      <w:pPr>
        <w:numPr>
          <w:ilvl w:val="255"/>
          <w:numId w:val="0"/>
        </w:numPr>
        <w:spacing w:line="360" w:lineRule="auto"/>
        <w:ind w:firstLine="482" w:firstLineChars="200"/>
        <w:rPr>
          <w:sz w:val="24"/>
          <w:szCs w:val="24"/>
        </w:rPr>
      </w:pPr>
      <w:r>
        <w:rPr>
          <w:b/>
          <w:bCs/>
          <w:sz w:val="24"/>
          <w:szCs w:val="24"/>
        </w:rPr>
        <w:t>2</w:t>
      </w:r>
      <w:r>
        <w:rPr>
          <w:rFonts w:hint="eastAsia"/>
          <w:b/>
          <w:bCs/>
          <w:sz w:val="24"/>
          <w:szCs w:val="24"/>
        </w:rPr>
        <w:t>　</w:t>
      </w:r>
      <w:r>
        <w:rPr>
          <w:rFonts w:hint="eastAsia"/>
          <w:sz w:val="24"/>
          <w:szCs w:val="24"/>
        </w:rPr>
        <w:t>供暖空调系统的冷、热源机组能效达到设计时产品标准的节能评价值，或现行产品标准</w:t>
      </w:r>
      <w:r>
        <w:rPr>
          <w:sz w:val="24"/>
          <w:szCs w:val="24"/>
        </w:rPr>
        <w:t>2</w:t>
      </w:r>
      <w:r>
        <w:rPr>
          <w:rFonts w:hint="eastAsia"/>
          <w:sz w:val="24"/>
          <w:szCs w:val="24"/>
        </w:rPr>
        <w:t>级能效等级指标值，得</w:t>
      </w:r>
      <w:r>
        <w:rPr>
          <w:sz w:val="24"/>
          <w:szCs w:val="24"/>
        </w:rPr>
        <w:t>12</w:t>
      </w:r>
      <w:r>
        <w:rPr>
          <w:rFonts w:hint="eastAsia"/>
          <w:sz w:val="24"/>
          <w:szCs w:val="24"/>
        </w:rPr>
        <w:t>分。</w:t>
      </w:r>
    </w:p>
    <w:p w14:paraId="17702FFC">
      <w:pPr>
        <w:numPr>
          <w:ilvl w:val="255"/>
          <w:numId w:val="0"/>
        </w:numPr>
        <w:spacing w:line="360" w:lineRule="auto"/>
        <w:rPr>
          <w:sz w:val="24"/>
          <w:szCs w:val="24"/>
        </w:rPr>
      </w:pPr>
      <w:r>
        <w:rPr>
          <w:rFonts w:ascii="Times New Roman" w:eastAsia="黑体"/>
          <w:b/>
          <w:bCs/>
          <w:sz w:val="24"/>
          <w:szCs w:val="24"/>
        </w:rPr>
        <w:t>6.2.2</w:t>
      </w:r>
      <w:r>
        <w:rPr>
          <w:rFonts w:hint="eastAsia"/>
          <w:sz w:val="24"/>
          <w:szCs w:val="24"/>
        </w:rPr>
        <w:t>　采取有效措施降低供暖空调系统的末端系统及输配系统的能耗，评价总分值为12分，并按下列规则分别评分并累计：</w:t>
      </w:r>
    </w:p>
    <w:p w14:paraId="4D9B1E3E">
      <w:pPr>
        <w:spacing w:line="360" w:lineRule="auto"/>
        <w:ind w:firstLine="482" w:firstLineChars="200"/>
        <w:rPr>
          <w:sz w:val="24"/>
          <w:szCs w:val="24"/>
        </w:rPr>
      </w:pPr>
      <w:r>
        <w:rPr>
          <w:rFonts w:ascii="Times New Roman" w:eastAsia="黑体"/>
          <w:b/>
          <w:bCs/>
          <w:sz w:val="24"/>
          <w:szCs w:val="24"/>
        </w:rPr>
        <w:t>1</w:t>
      </w:r>
      <w:r>
        <w:rPr>
          <w:rFonts w:hint="eastAsia"/>
          <w:sz w:val="24"/>
          <w:szCs w:val="24"/>
        </w:rPr>
        <w:t>　通风空调系统风机的单位风量耗功率符合现行国家标准《公共建筑节能设计标准》GB</w:t>
      </w:r>
      <w:r>
        <w:rPr>
          <w:sz w:val="24"/>
          <w:szCs w:val="24"/>
        </w:rPr>
        <w:t xml:space="preserve"> </w:t>
      </w:r>
      <w:r>
        <w:rPr>
          <w:rFonts w:hint="eastAsia"/>
          <w:sz w:val="24"/>
          <w:szCs w:val="24"/>
        </w:rPr>
        <w:t>50189的有关规定，得6分；</w:t>
      </w:r>
    </w:p>
    <w:p w14:paraId="4E57F4F0">
      <w:pPr>
        <w:spacing w:line="360" w:lineRule="auto"/>
        <w:ind w:firstLine="482" w:firstLineChars="200"/>
        <w:rPr>
          <w:sz w:val="24"/>
          <w:szCs w:val="24"/>
        </w:rPr>
      </w:pPr>
      <w:r>
        <w:rPr>
          <w:rFonts w:ascii="Times New Roman" w:eastAsia="黑体"/>
          <w:b/>
          <w:bCs/>
          <w:sz w:val="24"/>
          <w:szCs w:val="24"/>
        </w:rPr>
        <w:t>2</w:t>
      </w:r>
      <w:r>
        <w:rPr>
          <w:rFonts w:hint="eastAsia"/>
          <w:sz w:val="24"/>
          <w:szCs w:val="24"/>
        </w:rPr>
        <w:t>　集中供暖系统热水循环泵的耗电输热比、空调冷热水系统循环水泵的耗电输冷（热）比符合现行国家标准《民用建筑供暖通风与空气调节设计规范》GB</w:t>
      </w:r>
      <w:r>
        <w:rPr>
          <w:sz w:val="24"/>
          <w:szCs w:val="24"/>
        </w:rPr>
        <w:t xml:space="preserve"> </w:t>
      </w:r>
      <w:r>
        <w:rPr>
          <w:rFonts w:hint="eastAsia"/>
          <w:sz w:val="24"/>
          <w:szCs w:val="24"/>
        </w:rPr>
        <w:t>50736的有关规定，得6分。</w:t>
      </w:r>
    </w:p>
    <w:p w14:paraId="300CFA13">
      <w:pPr>
        <w:spacing w:line="360" w:lineRule="auto"/>
        <w:rPr>
          <w:sz w:val="24"/>
          <w:szCs w:val="24"/>
        </w:rPr>
      </w:pPr>
      <w:r>
        <w:rPr>
          <w:rFonts w:ascii="Times New Roman" w:eastAsia="黑体"/>
          <w:b/>
          <w:bCs/>
          <w:sz w:val="24"/>
          <w:szCs w:val="24"/>
        </w:rPr>
        <w:t>6.2.3</w:t>
      </w:r>
      <w:r>
        <w:rPr>
          <w:rFonts w:hint="eastAsia"/>
          <w:sz w:val="24"/>
          <w:szCs w:val="24"/>
        </w:rPr>
        <w:t>　结合当地气候和自然资源条件合理利用可再生能源，评价总分值为16分，按表</w:t>
      </w:r>
      <w:r>
        <w:rPr>
          <w:sz w:val="24"/>
          <w:szCs w:val="24"/>
        </w:rPr>
        <w:t>6.2.</w:t>
      </w:r>
      <w:r>
        <w:rPr>
          <w:rFonts w:hint="eastAsia"/>
          <w:sz w:val="24"/>
          <w:szCs w:val="24"/>
        </w:rPr>
        <w:t>3的规则评分。</w:t>
      </w:r>
    </w:p>
    <w:p w14:paraId="398F2BC0">
      <w:pPr>
        <w:spacing w:line="360" w:lineRule="auto"/>
        <w:jc w:val="center"/>
        <w:rPr>
          <w:kern w:val="0"/>
          <w:szCs w:val="20"/>
        </w:rPr>
      </w:pPr>
      <w:r>
        <w:rPr>
          <w:rFonts w:hint="eastAsia"/>
          <w:b/>
          <w:bCs/>
          <w:kern w:val="0"/>
          <w:szCs w:val="20"/>
        </w:rPr>
        <w:t>表</w:t>
      </w:r>
      <w:r>
        <w:rPr>
          <w:b/>
          <w:bCs/>
          <w:kern w:val="0"/>
          <w:szCs w:val="20"/>
        </w:rPr>
        <w:t>6.2.</w:t>
      </w:r>
      <w:r>
        <w:rPr>
          <w:rFonts w:hint="eastAsia"/>
          <w:b/>
          <w:bCs/>
          <w:kern w:val="0"/>
          <w:szCs w:val="20"/>
        </w:rPr>
        <w:t>3  可再生能源利用评分规则</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256"/>
      </w:tblGrid>
      <w:tr w14:paraId="5692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23AF621D">
            <w:pPr>
              <w:ind w:firstLine="360"/>
              <w:jc w:val="center"/>
              <w:rPr>
                <w:kern w:val="0"/>
              </w:rPr>
            </w:pPr>
            <w:r>
              <w:rPr>
                <w:rFonts w:hint="eastAsia"/>
                <w:kern w:val="0"/>
              </w:rPr>
              <w:t>可再生能源利用率R</w:t>
            </w:r>
          </w:p>
        </w:tc>
        <w:tc>
          <w:tcPr>
            <w:tcW w:w="4417" w:type="dxa"/>
            <w:vAlign w:val="center"/>
          </w:tcPr>
          <w:p w14:paraId="1196E373">
            <w:pPr>
              <w:ind w:firstLine="360"/>
              <w:jc w:val="center"/>
              <w:rPr>
                <w:kern w:val="0"/>
              </w:rPr>
            </w:pPr>
            <w:r>
              <w:rPr>
                <w:rFonts w:hint="eastAsia"/>
                <w:kern w:val="0"/>
              </w:rPr>
              <w:t>得分</w:t>
            </w:r>
          </w:p>
        </w:tc>
      </w:tr>
      <w:tr w14:paraId="4960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1DAE8401">
            <w:pPr>
              <w:ind w:firstLine="360"/>
              <w:jc w:val="center"/>
              <w:rPr>
                <w:kern w:val="0"/>
              </w:rPr>
            </w:pPr>
            <w:r>
              <w:rPr>
                <w:rFonts w:hint="eastAsia"/>
                <w:kern w:val="0"/>
              </w:rPr>
              <w:t>0.5%≤R＜5%</w:t>
            </w:r>
          </w:p>
        </w:tc>
        <w:tc>
          <w:tcPr>
            <w:tcW w:w="4417" w:type="dxa"/>
            <w:vAlign w:val="center"/>
          </w:tcPr>
          <w:p w14:paraId="6DCB43BD">
            <w:pPr>
              <w:ind w:firstLine="360"/>
              <w:jc w:val="center"/>
              <w:rPr>
                <w:kern w:val="0"/>
              </w:rPr>
            </w:pPr>
            <w:r>
              <w:rPr>
                <w:kern w:val="0"/>
              </w:rPr>
              <w:t>8</w:t>
            </w:r>
          </w:p>
        </w:tc>
      </w:tr>
      <w:tr w14:paraId="3455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5FB5E090">
            <w:pPr>
              <w:ind w:firstLine="360"/>
              <w:jc w:val="center"/>
              <w:rPr>
                <w:kern w:val="0"/>
              </w:rPr>
            </w:pPr>
            <w:r>
              <w:rPr>
                <w:rFonts w:hint="eastAsia"/>
                <w:kern w:val="0"/>
              </w:rPr>
              <w:t>5%≤R＜10%</w:t>
            </w:r>
          </w:p>
        </w:tc>
        <w:tc>
          <w:tcPr>
            <w:tcW w:w="4417" w:type="dxa"/>
            <w:vAlign w:val="center"/>
          </w:tcPr>
          <w:p w14:paraId="5CF10DC5">
            <w:pPr>
              <w:ind w:firstLine="360"/>
              <w:jc w:val="center"/>
              <w:rPr>
                <w:kern w:val="0"/>
              </w:rPr>
            </w:pPr>
            <w:r>
              <w:rPr>
                <w:kern w:val="0"/>
              </w:rPr>
              <w:t>12</w:t>
            </w:r>
          </w:p>
        </w:tc>
      </w:tr>
      <w:tr w14:paraId="5319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51C48769">
            <w:pPr>
              <w:ind w:firstLine="360"/>
              <w:jc w:val="center"/>
              <w:rPr>
                <w:kern w:val="0"/>
              </w:rPr>
            </w:pPr>
            <w:r>
              <w:rPr>
                <w:rFonts w:hint="eastAsia"/>
                <w:kern w:val="0"/>
              </w:rPr>
              <w:t>10%≤R</w:t>
            </w:r>
          </w:p>
        </w:tc>
        <w:tc>
          <w:tcPr>
            <w:tcW w:w="4417" w:type="dxa"/>
            <w:vAlign w:val="center"/>
          </w:tcPr>
          <w:p w14:paraId="3C3EED71">
            <w:pPr>
              <w:ind w:firstLine="360"/>
              <w:jc w:val="center"/>
              <w:rPr>
                <w:kern w:val="0"/>
              </w:rPr>
            </w:pPr>
            <w:r>
              <w:rPr>
                <w:kern w:val="0"/>
              </w:rPr>
              <w:t>16</w:t>
            </w:r>
          </w:p>
        </w:tc>
      </w:tr>
    </w:tbl>
    <w:p w14:paraId="79198944">
      <w:pPr>
        <w:numPr>
          <w:ilvl w:val="255"/>
          <w:numId w:val="0"/>
        </w:numPr>
        <w:spacing w:line="360" w:lineRule="auto"/>
        <w:rPr>
          <w:sz w:val="24"/>
          <w:szCs w:val="24"/>
        </w:rPr>
      </w:pPr>
      <w:r>
        <w:rPr>
          <w:rFonts w:ascii="Times New Roman" w:eastAsia="黑体"/>
          <w:b/>
          <w:bCs/>
          <w:sz w:val="24"/>
          <w:szCs w:val="24"/>
        </w:rPr>
        <w:t>6.2.4</w:t>
      </w:r>
      <w:r>
        <w:rPr>
          <w:rFonts w:hint="eastAsia"/>
          <w:sz w:val="24"/>
          <w:szCs w:val="24"/>
        </w:rPr>
        <w:t>　采取措施降低建筑供暖空调系统和照明系统的能耗，评价总分值为</w:t>
      </w:r>
      <w:r>
        <w:rPr>
          <w:sz w:val="24"/>
          <w:szCs w:val="24"/>
        </w:rPr>
        <w:t>20</w:t>
      </w:r>
      <w:r>
        <w:rPr>
          <w:rFonts w:hint="eastAsia"/>
          <w:sz w:val="24"/>
          <w:szCs w:val="24"/>
        </w:rPr>
        <w:t>分。按现行行业标准《民用建筑绿色性能计算标准》JGJ/T</w:t>
      </w:r>
      <w:r>
        <w:rPr>
          <w:sz w:val="24"/>
          <w:szCs w:val="24"/>
        </w:rPr>
        <w:t xml:space="preserve"> </w:t>
      </w:r>
      <w:r>
        <w:rPr>
          <w:rFonts w:hint="eastAsia"/>
          <w:sz w:val="24"/>
          <w:szCs w:val="24"/>
        </w:rPr>
        <w:t>449的要求，计算的建筑供暖空调和照明系统能耗相比参照建筑的降低幅度达到10%，得</w:t>
      </w:r>
      <w:r>
        <w:rPr>
          <w:sz w:val="24"/>
          <w:szCs w:val="24"/>
        </w:rPr>
        <w:t>10</w:t>
      </w:r>
      <w:r>
        <w:rPr>
          <w:rFonts w:hint="eastAsia"/>
          <w:sz w:val="24"/>
          <w:szCs w:val="24"/>
        </w:rPr>
        <w:t>分；每增加1</w:t>
      </w:r>
      <w:r>
        <w:rPr>
          <w:sz w:val="24"/>
          <w:szCs w:val="24"/>
        </w:rPr>
        <w:t>%</w:t>
      </w:r>
      <w:r>
        <w:rPr>
          <w:rFonts w:hint="eastAsia"/>
          <w:sz w:val="24"/>
          <w:szCs w:val="24"/>
        </w:rPr>
        <w:t>得</w:t>
      </w:r>
      <w:r>
        <w:rPr>
          <w:sz w:val="24"/>
          <w:szCs w:val="24"/>
        </w:rPr>
        <w:t>2</w:t>
      </w:r>
      <w:r>
        <w:rPr>
          <w:rFonts w:hint="eastAsia"/>
          <w:sz w:val="24"/>
          <w:szCs w:val="24"/>
        </w:rPr>
        <w:t>分，最高2</w:t>
      </w:r>
      <w:r>
        <w:rPr>
          <w:sz w:val="24"/>
          <w:szCs w:val="24"/>
        </w:rPr>
        <w:t>0</w:t>
      </w:r>
      <w:r>
        <w:rPr>
          <w:rFonts w:hint="eastAsia"/>
          <w:sz w:val="24"/>
          <w:szCs w:val="24"/>
        </w:rPr>
        <w:t>分。</w:t>
      </w:r>
    </w:p>
    <w:p w14:paraId="0EF5C0CF">
      <w:pPr>
        <w:spacing w:line="360" w:lineRule="auto"/>
        <w:rPr>
          <w:sz w:val="24"/>
          <w:szCs w:val="24"/>
        </w:rPr>
      </w:pPr>
      <w:r>
        <w:rPr>
          <w:rFonts w:hint="default" w:ascii="Times New Roman" w:eastAsia="黑体"/>
          <w:b/>
          <w:bCs/>
          <w:sz w:val="24"/>
          <w:szCs w:val="24"/>
        </w:rPr>
        <w:t>6.2.5</w:t>
      </w:r>
      <w:r>
        <w:rPr>
          <w:rFonts w:hint="eastAsia"/>
          <w:sz w:val="24"/>
          <w:szCs w:val="24"/>
        </w:rPr>
        <w:t>　既有工业建筑暖通空调系统的末端装置现场可独立调节，评价总分值为</w:t>
      </w:r>
      <w:r>
        <w:rPr>
          <w:sz w:val="24"/>
          <w:szCs w:val="24"/>
        </w:rPr>
        <w:t>10</w:t>
      </w:r>
      <w:r>
        <w:rPr>
          <w:rFonts w:hint="eastAsia"/>
          <w:sz w:val="24"/>
          <w:szCs w:val="24"/>
        </w:rPr>
        <w:t>分。可独立调节的主要功能房间面积比例达到70%，得</w:t>
      </w:r>
      <w:r>
        <w:rPr>
          <w:sz w:val="24"/>
          <w:szCs w:val="24"/>
        </w:rPr>
        <w:t>6</w:t>
      </w:r>
      <w:r>
        <w:rPr>
          <w:rFonts w:hint="eastAsia"/>
          <w:sz w:val="24"/>
          <w:szCs w:val="24"/>
        </w:rPr>
        <w:t>分；达到90%，得</w:t>
      </w:r>
      <w:r>
        <w:rPr>
          <w:sz w:val="24"/>
          <w:szCs w:val="24"/>
        </w:rPr>
        <w:t>10</w:t>
      </w:r>
      <w:r>
        <w:rPr>
          <w:rFonts w:hint="eastAsia"/>
          <w:sz w:val="24"/>
          <w:szCs w:val="24"/>
        </w:rPr>
        <w:t>分。</w:t>
      </w:r>
    </w:p>
    <w:p w14:paraId="01A48798">
      <w:pPr>
        <w:spacing w:before="0" w:beforeLines="0" w:after="0" w:afterLines="0" w:line="360" w:lineRule="auto"/>
        <w:jc w:val="center"/>
        <w:outlineLvl w:val="2"/>
        <w:rPr>
          <w:rFonts w:hint="eastAsia" w:eastAsia="仿宋"/>
          <w:b/>
          <w:bCs/>
          <w:lang w:eastAsia="zh-CN"/>
        </w:rPr>
      </w:pPr>
      <w:r>
        <w:rPr>
          <w:b/>
          <w:bCs/>
          <w:sz w:val="28"/>
          <w:szCs w:val="28"/>
        </w:rPr>
        <w:fldChar w:fldCharType="begin"/>
      </w:r>
      <w:r>
        <w:rPr>
          <w:b/>
          <w:bCs/>
          <w:sz w:val="28"/>
          <w:szCs w:val="28"/>
        </w:rPr>
        <w:instrText xml:space="preserve"> = 3 \* ROMAN </w:instrText>
      </w:r>
      <w:r>
        <w:rPr>
          <w:b/>
          <w:bCs/>
          <w:sz w:val="28"/>
          <w:szCs w:val="28"/>
        </w:rPr>
        <w:fldChar w:fldCharType="separate"/>
      </w:r>
      <w:r>
        <w:rPr>
          <w:b/>
          <w:bCs/>
          <w:sz w:val="28"/>
          <w:szCs w:val="28"/>
        </w:rPr>
        <w:t>II</w:t>
      </w:r>
      <w:r>
        <w:rPr>
          <w:b/>
          <w:bCs/>
          <w:sz w:val="28"/>
          <w:szCs w:val="28"/>
        </w:rPr>
        <w:fldChar w:fldCharType="end"/>
      </w:r>
      <w:r>
        <w:rPr>
          <w:b/>
          <w:bCs/>
          <w:sz w:val="28"/>
          <w:szCs w:val="28"/>
        </w:rPr>
        <w:t xml:space="preserve"> </w:t>
      </w:r>
      <w:r>
        <w:rPr>
          <w:rFonts w:hint="eastAsia" w:ascii="仿宋" w:hAnsi="仿宋" w:eastAsia="仿宋" w:cs="仿宋"/>
          <w:b/>
          <w:bCs/>
          <w:sz w:val="28"/>
          <w:szCs w:val="28"/>
        </w:rPr>
        <w:t>节水与水资源</w:t>
      </w:r>
    </w:p>
    <w:p w14:paraId="06E825D0">
      <w:pPr>
        <w:numPr>
          <w:ilvl w:val="255"/>
          <w:numId w:val="0"/>
        </w:numPr>
        <w:spacing w:line="360" w:lineRule="auto"/>
        <w:rPr>
          <w:sz w:val="24"/>
          <w:szCs w:val="24"/>
        </w:rPr>
      </w:pPr>
      <w:r>
        <w:rPr>
          <w:rFonts w:ascii="Times New Roman" w:eastAsia="黑体"/>
          <w:b/>
          <w:bCs/>
          <w:sz w:val="24"/>
          <w:szCs w:val="24"/>
        </w:rPr>
        <w:t>6.2.</w:t>
      </w:r>
      <w:r>
        <w:rPr>
          <w:rFonts w:hint="default" w:ascii="Times New Roman" w:eastAsia="黑体"/>
          <w:b/>
          <w:bCs/>
          <w:sz w:val="24"/>
          <w:szCs w:val="24"/>
        </w:rPr>
        <w:t>6</w:t>
      </w:r>
      <w:r>
        <w:rPr>
          <w:rFonts w:hint="eastAsia"/>
          <w:sz w:val="24"/>
          <w:szCs w:val="24"/>
        </w:rPr>
        <w:t>　合理选用卫生器具，评价总分值为1</w:t>
      </w:r>
      <w:r>
        <w:rPr>
          <w:sz w:val="24"/>
          <w:szCs w:val="24"/>
        </w:rPr>
        <w:t>5</w:t>
      </w:r>
      <w:r>
        <w:rPr>
          <w:rFonts w:hint="eastAsia"/>
          <w:sz w:val="24"/>
          <w:szCs w:val="24"/>
        </w:rPr>
        <w:t>分，并按下列规则分别评分并累计：</w:t>
      </w:r>
    </w:p>
    <w:p w14:paraId="3CBA1B7D">
      <w:pPr>
        <w:spacing w:line="360" w:lineRule="auto"/>
        <w:ind w:firstLine="482" w:firstLineChars="200"/>
        <w:rPr>
          <w:sz w:val="24"/>
          <w:szCs w:val="24"/>
        </w:rPr>
      </w:pPr>
      <w:r>
        <w:rPr>
          <w:rFonts w:ascii="Times New Roman" w:eastAsia="黑体"/>
          <w:b/>
          <w:bCs/>
          <w:sz w:val="24"/>
          <w:szCs w:val="24"/>
        </w:rPr>
        <w:t>1</w:t>
      </w:r>
      <w:r>
        <w:rPr>
          <w:rFonts w:hint="eastAsia"/>
          <w:sz w:val="24"/>
          <w:szCs w:val="24"/>
        </w:rPr>
        <w:t>　用水效率等级达到2级的卫生器具数量比例达到50%，得6分；达到100%，得10分；</w:t>
      </w:r>
    </w:p>
    <w:p w14:paraId="6587354E">
      <w:pPr>
        <w:spacing w:line="360" w:lineRule="auto"/>
        <w:ind w:firstLine="482" w:firstLineChars="200"/>
        <w:rPr>
          <w:sz w:val="24"/>
          <w:szCs w:val="24"/>
        </w:rPr>
      </w:pPr>
      <w:r>
        <w:rPr>
          <w:rFonts w:ascii="Times New Roman" w:eastAsia="黑体"/>
          <w:b/>
          <w:bCs/>
          <w:sz w:val="24"/>
          <w:szCs w:val="24"/>
        </w:rPr>
        <w:t>2</w:t>
      </w:r>
      <w:r>
        <w:rPr>
          <w:rFonts w:hint="eastAsia"/>
          <w:sz w:val="24"/>
          <w:szCs w:val="24"/>
        </w:rPr>
        <w:t>　公共场所的洗手盆水嘴采用非接触式或延时自闭式水嘴，得</w:t>
      </w:r>
      <w:r>
        <w:rPr>
          <w:sz w:val="24"/>
          <w:szCs w:val="24"/>
        </w:rPr>
        <w:t>5</w:t>
      </w:r>
      <w:r>
        <w:rPr>
          <w:rFonts w:hint="eastAsia"/>
          <w:sz w:val="24"/>
          <w:szCs w:val="24"/>
        </w:rPr>
        <w:t>分。</w:t>
      </w:r>
    </w:p>
    <w:p w14:paraId="3873AFCD">
      <w:pPr>
        <w:numPr>
          <w:ilvl w:val="255"/>
          <w:numId w:val="0"/>
        </w:numPr>
        <w:spacing w:line="360" w:lineRule="auto"/>
        <w:rPr>
          <w:sz w:val="24"/>
          <w:szCs w:val="24"/>
        </w:rPr>
      </w:pPr>
      <w:r>
        <w:rPr>
          <w:rFonts w:ascii="Times New Roman" w:eastAsia="黑体"/>
          <w:b/>
          <w:bCs/>
          <w:sz w:val="24"/>
          <w:szCs w:val="24"/>
        </w:rPr>
        <w:t>6.2.</w:t>
      </w:r>
      <w:r>
        <w:rPr>
          <w:rFonts w:hint="default" w:ascii="Times New Roman" w:eastAsia="黑体"/>
          <w:b/>
          <w:bCs/>
          <w:sz w:val="24"/>
          <w:szCs w:val="24"/>
        </w:rPr>
        <w:t>7</w:t>
      </w:r>
      <w:r>
        <w:rPr>
          <w:rFonts w:hint="eastAsia"/>
          <w:sz w:val="24"/>
          <w:szCs w:val="24"/>
        </w:rPr>
        <w:t>　空调冷却水系统采用节水设备或技术，评价分值为</w:t>
      </w:r>
      <w:r>
        <w:rPr>
          <w:sz w:val="24"/>
          <w:szCs w:val="24"/>
        </w:rPr>
        <w:t>10</w:t>
      </w:r>
      <w:r>
        <w:rPr>
          <w:rFonts w:hint="eastAsia"/>
          <w:sz w:val="24"/>
          <w:szCs w:val="24"/>
        </w:rPr>
        <w:t>分。</w:t>
      </w:r>
    </w:p>
    <w:p w14:paraId="3EEBE5F1">
      <w:pPr>
        <w:numPr>
          <w:ilvl w:val="255"/>
          <w:numId w:val="0"/>
        </w:numPr>
        <w:spacing w:line="360" w:lineRule="auto"/>
        <w:rPr>
          <w:sz w:val="24"/>
          <w:szCs w:val="24"/>
        </w:rPr>
      </w:pPr>
      <w:r>
        <w:rPr>
          <w:rFonts w:ascii="Times New Roman" w:eastAsia="黑体"/>
          <w:b/>
          <w:bCs/>
          <w:sz w:val="24"/>
          <w:szCs w:val="24"/>
        </w:rPr>
        <w:t>6.2.8</w:t>
      </w:r>
      <w:r>
        <w:rPr>
          <w:rFonts w:hint="eastAsia"/>
          <w:sz w:val="24"/>
          <w:szCs w:val="24"/>
        </w:rPr>
        <w:t>　合理使用非传统水源，评价总分值为</w:t>
      </w:r>
      <w:r>
        <w:rPr>
          <w:sz w:val="24"/>
          <w:szCs w:val="24"/>
        </w:rPr>
        <w:t>10</w:t>
      </w:r>
      <w:r>
        <w:rPr>
          <w:rFonts w:hint="eastAsia"/>
          <w:sz w:val="24"/>
          <w:szCs w:val="24"/>
        </w:rPr>
        <w:t>分，并按下列规则分别评分并累计：</w:t>
      </w:r>
    </w:p>
    <w:p w14:paraId="6A80F4E9">
      <w:pPr>
        <w:spacing w:line="360" w:lineRule="auto"/>
        <w:ind w:firstLine="482" w:firstLineChars="200"/>
        <w:rPr>
          <w:sz w:val="24"/>
          <w:szCs w:val="24"/>
        </w:rPr>
      </w:pPr>
      <w:r>
        <w:rPr>
          <w:rFonts w:ascii="Times New Roman" w:eastAsia="黑体"/>
          <w:b/>
          <w:bCs/>
          <w:sz w:val="24"/>
          <w:szCs w:val="24"/>
        </w:rPr>
        <w:t>1</w:t>
      </w:r>
      <w:r>
        <w:rPr>
          <w:rFonts w:hint="eastAsia"/>
          <w:sz w:val="24"/>
          <w:szCs w:val="24"/>
        </w:rPr>
        <w:t>　冲厕、冷却水补水等采用非传统水源的用水量占其总用水量的比例不低于10%，得</w:t>
      </w:r>
      <w:r>
        <w:rPr>
          <w:sz w:val="24"/>
          <w:szCs w:val="24"/>
        </w:rPr>
        <w:t>5</w:t>
      </w:r>
      <w:r>
        <w:rPr>
          <w:rFonts w:hint="eastAsia"/>
          <w:sz w:val="24"/>
          <w:szCs w:val="24"/>
        </w:rPr>
        <w:t>分；</w:t>
      </w:r>
    </w:p>
    <w:p w14:paraId="3CAC654E">
      <w:pPr>
        <w:spacing w:line="360" w:lineRule="auto"/>
        <w:ind w:firstLine="482" w:firstLineChars="200"/>
        <w:rPr>
          <w:sz w:val="24"/>
          <w:szCs w:val="24"/>
        </w:rPr>
      </w:pPr>
      <w:r>
        <w:rPr>
          <w:rFonts w:ascii="Times New Roman" w:eastAsia="黑体"/>
          <w:b/>
          <w:bCs/>
          <w:sz w:val="24"/>
          <w:szCs w:val="24"/>
        </w:rPr>
        <w:t>2</w:t>
      </w:r>
      <w:r>
        <w:rPr>
          <w:rFonts w:hint="eastAsia"/>
          <w:sz w:val="24"/>
          <w:szCs w:val="24"/>
        </w:rPr>
        <w:t>　储水设施的清洗废水合理利用，得</w:t>
      </w:r>
      <w:r>
        <w:rPr>
          <w:sz w:val="24"/>
          <w:szCs w:val="24"/>
        </w:rPr>
        <w:t>5</w:t>
      </w:r>
      <w:r>
        <w:rPr>
          <w:rFonts w:hint="eastAsia"/>
          <w:sz w:val="24"/>
          <w:szCs w:val="24"/>
        </w:rPr>
        <w:t>分。</w:t>
      </w:r>
    </w:p>
    <w:p w14:paraId="0666F95A">
      <w:pPr>
        <w:spacing w:before="0" w:beforeLines="0" w:after="0" w:afterLines="0" w:line="360" w:lineRule="auto"/>
        <w:jc w:val="center"/>
        <w:outlineLvl w:val="2"/>
        <w:rPr>
          <w:rFonts w:hint="eastAsia" w:ascii="仿宋" w:hAnsi="仿宋" w:eastAsia="仿宋" w:cs="仿宋"/>
          <w:b/>
          <w:bCs/>
          <w:sz w:val="28"/>
          <w:szCs w:val="28"/>
          <w:lang w:eastAsia="zh-CN"/>
        </w:rPr>
      </w:pPr>
      <w:r>
        <w:rPr>
          <w:rFonts w:hint="eastAsia"/>
          <w:b/>
          <w:bCs/>
          <w:sz w:val="28"/>
          <w:szCs w:val="28"/>
        </w:rPr>
        <w:t xml:space="preserve">Ⅲ </w:t>
      </w:r>
      <w:r>
        <w:rPr>
          <w:rFonts w:hint="eastAsia" w:ascii="仿宋" w:hAnsi="仿宋" w:eastAsia="仿宋" w:cs="仿宋"/>
          <w:b/>
          <w:bCs/>
          <w:sz w:val="28"/>
          <w:szCs w:val="28"/>
        </w:rPr>
        <w:t>电气与智能化</w:t>
      </w:r>
    </w:p>
    <w:p w14:paraId="5E4E6912">
      <w:pPr>
        <w:numPr>
          <w:ilvl w:val="255"/>
          <w:numId w:val="0"/>
        </w:numPr>
        <w:spacing w:line="360" w:lineRule="auto"/>
        <w:rPr>
          <w:sz w:val="24"/>
          <w:szCs w:val="24"/>
        </w:rPr>
      </w:pPr>
      <w:r>
        <w:rPr>
          <w:rFonts w:ascii="Times New Roman" w:eastAsia="黑体"/>
          <w:b/>
          <w:bCs/>
          <w:sz w:val="24"/>
          <w:szCs w:val="24"/>
        </w:rPr>
        <w:t>6.2.9</w:t>
      </w:r>
      <w:r>
        <w:rPr>
          <w:rFonts w:hint="eastAsia"/>
          <w:sz w:val="24"/>
          <w:szCs w:val="24"/>
        </w:rPr>
        <w:t>　结合改造后室内天然采光效果，合理设计建筑照明系统，评价总分值为</w:t>
      </w:r>
      <w:r>
        <w:rPr>
          <w:sz w:val="24"/>
          <w:szCs w:val="24"/>
        </w:rPr>
        <w:t>20</w:t>
      </w:r>
      <w:r>
        <w:rPr>
          <w:rFonts w:hint="eastAsia"/>
          <w:sz w:val="24"/>
          <w:szCs w:val="24"/>
        </w:rPr>
        <w:t>分，并按下列规则分别评分并累计：</w:t>
      </w:r>
    </w:p>
    <w:p w14:paraId="7B35B782">
      <w:pPr>
        <w:spacing w:line="360" w:lineRule="auto"/>
        <w:ind w:firstLine="482" w:firstLineChars="200"/>
        <w:rPr>
          <w:sz w:val="24"/>
          <w:szCs w:val="24"/>
        </w:rPr>
      </w:pPr>
      <w:r>
        <w:rPr>
          <w:rFonts w:ascii="Times New Roman" w:eastAsia="黑体"/>
          <w:b/>
          <w:bCs/>
          <w:sz w:val="24"/>
          <w:szCs w:val="24"/>
        </w:rPr>
        <w:t>1</w:t>
      </w:r>
      <w:r>
        <w:rPr>
          <w:rFonts w:hint="eastAsia"/>
          <w:sz w:val="24"/>
          <w:szCs w:val="24"/>
        </w:rPr>
        <w:t>　照明灯具位置及配电结合原保留工业建筑的天窗排列方向布置室内照明灯具，并采取同一分支回路配电，得</w:t>
      </w:r>
      <w:r>
        <w:rPr>
          <w:sz w:val="24"/>
          <w:szCs w:val="24"/>
        </w:rPr>
        <w:t>10</w:t>
      </w:r>
      <w:r>
        <w:rPr>
          <w:rFonts w:hint="eastAsia"/>
          <w:sz w:val="24"/>
          <w:szCs w:val="24"/>
        </w:rPr>
        <w:t>分；</w:t>
      </w:r>
    </w:p>
    <w:p w14:paraId="37FA5C52">
      <w:pPr>
        <w:spacing w:line="360" w:lineRule="auto"/>
        <w:ind w:firstLine="482" w:firstLineChars="200"/>
        <w:rPr>
          <w:sz w:val="24"/>
          <w:szCs w:val="24"/>
        </w:rPr>
      </w:pPr>
      <w:r>
        <w:rPr>
          <w:rFonts w:ascii="Times New Roman" w:eastAsia="黑体"/>
          <w:b/>
          <w:bCs/>
          <w:sz w:val="24"/>
          <w:szCs w:val="24"/>
        </w:rPr>
        <w:t>2</w:t>
      </w:r>
      <w:r>
        <w:rPr>
          <w:rFonts w:hint="eastAsia"/>
          <w:sz w:val="24"/>
          <w:szCs w:val="24"/>
        </w:rPr>
        <w:t>　临窗的灯具控制与不临窗空间的灯具区分，得</w:t>
      </w:r>
      <w:r>
        <w:rPr>
          <w:sz w:val="24"/>
          <w:szCs w:val="24"/>
        </w:rPr>
        <w:t>10</w:t>
      </w:r>
      <w:r>
        <w:rPr>
          <w:rFonts w:hint="eastAsia"/>
          <w:sz w:val="24"/>
          <w:szCs w:val="24"/>
        </w:rPr>
        <w:t>分；</w:t>
      </w:r>
    </w:p>
    <w:p w14:paraId="6F394282">
      <w:pPr>
        <w:numPr>
          <w:ilvl w:val="255"/>
          <w:numId w:val="0"/>
        </w:numPr>
        <w:spacing w:line="360" w:lineRule="auto"/>
        <w:rPr>
          <w:sz w:val="24"/>
          <w:szCs w:val="24"/>
        </w:rPr>
      </w:pPr>
      <w:r>
        <w:rPr>
          <w:rFonts w:ascii="Times New Roman" w:eastAsia="黑体"/>
          <w:b/>
          <w:bCs/>
          <w:sz w:val="24"/>
          <w:szCs w:val="24"/>
        </w:rPr>
        <w:t>6.2.10</w:t>
      </w:r>
      <w:r>
        <w:rPr>
          <w:rFonts w:hint="eastAsia"/>
          <w:sz w:val="24"/>
          <w:szCs w:val="24"/>
        </w:rPr>
        <w:t>　采用节能型照明灯具及节能控制措施，评价总分值为</w:t>
      </w:r>
      <w:r>
        <w:rPr>
          <w:sz w:val="24"/>
          <w:szCs w:val="24"/>
        </w:rPr>
        <w:t>25</w:t>
      </w:r>
      <w:r>
        <w:rPr>
          <w:rFonts w:hint="eastAsia"/>
          <w:sz w:val="24"/>
          <w:szCs w:val="24"/>
        </w:rPr>
        <w:t>分，并按下列规则分别评分并累计：</w:t>
      </w:r>
    </w:p>
    <w:p w14:paraId="6C6F9FA9">
      <w:pPr>
        <w:spacing w:line="360" w:lineRule="auto"/>
        <w:ind w:firstLine="482" w:firstLineChars="200"/>
        <w:rPr>
          <w:sz w:val="24"/>
          <w:szCs w:val="24"/>
        </w:rPr>
      </w:pPr>
      <w:r>
        <w:rPr>
          <w:rFonts w:ascii="Times New Roman" w:eastAsia="黑体"/>
          <w:b/>
          <w:bCs/>
          <w:sz w:val="24"/>
          <w:szCs w:val="24"/>
        </w:rPr>
        <w:t>1</w:t>
      </w:r>
      <w:r>
        <w:rPr>
          <w:rFonts w:hint="eastAsia"/>
          <w:sz w:val="24"/>
          <w:szCs w:val="24"/>
        </w:rPr>
        <w:t>　主要功能房间的照明功率密度值达到现行国家标准《建筑照明设计标准》GB</w:t>
      </w:r>
      <w:r>
        <w:rPr>
          <w:sz w:val="24"/>
          <w:szCs w:val="24"/>
        </w:rPr>
        <w:t xml:space="preserve">/T </w:t>
      </w:r>
      <w:r>
        <w:rPr>
          <w:rFonts w:hint="eastAsia"/>
          <w:sz w:val="24"/>
          <w:szCs w:val="24"/>
        </w:rPr>
        <w:t>50034规定的目标值，得</w:t>
      </w:r>
      <w:r>
        <w:rPr>
          <w:sz w:val="24"/>
          <w:szCs w:val="24"/>
        </w:rPr>
        <w:t>5</w:t>
      </w:r>
      <w:r>
        <w:rPr>
          <w:rFonts w:hint="eastAsia"/>
          <w:sz w:val="24"/>
          <w:szCs w:val="24"/>
        </w:rPr>
        <w:t>分；</w:t>
      </w:r>
    </w:p>
    <w:p w14:paraId="4DBDAF4F">
      <w:pPr>
        <w:spacing w:line="360" w:lineRule="auto"/>
        <w:ind w:firstLine="482" w:firstLineChars="200"/>
        <w:rPr>
          <w:sz w:val="24"/>
          <w:szCs w:val="24"/>
        </w:rPr>
      </w:pPr>
      <w:r>
        <w:rPr>
          <w:rFonts w:ascii="Times New Roman" w:eastAsia="黑体"/>
          <w:b/>
          <w:bCs/>
          <w:sz w:val="24"/>
          <w:szCs w:val="24"/>
        </w:rPr>
        <w:t>2</w:t>
      </w:r>
      <w:r>
        <w:rPr>
          <w:rFonts w:hint="eastAsia"/>
          <w:sz w:val="24"/>
          <w:szCs w:val="24"/>
        </w:rPr>
        <w:t>　照明产品、三相配电变压器、水泵、风机等主要设备的能效等级达到国家现行有关能效标准规定的2级及以上要求，每1类设备得</w:t>
      </w:r>
      <w:r>
        <w:rPr>
          <w:sz w:val="24"/>
          <w:szCs w:val="24"/>
        </w:rPr>
        <w:t>3</w:t>
      </w:r>
      <w:r>
        <w:rPr>
          <w:rFonts w:hint="eastAsia"/>
          <w:sz w:val="24"/>
          <w:szCs w:val="24"/>
        </w:rPr>
        <w:t>分，最多得</w:t>
      </w:r>
      <w:r>
        <w:rPr>
          <w:sz w:val="24"/>
          <w:szCs w:val="24"/>
        </w:rPr>
        <w:t>10</w:t>
      </w:r>
      <w:r>
        <w:rPr>
          <w:rFonts w:hint="eastAsia"/>
          <w:sz w:val="24"/>
          <w:szCs w:val="24"/>
        </w:rPr>
        <w:t>分；</w:t>
      </w:r>
    </w:p>
    <w:p w14:paraId="3E32F35C">
      <w:pPr>
        <w:spacing w:line="360" w:lineRule="auto"/>
        <w:ind w:firstLine="482" w:firstLineChars="200"/>
        <w:rPr>
          <w:sz w:val="24"/>
          <w:szCs w:val="24"/>
        </w:rPr>
      </w:pPr>
      <w:r>
        <w:rPr>
          <w:rFonts w:ascii="Times New Roman" w:eastAsia="黑体"/>
          <w:b/>
          <w:bCs/>
          <w:sz w:val="24"/>
          <w:szCs w:val="24"/>
        </w:rPr>
        <w:t>3</w:t>
      </w:r>
      <w:r>
        <w:rPr>
          <w:rFonts w:hint="eastAsia"/>
          <w:sz w:val="24"/>
          <w:szCs w:val="24"/>
        </w:rPr>
        <w:t>　公共区域照明采用分区和分组控制，得</w:t>
      </w:r>
      <w:r>
        <w:rPr>
          <w:sz w:val="24"/>
          <w:szCs w:val="24"/>
        </w:rPr>
        <w:t>5</w:t>
      </w:r>
      <w:r>
        <w:rPr>
          <w:rFonts w:hint="eastAsia"/>
          <w:sz w:val="24"/>
          <w:szCs w:val="24"/>
        </w:rPr>
        <w:t>分；</w:t>
      </w:r>
    </w:p>
    <w:p w14:paraId="66B5B383">
      <w:pPr>
        <w:spacing w:line="360" w:lineRule="auto"/>
        <w:ind w:firstLine="482" w:firstLineChars="200"/>
        <w:rPr>
          <w:sz w:val="24"/>
          <w:szCs w:val="24"/>
        </w:rPr>
      </w:pPr>
      <w:r>
        <w:rPr>
          <w:rFonts w:ascii="Times New Roman" w:eastAsia="黑体"/>
          <w:b/>
          <w:bCs/>
          <w:sz w:val="24"/>
          <w:szCs w:val="24"/>
        </w:rPr>
        <w:t>4</w:t>
      </w:r>
      <w:r>
        <w:rPr>
          <w:rFonts w:hint="eastAsia"/>
          <w:sz w:val="24"/>
          <w:szCs w:val="24"/>
        </w:rPr>
        <w:t>　采用自动降低照度控制措施，得</w:t>
      </w:r>
      <w:r>
        <w:rPr>
          <w:sz w:val="24"/>
          <w:szCs w:val="24"/>
        </w:rPr>
        <w:t>5</w:t>
      </w:r>
      <w:r>
        <w:rPr>
          <w:rFonts w:hint="eastAsia"/>
          <w:sz w:val="24"/>
          <w:szCs w:val="24"/>
        </w:rPr>
        <w:t>分。</w:t>
      </w:r>
    </w:p>
    <w:p w14:paraId="45E70DA4">
      <w:pPr>
        <w:numPr>
          <w:ilvl w:val="255"/>
          <w:numId w:val="0"/>
        </w:numPr>
        <w:spacing w:line="360" w:lineRule="auto"/>
        <w:rPr>
          <w:sz w:val="24"/>
          <w:szCs w:val="24"/>
        </w:rPr>
      </w:pPr>
      <w:r>
        <w:rPr>
          <w:rFonts w:ascii="Times New Roman" w:eastAsia="黑体"/>
          <w:b/>
          <w:bCs/>
          <w:sz w:val="24"/>
          <w:szCs w:val="24"/>
        </w:rPr>
        <w:t>6.2.11</w:t>
      </w:r>
      <w:r>
        <w:rPr>
          <w:rFonts w:hint="eastAsia"/>
          <w:sz w:val="24"/>
          <w:szCs w:val="24"/>
        </w:rPr>
        <w:t>　电气设备能效和电能质量评价，总分值</w:t>
      </w:r>
      <w:r>
        <w:rPr>
          <w:sz w:val="24"/>
          <w:szCs w:val="24"/>
        </w:rPr>
        <w:t>20</w:t>
      </w:r>
      <w:r>
        <w:rPr>
          <w:rFonts w:hint="eastAsia"/>
          <w:sz w:val="24"/>
          <w:szCs w:val="24"/>
        </w:rPr>
        <w:t>分，满足下列要求中的3项，得</w:t>
      </w:r>
      <w:r>
        <w:rPr>
          <w:sz w:val="24"/>
          <w:szCs w:val="24"/>
        </w:rPr>
        <w:t>12</w:t>
      </w:r>
      <w:r>
        <w:rPr>
          <w:rFonts w:hint="eastAsia"/>
          <w:sz w:val="24"/>
          <w:szCs w:val="24"/>
        </w:rPr>
        <w:t>分，满足5项以上，得</w:t>
      </w:r>
      <w:r>
        <w:rPr>
          <w:sz w:val="24"/>
          <w:szCs w:val="24"/>
        </w:rPr>
        <w:t>20</w:t>
      </w:r>
      <w:r>
        <w:rPr>
          <w:rFonts w:hint="eastAsia"/>
          <w:sz w:val="24"/>
          <w:szCs w:val="24"/>
        </w:rPr>
        <w:t>分。</w:t>
      </w:r>
    </w:p>
    <w:p w14:paraId="7F9A5F0F">
      <w:pPr>
        <w:spacing w:line="360" w:lineRule="auto"/>
        <w:ind w:firstLine="482" w:firstLineChars="200"/>
        <w:rPr>
          <w:sz w:val="24"/>
          <w:szCs w:val="24"/>
        </w:rPr>
      </w:pPr>
      <w:r>
        <w:rPr>
          <w:rFonts w:ascii="Times New Roman" w:eastAsia="黑体"/>
          <w:b/>
          <w:bCs/>
          <w:sz w:val="24"/>
          <w:szCs w:val="24"/>
        </w:rPr>
        <w:t>1</w:t>
      </w:r>
      <w:r>
        <w:rPr>
          <w:rFonts w:hint="eastAsia"/>
          <w:sz w:val="24"/>
          <w:szCs w:val="24"/>
        </w:rPr>
        <w:t>　暖通设备能效符合相关产品节能评价要求且循环泵电动机能效达到现行国家标准《中小型三相异步电动机能效限定值及能效等级》GB</w:t>
      </w:r>
      <w:r>
        <w:rPr>
          <w:rFonts w:hint="eastAsia"/>
          <w:sz w:val="24"/>
          <w:szCs w:val="24"/>
          <w:lang w:val="en-US" w:eastAsia="zh-CN"/>
        </w:rPr>
        <w:t xml:space="preserve"> </w:t>
      </w:r>
      <w:r>
        <w:rPr>
          <w:rFonts w:hint="eastAsia"/>
          <w:sz w:val="24"/>
          <w:szCs w:val="24"/>
        </w:rPr>
        <w:t>18613规定的能效2级；</w:t>
      </w:r>
    </w:p>
    <w:p w14:paraId="50D841BA">
      <w:pPr>
        <w:spacing w:line="360" w:lineRule="auto"/>
        <w:ind w:firstLine="482" w:firstLineChars="200"/>
        <w:rPr>
          <w:sz w:val="24"/>
          <w:szCs w:val="24"/>
        </w:rPr>
      </w:pPr>
      <w:r>
        <w:rPr>
          <w:rFonts w:ascii="Times New Roman" w:eastAsia="黑体"/>
          <w:b/>
          <w:bCs/>
          <w:sz w:val="24"/>
          <w:szCs w:val="24"/>
        </w:rPr>
        <w:t>2</w:t>
      </w:r>
      <w:r>
        <w:rPr>
          <w:rFonts w:hint="eastAsia"/>
          <w:sz w:val="24"/>
          <w:szCs w:val="24"/>
        </w:rPr>
        <w:t>　给水排水系统水泵电动机效率达到现行国家标准《中小型三相异步电动机能效限定值及能效等级》GB</w:t>
      </w:r>
      <w:r>
        <w:rPr>
          <w:rFonts w:hint="eastAsia"/>
          <w:sz w:val="24"/>
          <w:szCs w:val="24"/>
          <w:lang w:val="en-US" w:eastAsia="zh-CN"/>
        </w:rPr>
        <w:t xml:space="preserve"> </w:t>
      </w:r>
      <w:r>
        <w:rPr>
          <w:rFonts w:hint="eastAsia"/>
          <w:sz w:val="24"/>
          <w:szCs w:val="24"/>
        </w:rPr>
        <w:t>18613规定的能效2级；</w:t>
      </w:r>
    </w:p>
    <w:p w14:paraId="77E98401">
      <w:pPr>
        <w:spacing w:line="360" w:lineRule="auto"/>
        <w:ind w:firstLine="723" w:firstLineChars="300"/>
        <w:rPr>
          <w:sz w:val="24"/>
          <w:szCs w:val="24"/>
        </w:rPr>
      </w:pPr>
      <w:r>
        <w:rPr>
          <w:rFonts w:ascii="Times New Roman" w:eastAsia="黑体"/>
          <w:b/>
          <w:bCs/>
          <w:sz w:val="24"/>
          <w:szCs w:val="24"/>
        </w:rPr>
        <w:t>3</w:t>
      </w:r>
      <w:r>
        <w:rPr>
          <w:rFonts w:hint="eastAsia"/>
          <w:sz w:val="24"/>
          <w:szCs w:val="24"/>
        </w:rPr>
        <w:t>　充电基础设施能源利用流程中的变电效率、输电效率、充电场所设施效率、外部充电效率的乘积，室外设施综合能效不得低于0.8，室内设施综合能效不得低于0.85；</w:t>
      </w:r>
    </w:p>
    <w:p w14:paraId="54EF1939">
      <w:pPr>
        <w:spacing w:line="360" w:lineRule="auto"/>
        <w:ind w:firstLine="482" w:firstLineChars="200"/>
        <w:rPr>
          <w:sz w:val="24"/>
          <w:szCs w:val="24"/>
        </w:rPr>
      </w:pPr>
      <w:r>
        <w:rPr>
          <w:rFonts w:ascii="Times New Roman" w:eastAsia="黑体"/>
          <w:b/>
          <w:bCs/>
          <w:sz w:val="24"/>
          <w:szCs w:val="24"/>
        </w:rPr>
        <w:t>4</w:t>
      </w:r>
      <w:r>
        <w:rPr>
          <w:rFonts w:hint="eastAsia"/>
          <w:sz w:val="24"/>
          <w:szCs w:val="24"/>
        </w:rPr>
        <w:t>　配电变压器能效达到现行国家标准《三相配电变压器能效限定值及能效等级》GB</w:t>
      </w:r>
      <w:r>
        <w:rPr>
          <w:sz w:val="24"/>
          <w:szCs w:val="24"/>
        </w:rPr>
        <w:t xml:space="preserve"> </w:t>
      </w:r>
      <w:r>
        <w:rPr>
          <w:rFonts w:hint="eastAsia"/>
          <w:sz w:val="24"/>
          <w:szCs w:val="24"/>
        </w:rPr>
        <w:t>20052规定的能效2级；</w:t>
      </w:r>
    </w:p>
    <w:p w14:paraId="02AD5B50">
      <w:pPr>
        <w:spacing w:line="360" w:lineRule="auto"/>
        <w:ind w:firstLine="482" w:firstLineChars="200"/>
        <w:rPr>
          <w:sz w:val="24"/>
          <w:szCs w:val="24"/>
        </w:rPr>
      </w:pPr>
      <w:r>
        <w:rPr>
          <w:rFonts w:ascii="Times New Roman" w:eastAsia="黑体"/>
          <w:b/>
          <w:bCs/>
          <w:sz w:val="24"/>
          <w:szCs w:val="24"/>
        </w:rPr>
        <w:t>5</w:t>
      </w:r>
      <w:r>
        <w:rPr>
          <w:rFonts w:hint="eastAsia"/>
          <w:sz w:val="24"/>
          <w:szCs w:val="24"/>
        </w:rPr>
        <w:t>　三相负荷平衡分配，实现配电系统三相负荷的不平衡度小于15%；</w:t>
      </w:r>
    </w:p>
    <w:p w14:paraId="5A5C86BB">
      <w:pPr>
        <w:spacing w:line="360" w:lineRule="auto"/>
        <w:ind w:firstLine="482" w:firstLineChars="200"/>
        <w:rPr>
          <w:sz w:val="24"/>
          <w:szCs w:val="24"/>
        </w:rPr>
      </w:pPr>
      <w:r>
        <w:rPr>
          <w:rFonts w:ascii="Times New Roman" w:eastAsia="黑体"/>
          <w:b/>
          <w:bCs/>
          <w:sz w:val="24"/>
          <w:szCs w:val="24"/>
        </w:rPr>
        <w:t>6</w:t>
      </w:r>
      <w:r>
        <w:rPr>
          <w:rFonts w:hint="eastAsia"/>
          <w:sz w:val="24"/>
          <w:szCs w:val="24"/>
        </w:rPr>
        <w:t>　配套商业网点的经营，监控等重要负荷采用交流不间断电源或直流备用电源。</w:t>
      </w:r>
    </w:p>
    <w:p w14:paraId="37A1B648">
      <w:pPr>
        <w:numPr>
          <w:ilvl w:val="255"/>
          <w:numId w:val="0"/>
        </w:numPr>
        <w:spacing w:line="360" w:lineRule="auto"/>
        <w:rPr>
          <w:sz w:val="24"/>
          <w:szCs w:val="24"/>
        </w:rPr>
      </w:pPr>
      <w:r>
        <w:rPr>
          <w:rFonts w:ascii="Times New Roman" w:eastAsia="黑体"/>
          <w:b/>
          <w:bCs/>
          <w:sz w:val="24"/>
          <w:szCs w:val="24"/>
        </w:rPr>
        <w:t>6.2.12</w:t>
      </w:r>
      <w:r>
        <w:rPr>
          <w:rFonts w:hint="eastAsia"/>
          <w:sz w:val="24"/>
          <w:szCs w:val="24"/>
        </w:rPr>
        <w:t>　设置建筑设备监控系统，对建筑内主要设备包括冷热源、供暖通风和空气调节、给水排水、供配电、照明、电梯等多专业系统与设备进行监控，符合现行国家标准《智能建筑设计标准》GB</w:t>
      </w:r>
      <w:r>
        <w:rPr>
          <w:sz w:val="24"/>
          <w:szCs w:val="24"/>
        </w:rPr>
        <w:t xml:space="preserve"> </w:t>
      </w:r>
      <w:r>
        <w:rPr>
          <w:rFonts w:hint="eastAsia"/>
          <w:sz w:val="24"/>
          <w:szCs w:val="24"/>
        </w:rPr>
        <w:t>50314的规定，总分值15分，按下列规则分别评分并累计：</w:t>
      </w:r>
    </w:p>
    <w:p w14:paraId="14D66083">
      <w:pPr>
        <w:spacing w:line="360" w:lineRule="auto"/>
        <w:ind w:firstLine="482" w:firstLineChars="200"/>
        <w:rPr>
          <w:sz w:val="24"/>
          <w:szCs w:val="24"/>
        </w:rPr>
      </w:pPr>
      <w:r>
        <w:rPr>
          <w:rFonts w:ascii="Times New Roman" w:eastAsia="黑体"/>
          <w:b/>
          <w:bCs/>
          <w:sz w:val="24"/>
          <w:szCs w:val="24"/>
        </w:rPr>
        <w:t>1</w:t>
      </w:r>
      <w:r>
        <w:rPr>
          <w:rFonts w:hint="eastAsia"/>
          <w:sz w:val="24"/>
          <w:szCs w:val="24"/>
        </w:rPr>
        <w:t>　采用冷热源监控，得2分；</w:t>
      </w:r>
    </w:p>
    <w:p w14:paraId="485AD55D">
      <w:pPr>
        <w:spacing w:line="360" w:lineRule="auto"/>
        <w:ind w:firstLine="482" w:firstLineChars="200"/>
        <w:rPr>
          <w:sz w:val="24"/>
          <w:szCs w:val="24"/>
        </w:rPr>
      </w:pPr>
      <w:r>
        <w:rPr>
          <w:rFonts w:ascii="Times New Roman" w:eastAsia="黑体"/>
          <w:b/>
          <w:bCs/>
          <w:sz w:val="24"/>
          <w:szCs w:val="24"/>
        </w:rPr>
        <w:t>2</w:t>
      </w:r>
      <w:r>
        <w:rPr>
          <w:rFonts w:hint="eastAsia"/>
          <w:sz w:val="24"/>
          <w:szCs w:val="24"/>
        </w:rPr>
        <w:t>　采用暖通空调设备监控，得2分；</w:t>
      </w:r>
    </w:p>
    <w:p w14:paraId="61AE25C1">
      <w:pPr>
        <w:spacing w:line="360" w:lineRule="auto"/>
        <w:ind w:firstLine="482" w:firstLineChars="200"/>
        <w:rPr>
          <w:sz w:val="24"/>
          <w:szCs w:val="24"/>
        </w:rPr>
      </w:pPr>
      <w:r>
        <w:rPr>
          <w:rFonts w:ascii="Times New Roman" w:eastAsia="黑体"/>
          <w:b/>
          <w:bCs/>
          <w:sz w:val="24"/>
          <w:szCs w:val="24"/>
        </w:rPr>
        <w:t>3</w:t>
      </w:r>
      <w:r>
        <w:rPr>
          <w:rFonts w:hint="eastAsia"/>
          <w:sz w:val="24"/>
          <w:szCs w:val="24"/>
        </w:rPr>
        <w:t>　采用给水排水设备监控，得2分；</w:t>
      </w:r>
    </w:p>
    <w:p w14:paraId="025FA450">
      <w:pPr>
        <w:spacing w:line="360" w:lineRule="auto"/>
        <w:ind w:firstLine="482" w:firstLineChars="200"/>
        <w:rPr>
          <w:sz w:val="24"/>
          <w:szCs w:val="24"/>
        </w:rPr>
      </w:pPr>
      <w:r>
        <w:rPr>
          <w:rFonts w:ascii="Times New Roman" w:eastAsia="黑体"/>
          <w:b/>
          <w:bCs/>
          <w:sz w:val="24"/>
          <w:szCs w:val="24"/>
        </w:rPr>
        <w:t>4</w:t>
      </w:r>
      <w:r>
        <w:rPr>
          <w:rFonts w:hint="eastAsia"/>
          <w:sz w:val="24"/>
          <w:szCs w:val="24"/>
        </w:rPr>
        <w:t>　采用电力监测和分项计量，得2分；</w:t>
      </w:r>
    </w:p>
    <w:p w14:paraId="25AE0156">
      <w:pPr>
        <w:spacing w:line="360" w:lineRule="auto"/>
        <w:ind w:firstLine="482" w:firstLineChars="200"/>
        <w:rPr>
          <w:sz w:val="24"/>
          <w:szCs w:val="24"/>
        </w:rPr>
      </w:pPr>
      <w:r>
        <w:rPr>
          <w:rFonts w:ascii="Times New Roman" w:eastAsia="黑体"/>
          <w:b/>
          <w:bCs/>
          <w:sz w:val="24"/>
          <w:szCs w:val="24"/>
        </w:rPr>
        <w:t>5</w:t>
      </w:r>
      <w:r>
        <w:rPr>
          <w:rFonts w:hint="eastAsia"/>
          <w:sz w:val="24"/>
          <w:szCs w:val="24"/>
        </w:rPr>
        <w:t>　采用智能照明控制，得2分；</w:t>
      </w:r>
    </w:p>
    <w:p w14:paraId="791FA385">
      <w:pPr>
        <w:spacing w:line="360" w:lineRule="auto"/>
        <w:ind w:firstLine="482" w:firstLineChars="200"/>
        <w:rPr>
          <w:sz w:val="24"/>
          <w:szCs w:val="24"/>
          <w:highlight w:val="none"/>
        </w:rPr>
      </w:pPr>
      <w:r>
        <w:rPr>
          <w:rFonts w:ascii="Times New Roman" w:eastAsia="黑体"/>
          <w:b/>
          <w:bCs/>
          <w:sz w:val="24"/>
          <w:szCs w:val="24"/>
          <w:highlight w:val="none"/>
        </w:rPr>
        <w:t>6</w:t>
      </w:r>
      <w:r>
        <w:rPr>
          <w:rFonts w:hint="eastAsia"/>
          <w:sz w:val="24"/>
          <w:szCs w:val="24"/>
          <w:highlight w:val="none"/>
        </w:rPr>
        <w:t>　采用电梯智能控制，得2分；</w:t>
      </w:r>
    </w:p>
    <w:p w14:paraId="463DDDF2">
      <w:pPr>
        <w:spacing w:line="360" w:lineRule="auto"/>
        <w:ind w:firstLine="482" w:firstLineChars="200"/>
        <w:rPr>
          <w:sz w:val="24"/>
          <w:szCs w:val="24"/>
        </w:rPr>
      </w:pPr>
      <w:r>
        <w:rPr>
          <w:rFonts w:hint="default" w:ascii="Times New Roman" w:eastAsia="黑体"/>
          <w:b/>
          <w:bCs/>
          <w:sz w:val="24"/>
          <w:szCs w:val="24"/>
        </w:rPr>
        <w:t>7</w:t>
      </w:r>
      <w:r>
        <w:rPr>
          <w:rFonts w:hint="eastAsia"/>
          <w:sz w:val="24"/>
          <w:szCs w:val="24"/>
        </w:rPr>
        <w:t>　系统运行数据保存不少于1年，得</w:t>
      </w:r>
      <w:r>
        <w:rPr>
          <w:sz w:val="24"/>
          <w:szCs w:val="24"/>
        </w:rPr>
        <w:t>3</w:t>
      </w:r>
      <w:r>
        <w:rPr>
          <w:rFonts w:hint="eastAsia"/>
          <w:sz w:val="24"/>
          <w:szCs w:val="24"/>
        </w:rPr>
        <w:t>分。</w:t>
      </w:r>
    </w:p>
    <w:p w14:paraId="4614B4DE">
      <w:pPr>
        <w:numPr>
          <w:ilvl w:val="255"/>
          <w:numId w:val="0"/>
        </w:numPr>
        <w:spacing w:line="360" w:lineRule="auto"/>
        <w:rPr>
          <w:sz w:val="24"/>
          <w:szCs w:val="24"/>
        </w:rPr>
      </w:pPr>
      <w:r>
        <w:rPr>
          <w:rFonts w:ascii="Times New Roman" w:eastAsia="黑体"/>
          <w:b/>
          <w:bCs/>
          <w:sz w:val="24"/>
          <w:szCs w:val="24"/>
        </w:rPr>
        <w:t>6.2.13</w:t>
      </w:r>
      <w:r>
        <w:rPr>
          <w:rFonts w:hint="eastAsia"/>
          <w:sz w:val="24"/>
          <w:szCs w:val="24"/>
        </w:rPr>
        <w:t>　采用提升建筑功能和运行水平的智能技术，评价总分值为</w:t>
      </w:r>
      <w:r>
        <w:rPr>
          <w:sz w:val="24"/>
          <w:szCs w:val="24"/>
        </w:rPr>
        <w:t>15</w:t>
      </w:r>
      <w:r>
        <w:rPr>
          <w:rFonts w:hint="eastAsia"/>
          <w:sz w:val="24"/>
          <w:szCs w:val="24"/>
        </w:rPr>
        <w:t>分。并按下列规则分别评分并累计：</w:t>
      </w:r>
    </w:p>
    <w:p w14:paraId="1062370A">
      <w:pPr>
        <w:numPr>
          <w:ilvl w:val="255"/>
          <w:numId w:val="0"/>
        </w:numPr>
        <w:spacing w:line="360" w:lineRule="auto"/>
        <w:ind w:firstLine="482" w:firstLineChars="200"/>
        <w:rPr>
          <w:sz w:val="24"/>
          <w:szCs w:val="24"/>
        </w:rPr>
      </w:pPr>
      <w:r>
        <w:rPr>
          <w:rFonts w:ascii="Times New Roman" w:eastAsia="黑体"/>
          <w:b/>
          <w:bCs/>
          <w:sz w:val="24"/>
          <w:szCs w:val="24"/>
        </w:rPr>
        <w:t>1</w:t>
      </w:r>
      <w:r>
        <w:rPr>
          <w:rFonts w:hint="eastAsia"/>
          <w:sz w:val="24"/>
          <w:szCs w:val="24"/>
        </w:rPr>
        <w:t xml:space="preserve">　电能监测与计量采用数字式智能仪表，并通过网络传输到物业或上级主机，得5分； </w:t>
      </w:r>
    </w:p>
    <w:p w14:paraId="0263D724">
      <w:pPr>
        <w:numPr>
          <w:ilvl w:val="255"/>
          <w:numId w:val="0"/>
        </w:numPr>
        <w:spacing w:line="360" w:lineRule="auto"/>
        <w:ind w:firstLine="482" w:firstLineChars="200"/>
        <w:rPr>
          <w:sz w:val="24"/>
          <w:szCs w:val="24"/>
        </w:rPr>
      </w:pPr>
      <w:r>
        <w:rPr>
          <w:rFonts w:ascii="Times New Roman" w:eastAsia="黑体"/>
          <w:b/>
          <w:bCs/>
          <w:sz w:val="24"/>
          <w:szCs w:val="24"/>
        </w:rPr>
        <w:t>2</w:t>
      </w:r>
      <w:r>
        <w:rPr>
          <w:rFonts w:hint="eastAsia"/>
          <w:sz w:val="24"/>
          <w:szCs w:val="24"/>
        </w:rPr>
        <w:t>　采用综合布线和直流微网配电系统，得</w:t>
      </w:r>
      <w:r>
        <w:rPr>
          <w:sz w:val="24"/>
          <w:szCs w:val="24"/>
        </w:rPr>
        <w:t>10</w:t>
      </w:r>
      <w:r>
        <w:rPr>
          <w:rFonts w:hint="eastAsia"/>
          <w:sz w:val="24"/>
          <w:szCs w:val="24"/>
        </w:rPr>
        <w:t xml:space="preserve">分。 </w:t>
      </w:r>
    </w:p>
    <w:p w14:paraId="0A869616">
      <w:pPr>
        <w:numPr>
          <w:ilvl w:val="255"/>
          <w:numId w:val="0"/>
        </w:numPr>
        <w:ind w:firstLine="420" w:firstLineChars="200"/>
        <w:rPr>
          <w:rFonts w:ascii="仿宋" w:hAnsi="仿宋" w:eastAsia="仿宋" w:cs="仿宋"/>
        </w:rPr>
      </w:pPr>
    </w:p>
    <w:p w14:paraId="7167B393">
      <w:pPr>
        <w:numPr>
          <w:ilvl w:val="255"/>
          <w:numId w:val="0"/>
        </w:numPr>
        <w:ind w:firstLine="420" w:firstLineChars="200"/>
        <w:rPr>
          <w:rFonts w:ascii="仿宋" w:hAnsi="仿宋" w:eastAsia="仿宋" w:cs="仿宋"/>
        </w:rPr>
        <w:sectPr>
          <w:pgSz w:w="11906" w:h="16838"/>
          <w:pgMar w:top="1440" w:right="1800" w:bottom="1440" w:left="1800" w:header="851" w:footer="992" w:gutter="0"/>
          <w:cols w:space="425" w:num="1"/>
          <w:docGrid w:type="lines" w:linePitch="312" w:charSpace="0"/>
        </w:sectPr>
      </w:pPr>
    </w:p>
    <w:p w14:paraId="6961736A">
      <w:pPr>
        <w:widowControl/>
        <w:snapToGrid w:val="0"/>
        <w:spacing w:line="360" w:lineRule="auto"/>
        <w:jc w:val="center"/>
        <w:outlineLvl w:val="9"/>
        <w:rPr>
          <w:rFonts w:hint="default" w:ascii="Times New Roman" w:hAnsi="Times New Roman" w:cs="Times New Roman"/>
          <w:b/>
          <w:bCs/>
          <w:kern w:val="44"/>
          <w:sz w:val="30"/>
          <w:szCs w:val="30"/>
        </w:rPr>
      </w:pPr>
      <w:bookmarkStart w:id="134" w:name="_Toc10674"/>
    </w:p>
    <w:p w14:paraId="3BC75343">
      <w:pPr>
        <w:widowControl/>
        <w:snapToGrid w:val="0"/>
        <w:spacing w:line="360" w:lineRule="auto"/>
        <w:jc w:val="center"/>
        <w:outlineLvl w:val="0"/>
        <w:rPr>
          <w:rFonts w:hint="eastAsia" w:ascii="宋体" w:hAnsi="宋体" w:eastAsia="宋体" w:cs="宋体"/>
          <w:b/>
          <w:bCs/>
          <w:kern w:val="44"/>
          <w:sz w:val="30"/>
          <w:szCs w:val="30"/>
          <w:lang w:eastAsia="zh-CN"/>
        </w:rPr>
      </w:pPr>
      <w:bookmarkStart w:id="135" w:name="_Toc28031"/>
      <w:bookmarkStart w:id="136" w:name="_Toc21216"/>
      <w:r>
        <w:rPr>
          <w:rFonts w:hint="default" w:ascii="Times New Roman" w:hAnsi="Times New Roman" w:cs="Times New Roman"/>
          <w:b/>
          <w:bCs/>
          <w:kern w:val="44"/>
          <w:sz w:val="30"/>
          <w:szCs w:val="30"/>
        </w:rPr>
        <w:t>7</w:t>
      </w:r>
      <w:r>
        <w:rPr>
          <w:rFonts w:hint="eastAsia" w:ascii="宋体" w:hAnsi="宋体" w:cs="宋体"/>
          <w:b/>
          <w:bCs/>
          <w:kern w:val="44"/>
          <w:sz w:val="30"/>
          <w:szCs w:val="30"/>
        </w:rPr>
        <w:t>　建材与建造</w:t>
      </w:r>
      <w:bookmarkEnd w:id="134"/>
      <w:bookmarkEnd w:id="135"/>
      <w:bookmarkEnd w:id="136"/>
    </w:p>
    <w:p w14:paraId="7F547491">
      <w:pPr>
        <w:tabs>
          <w:tab w:val="left" w:pos="0"/>
        </w:tabs>
        <w:spacing w:before="0" w:beforeLines="0" w:after="0" w:afterLines="0" w:line="360" w:lineRule="auto"/>
        <w:jc w:val="center"/>
        <w:outlineLvl w:val="1"/>
        <w:rPr>
          <w:rFonts w:hint="eastAsia" w:ascii="黑体" w:hAnsi="黑体" w:eastAsia="黑体" w:cs="黑体"/>
          <w:b/>
          <w:bCs/>
          <w:sz w:val="28"/>
          <w:szCs w:val="28"/>
        </w:rPr>
      </w:pPr>
      <w:bookmarkStart w:id="137" w:name="_Toc27364"/>
      <w:bookmarkStart w:id="138" w:name="_Toc1386"/>
      <w:bookmarkStart w:id="139" w:name="_Toc20449"/>
      <w:r>
        <w:rPr>
          <w:rFonts w:hint="default" w:ascii="Times New Roman" w:hAnsi="Times New Roman" w:eastAsia="黑体" w:cs="Times New Roman"/>
          <w:b/>
          <w:bCs/>
          <w:sz w:val="28"/>
          <w:szCs w:val="28"/>
        </w:rPr>
        <w:t>7.1</w:t>
      </w:r>
      <w:r>
        <w:rPr>
          <w:rFonts w:hint="eastAsia" w:ascii="黑体" w:hAnsi="黑体" w:eastAsia="黑体" w:cs="黑体"/>
          <w:b/>
          <w:bCs/>
          <w:sz w:val="28"/>
          <w:szCs w:val="28"/>
        </w:rPr>
        <w:t>　控制项</w:t>
      </w:r>
      <w:bookmarkEnd w:id="137"/>
      <w:bookmarkEnd w:id="138"/>
      <w:bookmarkEnd w:id="139"/>
    </w:p>
    <w:p w14:paraId="1D7024C8">
      <w:pPr>
        <w:spacing w:line="360" w:lineRule="auto"/>
        <w:rPr>
          <w:rFonts w:cs="宋体"/>
          <w:sz w:val="24"/>
          <w:szCs w:val="24"/>
        </w:rPr>
      </w:pPr>
      <w:r>
        <w:rPr>
          <w:rFonts w:ascii="Times New Roman" w:eastAsia="黑体"/>
          <w:b/>
          <w:bCs/>
          <w:sz w:val="24"/>
          <w:szCs w:val="24"/>
        </w:rPr>
        <w:t>7.1.1</w:t>
      </w:r>
      <w:r>
        <w:rPr>
          <w:rFonts w:hint="eastAsia"/>
          <w:sz w:val="24"/>
          <w:szCs w:val="24"/>
        </w:rPr>
        <w:t>　</w:t>
      </w:r>
      <w:r>
        <w:rPr>
          <w:rFonts w:hint="eastAsia" w:cs="宋体"/>
          <w:sz w:val="24"/>
          <w:szCs w:val="24"/>
        </w:rPr>
        <w:t>既有工业建筑民用化低碳改造前，应进行检测和鉴定。</w:t>
      </w:r>
    </w:p>
    <w:p w14:paraId="127EA4B1">
      <w:pPr>
        <w:spacing w:line="360" w:lineRule="auto"/>
        <w:rPr>
          <w:rFonts w:cs="宋体"/>
          <w:sz w:val="24"/>
          <w:szCs w:val="24"/>
        </w:rPr>
      </w:pPr>
      <w:r>
        <w:rPr>
          <w:rFonts w:ascii="Times New Roman" w:eastAsia="黑体"/>
          <w:b/>
          <w:bCs/>
          <w:sz w:val="24"/>
          <w:szCs w:val="24"/>
        </w:rPr>
        <w:t>7.1.</w:t>
      </w:r>
      <w:r>
        <w:rPr>
          <w:rFonts w:hint="default" w:ascii="Times New Roman" w:eastAsia="黑体"/>
          <w:b/>
          <w:bCs/>
          <w:sz w:val="24"/>
          <w:szCs w:val="24"/>
        </w:rPr>
        <w:t>2</w:t>
      </w:r>
      <w:r>
        <w:rPr>
          <w:rFonts w:hint="eastAsia"/>
          <w:sz w:val="24"/>
          <w:szCs w:val="24"/>
        </w:rPr>
        <w:t>　</w:t>
      </w:r>
      <w:r>
        <w:rPr>
          <w:rFonts w:hint="eastAsia" w:cs="宋体"/>
          <w:sz w:val="24"/>
          <w:szCs w:val="24"/>
        </w:rPr>
        <w:t>不得采用国家禁止或限制使用的建筑材料及制品。</w:t>
      </w:r>
    </w:p>
    <w:p w14:paraId="165B289D">
      <w:pPr>
        <w:spacing w:line="360" w:lineRule="auto"/>
        <w:rPr>
          <w:color w:val="0000FF"/>
          <w:sz w:val="24"/>
          <w:szCs w:val="24"/>
        </w:rPr>
      </w:pPr>
      <w:r>
        <w:rPr>
          <w:rFonts w:ascii="Times New Roman" w:eastAsia="黑体"/>
          <w:b/>
          <w:bCs/>
          <w:sz w:val="24"/>
          <w:szCs w:val="24"/>
        </w:rPr>
        <w:t>7.1.</w:t>
      </w:r>
      <w:r>
        <w:rPr>
          <w:rFonts w:hint="default" w:ascii="Times New Roman" w:eastAsia="黑体"/>
          <w:b/>
          <w:bCs/>
          <w:sz w:val="24"/>
          <w:szCs w:val="24"/>
        </w:rPr>
        <w:t>3</w:t>
      </w:r>
      <w:r>
        <w:rPr>
          <w:rFonts w:hint="eastAsia"/>
          <w:sz w:val="24"/>
          <w:szCs w:val="24"/>
        </w:rPr>
        <w:t>　</w:t>
      </w:r>
      <w:r>
        <w:rPr>
          <w:rFonts w:hint="eastAsia" w:cs="宋体"/>
          <w:sz w:val="24"/>
          <w:szCs w:val="24"/>
        </w:rPr>
        <w:t>新增的现浇混凝土应全部采用预拌混凝土，新增的建筑砂浆应全部采用预拌砂浆。</w:t>
      </w:r>
    </w:p>
    <w:p w14:paraId="6EBA0D3D">
      <w:pPr>
        <w:spacing w:line="360" w:lineRule="auto"/>
        <w:rPr>
          <w:sz w:val="24"/>
          <w:szCs w:val="24"/>
        </w:rPr>
      </w:pPr>
      <w:r>
        <w:rPr>
          <w:rFonts w:hint="default" w:ascii="Times New Roman" w:eastAsia="黑体"/>
          <w:b/>
          <w:bCs/>
          <w:sz w:val="24"/>
          <w:szCs w:val="24"/>
        </w:rPr>
        <w:t>7</w:t>
      </w:r>
      <w:r>
        <w:rPr>
          <w:rFonts w:ascii="Times New Roman" w:eastAsia="黑体"/>
          <w:b/>
          <w:bCs/>
          <w:sz w:val="24"/>
          <w:szCs w:val="24"/>
        </w:rPr>
        <w:t>.1.</w:t>
      </w:r>
      <w:r>
        <w:rPr>
          <w:rFonts w:hint="default" w:ascii="Times New Roman" w:eastAsia="黑体"/>
          <w:b/>
          <w:bCs/>
          <w:sz w:val="24"/>
          <w:szCs w:val="24"/>
        </w:rPr>
        <w:t>4</w:t>
      </w:r>
      <w:r>
        <w:rPr>
          <w:rFonts w:hint="eastAsia"/>
          <w:sz w:val="24"/>
          <w:szCs w:val="24"/>
        </w:rPr>
        <w:t>　结构构件设计应采取可靠的技术措施，并应符合下列要求：</w:t>
      </w:r>
    </w:p>
    <w:p w14:paraId="4DC54AE2">
      <w:pPr>
        <w:spacing w:line="360" w:lineRule="auto"/>
        <w:ind w:firstLine="482" w:firstLineChars="200"/>
        <w:rPr>
          <w:sz w:val="24"/>
          <w:szCs w:val="24"/>
        </w:rPr>
      </w:pPr>
      <w:r>
        <w:rPr>
          <w:rFonts w:ascii="Times New Roman" w:eastAsia="黑体"/>
          <w:b/>
          <w:bCs/>
          <w:sz w:val="24"/>
          <w:szCs w:val="24"/>
        </w:rPr>
        <w:t>1</w:t>
      </w:r>
      <w:r>
        <w:rPr>
          <w:rFonts w:hint="eastAsia"/>
          <w:sz w:val="24"/>
          <w:szCs w:val="24"/>
        </w:rPr>
        <w:t>　新增构件与原有构件之间连接，应采取可靠的连接方式；</w:t>
      </w:r>
    </w:p>
    <w:p w14:paraId="328E4323">
      <w:pPr>
        <w:spacing w:line="360" w:lineRule="auto"/>
        <w:ind w:firstLine="482" w:firstLineChars="200"/>
        <w:rPr>
          <w:sz w:val="24"/>
          <w:szCs w:val="24"/>
        </w:rPr>
      </w:pPr>
      <w:r>
        <w:rPr>
          <w:rFonts w:ascii="Times New Roman" w:eastAsia="黑体"/>
          <w:b/>
          <w:bCs/>
          <w:sz w:val="24"/>
          <w:szCs w:val="24"/>
        </w:rPr>
        <w:t>2</w:t>
      </w:r>
      <w:r>
        <w:rPr>
          <w:rFonts w:hint="eastAsia"/>
          <w:sz w:val="24"/>
          <w:szCs w:val="24"/>
        </w:rPr>
        <w:t>　新增抗震墙、柱等竖向构件应有可靠的基础。</w:t>
      </w:r>
    </w:p>
    <w:p w14:paraId="5E43064A">
      <w:pPr>
        <w:spacing w:line="360" w:lineRule="auto"/>
        <w:rPr>
          <w:rFonts w:hint="eastAsia" w:cs="宋体"/>
          <w:sz w:val="24"/>
          <w:szCs w:val="24"/>
        </w:rPr>
      </w:pPr>
      <w:r>
        <w:rPr>
          <w:rFonts w:ascii="Times New Roman" w:eastAsia="黑体"/>
          <w:b/>
          <w:bCs/>
          <w:sz w:val="24"/>
          <w:szCs w:val="24"/>
        </w:rPr>
        <w:t>7.1.5</w:t>
      </w:r>
      <w:r>
        <w:rPr>
          <w:rFonts w:hint="eastAsia"/>
          <w:sz w:val="24"/>
          <w:szCs w:val="24"/>
        </w:rPr>
        <w:t>　</w:t>
      </w:r>
      <w:r>
        <w:rPr>
          <w:rFonts w:hint="eastAsia" w:cs="宋体"/>
          <w:sz w:val="24"/>
          <w:szCs w:val="24"/>
        </w:rPr>
        <w:t>施工前应编制低碳改造施工组织设计专篇。</w:t>
      </w:r>
    </w:p>
    <w:p w14:paraId="78B48269">
      <w:pPr>
        <w:spacing w:line="360" w:lineRule="auto"/>
        <w:rPr>
          <w:rFonts w:hint="eastAsia" w:cs="宋体"/>
          <w:color w:val="auto"/>
          <w:sz w:val="24"/>
          <w:szCs w:val="24"/>
        </w:rPr>
      </w:pPr>
    </w:p>
    <w:p w14:paraId="2FEE2592">
      <w:pPr>
        <w:tabs>
          <w:tab w:val="left" w:pos="0"/>
        </w:tabs>
        <w:spacing w:before="0" w:beforeLines="0" w:after="0" w:afterLines="0" w:line="360" w:lineRule="auto"/>
        <w:jc w:val="center"/>
        <w:outlineLvl w:val="1"/>
        <w:rPr>
          <w:rFonts w:hint="eastAsia" w:ascii="黑体" w:hAnsi="黑体" w:eastAsia="黑体" w:cs="黑体"/>
          <w:b/>
          <w:bCs/>
          <w:sz w:val="28"/>
          <w:szCs w:val="28"/>
        </w:rPr>
      </w:pPr>
      <w:bookmarkStart w:id="140" w:name="_Toc10473"/>
      <w:bookmarkStart w:id="141" w:name="_Toc24605"/>
      <w:bookmarkStart w:id="142" w:name="_Toc2665"/>
      <w:r>
        <w:rPr>
          <w:rFonts w:hint="default" w:ascii="Times New Roman" w:hAnsi="Times New Roman" w:eastAsia="黑体" w:cs="Times New Roman"/>
          <w:b/>
          <w:bCs/>
          <w:sz w:val="28"/>
          <w:szCs w:val="28"/>
        </w:rPr>
        <w:t>7.2</w:t>
      </w:r>
      <w:r>
        <w:rPr>
          <w:rFonts w:hint="eastAsia" w:ascii="黑体" w:hAnsi="黑体" w:eastAsia="黑体" w:cs="黑体"/>
          <w:b/>
          <w:bCs/>
          <w:sz w:val="28"/>
          <w:szCs w:val="28"/>
        </w:rPr>
        <w:t>　评分项</w:t>
      </w:r>
      <w:bookmarkEnd w:id="140"/>
      <w:bookmarkEnd w:id="141"/>
      <w:bookmarkEnd w:id="142"/>
    </w:p>
    <w:p w14:paraId="6EBDF91B">
      <w:pPr>
        <w:pStyle w:val="28"/>
        <w:spacing w:before="0" w:beforeLines="0" w:after="0" w:afterLines="0" w:line="360" w:lineRule="auto"/>
        <w:ind w:firstLine="0" w:firstLineChars="0"/>
        <w:jc w:val="center"/>
        <w:outlineLvl w:val="2"/>
        <w:rPr>
          <w:rFonts w:eastAsia="仿宋" w:cs="Times New Roman"/>
          <w:b/>
          <w:bCs/>
          <w:sz w:val="28"/>
          <w:szCs w:val="28"/>
        </w:rPr>
      </w:pPr>
      <w:r>
        <w:rPr>
          <w:rFonts w:hint="eastAsia" w:cs="Times New Roman"/>
          <w:b/>
          <w:sz w:val="28"/>
          <w:szCs w:val="28"/>
        </w:rPr>
        <w:t>Ⅰ</w:t>
      </w:r>
      <w:r>
        <w:rPr>
          <w:rFonts w:cs="Times New Roman"/>
          <w:b/>
          <w:sz w:val="28"/>
          <w:szCs w:val="28"/>
        </w:rPr>
        <w:t xml:space="preserve"> </w:t>
      </w:r>
      <w:r>
        <w:rPr>
          <w:rFonts w:hint="eastAsia" w:ascii="仿宋" w:hAnsi="仿宋" w:eastAsia="仿宋" w:cs="仿宋"/>
          <w:b/>
          <w:bCs/>
          <w:sz w:val="28"/>
          <w:szCs w:val="28"/>
        </w:rPr>
        <w:t>低碳建材</w:t>
      </w:r>
    </w:p>
    <w:p w14:paraId="09A939A1">
      <w:pPr>
        <w:spacing w:line="360" w:lineRule="auto"/>
        <w:rPr>
          <w:rFonts w:cs="宋体"/>
          <w:sz w:val="24"/>
          <w:szCs w:val="24"/>
        </w:rPr>
      </w:pPr>
      <w:r>
        <w:rPr>
          <w:rFonts w:ascii="Times New Roman" w:eastAsia="黑体"/>
          <w:b/>
          <w:bCs/>
          <w:sz w:val="24"/>
          <w:szCs w:val="24"/>
        </w:rPr>
        <w:t>7.2.</w:t>
      </w:r>
      <w:r>
        <w:rPr>
          <w:rFonts w:hint="default" w:ascii="Times New Roman" w:eastAsia="黑体"/>
          <w:b/>
          <w:bCs/>
          <w:sz w:val="24"/>
          <w:szCs w:val="24"/>
        </w:rPr>
        <w:t>1</w:t>
      </w:r>
      <w:r>
        <w:rPr>
          <w:rFonts w:hint="eastAsia"/>
          <w:sz w:val="24"/>
          <w:szCs w:val="24"/>
        </w:rPr>
        <w:t>　</w:t>
      </w:r>
      <w:r>
        <w:rPr>
          <w:rFonts w:hint="eastAsia" w:cs="宋体"/>
          <w:sz w:val="24"/>
          <w:szCs w:val="24"/>
        </w:rPr>
        <w:t>采用碳强比低的结构材料，评价总分值为</w:t>
      </w:r>
      <w:r>
        <w:rPr>
          <w:rFonts w:hint="eastAsia" w:cs="宋体"/>
          <w:sz w:val="24"/>
          <w:szCs w:val="24"/>
          <w:lang w:val="en-US" w:eastAsia="zh-CN"/>
        </w:rPr>
        <w:t>15</w:t>
      </w:r>
      <w:r>
        <w:rPr>
          <w:rFonts w:hint="eastAsia" w:cs="宋体"/>
          <w:sz w:val="24"/>
          <w:szCs w:val="24"/>
        </w:rPr>
        <w:t>分，并按下列规则分别评分并累计：</w:t>
      </w:r>
    </w:p>
    <w:p w14:paraId="74EEE50E">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新增结构构件采用混凝土构件，按下列规则分别评分并累计：</w:t>
      </w:r>
    </w:p>
    <w:p w14:paraId="4010B03E">
      <w:pPr>
        <w:spacing w:line="360" w:lineRule="auto"/>
        <w:ind w:firstLine="960" w:firstLineChars="400"/>
        <w:rPr>
          <w:rFonts w:cs="宋体"/>
          <w:sz w:val="24"/>
          <w:szCs w:val="24"/>
        </w:rPr>
      </w:pPr>
      <w:r>
        <w:rPr>
          <w:rFonts w:hint="default" w:eastAsia="黑体" w:asciiTheme="minorAscii" w:hAnsiTheme="minorAscii"/>
          <w:b w:val="0"/>
          <w:bCs w:val="0"/>
          <w:sz w:val="24"/>
          <w:szCs w:val="24"/>
        </w:rPr>
        <w:t>1）</w:t>
      </w:r>
      <w:r>
        <w:rPr>
          <w:rFonts w:hint="eastAsia" w:cs="宋体"/>
          <w:sz w:val="24"/>
          <w:szCs w:val="24"/>
        </w:rPr>
        <w:t>钢筋采用</w:t>
      </w:r>
      <w:r>
        <w:rPr>
          <w:rFonts w:cs="宋体"/>
          <w:sz w:val="24"/>
          <w:szCs w:val="24"/>
        </w:rPr>
        <w:t>400MPa</w:t>
      </w:r>
      <w:r>
        <w:rPr>
          <w:rFonts w:hint="eastAsia" w:cs="宋体"/>
          <w:sz w:val="24"/>
          <w:szCs w:val="24"/>
        </w:rPr>
        <w:t>级及以上热轧带肋受力钢筋用量达到钢筋总用量的30％，得</w:t>
      </w:r>
      <w:r>
        <w:rPr>
          <w:rFonts w:hint="eastAsia" w:cs="宋体"/>
          <w:sz w:val="24"/>
          <w:szCs w:val="24"/>
          <w:lang w:val="en-US" w:eastAsia="zh-CN"/>
        </w:rPr>
        <w:t>4</w:t>
      </w:r>
      <w:r>
        <w:rPr>
          <w:rFonts w:hint="eastAsia" w:cs="宋体"/>
          <w:sz w:val="24"/>
          <w:szCs w:val="24"/>
        </w:rPr>
        <w:t>分；达到钢筋总用量的50％，得</w:t>
      </w:r>
      <w:r>
        <w:rPr>
          <w:rFonts w:hint="eastAsia" w:cs="宋体"/>
          <w:sz w:val="24"/>
          <w:szCs w:val="24"/>
          <w:lang w:val="en-US" w:eastAsia="zh-CN"/>
        </w:rPr>
        <w:t>8</w:t>
      </w:r>
      <w:r>
        <w:rPr>
          <w:rFonts w:hint="eastAsia" w:cs="宋体"/>
          <w:sz w:val="24"/>
          <w:szCs w:val="24"/>
        </w:rPr>
        <w:t>分；达到钢筋总用量的85％，得</w:t>
      </w:r>
      <w:r>
        <w:rPr>
          <w:rFonts w:hint="eastAsia" w:cs="宋体"/>
          <w:sz w:val="24"/>
          <w:szCs w:val="24"/>
          <w:lang w:val="en-US" w:eastAsia="zh-CN"/>
        </w:rPr>
        <w:t>12</w:t>
      </w:r>
      <w:r>
        <w:rPr>
          <w:rFonts w:hint="eastAsia" w:cs="宋体"/>
          <w:sz w:val="24"/>
          <w:szCs w:val="24"/>
        </w:rPr>
        <w:t>分；</w:t>
      </w:r>
    </w:p>
    <w:p w14:paraId="2BF821B6">
      <w:pPr>
        <w:spacing w:line="360" w:lineRule="auto"/>
        <w:ind w:firstLine="960" w:firstLineChars="400"/>
        <w:rPr>
          <w:rFonts w:cs="宋体"/>
          <w:sz w:val="24"/>
          <w:szCs w:val="24"/>
        </w:rPr>
      </w:pPr>
      <w:r>
        <w:rPr>
          <w:rFonts w:hint="default" w:eastAsia="黑体" w:asciiTheme="minorAscii" w:hAnsiTheme="minorAscii"/>
          <w:b w:val="0"/>
          <w:bCs w:val="0"/>
          <w:sz w:val="24"/>
          <w:szCs w:val="24"/>
        </w:rPr>
        <w:t>2）</w:t>
      </w:r>
      <w:r>
        <w:rPr>
          <w:rFonts w:hint="eastAsia" w:cs="宋体"/>
          <w:sz w:val="24"/>
          <w:szCs w:val="24"/>
        </w:rPr>
        <w:t>施工中采用成型钢筋的重量比例达到60%，得</w:t>
      </w:r>
      <w:r>
        <w:rPr>
          <w:rFonts w:hint="eastAsia" w:cs="宋体"/>
          <w:sz w:val="24"/>
          <w:szCs w:val="24"/>
          <w:lang w:val="en-US" w:eastAsia="zh-CN"/>
        </w:rPr>
        <w:t>3</w:t>
      </w:r>
      <w:r>
        <w:rPr>
          <w:rFonts w:hint="eastAsia" w:cs="宋体"/>
          <w:sz w:val="24"/>
          <w:szCs w:val="24"/>
        </w:rPr>
        <w:t>分。</w:t>
      </w:r>
    </w:p>
    <w:p w14:paraId="0DB78339">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新增结构构件采用钢构件，按下列规则分别评分并累计：</w:t>
      </w:r>
    </w:p>
    <w:p w14:paraId="4325BDC1">
      <w:pPr>
        <w:spacing w:line="360" w:lineRule="auto"/>
        <w:ind w:firstLine="960" w:firstLineChars="400"/>
        <w:rPr>
          <w:rFonts w:cs="宋体"/>
          <w:sz w:val="24"/>
          <w:szCs w:val="24"/>
        </w:rPr>
      </w:pPr>
      <w:r>
        <w:rPr>
          <w:rFonts w:hint="default" w:eastAsia="黑体" w:asciiTheme="minorAscii" w:hAnsiTheme="minorAscii"/>
          <w:b w:val="0"/>
          <w:bCs w:val="0"/>
          <w:sz w:val="24"/>
          <w:szCs w:val="24"/>
        </w:rPr>
        <w:t>1）</w:t>
      </w:r>
      <w:r>
        <w:rPr>
          <w:rFonts w:cs="宋体"/>
          <w:sz w:val="24"/>
          <w:szCs w:val="24"/>
        </w:rPr>
        <w:t>Q355</w:t>
      </w:r>
      <w:r>
        <w:rPr>
          <w:rFonts w:hint="eastAsia" w:cs="宋体"/>
          <w:sz w:val="24"/>
          <w:szCs w:val="24"/>
        </w:rPr>
        <w:t>及以上强度的钢材用量占钢材总用量的比例达到50％，得</w:t>
      </w:r>
      <w:r>
        <w:rPr>
          <w:rFonts w:hint="eastAsia" w:cs="宋体"/>
          <w:sz w:val="24"/>
          <w:szCs w:val="24"/>
          <w:lang w:val="en-US" w:eastAsia="zh-CN"/>
        </w:rPr>
        <w:t>6</w:t>
      </w:r>
      <w:r>
        <w:rPr>
          <w:rFonts w:hint="eastAsia" w:cs="宋体"/>
          <w:sz w:val="24"/>
          <w:szCs w:val="24"/>
        </w:rPr>
        <w:t>分；达到70％，得</w:t>
      </w:r>
      <w:r>
        <w:rPr>
          <w:rFonts w:hint="eastAsia" w:cs="宋体"/>
          <w:sz w:val="24"/>
          <w:szCs w:val="24"/>
          <w:lang w:val="en-US" w:eastAsia="zh-CN"/>
        </w:rPr>
        <w:t>9</w:t>
      </w:r>
      <w:r>
        <w:rPr>
          <w:rFonts w:hint="eastAsia" w:cs="宋体"/>
          <w:sz w:val="24"/>
          <w:szCs w:val="24"/>
        </w:rPr>
        <w:t>分；</w:t>
      </w:r>
    </w:p>
    <w:p w14:paraId="3545CF30">
      <w:pPr>
        <w:spacing w:line="360" w:lineRule="auto"/>
        <w:ind w:firstLine="960" w:firstLineChars="400"/>
        <w:rPr>
          <w:rFonts w:cs="宋体"/>
          <w:sz w:val="24"/>
          <w:szCs w:val="24"/>
        </w:rPr>
      </w:pPr>
      <w:r>
        <w:rPr>
          <w:rFonts w:hint="default" w:eastAsia="黑体" w:asciiTheme="minorAscii" w:hAnsiTheme="minorAscii"/>
          <w:b w:val="0"/>
          <w:bCs w:val="0"/>
          <w:sz w:val="24"/>
          <w:szCs w:val="24"/>
        </w:rPr>
        <w:t>2）</w:t>
      </w:r>
      <w:r>
        <w:rPr>
          <w:rFonts w:hint="eastAsia" w:cs="宋体"/>
          <w:sz w:val="24"/>
          <w:szCs w:val="24"/>
        </w:rPr>
        <w:t>螺栓连接等非现场焊接节点占现场全部连接、拼接节点的数量比例达到50%，得</w:t>
      </w:r>
      <w:r>
        <w:rPr>
          <w:rFonts w:hint="eastAsia" w:cs="宋体"/>
          <w:sz w:val="24"/>
          <w:szCs w:val="24"/>
          <w:lang w:val="en-US" w:eastAsia="zh-CN"/>
        </w:rPr>
        <w:t>3</w:t>
      </w:r>
      <w:r>
        <w:rPr>
          <w:rFonts w:hint="eastAsia" w:cs="宋体"/>
          <w:sz w:val="24"/>
          <w:szCs w:val="24"/>
        </w:rPr>
        <w:t>分；</w:t>
      </w:r>
    </w:p>
    <w:p w14:paraId="030F8884">
      <w:pPr>
        <w:spacing w:line="360" w:lineRule="auto"/>
        <w:ind w:firstLine="960" w:firstLineChars="400"/>
        <w:rPr>
          <w:rFonts w:cs="宋体"/>
          <w:sz w:val="24"/>
          <w:szCs w:val="24"/>
        </w:rPr>
      </w:pPr>
      <w:r>
        <w:rPr>
          <w:rFonts w:hint="default" w:eastAsia="黑体" w:asciiTheme="minorAscii" w:hAnsiTheme="minorAscii"/>
          <w:b w:val="0"/>
          <w:bCs w:val="0"/>
          <w:sz w:val="24"/>
          <w:szCs w:val="24"/>
        </w:rPr>
        <w:t>3）</w:t>
      </w:r>
      <w:r>
        <w:rPr>
          <w:rFonts w:hint="eastAsia" w:cs="宋体"/>
          <w:sz w:val="24"/>
          <w:szCs w:val="24"/>
        </w:rPr>
        <w:t>采用免支撑楼屋面板体系，得</w:t>
      </w:r>
      <w:r>
        <w:rPr>
          <w:rFonts w:hint="eastAsia" w:cs="宋体"/>
          <w:sz w:val="24"/>
          <w:szCs w:val="24"/>
          <w:lang w:val="en-US" w:eastAsia="zh-CN"/>
        </w:rPr>
        <w:t>3</w:t>
      </w:r>
      <w:r>
        <w:rPr>
          <w:rFonts w:hint="eastAsia" w:cs="宋体"/>
          <w:sz w:val="24"/>
          <w:szCs w:val="24"/>
        </w:rPr>
        <w:t>分。</w:t>
      </w:r>
    </w:p>
    <w:p w14:paraId="08F1E3DA">
      <w:pPr>
        <w:spacing w:line="360" w:lineRule="auto"/>
        <w:rPr>
          <w:rFonts w:cs="宋体"/>
          <w:sz w:val="24"/>
          <w:szCs w:val="24"/>
        </w:rPr>
      </w:pPr>
      <w:r>
        <w:rPr>
          <w:rFonts w:ascii="Times New Roman" w:eastAsia="黑体"/>
          <w:b/>
          <w:bCs/>
          <w:sz w:val="24"/>
          <w:szCs w:val="24"/>
        </w:rPr>
        <w:t>7.2.</w:t>
      </w:r>
      <w:r>
        <w:rPr>
          <w:rFonts w:hint="default" w:ascii="Times New Roman" w:eastAsia="黑体"/>
          <w:b/>
          <w:bCs/>
          <w:sz w:val="24"/>
          <w:szCs w:val="24"/>
        </w:rPr>
        <w:t>2</w:t>
      </w:r>
      <w:r>
        <w:rPr>
          <w:rFonts w:hint="eastAsia"/>
          <w:sz w:val="24"/>
          <w:szCs w:val="24"/>
        </w:rPr>
        <w:t>　</w:t>
      </w:r>
      <w:r>
        <w:rPr>
          <w:rFonts w:hint="eastAsia" w:cs="宋体"/>
          <w:sz w:val="24"/>
          <w:szCs w:val="24"/>
        </w:rPr>
        <w:t>选用高耐久性建筑材料，评价总分值为</w:t>
      </w:r>
      <w:r>
        <w:rPr>
          <w:rFonts w:hint="eastAsia" w:cs="宋体"/>
          <w:sz w:val="24"/>
          <w:szCs w:val="24"/>
          <w:lang w:val="en-US" w:eastAsia="zh-CN"/>
        </w:rPr>
        <w:t>7</w:t>
      </w:r>
      <w:r>
        <w:rPr>
          <w:rFonts w:hint="eastAsia" w:cs="宋体"/>
          <w:sz w:val="24"/>
          <w:szCs w:val="24"/>
        </w:rPr>
        <w:t>分，应按下列规则分别评分并累计：</w:t>
      </w:r>
    </w:p>
    <w:p w14:paraId="1926BBA3">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对于混凝土结构，采用高耐久性混凝土，得</w:t>
      </w:r>
      <w:r>
        <w:rPr>
          <w:rFonts w:hint="eastAsia" w:cs="宋体"/>
          <w:sz w:val="24"/>
          <w:szCs w:val="24"/>
          <w:lang w:val="en-US" w:eastAsia="zh-CN"/>
        </w:rPr>
        <w:t>4</w:t>
      </w:r>
      <w:r>
        <w:rPr>
          <w:rFonts w:hint="eastAsia" w:cs="宋体"/>
          <w:sz w:val="24"/>
          <w:szCs w:val="24"/>
        </w:rPr>
        <w:t>分；对于钢结构，采用耐候结构钢或耐候型防腐涂料，得</w:t>
      </w:r>
      <w:r>
        <w:rPr>
          <w:rFonts w:hint="eastAsia" w:cs="宋体"/>
          <w:sz w:val="24"/>
          <w:szCs w:val="24"/>
          <w:lang w:val="en-US" w:eastAsia="zh-CN"/>
        </w:rPr>
        <w:t>4</w:t>
      </w:r>
      <w:r>
        <w:rPr>
          <w:rFonts w:hint="eastAsia" w:cs="宋体"/>
          <w:sz w:val="24"/>
          <w:szCs w:val="24"/>
        </w:rPr>
        <w:t>分；对于木结构，采用防腐木材、耐久木材或耐久木制品，得</w:t>
      </w:r>
      <w:r>
        <w:rPr>
          <w:rFonts w:hint="eastAsia" w:cs="宋体"/>
          <w:sz w:val="24"/>
          <w:szCs w:val="24"/>
          <w:lang w:val="en-US" w:eastAsia="zh-CN"/>
        </w:rPr>
        <w:t>4</w:t>
      </w:r>
      <w:r>
        <w:rPr>
          <w:rFonts w:hint="eastAsia" w:cs="宋体"/>
          <w:sz w:val="24"/>
          <w:szCs w:val="24"/>
        </w:rPr>
        <w:t>分；</w:t>
      </w:r>
    </w:p>
    <w:p w14:paraId="77F4B8E8">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采用环保、耐久性好的粘结材料，</w:t>
      </w:r>
      <w:r>
        <w:rPr>
          <w:rFonts w:hint="eastAsia" w:cs="宋体"/>
          <w:sz w:val="24"/>
          <w:szCs w:val="24"/>
          <w:lang w:val="en-US" w:eastAsia="zh-CN"/>
        </w:rPr>
        <w:t>得</w:t>
      </w:r>
      <w:r>
        <w:rPr>
          <w:rFonts w:hint="eastAsia" w:cs="宋体"/>
          <w:sz w:val="24"/>
          <w:szCs w:val="24"/>
        </w:rPr>
        <w:t>1分；</w:t>
      </w:r>
    </w:p>
    <w:p w14:paraId="4BA7F424">
      <w:pPr>
        <w:spacing w:line="360" w:lineRule="auto"/>
        <w:ind w:firstLine="482" w:firstLineChars="200"/>
        <w:rPr>
          <w:rFonts w:cs="宋体"/>
          <w:sz w:val="24"/>
          <w:szCs w:val="24"/>
        </w:rPr>
      </w:pPr>
      <w:r>
        <w:rPr>
          <w:rFonts w:ascii="Times New Roman" w:eastAsia="黑体"/>
          <w:b/>
          <w:bCs/>
          <w:sz w:val="24"/>
          <w:szCs w:val="24"/>
        </w:rPr>
        <w:t>3</w:t>
      </w:r>
      <w:r>
        <w:rPr>
          <w:rFonts w:hint="eastAsia" w:cs="宋体"/>
          <w:sz w:val="24"/>
          <w:szCs w:val="24"/>
        </w:rPr>
        <w:t xml:space="preserve">  </w:t>
      </w:r>
      <w:r>
        <w:rPr>
          <w:rFonts w:hint="eastAsia" w:cs="宋体"/>
          <w:sz w:val="24"/>
          <w:szCs w:val="24"/>
          <w:highlight w:val="none"/>
        </w:rPr>
        <w:t>建筑新增外围护结构的设计工作年限同主体结构的面积比例达到30%，得</w:t>
      </w:r>
      <w:r>
        <w:rPr>
          <w:rFonts w:hint="eastAsia" w:cs="宋体"/>
          <w:sz w:val="24"/>
          <w:szCs w:val="24"/>
          <w:highlight w:val="none"/>
          <w:lang w:val="en-US" w:eastAsia="zh-CN"/>
        </w:rPr>
        <w:t>2</w:t>
      </w:r>
      <w:r>
        <w:rPr>
          <w:rFonts w:hint="eastAsia" w:cs="宋体"/>
          <w:sz w:val="24"/>
          <w:szCs w:val="24"/>
          <w:highlight w:val="none"/>
        </w:rPr>
        <w:t>分。</w:t>
      </w:r>
    </w:p>
    <w:p w14:paraId="5A959D68">
      <w:pPr>
        <w:spacing w:line="360" w:lineRule="auto"/>
        <w:rPr>
          <w:bCs/>
          <w:sz w:val="24"/>
          <w:szCs w:val="24"/>
        </w:rPr>
      </w:pPr>
      <w:r>
        <w:rPr>
          <w:rFonts w:ascii="Times New Roman" w:eastAsia="黑体"/>
          <w:b/>
          <w:bCs/>
          <w:sz w:val="24"/>
          <w:szCs w:val="24"/>
        </w:rPr>
        <w:t>7.2.</w:t>
      </w:r>
      <w:r>
        <w:rPr>
          <w:rFonts w:hint="default" w:ascii="Times New Roman" w:eastAsia="黑体"/>
          <w:b/>
          <w:bCs/>
          <w:sz w:val="24"/>
          <w:szCs w:val="24"/>
        </w:rPr>
        <w:t>3</w:t>
      </w:r>
      <w:r>
        <w:rPr>
          <w:rFonts w:hint="eastAsia"/>
          <w:sz w:val="24"/>
          <w:szCs w:val="24"/>
        </w:rPr>
        <w:t>　</w:t>
      </w:r>
      <w:r>
        <w:rPr>
          <w:rFonts w:hint="eastAsia" w:cs="宋体"/>
          <w:sz w:val="24"/>
          <w:szCs w:val="24"/>
        </w:rPr>
        <w:t>选用可再循环材料、可再利用材料及利废建材，</w:t>
      </w:r>
      <w:r>
        <w:rPr>
          <w:rFonts w:hint="eastAsia"/>
          <w:bCs/>
          <w:sz w:val="24"/>
          <w:szCs w:val="24"/>
        </w:rPr>
        <w:t>评价总分值为1</w:t>
      </w:r>
      <w:r>
        <w:rPr>
          <w:rFonts w:hint="eastAsia"/>
          <w:bCs/>
          <w:sz w:val="24"/>
          <w:szCs w:val="24"/>
          <w:lang w:val="en-US" w:eastAsia="zh-CN"/>
        </w:rPr>
        <w:t>5</w:t>
      </w:r>
      <w:r>
        <w:rPr>
          <w:rFonts w:hint="eastAsia"/>
          <w:bCs/>
          <w:sz w:val="24"/>
          <w:szCs w:val="24"/>
        </w:rPr>
        <w:t>分，并按下列规则分别评分并累计</w:t>
      </w:r>
      <w:r>
        <w:rPr>
          <w:bCs/>
          <w:sz w:val="24"/>
          <w:szCs w:val="24"/>
        </w:rPr>
        <w:t>：</w:t>
      </w:r>
    </w:p>
    <w:p w14:paraId="556DC2F0">
      <w:pPr>
        <w:spacing w:line="360" w:lineRule="auto"/>
        <w:ind w:firstLine="420"/>
        <w:rPr>
          <w:bCs/>
          <w:sz w:val="24"/>
          <w:szCs w:val="24"/>
        </w:rPr>
      </w:pPr>
      <w:r>
        <w:rPr>
          <w:b/>
          <w:bCs/>
          <w:sz w:val="24"/>
          <w:szCs w:val="24"/>
        </w:rPr>
        <w:t>1</w:t>
      </w:r>
      <w:r>
        <w:rPr>
          <w:bCs/>
          <w:sz w:val="24"/>
          <w:szCs w:val="24"/>
        </w:rPr>
        <w:t>可再循环材料和可再利用材料用量比例</w:t>
      </w:r>
      <w:r>
        <w:rPr>
          <w:rFonts w:hint="eastAsia"/>
          <w:bCs/>
          <w:sz w:val="24"/>
          <w:szCs w:val="24"/>
        </w:rPr>
        <w:t>达到10%</w:t>
      </w:r>
      <w:r>
        <w:rPr>
          <w:bCs/>
          <w:sz w:val="24"/>
          <w:szCs w:val="24"/>
        </w:rPr>
        <w:t>，得</w:t>
      </w:r>
      <w:r>
        <w:rPr>
          <w:rFonts w:hint="eastAsia"/>
          <w:bCs/>
          <w:sz w:val="24"/>
          <w:szCs w:val="24"/>
          <w:lang w:val="en-US" w:eastAsia="zh-CN"/>
        </w:rPr>
        <w:t>5</w:t>
      </w:r>
      <w:r>
        <w:rPr>
          <w:bCs/>
          <w:sz w:val="24"/>
          <w:szCs w:val="24"/>
        </w:rPr>
        <w:t>分</w:t>
      </w:r>
      <w:r>
        <w:rPr>
          <w:rFonts w:hint="eastAsia"/>
          <w:bCs/>
          <w:sz w:val="24"/>
          <w:szCs w:val="24"/>
        </w:rPr>
        <w:t>；达到15%</w:t>
      </w:r>
      <w:r>
        <w:rPr>
          <w:bCs/>
          <w:sz w:val="24"/>
          <w:szCs w:val="24"/>
        </w:rPr>
        <w:t>，得</w:t>
      </w:r>
      <w:r>
        <w:rPr>
          <w:rFonts w:hint="eastAsia"/>
          <w:bCs/>
          <w:sz w:val="24"/>
          <w:szCs w:val="24"/>
          <w:lang w:val="en-US" w:eastAsia="zh-CN"/>
        </w:rPr>
        <w:t>8</w:t>
      </w:r>
      <w:r>
        <w:rPr>
          <w:bCs/>
          <w:sz w:val="24"/>
          <w:szCs w:val="24"/>
        </w:rPr>
        <w:t>分</w:t>
      </w:r>
      <w:r>
        <w:rPr>
          <w:rFonts w:hint="eastAsia"/>
          <w:bCs/>
          <w:sz w:val="24"/>
          <w:szCs w:val="24"/>
        </w:rPr>
        <w:t>。</w:t>
      </w:r>
    </w:p>
    <w:p w14:paraId="6EDC4840">
      <w:pPr>
        <w:spacing w:line="360" w:lineRule="auto"/>
        <w:ind w:firstLine="482" w:firstLineChars="200"/>
        <w:rPr>
          <w:sz w:val="24"/>
          <w:szCs w:val="24"/>
        </w:rPr>
      </w:pPr>
      <w:r>
        <w:rPr>
          <w:rFonts w:hint="eastAsia"/>
          <w:b/>
          <w:sz w:val="24"/>
          <w:szCs w:val="24"/>
        </w:rPr>
        <w:t>2</w:t>
      </w:r>
      <w:r>
        <w:rPr>
          <w:rFonts w:hint="eastAsia"/>
          <w:sz w:val="24"/>
          <w:szCs w:val="24"/>
        </w:rPr>
        <w:t>利废建材选用及其用量比例，按下列规则评分：</w:t>
      </w:r>
    </w:p>
    <w:p w14:paraId="13CCC201">
      <w:pPr>
        <w:spacing w:line="360" w:lineRule="auto"/>
        <w:ind w:firstLine="720" w:firstLineChars="300"/>
        <w:rPr>
          <w:rFonts w:hint="eastAsia" w:eastAsia="宋体"/>
          <w:sz w:val="24"/>
          <w:szCs w:val="24"/>
          <w:lang w:eastAsia="zh-CN"/>
        </w:rPr>
      </w:pPr>
      <w:r>
        <w:rPr>
          <w:rFonts w:eastAsia="黑体" w:asciiTheme="minorAscii" w:hAnsiTheme="minorAscii"/>
          <w:sz w:val="24"/>
          <w:szCs w:val="24"/>
        </w:rPr>
        <w:t>1</w:t>
      </w:r>
      <w:r>
        <w:rPr>
          <w:rFonts w:hint="default" w:eastAsia="黑体" w:asciiTheme="minorAscii" w:hAnsiTheme="minorAscii"/>
          <w:sz w:val="24"/>
          <w:szCs w:val="24"/>
        </w:rPr>
        <w:t>）</w:t>
      </w:r>
      <w:r>
        <w:rPr>
          <w:rFonts w:hint="eastAsia"/>
          <w:sz w:val="24"/>
          <w:szCs w:val="24"/>
        </w:rPr>
        <w:t>采用一种利废建材，其占同类建材的用量比例不低于50%，得</w:t>
      </w:r>
      <w:r>
        <w:rPr>
          <w:rFonts w:hint="eastAsia"/>
          <w:sz w:val="24"/>
          <w:szCs w:val="24"/>
          <w:lang w:val="en-US" w:eastAsia="zh-CN"/>
        </w:rPr>
        <w:t>7</w:t>
      </w:r>
      <w:r>
        <w:rPr>
          <w:rFonts w:hint="eastAsia"/>
          <w:sz w:val="24"/>
          <w:szCs w:val="24"/>
        </w:rPr>
        <w:t>分</w:t>
      </w:r>
      <w:r>
        <w:rPr>
          <w:rFonts w:hint="eastAsia"/>
          <w:sz w:val="24"/>
          <w:szCs w:val="24"/>
          <w:lang w:eastAsia="zh-CN"/>
        </w:rPr>
        <w:t>；</w:t>
      </w:r>
    </w:p>
    <w:p w14:paraId="313B527E">
      <w:pPr>
        <w:spacing w:line="360" w:lineRule="auto"/>
        <w:ind w:firstLine="720" w:firstLineChars="300"/>
        <w:rPr>
          <w:sz w:val="24"/>
          <w:szCs w:val="24"/>
        </w:rPr>
      </w:pPr>
      <w:r>
        <w:rPr>
          <w:rFonts w:eastAsia="黑体" w:asciiTheme="minorAscii" w:hAnsiTheme="minorAscii"/>
          <w:sz w:val="24"/>
          <w:szCs w:val="24"/>
        </w:rPr>
        <w:t>2</w:t>
      </w:r>
      <w:r>
        <w:rPr>
          <w:rFonts w:hint="default" w:eastAsia="黑体" w:asciiTheme="minorAscii" w:hAnsiTheme="minorAscii"/>
          <w:sz w:val="24"/>
          <w:szCs w:val="24"/>
        </w:rPr>
        <w:t>）</w:t>
      </w:r>
      <w:r>
        <w:rPr>
          <w:rFonts w:hint="eastAsia"/>
          <w:sz w:val="24"/>
          <w:szCs w:val="24"/>
        </w:rPr>
        <w:t>选用二种及以上的利废建材，每一种占同类建材的用量比例均不低于30%，得</w:t>
      </w:r>
      <w:r>
        <w:rPr>
          <w:rFonts w:hint="eastAsia"/>
          <w:sz w:val="24"/>
          <w:szCs w:val="24"/>
          <w:lang w:val="en-US" w:eastAsia="zh-CN"/>
        </w:rPr>
        <w:t>7</w:t>
      </w:r>
      <w:r>
        <w:rPr>
          <w:rFonts w:hint="eastAsia"/>
          <w:sz w:val="24"/>
          <w:szCs w:val="24"/>
        </w:rPr>
        <w:t>分</w:t>
      </w:r>
      <w:r>
        <w:rPr>
          <w:sz w:val="24"/>
          <w:szCs w:val="24"/>
        </w:rPr>
        <w:t>。</w:t>
      </w:r>
    </w:p>
    <w:p w14:paraId="595BF64B">
      <w:pPr>
        <w:spacing w:line="360" w:lineRule="auto"/>
        <w:rPr>
          <w:rFonts w:cs="宋体"/>
          <w:sz w:val="24"/>
          <w:szCs w:val="24"/>
        </w:rPr>
      </w:pPr>
      <w:r>
        <w:rPr>
          <w:rFonts w:ascii="Times New Roman" w:eastAsia="黑体"/>
          <w:b/>
          <w:bCs/>
          <w:sz w:val="24"/>
          <w:szCs w:val="24"/>
        </w:rPr>
        <w:t>7.2.</w:t>
      </w:r>
      <w:r>
        <w:rPr>
          <w:rFonts w:hint="default" w:ascii="Times New Roman" w:eastAsia="黑体"/>
          <w:b/>
          <w:bCs/>
          <w:sz w:val="24"/>
          <w:szCs w:val="24"/>
        </w:rPr>
        <w:t>4</w:t>
      </w:r>
      <w:r>
        <w:rPr>
          <w:rFonts w:hint="eastAsia"/>
          <w:sz w:val="24"/>
          <w:szCs w:val="24"/>
        </w:rPr>
        <w:t>　</w:t>
      </w:r>
      <w:r>
        <w:rPr>
          <w:rFonts w:hint="eastAsia" w:cs="宋体"/>
          <w:sz w:val="24"/>
          <w:szCs w:val="24"/>
        </w:rPr>
        <w:t>选用绿色建材，评价总分值为</w:t>
      </w:r>
      <w:r>
        <w:rPr>
          <w:rFonts w:hint="eastAsia" w:cs="宋体"/>
          <w:sz w:val="24"/>
          <w:szCs w:val="24"/>
          <w:lang w:val="en-US" w:eastAsia="zh-CN"/>
        </w:rPr>
        <w:t>8</w:t>
      </w:r>
      <w:r>
        <w:rPr>
          <w:rFonts w:hint="eastAsia" w:cs="宋体"/>
          <w:sz w:val="24"/>
          <w:szCs w:val="24"/>
        </w:rPr>
        <w:t>分。选用一种绿色建材且占同类建材应用比例不低于10%，得</w:t>
      </w:r>
      <w:r>
        <w:rPr>
          <w:rFonts w:hint="eastAsia" w:cs="宋体"/>
          <w:sz w:val="24"/>
          <w:szCs w:val="24"/>
          <w:lang w:val="en-US" w:eastAsia="zh-CN"/>
        </w:rPr>
        <w:t>4</w:t>
      </w:r>
      <w:r>
        <w:rPr>
          <w:rFonts w:hint="eastAsia" w:cs="宋体"/>
          <w:sz w:val="24"/>
          <w:szCs w:val="24"/>
        </w:rPr>
        <w:t>分；选用一种绿色建材且占同类建材应用比例不低于30%，或选用两种或两种以上绿色建材且分别占同类建材应用比例不低于10%，得</w:t>
      </w:r>
      <w:r>
        <w:rPr>
          <w:rFonts w:hint="eastAsia" w:cs="宋体"/>
          <w:sz w:val="24"/>
          <w:szCs w:val="24"/>
          <w:lang w:val="en-US" w:eastAsia="zh-CN"/>
        </w:rPr>
        <w:t>8</w:t>
      </w:r>
      <w:r>
        <w:rPr>
          <w:rFonts w:hint="eastAsia" w:cs="宋体"/>
          <w:sz w:val="24"/>
          <w:szCs w:val="24"/>
        </w:rPr>
        <w:t>分。</w:t>
      </w:r>
    </w:p>
    <w:p w14:paraId="3C77BA6C">
      <w:pPr>
        <w:pStyle w:val="28"/>
        <w:spacing w:before="0" w:beforeLines="0" w:after="0" w:afterLines="0" w:line="360" w:lineRule="auto"/>
        <w:ind w:firstLine="0" w:firstLineChars="0"/>
        <w:jc w:val="center"/>
        <w:outlineLvl w:val="2"/>
        <w:rPr>
          <w:rFonts w:hint="eastAsia" w:ascii="仿宋" w:hAnsi="仿宋" w:eastAsia="仿宋" w:cs="仿宋"/>
          <w:bCs/>
          <w:sz w:val="28"/>
          <w:szCs w:val="28"/>
        </w:rPr>
      </w:pPr>
      <w:r>
        <w:rPr>
          <w:rFonts w:hint="eastAsia" w:cs="Times New Roman"/>
          <w:b/>
          <w:bCs/>
          <w:sz w:val="28"/>
          <w:szCs w:val="28"/>
        </w:rPr>
        <w:t xml:space="preserve">Ⅱ </w:t>
      </w:r>
      <w:r>
        <w:rPr>
          <w:rFonts w:hint="eastAsia" w:ascii="仿宋" w:hAnsi="仿宋" w:eastAsia="仿宋" w:cs="仿宋"/>
          <w:b/>
          <w:sz w:val="28"/>
          <w:szCs w:val="28"/>
        </w:rPr>
        <w:t>低碳结构设计</w:t>
      </w:r>
    </w:p>
    <w:p w14:paraId="20082436">
      <w:pPr>
        <w:spacing w:line="360" w:lineRule="auto"/>
        <w:rPr>
          <w:rFonts w:hint="eastAsia" w:ascii="宋体" w:hAnsi="宋体" w:cs="宋体"/>
          <w:sz w:val="24"/>
          <w:szCs w:val="24"/>
        </w:rPr>
      </w:pPr>
      <w:r>
        <w:rPr>
          <w:rFonts w:hint="default" w:ascii="Times New Roman" w:eastAsia="黑体"/>
          <w:b/>
          <w:bCs/>
          <w:sz w:val="24"/>
          <w:szCs w:val="24"/>
        </w:rPr>
        <w:t>7.2.5</w:t>
      </w:r>
      <w:r>
        <w:rPr>
          <w:rFonts w:hint="eastAsia"/>
          <w:sz w:val="24"/>
          <w:szCs w:val="24"/>
        </w:rPr>
        <w:t>　既有工业建筑民用化低碳改造应充分利用原结构构件，评价总分值为</w:t>
      </w:r>
      <w:r>
        <w:rPr>
          <w:rFonts w:hint="eastAsia"/>
          <w:sz w:val="24"/>
          <w:szCs w:val="24"/>
          <w:lang w:val="en-US" w:eastAsia="zh-CN"/>
        </w:rPr>
        <w:t>20</w:t>
      </w:r>
      <w:r>
        <w:rPr>
          <w:rFonts w:hint="eastAsia"/>
          <w:sz w:val="24"/>
          <w:szCs w:val="24"/>
        </w:rPr>
        <w:t>分。原结构构件利用率不小于50%，得</w:t>
      </w:r>
      <w:r>
        <w:rPr>
          <w:rFonts w:hint="eastAsia"/>
          <w:sz w:val="24"/>
          <w:szCs w:val="24"/>
          <w:lang w:val="en-US" w:eastAsia="zh-CN"/>
        </w:rPr>
        <w:t>10</w:t>
      </w:r>
      <w:r>
        <w:rPr>
          <w:rFonts w:hint="eastAsia"/>
          <w:sz w:val="24"/>
          <w:szCs w:val="24"/>
        </w:rPr>
        <w:t>分；不小于70%，得</w:t>
      </w:r>
      <w:r>
        <w:rPr>
          <w:rFonts w:hint="eastAsia"/>
          <w:sz w:val="24"/>
          <w:szCs w:val="24"/>
          <w:lang w:val="en-US" w:eastAsia="zh-CN"/>
        </w:rPr>
        <w:t>2</w:t>
      </w:r>
      <w:r>
        <w:rPr>
          <w:rFonts w:hint="eastAsia"/>
          <w:sz w:val="24"/>
          <w:szCs w:val="24"/>
        </w:rPr>
        <w:t>0分。</w:t>
      </w:r>
    </w:p>
    <w:p w14:paraId="4AD52C6E">
      <w:pPr>
        <w:spacing w:line="360" w:lineRule="auto"/>
        <w:rPr>
          <w:sz w:val="24"/>
          <w:szCs w:val="24"/>
        </w:rPr>
      </w:pPr>
      <w:r>
        <w:rPr>
          <w:rFonts w:ascii="Times New Roman" w:eastAsia="黑体"/>
          <w:b/>
          <w:bCs/>
          <w:sz w:val="24"/>
          <w:szCs w:val="24"/>
        </w:rPr>
        <w:t>7.2.</w:t>
      </w:r>
      <w:r>
        <w:rPr>
          <w:rFonts w:hint="default" w:ascii="Times New Roman" w:eastAsia="黑体"/>
          <w:b/>
          <w:bCs/>
          <w:sz w:val="24"/>
          <w:szCs w:val="24"/>
        </w:rPr>
        <w:t>6</w:t>
      </w:r>
      <w:r>
        <w:rPr>
          <w:rFonts w:hint="eastAsia"/>
          <w:sz w:val="24"/>
          <w:szCs w:val="24"/>
        </w:rPr>
        <w:t>　</w:t>
      </w:r>
      <w:r>
        <w:rPr>
          <w:rFonts w:hint="eastAsia" w:cs="宋体"/>
          <w:sz w:val="24"/>
          <w:szCs w:val="24"/>
        </w:rPr>
        <w:t>新增结构构件为低碳构件，</w:t>
      </w:r>
      <w:r>
        <w:rPr>
          <w:rFonts w:hint="eastAsia"/>
          <w:sz w:val="24"/>
          <w:szCs w:val="24"/>
        </w:rPr>
        <w:t>评价总分值为10分，并按下列规则评分：</w:t>
      </w:r>
    </w:p>
    <w:p w14:paraId="08526A68">
      <w:pPr>
        <w:spacing w:line="360" w:lineRule="auto"/>
        <w:ind w:firstLine="482" w:firstLineChars="200"/>
        <w:rPr>
          <w:sz w:val="24"/>
          <w:szCs w:val="24"/>
        </w:rPr>
      </w:pPr>
      <w:r>
        <w:rPr>
          <w:rFonts w:ascii="Times New Roman" w:eastAsia="黑体"/>
          <w:b/>
          <w:bCs/>
          <w:sz w:val="24"/>
          <w:szCs w:val="24"/>
        </w:rPr>
        <w:t>1</w:t>
      </w:r>
      <w:r>
        <w:rPr>
          <w:rFonts w:hint="eastAsia"/>
          <w:sz w:val="24"/>
          <w:szCs w:val="24"/>
        </w:rPr>
        <w:t xml:space="preserve">  选用木构件或竹构件，得10分。</w:t>
      </w:r>
    </w:p>
    <w:p w14:paraId="01421CB6">
      <w:pPr>
        <w:spacing w:line="360" w:lineRule="auto"/>
        <w:ind w:firstLine="482" w:firstLineChars="200"/>
        <w:rPr>
          <w:sz w:val="24"/>
          <w:szCs w:val="24"/>
        </w:rPr>
      </w:pPr>
      <w:r>
        <w:rPr>
          <w:rFonts w:ascii="Times New Roman" w:eastAsia="黑体"/>
          <w:b/>
          <w:bCs/>
          <w:sz w:val="24"/>
          <w:szCs w:val="24"/>
        </w:rPr>
        <w:t>2</w:t>
      </w:r>
      <w:r>
        <w:rPr>
          <w:rFonts w:hint="eastAsia"/>
          <w:sz w:val="24"/>
          <w:szCs w:val="24"/>
        </w:rPr>
        <w:t xml:space="preserve">  选用钢结构构件，且构件数量占比达到50%，得10分。</w:t>
      </w:r>
    </w:p>
    <w:p w14:paraId="3EFD37F9">
      <w:pPr>
        <w:spacing w:line="360" w:lineRule="auto"/>
        <w:rPr>
          <w:rFonts w:cs="宋体"/>
          <w:sz w:val="24"/>
          <w:szCs w:val="24"/>
        </w:rPr>
      </w:pPr>
      <w:r>
        <w:rPr>
          <w:rFonts w:ascii="Times New Roman" w:eastAsia="黑体"/>
          <w:b/>
          <w:bCs/>
          <w:sz w:val="24"/>
          <w:szCs w:val="24"/>
        </w:rPr>
        <w:t>7.2.</w:t>
      </w:r>
      <w:r>
        <w:rPr>
          <w:rFonts w:hint="default" w:ascii="Times New Roman" w:eastAsia="黑体"/>
          <w:b/>
          <w:bCs/>
          <w:sz w:val="24"/>
          <w:szCs w:val="24"/>
        </w:rPr>
        <w:t>7</w:t>
      </w:r>
      <w:r>
        <w:rPr>
          <w:rFonts w:hint="eastAsia"/>
          <w:sz w:val="24"/>
          <w:szCs w:val="24"/>
        </w:rPr>
        <w:t>　</w:t>
      </w:r>
      <w:r>
        <w:rPr>
          <w:rFonts w:hint="eastAsia" w:cs="宋体"/>
          <w:sz w:val="24"/>
          <w:szCs w:val="24"/>
        </w:rPr>
        <w:t>既有工业建筑民用化低碳改造的结构加固方案采用干作业施工工法，评价总分值为</w:t>
      </w:r>
      <w:r>
        <w:rPr>
          <w:rFonts w:hint="eastAsia" w:cs="宋体"/>
          <w:sz w:val="24"/>
          <w:szCs w:val="24"/>
          <w:lang w:val="en-US" w:eastAsia="zh-CN"/>
        </w:rPr>
        <w:t>20</w:t>
      </w:r>
      <w:r>
        <w:rPr>
          <w:rFonts w:hint="eastAsia" w:cs="宋体"/>
          <w:sz w:val="24"/>
          <w:szCs w:val="24"/>
        </w:rPr>
        <w:t>分，应按下列规则评分：</w:t>
      </w:r>
    </w:p>
    <w:p w14:paraId="55742B8C">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结构不进行加固时，得</w:t>
      </w:r>
      <w:r>
        <w:rPr>
          <w:rFonts w:hint="eastAsia" w:cs="宋体"/>
          <w:sz w:val="24"/>
          <w:szCs w:val="24"/>
          <w:lang w:val="en-US" w:eastAsia="zh-CN"/>
        </w:rPr>
        <w:t>20</w:t>
      </w:r>
      <w:r>
        <w:rPr>
          <w:rFonts w:hint="eastAsia" w:cs="宋体"/>
          <w:sz w:val="24"/>
          <w:szCs w:val="24"/>
        </w:rPr>
        <w:t>分；</w:t>
      </w:r>
    </w:p>
    <w:p w14:paraId="63548DFA">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xml:space="preserve">  竖向构件采用钢材加固时，得</w:t>
      </w:r>
      <w:r>
        <w:rPr>
          <w:rFonts w:hint="eastAsia" w:cs="宋体"/>
          <w:sz w:val="24"/>
          <w:szCs w:val="24"/>
          <w:lang w:val="en-US" w:eastAsia="zh-CN"/>
        </w:rPr>
        <w:t>10</w:t>
      </w:r>
      <w:r>
        <w:rPr>
          <w:rFonts w:hint="eastAsia" w:cs="宋体"/>
          <w:sz w:val="24"/>
          <w:szCs w:val="24"/>
        </w:rPr>
        <w:t>分；采用纤维复合材加固时，得</w:t>
      </w:r>
      <w:r>
        <w:rPr>
          <w:rFonts w:hint="eastAsia" w:cs="宋体"/>
          <w:sz w:val="24"/>
          <w:szCs w:val="24"/>
          <w:lang w:val="en-US" w:eastAsia="zh-CN"/>
        </w:rPr>
        <w:t>5</w:t>
      </w:r>
      <w:r>
        <w:rPr>
          <w:rFonts w:hint="eastAsia" w:cs="宋体"/>
          <w:sz w:val="24"/>
          <w:szCs w:val="24"/>
        </w:rPr>
        <w:t>分；</w:t>
      </w:r>
    </w:p>
    <w:p w14:paraId="788EE796">
      <w:pPr>
        <w:spacing w:line="360" w:lineRule="auto"/>
        <w:ind w:firstLine="482" w:firstLineChars="200"/>
        <w:rPr>
          <w:rFonts w:cs="宋体"/>
          <w:sz w:val="24"/>
          <w:szCs w:val="24"/>
        </w:rPr>
      </w:pPr>
      <w:r>
        <w:rPr>
          <w:rFonts w:ascii="Times New Roman" w:eastAsia="黑体"/>
          <w:b/>
          <w:bCs/>
          <w:sz w:val="24"/>
          <w:szCs w:val="24"/>
        </w:rPr>
        <w:t>3</w:t>
      </w:r>
      <w:r>
        <w:rPr>
          <w:rFonts w:hint="eastAsia" w:cs="宋体"/>
          <w:sz w:val="24"/>
          <w:szCs w:val="24"/>
        </w:rPr>
        <w:t xml:space="preserve">  水平构件采用钢材加固时，得</w:t>
      </w:r>
      <w:r>
        <w:rPr>
          <w:rFonts w:hint="eastAsia" w:cs="宋体"/>
          <w:sz w:val="24"/>
          <w:szCs w:val="24"/>
          <w:lang w:val="en-US" w:eastAsia="zh-CN"/>
        </w:rPr>
        <w:t>10</w:t>
      </w:r>
      <w:r>
        <w:rPr>
          <w:rFonts w:hint="eastAsia" w:cs="宋体"/>
          <w:sz w:val="24"/>
          <w:szCs w:val="24"/>
        </w:rPr>
        <w:t>分；采用纤维复合材加固时，得</w:t>
      </w:r>
      <w:r>
        <w:rPr>
          <w:rFonts w:hint="eastAsia" w:cs="宋体"/>
          <w:sz w:val="24"/>
          <w:szCs w:val="24"/>
          <w:lang w:val="en-US" w:eastAsia="zh-CN"/>
        </w:rPr>
        <w:t>5</w:t>
      </w:r>
      <w:r>
        <w:rPr>
          <w:rFonts w:hint="eastAsia" w:cs="宋体"/>
          <w:sz w:val="24"/>
          <w:szCs w:val="24"/>
        </w:rPr>
        <w:t>分。</w:t>
      </w:r>
    </w:p>
    <w:p w14:paraId="079120DE">
      <w:pPr>
        <w:spacing w:line="360" w:lineRule="auto"/>
        <w:rPr>
          <w:rFonts w:cs="宋体"/>
          <w:sz w:val="24"/>
          <w:szCs w:val="24"/>
        </w:rPr>
      </w:pPr>
      <w:r>
        <w:rPr>
          <w:rFonts w:ascii="Times New Roman" w:eastAsia="黑体"/>
          <w:b/>
          <w:bCs/>
          <w:sz w:val="24"/>
          <w:szCs w:val="24"/>
        </w:rPr>
        <w:t>7.2.</w:t>
      </w:r>
      <w:r>
        <w:rPr>
          <w:rFonts w:hint="default" w:ascii="Times New Roman" w:eastAsia="黑体"/>
          <w:b/>
          <w:bCs/>
          <w:sz w:val="24"/>
          <w:szCs w:val="24"/>
        </w:rPr>
        <w:t>8</w:t>
      </w:r>
      <w:r>
        <w:rPr>
          <w:rFonts w:hint="eastAsia"/>
          <w:sz w:val="24"/>
          <w:szCs w:val="24"/>
        </w:rPr>
        <w:t>　</w:t>
      </w:r>
      <w:r>
        <w:rPr>
          <w:rFonts w:hint="eastAsia" w:cs="宋体"/>
          <w:sz w:val="24"/>
          <w:szCs w:val="24"/>
        </w:rPr>
        <w:t>采用易于拆卸节点连接结构形式，评价分值为5分。</w:t>
      </w:r>
    </w:p>
    <w:p w14:paraId="69AED8DA">
      <w:pPr>
        <w:spacing w:line="360" w:lineRule="auto"/>
        <w:rPr>
          <w:sz w:val="24"/>
          <w:szCs w:val="24"/>
        </w:rPr>
      </w:pPr>
      <w:r>
        <w:rPr>
          <w:rFonts w:ascii="Times New Roman" w:eastAsia="黑体"/>
          <w:b/>
          <w:bCs/>
          <w:sz w:val="24"/>
          <w:szCs w:val="24"/>
        </w:rPr>
        <w:t>7.2.</w:t>
      </w:r>
      <w:r>
        <w:rPr>
          <w:rFonts w:hint="default" w:ascii="Times New Roman" w:eastAsia="黑体"/>
          <w:b/>
          <w:bCs/>
          <w:sz w:val="24"/>
          <w:szCs w:val="24"/>
        </w:rPr>
        <w:t>9</w:t>
      </w:r>
      <w:r>
        <w:rPr>
          <w:rFonts w:hint="eastAsia"/>
          <w:sz w:val="24"/>
          <w:szCs w:val="24"/>
        </w:rPr>
        <w:t>　</w:t>
      </w:r>
      <w:r>
        <w:rPr>
          <w:rFonts w:hint="eastAsia" w:cs="宋体"/>
          <w:sz w:val="24"/>
          <w:szCs w:val="24"/>
        </w:rPr>
        <w:t>合理采用隔震或消能减震加固技术，评价分值为5分。</w:t>
      </w:r>
    </w:p>
    <w:p w14:paraId="58F31D17">
      <w:pPr>
        <w:pStyle w:val="28"/>
        <w:spacing w:before="0" w:beforeLines="0" w:after="0" w:afterLines="0" w:line="360" w:lineRule="auto"/>
        <w:ind w:firstLine="0" w:firstLineChars="0"/>
        <w:jc w:val="center"/>
        <w:outlineLvl w:val="2"/>
        <w:rPr>
          <w:rFonts w:eastAsia="仿宋" w:cs="Times New Roman"/>
          <w:b/>
          <w:bCs/>
          <w:sz w:val="28"/>
          <w:szCs w:val="28"/>
        </w:rPr>
      </w:pPr>
      <w:r>
        <w:rPr>
          <w:rFonts w:hint="eastAsia" w:cs="Times New Roman"/>
          <w:b/>
          <w:bCs/>
          <w:sz w:val="28"/>
          <w:szCs w:val="28"/>
        </w:rPr>
        <w:t>Ⅲ</w:t>
      </w:r>
      <w:r>
        <w:rPr>
          <w:rFonts w:cs="Times New Roman"/>
          <w:b/>
          <w:bCs/>
          <w:sz w:val="28"/>
          <w:szCs w:val="28"/>
        </w:rPr>
        <w:t xml:space="preserve"> </w:t>
      </w:r>
      <w:r>
        <w:rPr>
          <w:rFonts w:hint="eastAsia" w:ascii="仿宋" w:hAnsi="仿宋" w:eastAsia="仿宋" w:cs="仿宋"/>
          <w:b/>
          <w:bCs/>
          <w:sz w:val="28"/>
          <w:szCs w:val="28"/>
        </w:rPr>
        <w:t>低碳施工</w:t>
      </w:r>
    </w:p>
    <w:p w14:paraId="2FE02322">
      <w:pPr>
        <w:spacing w:line="360" w:lineRule="auto"/>
        <w:rPr>
          <w:rFonts w:cs="宋体"/>
          <w:sz w:val="24"/>
          <w:szCs w:val="24"/>
        </w:rPr>
      </w:pPr>
      <w:r>
        <w:rPr>
          <w:rFonts w:ascii="Times New Roman" w:eastAsia="黑体"/>
          <w:b/>
          <w:bCs/>
          <w:sz w:val="24"/>
          <w:szCs w:val="24"/>
        </w:rPr>
        <w:t>7.2.1</w:t>
      </w:r>
      <w:r>
        <w:rPr>
          <w:rFonts w:hint="default" w:ascii="Times New Roman" w:eastAsia="黑体"/>
          <w:b/>
          <w:bCs/>
          <w:sz w:val="24"/>
          <w:szCs w:val="24"/>
        </w:rPr>
        <w:t>0</w:t>
      </w:r>
      <w:r>
        <w:rPr>
          <w:rFonts w:hint="eastAsia"/>
          <w:sz w:val="24"/>
          <w:szCs w:val="24"/>
        </w:rPr>
        <w:t>　</w:t>
      </w:r>
      <w:r>
        <w:rPr>
          <w:rFonts w:hint="eastAsia" w:cs="宋体"/>
          <w:sz w:val="24"/>
          <w:szCs w:val="24"/>
        </w:rPr>
        <w:t>新增建筑材料采用500km以内生产的材料，评价总分值为1</w:t>
      </w:r>
      <w:r>
        <w:rPr>
          <w:rFonts w:hint="eastAsia" w:cs="宋体"/>
          <w:sz w:val="24"/>
          <w:szCs w:val="24"/>
          <w:lang w:val="en-US" w:eastAsia="zh-CN"/>
        </w:rPr>
        <w:t>5</w:t>
      </w:r>
      <w:r>
        <w:rPr>
          <w:rFonts w:hint="eastAsia" w:cs="宋体"/>
          <w:sz w:val="24"/>
          <w:szCs w:val="24"/>
        </w:rPr>
        <w:t>分。500km以内生产的新增建筑材料总重量占全部新增建筑材料总重量的比例大于60%，得</w:t>
      </w:r>
      <w:r>
        <w:rPr>
          <w:rFonts w:hint="eastAsia" w:cs="宋体"/>
          <w:sz w:val="24"/>
          <w:szCs w:val="24"/>
          <w:lang w:val="en-US" w:eastAsia="zh-CN"/>
        </w:rPr>
        <w:t>10</w:t>
      </w:r>
      <w:r>
        <w:rPr>
          <w:rFonts w:hint="eastAsia" w:cs="宋体"/>
          <w:sz w:val="24"/>
          <w:szCs w:val="24"/>
        </w:rPr>
        <w:t>分；大于80%，得1</w:t>
      </w:r>
      <w:r>
        <w:rPr>
          <w:rFonts w:hint="eastAsia" w:cs="宋体"/>
          <w:sz w:val="24"/>
          <w:szCs w:val="24"/>
          <w:lang w:val="en-US" w:eastAsia="zh-CN"/>
        </w:rPr>
        <w:t>5</w:t>
      </w:r>
      <w:r>
        <w:rPr>
          <w:rFonts w:hint="eastAsia" w:cs="宋体"/>
          <w:sz w:val="24"/>
          <w:szCs w:val="24"/>
        </w:rPr>
        <w:t>分。</w:t>
      </w:r>
    </w:p>
    <w:p w14:paraId="474B9214">
      <w:pPr>
        <w:spacing w:line="360" w:lineRule="auto"/>
        <w:rPr>
          <w:rFonts w:cs="宋体"/>
          <w:sz w:val="24"/>
          <w:szCs w:val="24"/>
        </w:rPr>
      </w:pPr>
      <w:r>
        <w:rPr>
          <w:rFonts w:ascii="Times New Roman" w:eastAsia="黑体"/>
          <w:b/>
          <w:bCs/>
          <w:sz w:val="24"/>
          <w:szCs w:val="24"/>
        </w:rPr>
        <w:t>7.2.1</w:t>
      </w:r>
      <w:r>
        <w:rPr>
          <w:rFonts w:hint="default" w:ascii="Times New Roman" w:eastAsia="黑体"/>
          <w:b/>
          <w:bCs/>
          <w:sz w:val="24"/>
          <w:szCs w:val="24"/>
        </w:rPr>
        <w:t>1</w:t>
      </w:r>
      <w:r>
        <w:rPr>
          <w:rFonts w:hint="eastAsia"/>
          <w:sz w:val="24"/>
          <w:szCs w:val="24"/>
        </w:rPr>
        <w:t>　</w:t>
      </w:r>
      <w:r>
        <w:rPr>
          <w:rFonts w:hint="eastAsia" w:cs="宋体"/>
          <w:sz w:val="24"/>
          <w:szCs w:val="24"/>
        </w:rPr>
        <w:t>施工过程中按水平衡测试的要求设置用水计量装置，评价总分值为</w:t>
      </w:r>
      <w:r>
        <w:rPr>
          <w:rFonts w:hint="eastAsia" w:cs="宋体"/>
          <w:sz w:val="24"/>
          <w:szCs w:val="24"/>
          <w:lang w:val="en-US" w:eastAsia="zh-CN"/>
        </w:rPr>
        <w:t>8</w:t>
      </w:r>
      <w:r>
        <w:rPr>
          <w:rFonts w:hint="eastAsia" w:cs="宋体"/>
          <w:sz w:val="24"/>
          <w:szCs w:val="24"/>
        </w:rPr>
        <w:t>分，应按下列规则分别评分并累计：</w:t>
      </w:r>
    </w:p>
    <w:p w14:paraId="025A0406">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按使用用途，对生产、生活等设置用水计量装置，统计用水量，得</w:t>
      </w:r>
      <w:r>
        <w:rPr>
          <w:rFonts w:hint="eastAsia" w:cs="宋体"/>
          <w:sz w:val="24"/>
          <w:szCs w:val="24"/>
          <w:lang w:val="en-US" w:eastAsia="zh-CN"/>
        </w:rPr>
        <w:t>4</w:t>
      </w:r>
      <w:r>
        <w:rPr>
          <w:rFonts w:hint="eastAsia" w:cs="宋体"/>
          <w:sz w:val="24"/>
          <w:szCs w:val="24"/>
        </w:rPr>
        <w:t>分；</w:t>
      </w:r>
    </w:p>
    <w:p w14:paraId="06F1172A">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按付费或管理单元，分别设置用水计量装置，统计用水量，得</w:t>
      </w:r>
      <w:r>
        <w:rPr>
          <w:rFonts w:hint="eastAsia" w:cs="宋体"/>
          <w:sz w:val="24"/>
          <w:szCs w:val="24"/>
          <w:lang w:val="en-US" w:eastAsia="zh-CN"/>
        </w:rPr>
        <w:t>4</w:t>
      </w:r>
      <w:r>
        <w:rPr>
          <w:rFonts w:hint="eastAsia" w:cs="宋体"/>
          <w:sz w:val="24"/>
          <w:szCs w:val="24"/>
        </w:rPr>
        <w:t>分。</w:t>
      </w:r>
    </w:p>
    <w:p w14:paraId="28D9E0DF">
      <w:pPr>
        <w:spacing w:line="360" w:lineRule="auto"/>
        <w:rPr>
          <w:rFonts w:cs="宋体"/>
          <w:sz w:val="24"/>
          <w:szCs w:val="24"/>
        </w:rPr>
      </w:pPr>
      <w:r>
        <w:rPr>
          <w:rFonts w:ascii="Times New Roman" w:eastAsia="黑体"/>
          <w:b/>
          <w:bCs/>
          <w:sz w:val="24"/>
          <w:szCs w:val="24"/>
        </w:rPr>
        <w:t>7.2.1</w:t>
      </w:r>
      <w:r>
        <w:rPr>
          <w:rFonts w:hint="default" w:ascii="Times New Roman" w:eastAsia="黑体"/>
          <w:b/>
          <w:bCs/>
          <w:sz w:val="24"/>
          <w:szCs w:val="24"/>
        </w:rPr>
        <w:t>2</w:t>
      </w:r>
      <w:r>
        <w:rPr>
          <w:rFonts w:hint="eastAsia"/>
          <w:sz w:val="24"/>
          <w:szCs w:val="24"/>
        </w:rPr>
        <w:t>　</w:t>
      </w:r>
      <w:r>
        <w:rPr>
          <w:rFonts w:hint="eastAsia" w:cs="宋体"/>
          <w:sz w:val="24"/>
          <w:szCs w:val="24"/>
        </w:rPr>
        <w:t>建立施工现场能耗实时监测系统，对办公区、生活区与施工区的能耗进行分项计量，评价分值为</w:t>
      </w:r>
      <w:r>
        <w:rPr>
          <w:rFonts w:hint="eastAsia" w:cs="宋体"/>
          <w:sz w:val="24"/>
          <w:szCs w:val="24"/>
          <w:lang w:val="en-US" w:eastAsia="zh-CN"/>
        </w:rPr>
        <w:t>7</w:t>
      </w:r>
      <w:r>
        <w:rPr>
          <w:rFonts w:hint="eastAsia" w:cs="宋体"/>
          <w:sz w:val="24"/>
          <w:szCs w:val="24"/>
        </w:rPr>
        <w:t>分。</w:t>
      </w:r>
    </w:p>
    <w:p w14:paraId="1AC7F815">
      <w:pPr>
        <w:spacing w:line="360" w:lineRule="auto"/>
        <w:rPr>
          <w:rFonts w:cs="宋体"/>
          <w:sz w:val="24"/>
          <w:szCs w:val="24"/>
        </w:rPr>
      </w:pPr>
      <w:r>
        <w:rPr>
          <w:rFonts w:ascii="Times New Roman" w:eastAsia="黑体"/>
          <w:b/>
          <w:bCs/>
          <w:sz w:val="24"/>
          <w:szCs w:val="24"/>
        </w:rPr>
        <w:t>7.2.1</w:t>
      </w:r>
      <w:r>
        <w:rPr>
          <w:rFonts w:hint="default" w:ascii="Times New Roman" w:eastAsia="黑体"/>
          <w:b/>
          <w:bCs/>
          <w:sz w:val="24"/>
          <w:szCs w:val="24"/>
        </w:rPr>
        <w:t>3</w:t>
      </w:r>
      <w:r>
        <w:rPr>
          <w:rFonts w:hint="eastAsia"/>
          <w:sz w:val="24"/>
          <w:szCs w:val="24"/>
        </w:rPr>
        <w:t>　</w:t>
      </w:r>
      <w:r>
        <w:rPr>
          <w:rFonts w:hint="eastAsia" w:cs="宋体"/>
          <w:sz w:val="24"/>
          <w:szCs w:val="24"/>
        </w:rPr>
        <w:t>对建筑垃圾进行资源化管理，评价总分值为</w:t>
      </w:r>
      <w:r>
        <w:rPr>
          <w:rFonts w:hint="eastAsia" w:cs="宋体"/>
          <w:sz w:val="24"/>
          <w:szCs w:val="24"/>
          <w:lang w:val="en-US" w:eastAsia="zh-CN"/>
        </w:rPr>
        <w:t>10</w:t>
      </w:r>
      <w:r>
        <w:rPr>
          <w:rFonts w:hint="eastAsia" w:cs="宋体"/>
          <w:sz w:val="24"/>
          <w:szCs w:val="24"/>
        </w:rPr>
        <w:t>分，并按下列规则分别评分并累计：</w:t>
      </w:r>
    </w:p>
    <w:p w14:paraId="1726913B">
      <w:pPr>
        <w:spacing w:line="360" w:lineRule="auto"/>
        <w:ind w:firstLine="482" w:firstLineChars="200"/>
        <w:rPr>
          <w:rFonts w:cs="宋体"/>
          <w:sz w:val="24"/>
          <w:szCs w:val="24"/>
        </w:rPr>
      </w:pPr>
      <w:r>
        <w:rPr>
          <w:rFonts w:ascii="Times New Roman" w:eastAsia="黑体"/>
          <w:b/>
          <w:bCs/>
          <w:sz w:val="24"/>
          <w:szCs w:val="24"/>
        </w:rPr>
        <w:t>1</w:t>
      </w:r>
      <w:r>
        <w:rPr>
          <w:rFonts w:hint="eastAsia" w:cs="宋体"/>
          <w:sz w:val="24"/>
          <w:szCs w:val="24"/>
        </w:rPr>
        <w:t>　建筑垃圾实施分类堆放管理，设置可回收利用材料的收集储存场地或设施，得</w:t>
      </w:r>
      <w:r>
        <w:rPr>
          <w:rFonts w:hint="eastAsia" w:cs="宋体"/>
          <w:sz w:val="24"/>
          <w:szCs w:val="24"/>
          <w:lang w:val="en-US" w:eastAsia="zh-CN"/>
        </w:rPr>
        <w:t>2</w:t>
      </w:r>
      <w:r>
        <w:rPr>
          <w:rFonts w:hint="eastAsia" w:cs="宋体"/>
          <w:sz w:val="24"/>
          <w:szCs w:val="24"/>
        </w:rPr>
        <w:t>分；</w:t>
      </w:r>
    </w:p>
    <w:p w14:paraId="05498F2F">
      <w:pPr>
        <w:spacing w:line="360" w:lineRule="auto"/>
        <w:ind w:firstLine="482" w:firstLineChars="200"/>
        <w:rPr>
          <w:rFonts w:cs="宋体"/>
          <w:sz w:val="24"/>
          <w:szCs w:val="24"/>
        </w:rPr>
      </w:pPr>
      <w:r>
        <w:rPr>
          <w:rFonts w:ascii="Times New Roman" w:eastAsia="黑体"/>
          <w:b/>
          <w:bCs/>
          <w:sz w:val="24"/>
          <w:szCs w:val="24"/>
        </w:rPr>
        <w:t>2</w:t>
      </w:r>
      <w:r>
        <w:rPr>
          <w:rFonts w:hint="eastAsia" w:cs="宋体"/>
          <w:sz w:val="24"/>
          <w:szCs w:val="24"/>
        </w:rPr>
        <w:t xml:space="preserve">  制定建筑垃圾可回收计划，得</w:t>
      </w:r>
      <w:r>
        <w:rPr>
          <w:rFonts w:hint="eastAsia" w:cs="宋体"/>
          <w:sz w:val="24"/>
          <w:szCs w:val="24"/>
          <w:lang w:val="en-US" w:eastAsia="zh-CN"/>
        </w:rPr>
        <w:t>4</w:t>
      </w:r>
      <w:r>
        <w:rPr>
          <w:rFonts w:hint="eastAsia" w:cs="宋体"/>
          <w:sz w:val="24"/>
          <w:szCs w:val="24"/>
        </w:rPr>
        <w:t>分；</w:t>
      </w:r>
    </w:p>
    <w:p w14:paraId="376F7732">
      <w:pPr>
        <w:spacing w:line="360" w:lineRule="auto"/>
        <w:ind w:firstLine="482" w:firstLineChars="200"/>
        <w:rPr>
          <w:rFonts w:cs="宋体"/>
          <w:sz w:val="24"/>
          <w:szCs w:val="24"/>
        </w:rPr>
      </w:pPr>
      <w:r>
        <w:rPr>
          <w:rFonts w:ascii="Times New Roman" w:eastAsia="黑体"/>
          <w:b/>
          <w:bCs/>
          <w:sz w:val="24"/>
          <w:szCs w:val="24"/>
        </w:rPr>
        <w:t>3</w:t>
      </w:r>
      <w:r>
        <w:rPr>
          <w:rFonts w:hint="eastAsia" w:cs="宋体"/>
          <w:sz w:val="24"/>
          <w:szCs w:val="24"/>
        </w:rPr>
        <w:t>　建筑垃圾的综合利用率达到40%，得1分；达到60%，得</w:t>
      </w:r>
      <w:r>
        <w:rPr>
          <w:rFonts w:hint="eastAsia" w:cs="宋体"/>
          <w:sz w:val="24"/>
          <w:szCs w:val="24"/>
          <w:lang w:val="en-US" w:eastAsia="zh-CN"/>
        </w:rPr>
        <w:t>4</w:t>
      </w:r>
      <w:r>
        <w:rPr>
          <w:rFonts w:hint="eastAsia" w:cs="宋体"/>
          <w:sz w:val="24"/>
          <w:szCs w:val="24"/>
        </w:rPr>
        <w:t>分。</w:t>
      </w:r>
    </w:p>
    <w:p w14:paraId="35A82AF1">
      <w:pPr>
        <w:spacing w:line="360" w:lineRule="auto"/>
        <w:rPr>
          <w:color w:val="0000FF"/>
          <w:sz w:val="24"/>
          <w:szCs w:val="24"/>
        </w:rPr>
      </w:pPr>
      <w:r>
        <w:rPr>
          <w:rFonts w:ascii="Times New Roman" w:eastAsia="黑体"/>
          <w:b/>
          <w:bCs/>
          <w:sz w:val="24"/>
          <w:szCs w:val="24"/>
        </w:rPr>
        <w:t>7.2.</w:t>
      </w:r>
      <w:r>
        <w:rPr>
          <w:rFonts w:hint="default" w:ascii="Times New Roman" w:eastAsia="黑体"/>
          <w:b/>
          <w:bCs/>
          <w:sz w:val="24"/>
          <w:szCs w:val="24"/>
        </w:rPr>
        <w:t>14</w:t>
      </w:r>
      <w:r>
        <w:rPr>
          <w:rFonts w:hint="eastAsia"/>
          <w:sz w:val="24"/>
          <w:szCs w:val="24"/>
        </w:rPr>
        <w:t>　</w:t>
      </w:r>
      <w:r>
        <w:rPr>
          <w:rFonts w:hint="eastAsia" w:cs="宋体"/>
          <w:sz w:val="24"/>
          <w:szCs w:val="24"/>
        </w:rPr>
        <w:t>合理选用建筑拆解方式，实现建筑材料回收利用，评价分值为5分。</w:t>
      </w:r>
    </w:p>
    <w:p w14:paraId="31521238">
      <w:pPr>
        <w:widowControl/>
        <w:snapToGrid w:val="0"/>
        <w:jc w:val="center"/>
        <w:rPr>
          <w:rFonts w:hint="eastAsia" w:ascii="宋体" w:hAnsi="宋体" w:cs="宋体"/>
          <w:b/>
          <w:bCs/>
          <w:kern w:val="44"/>
          <w:sz w:val="30"/>
          <w:szCs w:val="30"/>
        </w:rPr>
        <w:sectPr>
          <w:footerReference r:id="rId11" w:type="default"/>
          <w:pgSz w:w="11906" w:h="16838"/>
          <w:pgMar w:top="1440" w:right="1800" w:bottom="1440" w:left="1800" w:header="851" w:footer="992" w:gutter="0"/>
          <w:cols w:space="425" w:num="1"/>
          <w:docGrid w:type="lines" w:linePitch="312" w:charSpace="0"/>
        </w:sectPr>
      </w:pPr>
    </w:p>
    <w:bookmarkEnd w:id="98"/>
    <w:bookmarkEnd w:id="99"/>
    <w:bookmarkEnd w:id="100"/>
    <w:bookmarkEnd w:id="101"/>
    <w:bookmarkEnd w:id="102"/>
    <w:bookmarkEnd w:id="103"/>
    <w:bookmarkEnd w:id="104"/>
    <w:bookmarkEnd w:id="105"/>
    <w:bookmarkEnd w:id="106"/>
    <w:bookmarkEnd w:id="107"/>
    <w:bookmarkEnd w:id="108"/>
    <w:p w14:paraId="3159B312">
      <w:pPr>
        <w:widowControl/>
        <w:snapToGrid w:val="0"/>
        <w:spacing w:line="360" w:lineRule="auto"/>
        <w:jc w:val="center"/>
        <w:outlineLvl w:val="9"/>
        <w:rPr>
          <w:rFonts w:ascii="Times New Roman" w:hAnsi="Times New Roman" w:cs="Times New Roman"/>
          <w:b/>
          <w:bCs/>
          <w:kern w:val="44"/>
          <w:sz w:val="30"/>
          <w:szCs w:val="30"/>
        </w:rPr>
      </w:pPr>
      <w:bookmarkStart w:id="143" w:name="_Toc6840"/>
      <w:bookmarkStart w:id="144" w:name="_Toc21960"/>
      <w:bookmarkStart w:id="145" w:name="_Toc19939"/>
      <w:bookmarkStart w:id="146" w:name="_Toc29929"/>
      <w:bookmarkStart w:id="147" w:name="_Toc28306"/>
      <w:bookmarkStart w:id="148" w:name="_Toc28557"/>
      <w:bookmarkStart w:id="149" w:name="_Toc509"/>
      <w:bookmarkStart w:id="150" w:name="_Toc3682"/>
      <w:bookmarkStart w:id="151" w:name="_Toc16111"/>
      <w:bookmarkStart w:id="152" w:name="_Toc1895"/>
      <w:bookmarkStart w:id="153" w:name="_Toc19337"/>
      <w:bookmarkStart w:id="154" w:name="_Toc8123"/>
      <w:bookmarkStart w:id="155" w:name="_Toc6675"/>
      <w:bookmarkStart w:id="156" w:name="_Toc28977"/>
      <w:bookmarkStart w:id="157" w:name="_Toc7698"/>
      <w:bookmarkStart w:id="158" w:name="_Toc32299"/>
      <w:bookmarkStart w:id="159" w:name="_Toc13986"/>
      <w:bookmarkStart w:id="160" w:name="_Toc29830"/>
    </w:p>
    <w:p w14:paraId="13B71331">
      <w:pPr>
        <w:widowControl/>
        <w:snapToGrid w:val="0"/>
        <w:spacing w:line="360" w:lineRule="auto"/>
        <w:jc w:val="center"/>
        <w:outlineLvl w:val="0"/>
        <w:rPr>
          <w:rFonts w:ascii="宋体" w:hAnsi="宋体" w:cs="宋体"/>
          <w:b/>
          <w:bCs/>
          <w:kern w:val="44"/>
          <w:sz w:val="30"/>
          <w:szCs w:val="30"/>
        </w:rPr>
      </w:pPr>
      <w:bookmarkStart w:id="161" w:name="_Toc30252"/>
      <w:bookmarkStart w:id="162" w:name="_Toc23261"/>
      <w:r>
        <w:rPr>
          <w:rFonts w:ascii="Times New Roman" w:hAnsi="Times New Roman" w:cs="Times New Roman"/>
          <w:b/>
          <w:bCs/>
          <w:kern w:val="44"/>
          <w:sz w:val="30"/>
          <w:szCs w:val="30"/>
        </w:rPr>
        <w:t>8</w:t>
      </w:r>
      <w:r>
        <w:rPr>
          <w:rFonts w:hint="eastAsia" w:ascii="宋体" w:hAnsi="宋体" w:cs="宋体"/>
          <w:b/>
          <w:bCs/>
          <w:kern w:val="44"/>
          <w:sz w:val="30"/>
          <w:szCs w:val="30"/>
        </w:rPr>
        <w:t>　提高与创新</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C2DDACF">
      <w:pPr>
        <w:spacing w:line="360" w:lineRule="auto"/>
        <w:rPr>
          <w:kern w:val="0"/>
          <w:sz w:val="24"/>
          <w:szCs w:val="24"/>
        </w:rPr>
      </w:pPr>
      <w:r>
        <w:rPr>
          <w:rFonts w:ascii="Times New Roman" w:eastAsia="黑体"/>
          <w:b/>
          <w:bCs/>
          <w:sz w:val="24"/>
          <w:szCs w:val="24"/>
        </w:rPr>
        <w:t>8.0.</w:t>
      </w:r>
      <w:r>
        <w:rPr>
          <w:rFonts w:hint="default" w:ascii="Times New Roman" w:eastAsia="黑体"/>
          <w:b/>
          <w:bCs/>
          <w:sz w:val="24"/>
          <w:szCs w:val="24"/>
        </w:rPr>
        <w:t>1</w:t>
      </w:r>
      <w:r>
        <w:rPr>
          <w:rFonts w:hint="eastAsia" w:ascii="黑体" w:eastAsia="黑体"/>
          <w:b/>
          <w:bCs/>
          <w:sz w:val="24"/>
          <w:szCs w:val="24"/>
        </w:rPr>
        <w:t>　</w:t>
      </w:r>
      <w:r>
        <w:rPr>
          <w:rFonts w:hint="eastAsia"/>
          <w:kern w:val="0"/>
          <w:sz w:val="24"/>
          <w:szCs w:val="24"/>
        </w:rPr>
        <w:t>采取措施进一步降低建筑供暖空调系统的能耗，评价总分值为20分。建筑供暖空调系统能耗比现行国家标准《建筑节能与可再生能源利用通用规范》GB</w:t>
      </w:r>
      <w:r>
        <w:rPr>
          <w:kern w:val="0"/>
          <w:sz w:val="24"/>
          <w:szCs w:val="24"/>
        </w:rPr>
        <w:t xml:space="preserve"> </w:t>
      </w:r>
      <w:r>
        <w:rPr>
          <w:rFonts w:hint="eastAsia"/>
          <w:kern w:val="0"/>
          <w:sz w:val="24"/>
          <w:szCs w:val="24"/>
        </w:rPr>
        <w:t>55015的规定值降低10%，得10分，每再降低10％，再得5分，最高得20分。</w:t>
      </w:r>
    </w:p>
    <w:p w14:paraId="02E3157B">
      <w:pPr>
        <w:spacing w:line="360" w:lineRule="auto"/>
        <w:rPr>
          <w:kern w:val="0"/>
          <w:sz w:val="24"/>
          <w:szCs w:val="24"/>
        </w:rPr>
      </w:pPr>
      <w:r>
        <w:rPr>
          <w:rFonts w:ascii="Times New Roman" w:eastAsia="黑体"/>
          <w:b/>
          <w:bCs/>
          <w:sz w:val="24"/>
          <w:szCs w:val="24"/>
        </w:rPr>
        <w:t>8.0.</w:t>
      </w:r>
      <w:r>
        <w:rPr>
          <w:rFonts w:hint="default" w:ascii="Times New Roman" w:eastAsia="黑体"/>
          <w:b/>
          <w:bCs/>
          <w:sz w:val="24"/>
          <w:szCs w:val="24"/>
        </w:rPr>
        <w:t>2</w:t>
      </w:r>
      <w:r>
        <w:rPr>
          <w:rFonts w:hint="eastAsia" w:ascii="黑体" w:eastAsia="黑体"/>
          <w:b/>
          <w:bCs/>
          <w:sz w:val="24"/>
          <w:szCs w:val="24"/>
        </w:rPr>
        <w:t>　</w:t>
      </w:r>
      <w:r>
        <w:rPr>
          <w:rFonts w:hint="eastAsia"/>
          <w:kern w:val="0"/>
          <w:sz w:val="24"/>
          <w:szCs w:val="24"/>
        </w:rPr>
        <w:t>应用建筑信息模型（BIM）技术，评价总分值为15分。在既有建筑绿色改造设计、施工和运行维护阶段中的一个阶段应用，得5分；两个阶段应用，得10分；三个阶段应用，得15分。</w:t>
      </w:r>
    </w:p>
    <w:p w14:paraId="33DB0262">
      <w:pPr>
        <w:spacing w:line="360" w:lineRule="auto"/>
        <w:rPr>
          <w:kern w:val="0"/>
          <w:sz w:val="24"/>
          <w:szCs w:val="24"/>
        </w:rPr>
      </w:pPr>
      <w:r>
        <w:rPr>
          <w:rFonts w:ascii="Times New Roman" w:eastAsia="黑体"/>
          <w:b/>
          <w:bCs/>
          <w:sz w:val="24"/>
          <w:szCs w:val="24"/>
        </w:rPr>
        <w:t>8.0.3</w:t>
      </w:r>
      <w:r>
        <w:rPr>
          <w:rFonts w:hint="eastAsia"/>
          <w:sz w:val="24"/>
          <w:szCs w:val="24"/>
        </w:rPr>
        <w:t>　</w:t>
      </w:r>
      <w:r>
        <w:rPr>
          <w:rFonts w:hint="eastAsia"/>
          <w:kern w:val="0"/>
          <w:sz w:val="24"/>
          <w:szCs w:val="24"/>
        </w:rPr>
        <w:t>采用建筑电力交互技术，实现建筑用能负荷调节，评价总分值10分，并按下列规则分别评分并累计：</w:t>
      </w:r>
    </w:p>
    <w:p w14:paraId="73F743AA">
      <w:pPr>
        <w:spacing w:line="360" w:lineRule="auto"/>
        <w:ind w:firstLine="482" w:firstLineChars="200"/>
        <w:rPr>
          <w:sz w:val="24"/>
          <w:szCs w:val="24"/>
        </w:rPr>
      </w:pPr>
      <w:bookmarkStart w:id="163" w:name="_Toc31040"/>
      <w:r>
        <w:rPr>
          <w:rFonts w:ascii="Times New Roman" w:eastAsia="黑体"/>
          <w:b/>
          <w:bCs/>
          <w:sz w:val="24"/>
          <w:szCs w:val="24"/>
        </w:rPr>
        <w:t>1</w:t>
      </w:r>
      <w:r>
        <w:rPr>
          <w:rFonts w:hint="eastAsia"/>
          <w:sz w:val="24"/>
          <w:szCs w:val="24"/>
        </w:rPr>
        <w:t>　采用光储直柔技术，得5分；</w:t>
      </w:r>
      <w:bookmarkEnd w:id="163"/>
    </w:p>
    <w:p w14:paraId="6FEBB755">
      <w:pPr>
        <w:spacing w:line="360" w:lineRule="auto"/>
        <w:ind w:firstLine="482" w:firstLineChars="200"/>
        <w:rPr>
          <w:sz w:val="24"/>
          <w:szCs w:val="24"/>
        </w:rPr>
      </w:pPr>
      <w:r>
        <w:rPr>
          <w:rFonts w:ascii="Times New Roman" w:eastAsia="黑体"/>
          <w:b/>
          <w:bCs/>
          <w:sz w:val="24"/>
          <w:szCs w:val="24"/>
        </w:rPr>
        <w:t>2</w:t>
      </w:r>
      <w:r>
        <w:rPr>
          <w:rFonts w:hint="eastAsia"/>
          <w:sz w:val="24"/>
          <w:szCs w:val="24"/>
        </w:rPr>
        <w:t>　建筑采用直流配电，且直流负载至少包括照明、空调、插座等或直流配电容量不少于建筑总配电的30%，得5分。</w:t>
      </w:r>
    </w:p>
    <w:p w14:paraId="76A4D650">
      <w:pPr>
        <w:numPr>
          <w:ilvl w:val="2"/>
          <w:numId w:val="0"/>
        </w:numPr>
        <w:spacing w:line="360" w:lineRule="auto"/>
        <w:rPr>
          <w:sz w:val="24"/>
          <w:szCs w:val="24"/>
        </w:rPr>
      </w:pPr>
      <w:r>
        <w:rPr>
          <w:rFonts w:ascii="Times New Roman" w:eastAsia="黑体"/>
          <w:b/>
          <w:bCs/>
          <w:sz w:val="24"/>
          <w:szCs w:val="24"/>
        </w:rPr>
        <w:t>8.0.4</w:t>
      </w:r>
      <w:r>
        <w:rPr>
          <w:rFonts w:hint="eastAsia"/>
          <w:sz w:val="24"/>
          <w:szCs w:val="24"/>
        </w:rPr>
        <w:t>　采取措施降低单位建筑面积运行碳排放强度，评价总分值20分。单位建筑面积碳排放强度降低20%，得5分；每再降低10％，再得5分；最高得20分。</w:t>
      </w:r>
    </w:p>
    <w:p w14:paraId="3B773ED1">
      <w:pPr>
        <w:numPr>
          <w:ilvl w:val="2"/>
          <w:numId w:val="0"/>
        </w:numPr>
        <w:spacing w:line="360" w:lineRule="auto"/>
        <w:rPr>
          <w:sz w:val="24"/>
          <w:szCs w:val="24"/>
        </w:rPr>
      </w:pPr>
      <w:r>
        <w:rPr>
          <w:rFonts w:ascii="Times New Roman" w:eastAsia="黑体"/>
          <w:b/>
          <w:bCs/>
          <w:sz w:val="24"/>
          <w:szCs w:val="24"/>
        </w:rPr>
        <w:t>8.0.5</w:t>
      </w:r>
      <w:r>
        <w:rPr>
          <w:rFonts w:hint="eastAsia"/>
          <w:sz w:val="24"/>
          <w:szCs w:val="24"/>
        </w:rPr>
        <w:t>　工业建筑改造引入绿色电力交易和碳排放权交易等碳抵消方式实现，碳抵消不少于基准建筑碳排放量的30%，评价分值为10分。</w:t>
      </w:r>
    </w:p>
    <w:p w14:paraId="1F9BB341">
      <w:pPr>
        <w:spacing w:line="360" w:lineRule="auto"/>
        <w:rPr>
          <w:color w:val="0000FF"/>
          <w:sz w:val="24"/>
          <w:szCs w:val="24"/>
        </w:rPr>
      </w:pPr>
      <w:bookmarkStart w:id="164" w:name="_Toc23975"/>
      <w:bookmarkStart w:id="165" w:name="_Toc16311"/>
      <w:r>
        <w:rPr>
          <w:rFonts w:ascii="Times New Roman" w:eastAsia="黑体"/>
          <w:b/>
          <w:bCs/>
          <w:color w:val="000000" w:themeColor="text1"/>
          <w:sz w:val="24"/>
          <w:szCs w:val="24"/>
          <w14:textFill>
            <w14:solidFill>
              <w14:schemeClr w14:val="tx1"/>
            </w14:solidFill>
          </w14:textFill>
        </w:rPr>
        <w:t>8.0.6</w:t>
      </w:r>
      <w:r>
        <w:rPr>
          <w:rFonts w:hint="eastAsia"/>
          <w:sz w:val="24"/>
          <w:szCs w:val="24"/>
        </w:rPr>
        <w:t>　</w:t>
      </w:r>
      <w:r>
        <w:rPr>
          <w:rFonts w:hint="eastAsia" w:cs="宋体"/>
          <w:sz w:val="24"/>
          <w:szCs w:val="24"/>
        </w:rPr>
        <w:t>采用检测设计施工总承包模式，评价分值为10分。</w:t>
      </w:r>
      <w:bookmarkEnd w:id="164"/>
      <w:bookmarkEnd w:id="165"/>
    </w:p>
    <w:p w14:paraId="6E4F6E8C">
      <w:pPr>
        <w:spacing w:line="360" w:lineRule="auto"/>
        <w:rPr>
          <w:color w:val="0000FF"/>
          <w:sz w:val="24"/>
          <w:szCs w:val="24"/>
        </w:rPr>
      </w:pPr>
      <w:r>
        <w:rPr>
          <w:rFonts w:ascii="Times New Roman" w:eastAsia="黑体"/>
          <w:b/>
          <w:bCs/>
          <w:color w:val="000000" w:themeColor="text1"/>
          <w:sz w:val="24"/>
          <w:szCs w:val="24"/>
          <w14:textFill>
            <w14:solidFill>
              <w14:schemeClr w14:val="tx1"/>
            </w14:solidFill>
          </w14:textFill>
        </w:rPr>
        <w:t>8.0.7</w:t>
      </w:r>
      <w:r>
        <w:rPr>
          <w:rFonts w:hint="eastAsia"/>
          <w:sz w:val="24"/>
          <w:szCs w:val="24"/>
        </w:rPr>
        <w:t>　</w:t>
      </w:r>
      <w:r>
        <w:rPr>
          <w:rFonts w:hint="eastAsia" w:cs="宋体"/>
          <w:sz w:val="24"/>
          <w:szCs w:val="24"/>
        </w:rPr>
        <w:t>拆除产生的建筑垃圾，再利用或生产为再生建材的比例不小于9</w:t>
      </w:r>
      <w:r>
        <w:rPr>
          <w:rFonts w:cs="宋体"/>
          <w:sz w:val="24"/>
          <w:szCs w:val="24"/>
        </w:rPr>
        <w:t>0%</w:t>
      </w:r>
      <w:r>
        <w:rPr>
          <w:rFonts w:hint="eastAsia" w:cs="宋体"/>
          <w:sz w:val="24"/>
          <w:szCs w:val="24"/>
        </w:rPr>
        <w:t>，评价分值为10分。</w:t>
      </w:r>
    </w:p>
    <w:p w14:paraId="54FECBDE">
      <w:pPr>
        <w:spacing w:line="360" w:lineRule="auto"/>
        <w:rPr>
          <w:kern w:val="0"/>
          <w:sz w:val="24"/>
          <w:szCs w:val="24"/>
        </w:rPr>
      </w:pPr>
      <w:r>
        <w:rPr>
          <w:rFonts w:ascii="Times New Roman" w:eastAsia="黑体"/>
          <w:b/>
          <w:bCs/>
          <w:sz w:val="24"/>
          <w:szCs w:val="24"/>
        </w:rPr>
        <w:t>8.0.</w:t>
      </w:r>
      <w:r>
        <w:rPr>
          <w:rFonts w:hint="default" w:ascii="Times New Roman" w:eastAsia="黑体"/>
          <w:b/>
          <w:bCs/>
          <w:sz w:val="24"/>
          <w:szCs w:val="24"/>
        </w:rPr>
        <w:t>8</w:t>
      </w:r>
      <w:r>
        <w:rPr>
          <w:rFonts w:hint="eastAsia" w:ascii="黑体" w:eastAsia="黑体"/>
          <w:b/>
          <w:bCs/>
          <w:sz w:val="24"/>
          <w:szCs w:val="24"/>
        </w:rPr>
        <w:t>　</w:t>
      </w:r>
      <w:r>
        <w:rPr>
          <w:rFonts w:hint="eastAsia"/>
          <w:kern w:val="0"/>
          <w:sz w:val="24"/>
          <w:szCs w:val="24"/>
        </w:rPr>
        <w:t>采取模块化集成建筑，得15分。</w:t>
      </w:r>
    </w:p>
    <w:p w14:paraId="3E671842">
      <w:pPr>
        <w:spacing w:line="360" w:lineRule="auto"/>
        <w:rPr>
          <w:kern w:val="0"/>
          <w:sz w:val="24"/>
          <w:szCs w:val="24"/>
        </w:rPr>
      </w:pPr>
      <w:bookmarkStart w:id="166" w:name="_Hlk124932709"/>
      <w:r>
        <w:rPr>
          <w:rFonts w:hint="default" w:ascii="Times New Roman" w:eastAsia="黑体"/>
          <w:b/>
          <w:bCs/>
          <w:color w:val="000000" w:themeColor="text1"/>
          <w:sz w:val="24"/>
          <w:szCs w:val="24"/>
          <w14:textFill>
            <w14:solidFill>
              <w14:schemeClr w14:val="tx1"/>
            </w14:solidFill>
          </w14:textFill>
        </w:rPr>
        <w:t>8.0.9</w:t>
      </w:r>
      <w:r>
        <w:rPr>
          <w:rFonts w:ascii="Times New Roman" w:eastAsia="黑体"/>
          <w:b/>
          <w:bCs/>
          <w:color w:val="000000" w:themeColor="text1"/>
          <w:sz w:val="24"/>
          <w:szCs w:val="24"/>
          <w14:textFill>
            <w14:solidFill>
              <w14:schemeClr w14:val="tx1"/>
            </w14:solidFill>
          </w14:textFill>
        </w:rPr>
        <w:t xml:space="preserve"> </w:t>
      </w:r>
      <w:r>
        <w:rPr>
          <w:rFonts w:ascii="黑体" w:eastAsia="黑体"/>
          <w:b/>
          <w:bCs/>
          <w:color w:val="000000" w:themeColor="text1"/>
          <w:sz w:val="24"/>
          <w:szCs w:val="24"/>
          <w14:textFill>
            <w14:solidFill>
              <w14:schemeClr w14:val="tx1"/>
            </w14:solidFill>
          </w14:textFill>
        </w:rPr>
        <w:t xml:space="preserve"> </w:t>
      </w:r>
      <w:bookmarkEnd w:id="166"/>
      <w:r>
        <w:rPr>
          <w:kern w:val="0"/>
          <w:sz w:val="24"/>
          <w:szCs w:val="24"/>
        </w:rPr>
        <w:t>具有智能化服务系统，评价总分值为</w:t>
      </w:r>
      <w:r>
        <w:rPr>
          <w:rFonts w:hint="eastAsia"/>
          <w:kern w:val="0"/>
          <w:sz w:val="24"/>
          <w:szCs w:val="24"/>
        </w:rPr>
        <w:t>10</w:t>
      </w:r>
      <w:r>
        <w:rPr>
          <w:kern w:val="0"/>
          <w:sz w:val="24"/>
          <w:szCs w:val="24"/>
        </w:rPr>
        <w:t>分，并按下列规</w:t>
      </w:r>
      <w:bookmarkStart w:id="167" w:name="Ⅳ_物业管理"/>
      <w:bookmarkEnd w:id="167"/>
      <w:r>
        <w:rPr>
          <w:kern w:val="0"/>
          <w:sz w:val="24"/>
          <w:szCs w:val="24"/>
        </w:rPr>
        <w:t>则分别评分并累计：</w:t>
      </w:r>
    </w:p>
    <w:p w14:paraId="141A78F7">
      <w:pPr>
        <w:spacing w:line="360" w:lineRule="auto"/>
        <w:ind w:firstLine="482" w:firstLineChars="200"/>
        <w:rPr>
          <w:kern w:val="0"/>
          <w:sz w:val="24"/>
          <w:szCs w:val="24"/>
        </w:rPr>
      </w:pPr>
      <w:r>
        <w:rPr>
          <w:rFonts w:hint="default" w:ascii="Times New Roman" w:eastAsia="黑体"/>
          <w:b/>
          <w:bCs/>
          <w:sz w:val="24"/>
          <w:szCs w:val="24"/>
        </w:rPr>
        <w:t>1</w:t>
      </w:r>
      <w:r>
        <w:rPr>
          <w:rFonts w:hint="eastAsia"/>
          <w:kern w:val="0"/>
          <w:sz w:val="24"/>
          <w:szCs w:val="24"/>
        </w:rPr>
        <w:t xml:space="preserve">  </w:t>
      </w:r>
      <w:r>
        <w:rPr>
          <w:kern w:val="0"/>
          <w:sz w:val="24"/>
          <w:szCs w:val="24"/>
        </w:rPr>
        <w:t>具有安全报警、环境监测、建筑设备控制、工作生活服务等至少</w:t>
      </w:r>
      <w:r>
        <w:rPr>
          <w:rFonts w:hint="eastAsia"/>
          <w:kern w:val="0"/>
          <w:sz w:val="24"/>
          <w:szCs w:val="24"/>
        </w:rPr>
        <w:t>3</w:t>
      </w:r>
      <w:r>
        <w:rPr>
          <w:kern w:val="0"/>
          <w:sz w:val="24"/>
          <w:szCs w:val="24"/>
        </w:rPr>
        <w:t>种类型的服务功能，得</w:t>
      </w:r>
      <w:r>
        <w:rPr>
          <w:rFonts w:hint="eastAsia"/>
          <w:kern w:val="0"/>
          <w:sz w:val="24"/>
          <w:szCs w:val="24"/>
        </w:rPr>
        <w:t>5</w:t>
      </w:r>
      <w:r>
        <w:rPr>
          <w:kern w:val="0"/>
          <w:sz w:val="24"/>
          <w:szCs w:val="24"/>
        </w:rPr>
        <w:t>分；</w:t>
      </w:r>
    </w:p>
    <w:p w14:paraId="569F5F2A">
      <w:pPr>
        <w:spacing w:line="360" w:lineRule="auto"/>
        <w:ind w:firstLine="482" w:firstLineChars="200"/>
        <w:rPr>
          <w:kern w:val="0"/>
          <w:sz w:val="24"/>
          <w:szCs w:val="24"/>
        </w:rPr>
      </w:pPr>
      <w:r>
        <w:rPr>
          <w:rFonts w:ascii="Times New Roman" w:eastAsia="黑体"/>
          <w:b/>
          <w:bCs/>
          <w:sz w:val="24"/>
          <w:szCs w:val="24"/>
        </w:rPr>
        <w:t>2</w:t>
      </w:r>
      <w:r>
        <w:rPr>
          <w:rFonts w:hint="eastAsia"/>
          <w:kern w:val="0"/>
          <w:sz w:val="24"/>
          <w:szCs w:val="24"/>
        </w:rPr>
        <w:t xml:space="preserve">  </w:t>
      </w:r>
      <w:r>
        <w:rPr>
          <w:kern w:val="0"/>
          <w:sz w:val="24"/>
          <w:szCs w:val="24"/>
        </w:rPr>
        <w:t>具有接入智慧城市（城区、社区）的功能，得</w:t>
      </w:r>
      <w:r>
        <w:rPr>
          <w:rFonts w:hint="eastAsia"/>
          <w:kern w:val="0"/>
          <w:sz w:val="24"/>
          <w:szCs w:val="24"/>
        </w:rPr>
        <w:t>5</w:t>
      </w:r>
      <w:r>
        <w:rPr>
          <w:kern w:val="0"/>
          <w:sz w:val="24"/>
          <w:szCs w:val="24"/>
        </w:rPr>
        <w:t>分。</w:t>
      </w:r>
    </w:p>
    <w:p w14:paraId="5C89C3C8">
      <w:pPr>
        <w:spacing w:line="360" w:lineRule="auto"/>
        <w:rPr>
          <w:kern w:val="0"/>
          <w:sz w:val="24"/>
          <w:szCs w:val="24"/>
        </w:rPr>
      </w:pPr>
      <w:r>
        <w:rPr>
          <w:rFonts w:ascii="Times New Roman" w:eastAsia="黑体"/>
          <w:b/>
          <w:bCs/>
          <w:color w:val="000000" w:themeColor="text1"/>
          <w:sz w:val="24"/>
          <w:szCs w:val="24"/>
          <w14:textFill>
            <w14:solidFill>
              <w14:schemeClr w14:val="tx1"/>
            </w14:solidFill>
          </w14:textFill>
        </w:rPr>
        <w:t>8.0.</w:t>
      </w:r>
      <w:r>
        <w:rPr>
          <w:rFonts w:hint="default" w:ascii="Times New Roman" w:eastAsia="黑体"/>
          <w:b/>
          <w:bCs/>
          <w:color w:val="000000" w:themeColor="text1"/>
          <w:sz w:val="24"/>
          <w:szCs w:val="24"/>
          <w14:textFill>
            <w14:solidFill>
              <w14:schemeClr w14:val="tx1"/>
            </w14:solidFill>
          </w14:textFill>
        </w:rPr>
        <w:t>10</w:t>
      </w:r>
      <w:r>
        <w:rPr>
          <w:rFonts w:ascii="黑体" w:eastAsia="黑体"/>
          <w:b/>
          <w:bCs/>
          <w:color w:val="000000" w:themeColor="text1"/>
          <w:sz w:val="24"/>
          <w:szCs w:val="24"/>
          <w14:textFill>
            <w14:solidFill>
              <w14:schemeClr w14:val="tx1"/>
            </w14:solidFill>
          </w14:textFill>
        </w:rPr>
        <w:t xml:space="preserve">  </w:t>
      </w:r>
      <w:r>
        <w:rPr>
          <w:rFonts w:hint="eastAsia"/>
          <w:kern w:val="0"/>
          <w:sz w:val="24"/>
          <w:szCs w:val="24"/>
        </w:rPr>
        <w:t>采取安全耐久、节约资源、保护环境、提高品质、降低碳排放等其他创新项，并有明显效益，评价总分值为30分。每采取1项，得10分，最高得30分。</w:t>
      </w:r>
    </w:p>
    <w:p w14:paraId="607D26DA">
      <w:pPr>
        <w:widowControl/>
        <w:ind w:firstLine="602" w:firstLineChars="200"/>
        <w:jc w:val="left"/>
        <w:outlineLvl w:val="0"/>
        <w:rPr>
          <w:rFonts w:hint="eastAsia" w:ascii="宋体" w:hAnsi="宋体" w:cs="宋体"/>
          <w:b/>
          <w:bCs/>
          <w:kern w:val="44"/>
          <w:sz w:val="30"/>
          <w:szCs w:val="30"/>
        </w:rPr>
        <w:sectPr>
          <w:footerReference r:id="rId12" w:type="default"/>
          <w:pgSz w:w="11906" w:h="16838"/>
          <w:pgMar w:top="1440" w:right="1800" w:bottom="1440" w:left="1800" w:header="851" w:footer="992" w:gutter="0"/>
          <w:cols w:space="425" w:num="1"/>
          <w:docGrid w:type="lines" w:linePitch="312" w:charSpace="0"/>
        </w:sectPr>
      </w:pPr>
      <w:bookmarkStart w:id="168" w:name="_Toc1439"/>
      <w:bookmarkStart w:id="169" w:name="_Toc11013"/>
      <w:bookmarkStart w:id="170" w:name="_Toc15880"/>
      <w:bookmarkStart w:id="171" w:name="_Toc15285"/>
      <w:bookmarkStart w:id="172" w:name="_Toc22025"/>
      <w:bookmarkStart w:id="173" w:name="_Toc11385"/>
      <w:bookmarkStart w:id="174" w:name="_Toc17341"/>
      <w:bookmarkStart w:id="175" w:name="_Toc13098"/>
      <w:bookmarkStart w:id="176" w:name="_Toc3420"/>
      <w:bookmarkStart w:id="177" w:name="_Toc21524"/>
      <w:bookmarkStart w:id="178" w:name="_Toc238"/>
      <w:bookmarkStart w:id="179" w:name="_Toc30451"/>
      <w:bookmarkStart w:id="180" w:name="_Toc10907"/>
      <w:bookmarkStart w:id="181" w:name="_Toc16135"/>
    </w:p>
    <w:p w14:paraId="27312F88">
      <w:pPr>
        <w:widowControl/>
        <w:spacing w:line="360" w:lineRule="auto"/>
        <w:ind w:firstLine="602" w:firstLineChars="200"/>
        <w:jc w:val="left"/>
        <w:outlineLvl w:val="9"/>
        <w:rPr>
          <w:rFonts w:hint="eastAsia" w:ascii="宋体" w:hAnsi="宋体" w:cs="宋体"/>
          <w:b/>
          <w:bCs/>
          <w:kern w:val="44"/>
          <w:sz w:val="30"/>
          <w:szCs w:val="30"/>
        </w:rPr>
      </w:pPr>
    </w:p>
    <w:p w14:paraId="6CBB3E9B">
      <w:pPr>
        <w:widowControl/>
        <w:spacing w:line="360" w:lineRule="auto"/>
        <w:ind w:firstLine="0" w:firstLineChars="0"/>
        <w:jc w:val="center"/>
        <w:outlineLvl w:val="0"/>
        <w:rPr>
          <w:rFonts w:ascii="宋体" w:hAnsi="宋体" w:cs="宋体"/>
          <w:b/>
          <w:bCs/>
          <w:kern w:val="44"/>
          <w:sz w:val="30"/>
          <w:szCs w:val="30"/>
        </w:rPr>
      </w:pPr>
      <w:bookmarkStart w:id="182" w:name="_Toc24485"/>
      <w:bookmarkStart w:id="183" w:name="_Toc9133"/>
      <w:r>
        <w:rPr>
          <w:rFonts w:hint="eastAsia" w:ascii="宋体" w:hAnsi="宋体" w:cs="宋体"/>
          <w:b/>
          <w:bCs/>
          <w:kern w:val="44"/>
          <w:sz w:val="30"/>
          <w:szCs w:val="30"/>
        </w:rPr>
        <w:t>附录</w:t>
      </w:r>
      <w:r>
        <w:rPr>
          <w:rFonts w:hint="default" w:ascii="Times New Roman" w:hAnsi="Times New Roman" w:cs="Times New Roman"/>
          <w:b/>
          <w:bCs/>
          <w:kern w:val="44"/>
          <w:sz w:val="30"/>
          <w:szCs w:val="30"/>
        </w:rPr>
        <w:t>A</w:t>
      </w:r>
      <w:r>
        <w:rPr>
          <w:rFonts w:ascii="宋体" w:hAnsi="宋体" w:cs="宋体"/>
          <w:b/>
          <w:bCs/>
          <w:kern w:val="44"/>
          <w:sz w:val="30"/>
          <w:szCs w:val="30"/>
        </w:rPr>
        <w:t xml:space="preserve">  </w:t>
      </w:r>
      <w:bookmarkStart w:id="184" w:name="_Hlk156805434"/>
      <w:r>
        <w:rPr>
          <w:rFonts w:hint="eastAsia" w:ascii="宋体" w:hAnsi="宋体" w:cs="宋体"/>
          <w:b/>
          <w:bCs/>
          <w:kern w:val="44"/>
          <w:sz w:val="30"/>
          <w:szCs w:val="30"/>
        </w:rPr>
        <w:t>既有工业建筑</w:t>
      </w:r>
      <w:bookmarkEnd w:id="184"/>
      <w:r>
        <w:rPr>
          <w:rFonts w:hint="eastAsia" w:ascii="宋体" w:hAnsi="宋体" w:cs="宋体"/>
          <w:b/>
          <w:bCs/>
          <w:kern w:val="44"/>
          <w:sz w:val="30"/>
          <w:szCs w:val="30"/>
        </w:rPr>
        <w:t>民用化低碳改造碳排放计算</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93CB2B1">
      <w:pPr>
        <w:tabs>
          <w:tab w:val="left" w:pos="0"/>
        </w:tabs>
        <w:spacing w:before="0" w:beforeLines="0" w:after="0" w:afterLines="0" w:line="360" w:lineRule="auto"/>
        <w:jc w:val="center"/>
        <w:outlineLvl w:val="1"/>
        <w:rPr>
          <w:rFonts w:hint="eastAsia" w:ascii="Times New Roman" w:hAnsi="Times New Roman" w:eastAsia="黑体" w:cs="Times New Roman"/>
          <w:b/>
          <w:bCs/>
          <w:sz w:val="28"/>
          <w:szCs w:val="28"/>
        </w:rPr>
      </w:pPr>
      <w:bookmarkStart w:id="293" w:name="_GoBack"/>
      <w:bookmarkEnd w:id="293"/>
      <w:bookmarkStart w:id="185" w:name="_Toc16609"/>
      <w:bookmarkStart w:id="186" w:name="_Toc2605"/>
      <w:bookmarkStart w:id="187" w:name="_Toc13194"/>
      <w:bookmarkStart w:id="188" w:name="_Toc19321"/>
      <w:bookmarkStart w:id="189" w:name="_Toc17329"/>
      <w:bookmarkStart w:id="190" w:name="_Toc26340"/>
      <w:bookmarkStart w:id="191" w:name="_Toc16790"/>
      <w:bookmarkStart w:id="192" w:name="_Toc18691"/>
      <w:bookmarkStart w:id="193" w:name="_Toc14817"/>
      <w:bookmarkStart w:id="194" w:name="_Toc21116"/>
      <w:bookmarkStart w:id="195" w:name="_Toc2117"/>
      <w:bookmarkStart w:id="196" w:name="_Toc22715"/>
      <w:bookmarkStart w:id="197" w:name="_Toc12612"/>
      <w:bookmarkStart w:id="198" w:name="_Toc21491"/>
      <w:r>
        <w:rPr>
          <w:rFonts w:hint="default" w:ascii="Times New Roman" w:hAnsi="Times New Roman" w:eastAsia="黑体" w:cs="Times New Roman"/>
          <w:b/>
          <w:bCs/>
          <w:sz w:val="28"/>
          <w:szCs w:val="28"/>
        </w:rPr>
        <w:t xml:space="preserve">A.1  </w:t>
      </w:r>
      <w:bookmarkEnd w:id="185"/>
      <w:bookmarkEnd w:id="186"/>
      <w:bookmarkEnd w:id="187"/>
      <w:bookmarkEnd w:id="188"/>
      <w:bookmarkEnd w:id="189"/>
      <w:bookmarkEnd w:id="190"/>
      <w:r>
        <w:rPr>
          <w:rFonts w:hint="default" w:ascii="Times New Roman" w:hAnsi="Times New Roman" w:eastAsia="黑体" w:cs="Times New Roman"/>
          <w:b/>
          <w:bCs/>
          <w:sz w:val="28"/>
          <w:szCs w:val="28"/>
        </w:rPr>
        <w:t>碳排放计算方法</w:t>
      </w:r>
      <w:bookmarkEnd w:id="191"/>
      <w:bookmarkEnd w:id="192"/>
      <w:bookmarkEnd w:id="193"/>
      <w:bookmarkEnd w:id="194"/>
      <w:bookmarkEnd w:id="195"/>
      <w:bookmarkEnd w:id="196"/>
      <w:bookmarkEnd w:id="197"/>
      <w:bookmarkEnd w:id="198"/>
    </w:p>
    <w:p w14:paraId="38A01A7A">
      <w:pPr>
        <w:spacing w:line="360" w:lineRule="auto"/>
        <w:ind w:firstLine="422"/>
        <w:jc w:val="left"/>
        <w:rPr>
          <w:rFonts w:cs="宋体"/>
          <w:sz w:val="24"/>
          <w:szCs w:val="24"/>
        </w:rPr>
      </w:pPr>
      <w:r>
        <w:rPr>
          <w:rFonts w:hint="default" w:ascii="Times New Roman" w:hAnsi="Times New Roman" w:eastAsia="黑体" w:cs="Times New Roman"/>
          <w:b/>
          <w:bCs/>
          <w:sz w:val="24"/>
          <w:szCs w:val="24"/>
        </w:rPr>
        <w:t>A.1.1</w:t>
      </w:r>
      <w:r>
        <w:rPr>
          <w:rFonts w:hint="eastAsia"/>
          <w:sz w:val="24"/>
          <w:szCs w:val="24"/>
        </w:rPr>
        <w:t>　</w:t>
      </w:r>
      <w:r>
        <w:rPr>
          <w:rFonts w:hint="eastAsia" w:cs="宋体"/>
          <w:sz w:val="24"/>
          <w:szCs w:val="24"/>
        </w:rPr>
        <w:t>既有工业建筑民用化改造碳排放计算应包括改造阶段、运营阶段、拆除阶段的碳排放，并应按下式计算：</w:t>
      </w:r>
    </w:p>
    <w:p w14:paraId="71247C8E">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t</m:t>
            </m:r>
            <m:ctrlPr>
              <w:rPr>
                <w:rFonts w:ascii="Cambria Math" w:hAnsi="Cambria Math" w:cs="Times New Roman" w:eastAsiaTheme="minorEastAsia"/>
                <w:sz w:val="24"/>
                <w:szCs w:val="24"/>
              </w:rPr>
            </m:ctrlPr>
          </m:sub>
        </m:sSub>
        <m:r>
          <m:rPr>
            <m:sty m:val="p"/>
          </m:rPr>
          <w:rPr>
            <w:rFonts w:ascii="Cambria Math" w:hAnsi="Cambria Math" w:cs="Times New Roman" w:eastAsiaTheme="minorEastAsia"/>
            <w:sz w:val="24"/>
            <w:szCs w:val="24"/>
          </w:rPr>
          <m:t>=</m:t>
        </m:r>
        <m:sSub>
          <m:sSubPr>
            <m:ctrlPr>
              <w:rPr>
                <w:rFonts w:ascii="Cambria Math" w:hAnsi="Cambria Math" w:cs="Times New Roman" w:eastAsiaTheme="minorEastAsia"/>
                <w:sz w:val="24"/>
                <w:szCs w:val="24"/>
              </w:rPr>
            </m:ctrlPr>
          </m:sSubPr>
          <m:e>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re</m:t>
                </m:r>
                <m:ctrlPr>
                  <w:rPr>
                    <w:rFonts w:ascii="Cambria Math" w:hAnsi="Cambria Math" w:cs="Times New Roman" w:eastAsiaTheme="minorEastAsia"/>
                    <w:sz w:val="24"/>
                    <w:szCs w:val="24"/>
                  </w:rPr>
                </m:ctrlPr>
              </m:sub>
            </m:sSub>
            <m:r>
              <m:rPr>
                <m:sty m:val="p"/>
              </m:rPr>
              <w:rPr>
                <w:rFonts w:ascii="Cambria Math" w:hAnsi="Cambria Math" w:cs="Times New Roman" w:eastAsiaTheme="minorEastAsia"/>
                <w:sz w:val="24"/>
                <w:szCs w:val="24"/>
              </w:rPr>
              <m:t>+P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op</m:t>
            </m:r>
            <m:ctrlPr>
              <w:rPr>
                <w:rFonts w:ascii="Cambria Math" w:hAnsi="Cambria Math" w:cs="Times New Roman" w:eastAsiaTheme="minorEastAsia"/>
                <w:sz w:val="24"/>
                <w:szCs w:val="24"/>
              </w:rPr>
            </m:ctrlPr>
          </m:sub>
        </m:sSub>
        <m:r>
          <m:rPr>
            <m:sty m:val="p"/>
          </m:rPr>
          <w:rPr>
            <w:rFonts w:ascii="Cambria Math" w:hAnsi="Cambria Math" w:cs="Times New Roman" w:eastAsiaTheme="minorEastAsia"/>
            <w:sz w:val="24"/>
            <w:szCs w:val="24"/>
          </w:rPr>
          <m:t>+</m:t>
        </m:r>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P</m:t>
            </m:r>
            <m:ctrlPr>
              <w:rPr>
                <w:rFonts w:ascii="Cambria Math" w:hAnsi="Cambria Math" w:cs="Times New Roman" w:eastAsiaTheme="minorEastAsia"/>
                <w:sz w:val="24"/>
                <w:szCs w:val="24"/>
              </w:rPr>
            </m:ctrlPr>
          </m:e>
          <m:sub>
            <m:r>
              <m:rPr>
                <m:sty m:val="p"/>
              </m:rPr>
              <w:rPr>
                <w:rFonts w:ascii="Cambria Math" w:hAnsi="Cambria Math" w:cs="Times New Roman" w:eastAsiaTheme="minorEastAsia"/>
                <w:sz w:val="24"/>
                <w:szCs w:val="24"/>
              </w:rPr>
              <m:t>ab</m:t>
            </m:r>
            <m:ctrlPr>
              <w:rPr>
                <w:rFonts w:ascii="Cambria Math" w:hAnsi="Cambria Math" w:cs="Times New Roman" w:eastAsiaTheme="minorEastAsia"/>
                <w:sz w:val="24"/>
                <w:szCs w:val="24"/>
              </w:rPr>
            </m:ctrlPr>
          </m:sub>
        </m:sSub>
      </m:oMath>
      <w:r>
        <w:rPr>
          <w:rFonts w:ascii="Times New Roman" w:hAnsi="Times New Roman" w:cs="Times New Roman"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eastAsiaTheme="minorEastAsia"/>
          <w:sz w:val="24"/>
          <w:szCs w:val="24"/>
        </w:rPr>
        <w:t>(</w:t>
      </w:r>
      <w:r>
        <w:rPr>
          <w:rFonts w:ascii="Times New Roman" w:hAnsi="Times New Roman" w:cs="Times New Roman" w:eastAsiaTheme="minorEastAsia"/>
          <w:sz w:val="24"/>
          <w:szCs w:val="24"/>
        </w:rPr>
        <w:t>A.1.1</w:t>
      </w:r>
      <w:r>
        <w:rPr>
          <w:rFonts w:ascii="Cambria Math" w:hAnsi="Cambria Math" w:cs="宋体" w:eastAsiaTheme="minorEastAsia"/>
          <w:sz w:val="24"/>
          <w:szCs w:val="24"/>
        </w:rPr>
        <w:t>)</w:t>
      </w:r>
    </w:p>
    <w:p w14:paraId="1FCB434E">
      <w:pPr>
        <w:spacing w:line="360" w:lineRule="auto"/>
        <w:jc w:val="left"/>
        <w:rPr>
          <w:rFonts w:cs="宋体"/>
          <w:sz w:val="24"/>
          <w:szCs w:val="24"/>
        </w:rPr>
      </w:pPr>
      <w:r>
        <w:rPr>
          <w:rFonts w:hint="eastAsia" w:cs="宋体"/>
          <w:sz w:val="24"/>
          <w:szCs w:val="24"/>
        </w:rPr>
        <w:t xml:space="preserve">式中：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oMath>
      <w:r>
        <w:rPr>
          <w:rFonts w:hint="eastAsia" w:cs="宋体"/>
          <w:sz w:val="24"/>
          <w:szCs w:val="24"/>
        </w:rPr>
        <w:t>——建筑改造碳排放总量（kgCO</w:t>
      </w:r>
      <w:r>
        <w:rPr>
          <w:rFonts w:hint="eastAsia" w:cs="宋体"/>
          <w:sz w:val="24"/>
          <w:szCs w:val="24"/>
          <w:vertAlign w:val="subscript"/>
        </w:rPr>
        <w:t>2</w:t>
      </w:r>
      <w:r>
        <w:rPr>
          <w:rFonts w:hint="eastAsia" w:cs="宋体"/>
          <w:sz w:val="24"/>
          <w:szCs w:val="24"/>
        </w:rPr>
        <w:t>)；</w:t>
      </w:r>
    </w:p>
    <w:p w14:paraId="53E1DA95">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re</m:t>
            </m:r>
            <m:ctrlPr>
              <w:rPr>
                <w:rFonts w:ascii="Cambria Math" w:hAnsi="Cambria Math" w:cs="宋体"/>
                <w:sz w:val="24"/>
                <w:szCs w:val="24"/>
              </w:rPr>
            </m:ctrlPr>
          </m:sub>
        </m:sSub>
      </m:oMath>
      <w:r>
        <w:rPr>
          <w:rFonts w:hint="eastAsia" w:cs="宋体"/>
          <w:sz w:val="24"/>
          <w:szCs w:val="24"/>
        </w:rPr>
        <w:t>——建筑改造阶段碳排放总量（kgCO</w:t>
      </w:r>
      <w:r>
        <w:rPr>
          <w:rFonts w:hint="eastAsia" w:cs="宋体"/>
          <w:sz w:val="24"/>
          <w:szCs w:val="24"/>
          <w:vertAlign w:val="subscript"/>
        </w:rPr>
        <w:t>2</w:t>
      </w:r>
      <w:r>
        <w:rPr>
          <w:rFonts w:hint="eastAsia" w:cs="宋体"/>
          <w:sz w:val="24"/>
          <w:szCs w:val="24"/>
        </w:rPr>
        <w:t>)；</w:t>
      </w:r>
    </w:p>
    <w:p w14:paraId="1A8B5867">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op</m:t>
            </m:r>
            <m:ctrlPr>
              <w:rPr>
                <w:rFonts w:ascii="Cambria Math" w:hAnsi="Cambria Math" w:cs="宋体"/>
                <w:sz w:val="24"/>
                <w:szCs w:val="24"/>
              </w:rPr>
            </m:ctrlPr>
          </m:sub>
        </m:sSub>
      </m:oMath>
      <w:r>
        <w:rPr>
          <w:rFonts w:hint="eastAsia" w:cs="宋体"/>
          <w:sz w:val="24"/>
          <w:szCs w:val="24"/>
        </w:rPr>
        <w:t>——建筑运营阶段碳排放总量（kgCO</w:t>
      </w:r>
      <w:r>
        <w:rPr>
          <w:rFonts w:hint="eastAsia" w:cs="宋体"/>
          <w:sz w:val="24"/>
          <w:szCs w:val="24"/>
          <w:vertAlign w:val="subscript"/>
        </w:rPr>
        <w:t>2</w:t>
      </w:r>
      <w:r>
        <w:rPr>
          <w:rFonts w:hint="eastAsia" w:cs="宋体"/>
          <w:sz w:val="24"/>
          <w:szCs w:val="24"/>
        </w:rPr>
        <w:t>)；</w:t>
      </w:r>
    </w:p>
    <w:p w14:paraId="6ECB2BD3">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ab</m:t>
            </m:r>
            <m:ctrlPr>
              <w:rPr>
                <w:rFonts w:ascii="Cambria Math" w:hAnsi="Cambria Math" w:cs="宋体"/>
                <w:sz w:val="24"/>
                <w:szCs w:val="24"/>
              </w:rPr>
            </m:ctrlPr>
          </m:sub>
        </m:sSub>
      </m:oMath>
      <w:r>
        <w:rPr>
          <w:rFonts w:hint="eastAsia" w:cs="宋体"/>
          <w:sz w:val="24"/>
          <w:szCs w:val="24"/>
        </w:rPr>
        <w:t>——建筑废弃阶段碳排放总量（kgCO</w:t>
      </w:r>
      <w:r>
        <w:rPr>
          <w:rFonts w:hint="eastAsia" w:cs="宋体"/>
          <w:sz w:val="24"/>
          <w:szCs w:val="24"/>
          <w:vertAlign w:val="subscript"/>
        </w:rPr>
        <w:t>2</w:t>
      </w:r>
      <w:r>
        <w:rPr>
          <w:rFonts w:hint="eastAsia" w:cs="宋体"/>
          <w:sz w:val="24"/>
          <w:szCs w:val="24"/>
        </w:rPr>
        <w:t>)。</w:t>
      </w:r>
    </w:p>
    <w:p w14:paraId="035D37A4">
      <w:pPr>
        <w:spacing w:line="360" w:lineRule="auto"/>
        <w:ind w:firstLine="422"/>
        <w:jc w:val="left"/>
        <w:rPr>
          <w:rFonts w:cs="宋体"/>
          <w:sz w:val="24"/>
          <w:szCs w:val="24"/>
        </w:rPr>
      </w:pPr>
      <w:r>
        <w:rPr>
          <w:rFonts w:hint="default" w:ascii="Times New Roman" w:hAnsi="Times New Roman" w:eastAsia="黑体" w:cs="Times New Roman"/>
          <w:b/>
          <w:bCs/>
          <w:sz w:val="24"/>
          <w:szCs w:val="24"/>
        </w:rPr>
        <w:t>A.1.2</w:t>
      </w:r>
      <w:r>
        <w:rPr>
          <w:rFonts w:hint="eastAsia"/>
          <w:sz w:val="24"/>
          <w:szCs w:val="24"/>
        </w:rPr>
        <w:t>　</w:t>
      </w:r>
      <w:r>
        <w:rPr>
          <w:rFonts w:hint="eastAsia" w:cs="宋体"/>
          <w:sz w:val="24"/>
          <w:szCs w:val="24"/>
        </w:rPr>
        <w:t>改造阶段碳排放应包括改造拆除和改造施工的碳排放，并应按下列公式计算：</w:t>
      </w:r>
    </w:p>
    <w:p w14:paraId="2A2C36F7">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P</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re</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P</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de</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+P</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co</m:t>
            </m:r>
            <m:ctrlPr>
              <w:rPr>
                <w:rFonts w:hint="eastAsia" w:ascii="Cambria Math" w:hAnsi="Cambria Math" w:cs="宋体" w:eastAsiaTheme="minorEastAsia"/>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hAnsi="Cambria Math" w:cs="宋体" w:eastAsiaTheme="minorEastAsia"/>
          <w:sz w:val="24"/>
          <w:szCs w:val="24"/>
        </w:rPr>
        <w:t>(A.1.2-1)</w:t>
      </w:r>
    </w:p>
    <w:p w14:paraId="7D4577E5">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de</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de.p</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de.t</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eastAsiaTheme="minorEastAsia"/>
          <w:sz w:val="24"/>
          <w:szCs w:val="24"/>
        </w:rPr>
        <w:t>(</w:t>
      </w:r>
      <w:r>
        <w:rPr>
          <w:rFonts w:ascii="Cambria Math" w:hAnsi="Cambria Math" w:cs="宋体"/>
          <w:sz w:val="24"/>
          <w:szCs w:val="24"/>
        </w:rPr>
        <w:t>A.1.2-2</w:t>
      </w:r>
      <w:r>
        <w:rPr>
          <w:rFonts w:ascii="Cambria Math" w:hAnsi="Cambria Math" w:cs="宋体" w:eastAsiaTheme="minorEastAsia"/>
          <w:sz w:val="24"/>
          <w:szCs w:val="24"/>
        </w:rPr>
        <w:t>)</w:t>
      </w:r>
    </w:p>
    <w:p w14:paraId="6D15880C">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co.m</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co.c</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co.in</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eastAsiaTheme="minorEastAsia"/>
          <w:sz w:val="24"/>
          <w:szCs w:val="24"/>
        </w:rPr>
        <w:t>(A.1.2-3)</w:t>
      </w:r>
    </w:p>
    <w:p w14:paraId="6E1117F0">
      <w:pPr>
        <w:spacing w:line="360" w:lineRule="auto"/>
        <w:rPr>
          <w:rFonts w:cs="宋体"/>
          <w:sz w:val="24"/>
          <w:szCs w:val="24"/>
        </w:rPr>
      </w:pPr>
      <w:r>
        <w:rPr>
          <w:rFonts w:hint="eastAsia" w:cs="宋体"/>
          <w:sz w:val="24"/>
          <w:szCs w:val="24"/>
        </w:rPr>
        <w:t xml:space="preserve">式中： </w:t>
      </w: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de</m:t>
            </m:r>
            <m:ctrlPr>
              <w:rPr>
                <w:rFonts w:ascii="Cambria Math" w:hAnsi="Cambria Math" w:cs="宋体"/>
                <w:sz w:val="24"/>
                <w:szCs w:val="24"/>
              </w:rPr>
            </m:ctrlPr>
          </m:sub>
        </m:sSub>
      </m:oMath>
      <w:r>
        <w:rPr>
          <w:rFonts w:hint="eastAsia" w:cs="宋体"/>
          <w:sz w:val="24"/>
          <w:szCs w:val="24"/>
        </w:rPr>
        <w:t>——建筑拆除阶段碳排放总量（kgCO</w:t>
      </w:r>
      <w:r>
        <w:rPr>
          <w:rFonts w:hint="eastAsia" w:cs="宋体"/>
          <w:sz w:val="24"/>
          <w:szCs w:val="24"/>
          <w:vertAlign w:val="subscript"/>
        </w:rPr>
        <w:t>2</w:t>
      </w:r>
      <w:r>
        <w:rPr>
          <w:rFonts w:hint="eastAsia" w:cs="宋体"/>
          <w:sz w:val="24"/>
          <w:szCs w:val="24"/>
        </w:rPr>
        <w:t>)；</w:t>
      </w:r>
    </w:p>
    <w:p w14:paraId="20D03B77">
      <w:pPr>
        <w:spacing w:line="360" w:lineRule="auto"/>
        <w:ind w:firstLine="840" w:firstLineChars="350"/>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m:t>
            </m:r>
            <m:ctrlPr>
              <w:rPr>
                <w:rFonts w:ascii="Cambria Math" w:hAnsi="Cambria Math" w:cs="宋体"/>
                <w:sz w:val="24"/>
                <w:szCs w:val="24"/>
              </w:rPr>
            </m:ctrlPr>
          </m:sub>
        </m:sSub>
      </m:oMath>
      <w:r>
        <w:rPr>
          <w:rFonts w:hint="eastAsia" w:cs="宋体"/>
          <w:sz w:val="24"/>
          <w:szCs w:val="24"/>
        </w:rPr>
        <w:t>——建筑改造施工阶段碳排放总量（kgCO</w:t>
      </w:r>
      <w:r>
        <w:rPr>
          <w:rFonts w:hint="eastAsia" w:cs="宋体"/>
          <w:sz w:val="24"/>
          <w:szCs w:val="24"/>
          <w:vertAlign w:val="subscript"/>
        </w:rPr>
        <w:t>2</w:t>
      </w:r>
      <w:r>
        <w:rPr>
          <w:rFonts w:hint="eastAsia" w:cs="宋体"/>
          <w:sz w:val="24"/>
          <w:szCs w:val="24"/>
        </w:rPr>
        <w:t>)。</w:t>
      </w:r>
    </w:p>
    <w:p w14:paraId="6F85FFA5">
      <w:pPr>
        <w:spacing w:line="360" w:lineRule="auto"/>
        <w:rPr>
          <w:rFonts w:cs="宋体"/>
          <w:sz w:val="24"/>
          <w:szCs w:val="24"/>
        </w:rPr>
      </w:pPr>
      <w:r>
        <w:rPr>
          <w:rFonts w:hint="eastAsia" w:cs="宋体"/>
          <w:sz w:val="24"/>
          <w:szCs w:val="24"/>
        </w:rPr>
        <w:t xml:space="preserve">       </w:t>
      </w:r>
      <m:oMath>
        <m:sSub>
          <m:sSubPr>
            <m:ctrlPr>
              <w:rPr>
                <w:rFonts w:hint="eastAsia" w:ascii="Cambria Math" w:hAnsi="Cambria Math" w:cs="宋体"/>
                <w:sz w:val="24"/>
                <w:szCs w:val="24"/>
              </w:rPr>
            </m:ctrlPr>
          </m:sSubPr>
          <m:e>
            <m:r>
              <m:rPr>
                <m:sty m:val="p"/>
              </m:rPr>
              <w:rPr>
                <w:rFonts w:hint="eastAsia" w:ascii="Cambria Math" w:hAnsi="Cambria Math" w:cs="宋体"/>
                <w:sz w:val="24"/>
                <w:szCs w:val="24"/>
              </w:rPr>
              <m:t>P</m:t>
            </m:r>
            <m:ctrlPr>
              <w:rPr>
                <w:rFonts w:hint="eastAsia" w:ascii="Cambria Math" w:hAnsi="Cambria Math" w:cs="宋体"/>
                <w:sz w:val="24"/>
                <w:szCs w:val="24"/>
              </w:rPr>
            </m:ctrlPr>
          </m:e>
          <m:sub>
            <m:r>
              <m:rPr>
                <m:sty m:val="p"/>
              </m:rPr>
              <w:rPr>
                <w:rFonts w:hint="eastAsia" w:ascii="Cambria Math" w:hAnsi="Cambria Math" w:cs="宋体"/>
                <w:sz w:val="24"/>
                <w:szCs w:val="24"/>
              </w:rPr>
              <m:t>de.p</m:t>
            </m:r>
            <m:ctrlPr>
              <w:rPr>
                <w:rFonts w:hint="eastAsia" w:ascii="Cambria Math" w:hAnsi="Cambria Math" w:cs="宋体"/>
                <w:sz w:val="24"/>
                <w:szCs w:val="24"/>
              </w:rPr>
            </m:ctrlPr>
          </m:sub>
        </m:sSub>
      </m:oMath>
      <w:r>
        <w:rPr>
          <w:rFonts w:hint="eastAsia" w:cs="宋体"/>
          <w:sz w:val="24"/>
          <w:szCs w:val="24"/>
        </w:rPr>
        <w:t>——拆除施工时的碳排放量（kgCO</w:t>
      </w:r>
      <w:r>
        <w:rPr>
          <w:rFonts w:hint="eastAsia" w:cs="宋体"/>
          <w:sz w:val="24"/>
          <w:szCs w:val="24"/>
          <w:vertAlign w:val="subscript"/>
        </w:rPr>
        <w:t>2</w:t>
      </w:r>
      <w:r>
        <w:rPr>
          <w:rFonts w:hint="eastAsia" w:cs="宋体"/>
          <w:sz w:val="24"/>
          <w:szCs w:val="24"/>
        </w:rPr>
        <w:t>)；</w:t>
      </w:r>
    </w:p>
    <w:p w14:paraId="02AD5EB9">
      <w:pPr>
        <w:spacing w:line="360" w:lineRule="auto"/>
        <w:ind w:firstLine="840" w:firstLineChars="350"/>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de.t</m:t>
            </m:r>
            <m:ctrlPr>
              <w:rPr>
                <w:rFonts w:ascii="Cambria Math" w:hAnsi="Cambria Math" w:cs="宋体"/>
                <w:sz w:val="24"/>
                <w:szCs w:val="24"/>
              </w:rPr>
            </m:ctrlPr>
          </m:sub>
        </m:sSub>
      </m:oMath>
      <w:r>
        <w:rPr>
          <w:rFonts w:hint="eastAsia" w:cs="宋体"/>
          <w:sz w:val="24"/>
          <w:szCs w:val="24"/>
        </w:rPr>
        <w:t>——运输废弃物的碳排放量（kgCO</w:t>
      </w:r>
      <w:r>
        <w:rPr>
          <w:rFonts w:hint="eastAsia" w:cs="宋体"/>
          <w:sz w:val="24"/>
          <w:szCs w:val="24"/>
          <w:vertAlign w:val="subscript"/>
        </w:rPr>
        <w:t>2</w:t>
      </w:r>
      <w:r>
        <w:rPr>
          <w:rFonts w:hint="eastAsia" w:cs="宋体"/>
          <w:sz w:val="24"/>
          <w:szCs w:val="24"/>
        </w:rPr>
        <w:t>)。</w:t>
      </w:r>
    </w:p>
    <w:p w14:paraId="50178366">
      <w:pPr>
        <w:spacing w:line="360" w:lineRule="auto"/>
        <w:rPr>
          <w:rFonts w:cs="宋体"/>
          <w:sz w:val="24"/>
          <w:szCs w:val="24"/>
        </w:rPr>
      </w:pPr>
      <w:r>
        <w:rPr>
          <w:rFonts w:hint="eastAsia" w:cs="宋体"/>
          <w:sz w:val="24"/>
          <w:szCs w:val="24"/>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co.m</m:t>
            </m:r>
            <m:ctrlPr>
              <w:rPr>
                <w:rFonts w:ascii="Cambria Math" w:hAnsi="Cambria Math" w:cs="宋体"/>
                <w:sz w:val="24"/>
                <w:szCs w:val="24"/>
              </w:rPr>
            </m:ctrlPr>
          </m:sub>
        </m:sSub>
      </m:oMath>
      <w:r>
        <w:rPr>
          <w:rFonts w:hint="eastAsia" w:cs="宋体"/>
          <w:sz w:val="24"/>
          <w:szCs w:val="24"/>
        </w:rPr>
        <w:t>——建材生产和运输的碳排放总量（</w:t>
      </w:r>
      <w:r>
        <w:rPr>
          <w:rFonts w:cs="宋体"/>
          <w:sz w:val="24"/>
          <w:szCs w:val="24"/>
        </w:rPr>
        <w:t>kgCO</w:t>
      </w:r>
      <w:r>
        <w:rPr>
          <w:rFonts w:cs="宋体"/>
          <w:sz w:val="24"/>
          <w:szCs w:val="24"/>
          <w:vertAlign w:val="subscript"/>
        </w:rPr>
        <w:t>2</w:t>
      </w:r>
      <w:r>
        <w:rPr>
          <w:rFonts w:cs="宋体"/>
          <w:sz w:val="24"/>
          <w:szCs w:val="24"/>
        </w:rPr>
        <w:t>);</w:t>
      </w:r>
    </w:p>
    <w:p w14:paraId="3118AFA2">
      <w:pPr>
        <w:spacing w:line="360" w:lineRule="auto"/>
        <w:ind w:firstLine="840" w:firstLineChars="350"/>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P</m:t>
            </m:r>
            <m:ctrlPr>
              <w:rPr>
                <w:rFonts w:ascii="Cambria Math" w:hAnsi="Cambria Math" w:cs="宋体"/>
                <w:sz w:val="24"/>
                <w:szCs w:val="24"/>
              </w:rPr>
            </m:ctrlPr>
          </m:e>
          <m:sub>
            <m:r>
              <m:rPr>
                <m:sty m:val="p"/>
              </m:rPr>
              <w:rPr>
                <w:rFonts w:ascii="Cambria Math" w:hAnsi="Cambria Math" w:cs="宋体"/>
                <w:sz w:val="24"/>
                <w:szCs w:val="24"/>
              </w:rPr>
              <m:t>co.c</m:t>
            </m:r>
            <m:ctrlPr>
              <w:rPr>
                <w:rFonts w:ascii="Cambria Math" w:hAnsi="Cambria Math" w:cs="宋体"/>
                <w:sz w:val="24"/>
                <w:szCs w:val="24"/>
              </w:rPr>
            </m:ctrlPr>
          </m:sub>
        </m:sSub>
      </m:oMath>
      <w:r>
        <w:rPr>
          <w:rFonts w:hint="eastAsia" w:cs="宋体"/>
          <w:sz w:val="24"/>
          <w:szCs w:val="24"/>
        </w:rPr>
        <w:t>——建筑施工碳排放总量（kgCO</w:t>
      </w:r>
      <w:r>
        <w:rPr>
          <w:rFonts w:hint="eastAsia" w:cs="宋体"/>
          <w:sz w:val="24"/>
          <w:szCs w:val="24"/>
          <w:vertAlign w:val="subscript"/>
        </w:rPr>
        <w:t>2</w:t>
      </w:r>
      <w:r>
        <w:rPr>
          <w:rFonts w:hint="eastAsia" w:cs="宋体"/>
          <w:sz w:val="24"/>
          <w:szCs w:val="24"/>
        </w:rPr>
        <w:t>)；</w:t>
      </w:r>
    </w:p>
    <w:p w14:paraId="1B16A096">
      <w:pPr>
        <w:spacing w:line="360" w:lineRule="auto"/>
        <w:ind w:firstLine="840" w:firstLineChars="350"/>
        <w:rPr>
          <w:sz w:val="24"/>
          <w:szCs w:val="24"/>
          <w:highlight w:val="yellow"/>
        </w:rPr>
      </w:pPr>
      <m:oMath>
        <m:sSub>
          <m:sSubPr>
            <m:ctrlPr>
              <w:rPr>
                <w:rFonts w:ascii="Cambria Math" w:hAnsi="Cambria Math"/>
                <w:sz w:val="24"/>
                <w:szCs w:val="24"/>
              </w:rPr>
            </m:ctrlPr>
          </m:sSubPr>
          <m:e>
            <m:r>
              <m:rPr/>
              <w:rPr>
                <w:rFonts w:ascii="Cambria Math" w:hAnsi="Cambria Math"/>
                <w:sz w:val="24"/>
                <w:szCs w:val="24"/>
              </w:rPr>
              <m:t>P</m:t>
            </m:r>
            <m:ctrlPr>
              <w:rPr>
                <w:rFonts w:ascii="Cambria Math" w:hAnsi="Cambria Math"/>
                <w:sz w:val="24"/>
                <w:szCs w:val="24"/>
              </w:rPr>
            </m:ctrlPr>
          </m:e>
          <m:sub>
            <m:r>
              <m:rPr/>
              <w:rPr>
                <w:rFonts w:ascii="Cambria Math" w:hAnsi="Cambria Math"/>
                <w:sz w:val="24"/>
                <w:szCs w:val="24"/>
              </w:rPr>
              <m:t>co</m:t>
            </m:r>
            <m:r>
              <m:rPr>
                <m:sty m:val="p"/>
              </m:rPr>
              <w:rPr>
                <w:rFonts w:ascii="Cambria Math" w:hAnsi="Cambria Math"/>
                <w:sz w:val="24"/>
                <w:szCs w:val="24"/>
              </w:rPr>
              <m:t>.</m:t>
            </m:r>
            <m:r>
              <m:rPr/>
              <w:rPr>
                <w:rFonts w:ascii="Cambria Math" w:hAnsi="Cambria Math"/>
                <w:sz w:val="24"/>
                <w:szCs w:val="24"/>
              </w:rPr>
              <m:t>in</m:t>
            </m:r>
            <m:ctrlPr>
              <w:rPr>
                <w:rFonts w:ascii="Cambria Math" w:hAnsi="Cambria Math"/>
                <w:sz w:val="24"/>
                <w:szCs w:val="24"/>
              </w:rPr>
            </m:ctrlPr>
          </m:sub>
        </m:sSub>
      </m:oMath>
      <w:r>
        <w:rPr>
          <w:rFonts w:hint="eastAsia"/>
          <w:sz w:val="24"/>
          <w:szCs w:val="24"/>
        </w:rPr>
        <w:t>——建筑设备安装碳排放总量（</w:t>
      </w:r>
      <w:r>
        <w:rPr>
          <w:sz w:val="24"/>
          <w:szCs w:val="24"/>
        </w:rPr>
        <w:t>kgCO</w:t>
      </w:r>
      <w:r>
        <w:rPr>
          <w:sz w:val="24"/>
          <w:szCs w:val="24"/>
          <w:vertAlign w:val="subscript"/>
        </w:rPr>
        <w:t>2</w:t>
      </w:r>
      <w:r>
        <w:rPr>
          <w:sz w:val="24"/>
          <w:szCs w:val="24"/>
        </w:rPr>
        <w:t>)</w:t>
      </w:r>
      <w:r>
        <w:rPr>
          <w:rFonts w:hint="eastAsia"/>
          <w:sz w:val="24"/>
          <w:szCs w:val="24"/>
        </w:rPr>
        <w:t>。</w:t>
      </w:r>
    </w:p>
    <w:p w14:paraId="4E1B5FF3">
      <w:pPr>
        <w:spacing w:line="360" w:lineRule="auto"/>
        <w:ind w:firstLine="422"/>
        <w:jc w:val="left"/>
        <w:rPr>
          <w:rFonts w:cs="宋体"/>
          <w:sz w:val="24"/>
          <w:szCs w:val="24"/>
        </w:rPr>
      </w:pPr>
      <w:r>
        <w:rPr>
          <w:rFonts w:hint="default" w:ascii="Times New Roman" w:hAnsi="Times New Roman" w:eastAsia="黑体" w:cs="Times New Roman"/>
          <w:b/>
          <w:sz w:val="24"/>
          <w:szCs w:val="24"/>
        </w:rPr>
        <w:t>A.1.3</w:t>
      </w:r>
      <w:r>
        <w:rPr>
          <w:rFonts w:hint="eastAsia"/>
          <w:sz w:val="24"/>
          <w:szCs w:val="24"/>
        </w:rPr>
        <w:t>　建</w:t>
      </w:r>
      <w:r>
        <w:rPr>
          <w:rFonts w:hint="eastAsia" w:cs="宋体"/>
          <w:sz w:val="24"/>
          <w:szCs w:val="24"/>
        </w:rPr>
        <w:t>筑运营阶段碳排放应包括暖通空调系统、水系统、电气系统、厨房灶具、可再生能源系统、绿地等碳排放量，并应按下列公式计算：</w:t>
      </w:r>
    </w:p>
    <w:p w14:paraId="0B3CD5BB">
      <w:pPr>
        <w:tabs>
          <w:tab w:val="center" w:pos="4200"/>
          <w:tab w:val="right" w:pos="8200"/>
        </w:tabs>
        <w:spacing w:line="360" w:lineRule="auto"/>
        <w:jc w:val="center"/>
        <w:rPr>
          <w:rFonts w:hint="eastAsia" w:ascii="Cambria Math" w:hAnsi="Cambria Math" w:cs="宋体"/>
          <w:sz w:val="24"/>
          <w:szCs w:val="24"/>
        </w:rPr>
      </w:pPr>
      <w:r>
        <w:rPr>
          <w:rFonts w:hint="eastAsia" w:hAnsi="Cambria Math" w:cs="宋体" w:eastAsiaTheme="minorEastAsia"/>
          <w:sz w:val="24"/>
          <w:szCs w:val="24"/>
        </w:rPr>
        <w:tab/>
      </w:r>
      <m:oMath>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op</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hvac</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w</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ele</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re</m:t>
            </m:r>
            <m:ctrlPr>
              <w:rPr>
                <w:rFonts w:hint="eastAsia" w:ascii="Cambria Math" w:hAnsi="Cambria Math" w:cs="宋体" w:eastAsiaTheme="minorEastAsia"/>
                <w:sz w:val="24"/>
                <w:szCs w:val="24"/>
              </w:rPr>
            </m:ctrlPr>
          </m:sub>
        </m:sSub>
        <m:r>
          <m:rPr>
            <m:sty m:val="p"/>
          </m:rPr>
          <w:rPr>
            <w:rFonts w:hint="eastAsia" w:ascii="Cambria Math" w:hAnsi="Cambria Math" w:cs="宋体" w:eastAsiaTheme="minorEastAsia"/>
            <w:sz w:val="24"/>
            <w:szCs w:val="24"/>
          </w:rPr>
          <m:t>−</m:t>
        </m:r>
        <m:sSub>
          <m:sSubPr>
            <m:ctrlPr>
              <w:rPr>
                <w:rFonts w:hint="eastAsia" w:ascii="Cambria Math" w:hAnsi="Cambria Math" w:cs="宋体" w:eastAsiaTheme="minorEastAsia"/>
                <w:sz w:val="24"/>
                <w:szCs w:val="24"/>
              </w:rPr>
            </m:ctrlPr>
          </m:sSubPr>
          <m:e>
            <m:r>
              <m:rPr>
                <m:sty m:val="p"/>
              </m:rPr>
              <w:rPr>
                <w:rFonts w:hint="eastAsia" w:ascii="Cambria Math" w:hAnsi="Cambria Math" w:cs="宋体" w:eastAsiaTheme="minorEastAsia"/>
                <w:sz w:val="24"/>
                <w:szCs w:val="24"/>
              </w:rPr>
              <m:t>C</m:t>
            </m:r>
            <m:ctrlPr>
              <w:rPr>
                <w:rFonts w:hint="eastAsia" w:ascii="Cambria Math" w:hAnsi="Cambria Math" w:cs="宋体" w:eastAsiaTheme="minorEastAsia"/>
                <w:sz w:val="24"/>
                <w:szCs w:val="24"/>
              </w:rPr>
            </m:ctrlPr>
          </m:e>
          <m:sub>
            <m:r>
              <m:rPr>
                <m:sty m:val="p"/>
              </m:rPr>
              <w:rPr>
                <w:rFonts w:hint="eastAsia" w:ascii="Cambria Math" w:hAnsi="Cambria Math" w:cs="宋体" w:eastAsiaTheme="minorEastAsia"/>
                <w:sz w:val="24"/>
                <w:szCs w:val="24"/>
              </w:rPr>
              <m:t>gr</m:t>
            </m:r>
            <m:ctrlPr>
              <w:rPr>
                <w:rFonts w:hint="eastAsia" w:ascii="Cambria Math" w:hAnsi="Cambria Math" w:cs="宋体" w:eastAsiaTheme="minorEastAsia"/>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(A.1.3-1)</w:t>
      </w:r>
    </w:p>
    <w:p w14:paraId="37E0225A">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hvac</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h</m:t>
            </m:r>
            <m:ctrlPr>
              <w:rPr>
                <w:rFonts w:ascii="Cambria Math" w:hAnsi="Cambria Math" w:cs="宋体"/>
                <w:sz w:val="24"/>
                <w:szCs w:val="24"/>
              </w:rPr>
            </m:ctrlPr>
          </m:sub>
        </m:sSub>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h</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tr</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ter</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e</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r</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(A.1.3-2)</w:t>
      </w:r>
    </w:p>
    <w:p w14:paraId="2C92B21C">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w</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zy</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dl</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jr</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cl</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(A.1.3-3)</w:t>
      </w:r>
    </w:p>
    <w:p w14:paraId="12C7A6BB">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ele</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zm</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qd</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rd</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e</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(A.1.3-4)</w:t>
      </w:r>
    </w:p>
    <w:p w14:paraId="1053FD26">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r>
          <m:rPr>
            <m:sty m:val="p"/>
          </m:rPr>
          <w:rPr>
            <w:rFonts w:ascii="Cambria Math" w:hAnsi="Cambria Math" w:cs="宋体"/>
            <w:sz w:val="24"/>
            <w:szCs w:val="24"/>
          </w:rPr>
          <m:t>=</m:t>
        </m:r>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(A.1.3-5)</w:t>
      </w:r>
    </w:p>
    <w:p w14:paraId="01234A8A">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re</m:t>
            </m:r>
            <m:ctrlPr>
              <w:rPr>
                <w:rFonts w:ascii="Cambria Math" w:hAnsi="Cambria Math" w:cs="宋体"/>
                <w:sz w:val="24"/>
                <w:szCs w:val="24"/>
              </w:rPr>
            </m:ctrlPr>
          </m:sub>
        </m:sSub>
        <m:r>
          <m:rPr>
            <m:sty m:val="p"/>
          </m:rPr>
          <w:rPr>
            <w:rFonts w:ascii="Cambria Math" w:hAnsi="Cambria Math" w:cs="宋体"/>
            <w:sz w:val="24"/>
            <w:szCs w:val="24"/>
          </w:rPr>
          <m:t>=</m:t>
        </m:r>
        <m:nary>
          <m:naryPr>
            <m:chr m:val="∑"/>
            <m:ctrlPr>
              <w:rPr>
                <w:rFonts w:ascii="Cambria Math" w:hAnsi="Cambria Math" w:cs="宋体"/>
                <w:sz w:val="24"/>
                <w:szCs w:val="24"/>
              </w:rPr>
            </m:ctrlPr>
          </m:naryPr>
          <m:sub>
            <m:r>
              <m:rPr>
                <m:sty m:val="p"/>
              </m:rPr>
              <w:rPr>
                <w:rFonts w:ascii="Cambria Math" w:hAnsi="Cambria Math" w:cs="宋体"/>
                <w:sz w:val="24"/>
                <w:szCs w:val="24"/>
              </w:rPr>
              <m:t>i=1</m:t>
            </m:r>
            <m:ctrlPr>
              <w:rPr>
                <w:rFonts w:ascii="Cambria Math" w:hAnsi="Cambria Math" w:cs="宋体"/>
                <w:sz w:val="24"/>
                <w:szCs w:val="24"/>
              </w:rPr>
            </m:ctrlPr>
          </m:sub>
          <m:sup>
            <m:r>
              <m:rPr>
                <m:sty m:val="p"/>
              </m:rPr>
              <w:rPr>
                <w:rFonts w:ascii="Cambria Math" w:hAnsi="Cambria Math" w:cs="宋体"/>
                <w:sz w:val="24"/>
                <w:szCs w:val="24"/>
              </w:rPr>
              <m:t>n</m:t>
            </m:r>
            <m:ctrlPr>
              <w:rPr>
                <w:rFonts w:ascii="Cambria Math" w:hAnsi="Cambria Math" w:cs="宋体"/>
                <w:sz w:val="24"/>
                <w:szCs w:val="24"/>
              </w:rPr>
            </m:ctrlPr>
          </m:sup>
          <m:e>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i</m:t>
                </m:r>
                <m:ctrlPr>
                  <w:rPr>
                    <w:rFonts w:ascii="Cambria Math" w:hAnsi="Cambria Math" w:cs="宋体"/>
                    <w:sz w:val="24"/>
                    <w:szCs w:val="24"/>
                  </w:rPr>
                </m:ctrlPr>
              </m:sub>
            </m:sSub>
            <m:ctrlPr>
              <w:rPr>
                <w:rFonts w:ascii="Cambria Math" w:hAnsi="Cambria Math" w:cs="宋体"/>
                <w:sz w:val="24"/>
                <w:szCs w:val="24"/>
              </w:rPr>
            </m:ctrlPr>
          </m:e>
        </m:nary>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e</m:t>
            </m:r>
            <m:ctrlPr>
              <w:rPr>
                <w:rFonts w:ascii="Cambria Math" w:hAnsi="Cambria Math" w:cs="宋体"/>
                <w:sz w:val="24"/>
                <w:szCs w:val="24"/>
              </w:rPr>
            </m:ctrlPr>
          </m:sub>
        </m:sSub>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(A.1.3-6)</w:t>
      </w:r>
    </w:p>
    <w:p w14:paraId="41EF384B">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gr</m:t>
            </m:r>
            <m:ctrlPr>
              <w:rPr>
                <w:rFonts w:ascii="Cambria Math" w:hAnsi="Cambria Math" w:cs="宋体"/>
                <w:sz w:val="24"/>
                <w:szCs w:val="24"/>
              </w:rPr>
            </m:ctrlPr>
          </m:sub>
        </m:sSub>
        <m:r>
          <m:rPr>
            <m:sty m:val="p"/>
          </m:rPr>
          <w:rPr>
            <w:rFonts w:ascii="Cambria Math" w:hAnsi="Cambria Math" w:cs="宋体"/>
            <w:sz w:val="24"/>
            <w:szCs w:val="24"/>
          </w:rPr>
          <m:t>=</m:t>
        </m:r>
        <m:nary>
          <m:naryPr>
            <m:chr m:val="∑"/>
            <m:ctrlPr>
              <w:rPr>
                <w:rFonts w:ascii="Cambria Math" w:hAnsi="Cambria Math" w:cs="宋体"/>
                <w:sz w:val="24"/>
                <w:szCs w:val="24"/>
              </w:rPr>
            </m:ctrlPr>
          </m:naryPr>
          <m:sub>
            <m:r>
              <m:rPr>
                <m:sty m:val="p"/>
              </m:rPr>
              <w:rPr>
                <w:rFonts w:ascii="Cambria Math" w:hAnsi="Cambria Math" w:cs="宋体"/>
                <w:sz w:val="24"/>
                <w:szCs w:val="24"/>
              </w:rPr>
              <m:t>i=1</m:t>
            </m:r>
            <m:ctrlPr>
              <w:rPr>
                <w:rFonts w:ascii="Cambria Math" w:hAnsi="Cambria Math" w:cs="宋体"/>
                <w:sz w:val="24"/>
                <w:szCs w:val="24"/>
              </w:rPr>
            </m:ctrlPr>
          </m:sub>
          <m:sup>
            <m:r>
              <m:rPr>
                <m:sty m:val="p"/>
              </m:rPr>
              <w:rPr>
                <w:rFonts w:ascii="Cambria Math" w:hAnsi="Cambria Math" w:cs="宋体"/>
                <w:sz w:val="24"/>
                <w:szCs w:val="24"/>
              </w:rPr>
              <m:t>n</m:t>
            </m:r>
            <m:ctrlPr>
              <w:rPr>
                <w:rFonts w:ascii="Cambria Math" w:hAnsi="Cambria Math" w:cs="宋体"/>
                <w:sz w:val="24"/>
                <w:szCs w:val="24"/>
              </w:rPr>
            </m:ctrlPr>
          </m:sup>
          <m:e>
            <m:sSub>
              <m:sSubPr>
                <m:ctrlPr>
                  <w:rPr>
                    <w:rFonts w:ascii="Cambria Math" w:hAnsi="Cambria Math" w:cs="宋体"/>
                    <w:sz w:val="24"/>
                    <w:szCs w:val="24"/>
                  </w:rPr>
                </m:ctrlPr>
              </m:sSubPr>
              <m:e>
                <m:r>
                  <m:rPr>
                    <m:sty m:val="p"/>
                  </m:rPr>
                  <w:rPr>
                    <w:rFonts w:ascii="Cambria Math" w:hAnsi="Cambria Math" w:cs="宋体"/>
                    <w:sz w:val="24"/>
                    <w:szCs w:val="24"/>
                  </w:rPr>
                  <m:t>G</m:t>
                </m:r>
                <m:ctrlPr>
                  <w:rPr>
                    <w:rFonts w:ascii="Cambria Math" w:hAnsi="Cambria Math" w:cs="宋体"/>
                    <w:sz w:val="24"/>
                    <w:szCs w:val="24"/>
                  </w:rPr>
                </m:ctrlPr>
              </m:e>
              <m:sub>
                <m:r>
                  <m:rPr>
                    <m:sty m:val="p"/>
                  </m:rPr>
                  <w:rPr>
                    <w:rFonts w:ascii="Cambria Math" w:hAnsi="Cambria Math" w:cs="宋体"/>
                    <w:sz w:val="24"/>
                    <w:szCs w:val="24"/>
                  </w:rPr>
                  <m:t>i</m:t>
                </m:r>
                <m:ctrlPr>
                  <w:rPr>
                    <w:rFonts w:ascii="Cambria Math" w:hAnsi="Cambria Math" w:cs="宋体"/>
                    <w:sz w:val="24"/>
                    <w:szCs w:val="24"/>
                  </w:rPr>
                </m:ctrlPr>
              </m:sub>
            </m:sSub>
            <m:sSub>
              <m:sSubPr>
                <m:ctrlPr>
                  <w:rPr>
                    <w:rFonts w:ascii="Cambria Math" w:hAnsi="Cambria Math" w:cs="宋体"/>
                    <w:sz w:val="24"/>
                    <w:szCs w:val="24"/>
                  </w:rPr>
                </m:ctrlPr>
              </m:sSubPr>
              <m:e>
                <m:r>
                  <m:rPr>
                    <m:sty m:val="p"/>
                  </m:rPr>
                  <w:rPr>
                    <w:rFonts w:ascii="Cambria Math" w:hAnsi="Cambria Math" w:cs="宋体"/>
                    <w:sz w:val="24"/>
                    <w:szCs w:val="24"/>
                  </w:rPr>
                  <m:t>A</m:t>
                </m:r>
                <m:ctrlPr>
                  <w:rPr>
                    <w:rFonts w:ascii="Cambria Math" w:hAnsi="Cambria Math" w:cs="宋体"/>
                    <w:sz w:val="24"/>
                    <w:szCs w:val="24"/>
                  </w:rPr>
                </m:ctrlPr>
              </m:e>
              <m:sub>
                <m:r>
                  <m:rPr>
                    <m:sty m:val="p"/>
                  </m:rPr>
                  <w:rPr>
                    <w:rFonts w:ascii="Cambria Math" w:hAnsi="Cambria Math" w:cs="宋体"/>
                    <w:sz w:val="24"/>
                    <w:szCs w:val="24"/>
                  </w:rPr>
                  <m:t>i</m:t>
                </m:r>
                <m:ctrlPr>
                  <w:rPr>
                    <w:rFonts w:ascii="Cambria Math" w:hAnsi="Cambria Math" w:cs="宋体"/>
                    <w:sz w:val="24"/>
                    <w:szCs w:val="24"/>
                  </w:rPr>
                </m:ctrlPr>
              </m:sub>
            </m:sSub>
            <m:ctrlPr>
              <w:rPr>
                <w:rFonts w:ascii="Cambria Math" w:hAnsi="Cambria Math" w:cs="宋体"/>
                <w:sz w:val="24"/>
                <w:szCs w:val="24"/>
              </w:rPr>
            </m:ctrlPr>
          </m:e>
        </m:nary>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(A.1.3-7)</w:t>
      </w:r>
    </w:p>
    <w:p w14:paraId="311214F5">
      <w:pPr>
        <w:spacing w:line="360" w:lineRule="auto"/>
        <w:jc w:val="left"/>
        <w:rPr>
          <w:rFonts w:hAnsi="Cambria Math" w:cs="宋体"/>
          <w:sz w:val="24"/>
          <w:szCs w:val="24"/>
        </w:rPr>
      </w:pPr>
      <w:r>
        <w:rPr>
          <w:rFonts w:hint="eastAsia" w:cs="宋体"/>
          <w:sz w:val="24"/>
          <w:szCs w:val="24"/>
        </w:rPr>
        <w:t>式中：</w:t>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hvac</m:t>
            </m:r>
            <m:ctrlPr>
              <w:rPr>
                <w:rFonts w:ascii="Cambria Math" w:hAnsi="Cambria Math" w:cs="宋体"/>
                <w:sz w:val="24"/>
                <w:szCs w:val="24"/>
              </w:rPr>
            </m:ctrlPr>
          </m:sub>
        </m:sSub>
      </m:oMath>
      <w:r>
        <w:rPr>
          <w:rFonts w:hint="default" w:hAnsi="Cambria Math" w:cs="宋体"/>
          <w:sz w:val="24"/>
          <w:szCs w:val="24"/>
        </w:rPr>
        <w:t>——暖通空调系统碳排放</w:t>
      </w:r>
      <w:bookmarkStart w:id="199" w:name="_Hlk89437330"/>
      <w:r>
        <w:rPr>
          <w:rFonts w:hint="default" w:hAnsi="Cambria Math" w:cs="宋体"/>
          <w:sz w:val="24"/>
          <w:szCs w:val="24"/>
        </w:rPr>
        <w:t>（kgCO</w:t>
      </w:r>
      <w:r>
        <w:rPr>
          <w:rFonts w:hint="default" w:hAnsi="Cambria Math" w:cs="宋体"/>
          <w:sz w:val="24"/>
          <w:szCs w:val="24"/>
          <w:vertAlign w:val="baseline"/>
        </w:rPr>
        <w:t>2</w:t>
      </w:r>
      <w:r>
        <w:rPr>
          <w:rFonts w:hint="default" w:hAnsi="Cambria Math" w:cs="宋体"/>
          <w:sz w:val="24"/>
          <w:szCs w:val="24"/>
        </w:rPr>
        <w:t>）；</w:t>
      </w:r>
      <w:bookmarkEnd w:id="199"/>
    </w:p>
    <w:p w14:paraId="31766455">
      <w:pPr>
        <w:spacing w:line="360" w:lineRule="auto"/>
        <w:ind w:firstLine="840" w:firstLineChars="350"/>
        <w:jc w:val="left"/>
        <w:rPr>
          <w:rFonts w:cs="宋体"/>
          <w:sz w:val="24"/>
          <w:szCs w:val="24"/>
        </w:rPr>
      </w:pPr>
      <w:bookmarkStart w:id="200" w:name="_Hlk93595729"/>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w</m:t>
            </m:r>
            <m:ctrlPr>
              <w:rPr>
                <w:rFonts w:ascii="Cambria Math" w:hAnsi="Cambria Math" w:cs="宋体"/>
                <w:sz w:val="24"/>
                <w:szCs w:val="24"/>
              </w:rPr>
            </m:ctrlPr>
          </m:sub>
        </m:sSub>
      </m:oMath>
      <w:r>
        <w:rPr>
          <w:rFonts w:hint="eastAsia" w:cs="宋体"/>
          <w:sz w:val="24"/>
          <w:szCs w:val="24"/>
        </w:rPr>
        <w:t>——水系统碳排放（kgCO</w:t>
      </w:r>
      <w:r>
        <w:rPr>
          <w:rFonts w:hint="eastAsia" w:cs="宋体"/>
          <w:sz w:val="24"/>
          <w:szCs w:val="24"/>
          <w:vertAlign w:val="subscript"/>
        </w:rPr>
        <w:t>2</w:t>
      </w:r>
      <w:r>
        <w:rPr>
          <w:rFonts w:hint="eastAsia" w:cs="宋体"/>
          <w:sz w:val="24"/>
          <w:szCs w:val="24"/>
        </w:rPr>
        <w:t>）；</w:t>
      </w:r>
    </w:p>
    <w:bookmarkEnd w:id="200"/>
    <w:p w14:paraId="25F3EB3F">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ele</m:t>
            </m:r>
            <m:ctrlPr>
              <w:rPr>
                <w:rFonts w:ascii="Cambria Math" w:hAnsi="Cambria Math" w:cs="宋体"/>
                <w:sz w:val="24"/>
                <w:szCs w:val="24"/>
              </w:rPr>
            </m:ctrlPr>
          </m:sub>
        </m:sSub>
      </m:oMath>
      <w:r>
        <w:rPr>
          <w:rFonts w:hint="eastAsia" w:cs="宋体"/>
          <w:sz w:val="24"/>
          <w:szCs w:val="24"/>
        </w:rPr>
        <w:t>——电气系统碳排放（kgCO</w:t>
      </w:r>
      <w:r>
        <w:rPr>
          <w:rFonts w:hint="eastAsia" w:cs="宋体"/>
          <w:sz w:val="24"/>
          <w:szCs w:val="24"/>
          <w:vertAlign w:val="subscript"/>
        </w:rPr>
        <w:t>2</w:t>
      </w:r>
      <w:r>
        <w:rPr>
          <w:rFonts w:hint="eastAsia" w:cs="宋体"/>
          <w:sz w:val="24"/>
          <w:szCs w:val="24"/>
        </w:rPr>
        <w:t>）；</w:t>
      </w:r>
    </w:p>
    <w:p w14:paraId="1994859D">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hint="eastAsia" w:cs="宋体"/>
          <w:sz w:val="24"/>
          <w:szCs w:val="24"/>
        </w:rPr>
        <w:t>——灶具能源燃烧碳排放（kgCO</w:t>
      </w:r>
      <w:r>
        <w:rPr>
          <w:rFonts w:hint="eastAsia" w:cs="宋体"/>
          <w:sz w:val="24"/>
          <w:szCs w:val="24"/>
          <w:vertAlign w:val="subscript"/>
        </w:rPr>
        <w:t>2</w:t>
      </w:r>
      <w:r>
        <w:rPr>
          <w:rFonts w:hint="eastAsia" w:cs="宋体"/>
          <w:sz w:val="24"/>
          <w:szCs w:val="24"/>
        </w:rPr>
        <w:t>）；</w:t>
      </w:r>
    </w:p>
    <w:p w14:paraId="71D69493">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re</m:t>
            </m:r>
            <m:ctrlPr>
              <w:rPr>
                <w:rFonts w:ascii="Cambria Math" w:hAnsi="Cambria Math" w:cs="宋体"/>
                <w:sz w:val="24"/>
                <w:szCs w:val="24"/>
              </w:rPr>
            </m:ctrlPr>
          </m:sub>
        </m:sSub>
      </m:oMath>
      <w:r>
        <w:rPr>
          <w:rFonts w:hint="eastAsia" w:cs="宋体"/>
          <w:sz w:val="24"/>
          <w:szCs w:val="24"/>
        </w:rPr>
        <w:t>——可再生能源发电系统减碳量（kgCO</w:t>
      </w:r>
      <w:r>
        <w:rPr>
          <w:rFonts w:hint="eastAsia" w:cs="宋体"/>
          <w:sz w:val="24"/>
          <w:szCs w:val="24"/>
          <w:vertAlign w:val="subscript"/>
        </w:rPr>
        <w:t>2</w:t>
      </w:r>
      <w:r>
        <w:rPr>
          <w:rFonts w:hint="eastAsia" w:cs="宋体"/>
          <w:sz w:val="24"/>
          <w:szCs w:val="24"/>
        </w:rPr>
        <w:t>）；</w:t>
      </w:r>
    </w:p>
    <w:p w14:paraId="500EC29D">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gr</m:t>
            </m:r>
            <m:ctrlPr>
              <w:rPr>
                <w:rFonts w:ascii="Cambria Math" w:hAnsi="Cambria Math" w:cs="宋体"/>
                <w:sz w:val="24"/>
                <w:szCs w:val="24"/>
              </w:rPr>
            </m:ctrlPr>
          </m:sub>
        </m:sSub>
      </m:oMath>
      <w:r>
        <w:rPr>
          <w:rFonts w:hint="eastAsia" w:cs="宋体"/>
          <w:sz w:val="24"/>
          <w:szCs w:val="24"/>
        </w:rPr>
        <w:t>——绿地碳汇系统减碳量（kgCO</w:t>
      </w:r>
      <w:r>
        <w:rPr>
          <w:rFonts w:hint="eastAsia" w:cs="宋体"/>
          <w:sz w:val="24"/>
          <w:szCs w:val="24"/>
          <w:vertAlign w:val="subscript"/>
        </w:rPr>
        <w:t>2</w:t>
      </w:r>
      <w:r>
        <w:rPr>
          <w:rFonts w:hint="eastAsia" w:cs="宋体"/>
          <w:sz w:val="24"/>
          <w:szCs w:val="24"/>
        </w:rPr>
        <w:t>）。</w:t>
      </w:r>
    </w:p>
    <w:p w14:paraId="614CDA93">
      <w:pPr>
        <w:spacing w:line="360" w:lineRule="auto"/>
        <w:ind w:firstLine="720" w:firstLineChars="300"/>
        <w:jc w:val="left"/>
        <w:rPr>
          <w:rFonts w:cs="宋体"/>
          <w:sz w:val="24"/>
          <w:szCs w:val="24"/>
        </w:rPr>
      </w:pPr>
      <w:r>
        <w:rPr>
          <w:rFonts w:hint="eastAsia" w:hAnsi="Cambria Math" w:cs="宋体" w:eastAsiaTheme="minorEastAsia"/>
          <w:sz w:val="24"/>
          <w:szCs w:val="24"/>
          <w:lang w:val="en-US" w:eastAsia="zh-CN"/>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h</m:t>
            </m:r>
            <m:ctrlPr>
              <w:rPr>
                <w:rFonts w:ascii="Cambria Math" w:hAnsi="Cambria Math" w:cs="宋体"/>
                <w:sz w:val="24"/>
                <w:szCs w:val="24"/>
              </w:rPr>
            </m:ctrlPr>
          </m:sub>
        </m:sSub>
      </m:oMath>
      <w:r>
        <w:rPr>
          <w:rFonts w:hint="eastAsia" w:cs="宋体"/>
          <w:sz w:val="24"/>
          <w:szCs w:val="24"/>
        </w:rPr>
        <w:t>——热源分项年能耗，单位视能源消耗种类而定（若消耗燃气，则单</w:t>
      </w:r>
      <w:r>
        <w:rPr>
          <w:rFonts w:hint="eastAsia" w:cs="宋体"/>
          <w:sz w:val="24"/>
          <w:szCs w:val="24"/>
        </w:rPr>
        <w:tab/>
      </w:r>
      <w:r>
        <w:rPr>
          <w:rFonts w:hint="eastAsia" w:cs="宋体"/>
          <w:sz w:val="24"/>
          <w:szCs w:val="24"/>
        </w:rPr>
        <w:t xml:space="preserve">         位为m³/a；若消耗电力，则单位为kWh/a；若使用市政热力，则</w:t>
      </w:r>
      <w:r>
        <w:rPr>
          <w:rFonts w:hint="eastAsia" w:cs="宋体"/>
          <w:sz w:val="24"/>
          <w:szCs w:val="24"/>
        </w:rPr>
        <w:tab/>
      </w:r>
      <w:r>
        <w:rPr>
          <w:rFonts w:hint="eastAsia" w:cs="宋体"/>
          <w:sz w:val="24"/>
          <w:szCs w:val="24"/>
        </w:rPr>
        <w:t xml:space="preserve">         单位为GJ/a)；</w:t>
      </w:r>
    </w:p>
    <w:p w14:paraId="5C6A1590">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hint="eastAsia" w:cs="宋体"/>
          <w:sz w:val="24"/>
          <w:szCs w:val="24"/>
        </w:rPr>
        <w:t>——冷源分项年能耗，单位视能源消耗种类而定（若消耗燃气，则单</w:t>
      </w:r>
      <w:r>
        <w:rPr>
          <w:rFonts w:hint="eastAsia" w:cs="宋体"/>
          <w:sz w:val="24"/>
          <w:szCs w:val="24"/>
        </w:rPr>
        <w:tab/>
      </w:r>
      <w:r>
        <w:rPr>
          <w:rFonts w:hint="eastAsia" w:cs="宋体"/>
          <w:sz w:val="24"/>
          <w:szCs w:val="24"/>
        </w:rPr>
        <w:t xml:space="preserve">         位为m³/a；若消耗电力，则单位为kWh/a；若使用市政热力，则</w:t>
      </w:r>
      <w:r>
        <w:rPr>
          <w:rFonts w:hint="eastAsia" w:cs="宋体"/>
          <w:sz w:val="24"/>
          <w:szCs w:val="24"/>
        </w:rPr>
        <w:tab/>
      </w:r>
      <w:r>
        <w:rPr>
          <w:rFonts w:hint="eastAsia" w:cs="宋体"/>
          <w:sz w:val="24"/>
          <w:szCs w:val="24"/>
        </w:rPr>
        <w:t xml:space="preserve">         单位为GJ/a)；</w:t>
      </w:r>
    </w:p>
    <w:p w14:paraId="6CCA1F2F">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tr</m:t>
            </m:r>
            <m:ctrlPr>
              <w:rPr>
                <w:rFonts w:ascii="Cambria Math" w:hAnsi="Cambria Math" w:cs="宋体"/>
                <w:sz w:val="24"/>
                <w:szCs w:val="24"/>
              </w:rPr>
            </m:ctrlPr>
          </m:sub>
        </m:sSub>
      </m:oMath>
      <w:r>
        <w:rPr>
          <w:rFonts w:hint="eastAsia" w:cs="宋体"/>
          <w:sz w:val="24"/>
          <w:szCs w:val="24"/>
        </w:rPr>
        <w:t>——输配系统的年电力消耗（输配系统包括冷热源循环水泵、冷却</w:t>
      </w:r>
      <w:r>
        <w:rPr>
          <w:rFonts w:hint="eastAsia" w:cs="宋体"/>
          <w:sz w:val="24"/>
          <w:szCs w:val="24"/>
        </w:rPr>
        <w:tab/>
      </w:r>
      <w:r>
        <w:rPr>
          <w:rFonts w:hint="eastAsia" w:cs="宋体"/>
          <w:sz w:val="24"/>
          <w:szCs w:val="24"/>
        </w:rPr>
        <w:t xml:space="preserve">          水泵等输送装置）（kWh/a)；</w:t>
      </w:r>
    </w:p>
    <w:p w14:paraId="211B412B">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ter</m:t>
            </m:r>
            <m:ctrlPr>
              <w:rPr>
                <w:rFonts w:ascii="Cambria Math" w:hAnsi="Cambria Math" w:cs="宋体"/>
                <w:sz w:val="24"/>
                <w:szCs w:val="24"/>
              </w:rPr>
            </m:ctrlPr>
          </m:sub>
        </m:sSub>
      </m:oMath>
      <w:r>
        <w:rPr>
          <w:rFonts w:hint="eastAsia" w:cs="宋体"/>
          <w:sz w:val="24"/>
          <w:szCs w:val="24"/>
        </w:rPr>
        <w:t>——末端设备（风机盘管、新风机组、空调机组、室内机等）的年</w:t>
      </w:r>
      <w:r>
        <w:rPr>
          <w:rFonts w:hint="eastAsia" w:cs="宋体"/>
          <w:sz w:val="24"/>
          <w:szCs w:val="24"/>
        </w:rPr>
        <w:tab/>
      </w:r>
      <w:r>
        <w:rPr>
          <w:rFonts w:hint="eastAsia" w:cs="宋体"/>
          <w:sz w:val="24"/>
          <w:szCs w:val="24"/>
        </w:rPr>
        <w:t xml:space="preserve">          电力消耗（kWh/a)；</w:t>
      </w:r>
    </w:p>
    <w:p w14:paraId="2D9FC219">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h</m:t>
            </m:r>
            <m:ctrlPr>
              <w:rPr>
                <w:rFonts w:ascii="Cambria Math" w:hAnsi="Cambria Math" w:cs="宋体"/>
                <w:sz w:val="24"/>
                <w:szCs w:val="24"/>
              </w:rPr>
            </m:ctrlPr>
          </m:sub>
        </m:sSub>
      </m:oMath>
      <w:r>
        <w:rPr>
          <w:rFonts w:hint="eastAsia" w:cs="宋体"/>
          <w:sz w:val="24"/>
          <w:szCs w:val="24"/>
        </w:rPr>
        <w:t>——热源消耗能源种类的碳排放因子；</w:t>
      </w:r>
    </w:p>
    <w:p w14:paraId="64E60AC0">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hint="eastAsia" w:cs="宋体"/>
          <w:sz w:val="24"/>
          <w:szCs w:val="24"/>
        </w:rPr>
        <w:t>——冷源消耗能源种类的碳排放因子；</w:t>
      </w:r>
    </w:p>
    <w:p w14:paraId="68376780">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e</m:t>
            </m:r>
            <m:ctrlPr>
              <w:rPr>
                <w:rFonts w:ascii="Cambria Math" w:hAnsi="Cambria Math" w:cs="宋体"/>
                <w:sz w:val="24"/>
                <w:szCs w:val="24"/>
              </w:rPr>
            </m:ctrlPr>
          </m:sub>
        </m:sSub>
      </m:oMath>
      <w:r>
        <w:rPr>
          <w:rFonts w:cs="宋体"/>
          <w:sz w:val="24"/>
          <w:szCs w:val="24"/>
        </w:rPr>
        <w:t>——</w:t>
      </w:r>
      <w:bookmarkStart w:id="201" w:name="_Hlk89501985"/>
      <w:r>
        <w:rPr>
          <w:rFonts w:hint="eastAsia" w:cs="宋体"/>
          <w:sz w:val="24"/>
          <w:szCs w:val="24"/>
        </w:rPr>
        <w:t>电网排放因子</w:t>
      </w:r>
      <w:bookmarkEnd w:id="201"/>
      <w:r>
        <w:rPr>
          <w:rFonts w:hint="eastAsia" w:cs="宋体"/>
          <w:sz w:val="24"/>
          <w:szCs w:val="24"/>
        </w:rPr>
        <w:t>；</w:t>
      </w:r>
    </w:p>
    <w:p w14:paraId="308A8E17">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r</m:t>
            </m:r>
            <m:ctrlPr>
              <w:rPr>
                <w:rFonts w:ascii="Cambria Math" w:hAnsi="Cambria Math" w:cs="宋体"/>
                <w:sz w:val="24"/>
                <w:szCs w:val="24"/>
              </w:rPr>
            </m:ctrlPr>
          </m:sub>
        </m:sSub>
      </m:oMath>
      <w:r>
        <w:rPr>
          <w:rFonts w:hint="eastAsia" w:cs="宋体"/>
          <w:sz w:val="24"/>
          <w:szCs w:val="24"/>
        </w:rPr>
        <w:t>——制冷剂碳排放（kgCO</w:t>
      </w:r>
      <w:r>
        <w:rPr>
          <w:rFonts w:hint="eastAsia" w:cs="宋体"/>
          <w:sz w:val="24"/>
          <w:szCs w:val="24"/>
          <w:vertAlign w:val="subscript"/>
        </w:rPr>
        <w:t>2</w:t>
      </w:r>
      <w:r>
        <w:rPr>
          <w:rFonts w:hint="eastAsia" w:cs="宋体"/>
          <w:sz w:val="24"/>
          <w:szCs w:val="24"/>
        </w:rPr>
        <w:t>e/a)。</w:t>
      </w:r>
    </w:p>
    <w:p w14:paraId="4E79D41B">
      <w:pPr>
        <w:spacing w:line="360" w:lineRule="auto"/>
        <w:jc w:val="left"/>
        <w:rPr>
          <w:rFonts w:cs="宋体"/>
          <w:sz w:val="24"/>
          <w:szCs w:val="24"/>
        </w:rPr>
      </w:pPr>
      <w:r>
        <w:rPr>
          <w:rFonts w:hint="eastAsia" w:cs="宋体"/>
          <w:sz w:val="24"/>
          <w:szCs w:val="24"/>
        </w:rPr>
        <w:t xml:space="preserve">      </w:t>
      </w:r>
      <w:bookmarkStart w:id="202" w:name="_Hlk103328647"/>
      <w:r>
        <w:rPr>
          <w:rFonts w:hint="eastAsia" w:cs="宋体"/>
          <w:sz w:val="24"/>
          <w:szCs w:val="24"/>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zy</m:t>
            </m:r>
            <m:ctrlPr>
              <w:rPr>
                <w:rFonts w:ascii="Cambria Math" w:hAnsi="Cambria Math" w:cs="宋体"/>
                <w:sz w:val="24"/>
                <w:szCs w:val="24"/>
              </w:rPr>
            </m:ctrlPr>
          </m:sub>
        </m:sSub>
      </m:oMath>
      <w:r>
        <w:rPr>
          <w:rFonts w:hint="eastAsia" w:cs="宋体"/>
          <w:sz w:val="24"/>
          <w:szCs w:val="24"/>
        </w:rPr>
        <w:t>——水资源消耗产生的年碳排放</w:t>
      </w:r>
      <w:bookmarkStart w:id="203" w:name="_Hlk89500873"/>
      <w:r>
        <w:rPr>
          <w:rFonts w:hint="eastAsia" w:cs="宋体"/>
          <w:sz w:val="24"/>
          <w:szCs w:val="24"/>
        </w:rPr>
        <w:t>（kgCO</w:t>
      </w:r>
      <w:r>
        <w:rPr>
          <w:rFonts w:hint="eastAsia" w:cs="宋体"/>
          <w:sz w:val="24"/>
          <w:szCs w:val="24"/>
          <w:vertAlign w:val="subscript"/>
        </w:rPr>
        <w:t>2</w:t>
      </w:r>
      <w:r>
        <w:rPr>
          <w:rFonts w:hint="eastAsia" w:cs="宋体"/>
          <w:sz w:val="24"/>
          <w:szCs w:val="24"/>
        </w:rPr>
        <w:t>)；</w:t>
      </w:r>
      <w:bookmarkEnd w:id="203"/>
    </w:p>
    <w:bookmarkEnd w:id="202"/>
    <w:p w14:paraId="32CB0226">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dl</m:t>
            </m:r>
            <m:ctrlPr>
              <w:rPr>
                <w:rFonts w:ascii="Cambria Math" w:hAnsi="Cambria Math" w:cs="宋体"/>
                <w:sz w:val="24"/>
                <w:szCs w:val="24"/>
              </w:rPr>
            </m:ctrlPr>
          </m:sub>
        </m:sSub>
      </m:oMath>
      <w:r>
        <w:rPr>
          <w:rFonts w:hint="eastAsia" w:cs="宋体"/>
          <w:sz w:val="24"/>
          <w:szCs w:val="24"/>
        </w:rPr>
        <w:t>——水系统动力消耗所产生的年碳排放（kgCO</w:t>
      </w:r>
      <w:r>
        <w:rPr>
          <w:rFonts w:hint="eastAsia" w:cs="宋体"/>
          <w:sz w:val="24"/>
          <w:szCs w:val="24"/>
          <w:vertAlign w:val="subscript"/>
        </w:rPr>
        <w:t>2</w:t>
      </w:r>
      <w:r>
        <w:rPr>
          <w:rFonts w:hint="eastAsia" w:cs="宋体"/>
          <w:sz w:val="24"/>
          <w:szCs w:val="24"/>
        </w:rPr>
        <w:t xml:space="preserve">)； </w:t>
      </w:r>
    </w:p>
    <w:p w14:paraId="311E4CB0">
      <w:pPr>
        <w:spacing w:line="360" w:lineRule="auto"/>
        <w:ind w:firstLine="840" w:firstLineChars="350"/>
        <w:jc w:val="left"/>
        <w:rPr>
          <w:rFonts w:cs="宋体"/>
          <w:sz w:val="24"/>
          <w:szCs w:val="24"/>
        </w:rPr>
      </w:pPr>
      <w:bookmarkStart w:id="204" w:name="_Hlk103328783"/>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jr</m:t>
            </m:r>
            <m:ctrlPr>
              <w:rPr>
                <w:rFonts w:ascii="Cambria Math" w:hAnsi="Cambria Math" w:cs="宋体"/>
                <w:sz w:val="24"/>
                <w:szCs w:val="24"/>
              </w:rPr>
            </m:ctrlPr>
          </m:sub>
        </m:sSub>
      </m:oMath>
      <w:r>
        <w:rPr>
          <w:rFonts w:hint="eastAsia" w:cs="宋体"/>
          <w:sz w:val="24"/>
          <w:szCs w:val="24"/>
        </w:rPr>
        <w:t>——生活热水热源消耗产生的碳排放（kgCO</w:t>
      </w:r>
      <w:r>
        <w:rPr>
          <w:rFonts w:hint="eastAsia" w:cs="宋体"/>
          <w:sz w:val="24"/>
          <w:szCs w:val="24"/>
          <w:vertAlign w:val="subscript"/>
        </w:rPr>
        <w:t>2</w:t>
      </w:r>
      <w:r>
        <w:rPr>
          <w:rFonts w:hint="eastAsia" w:cs="宋体"/>
          <w:sz w:val="24"/>
          <w:szCs w:val="24"/>
        </w:rPr>
        <w:t>)；</w:t>
      </w:r>
    </w:p>
    <w:bookmarkEnd w:id="204"/>
    <w:p w14:paraId="7270D074">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C</m:t>
            </m:r>
            <m:ctrlPr>
              <w:rPr>
                <w:rFonts w:ascii="Cambria Math" w:hAnsi="Cambria Math" w:cs="宋体"/>
                <w:sz w:val="24"/>
                <w:szCs w:val="24"/>
              </w:rPr>
            </m:ctrlPr>
          </m:e>
          <m:sub>
            <m:r>
              <m:rPr>
                <m:sty m:val="p"/>
              </m:rPr>
              <w:rPr>
                <w:rFonts w:ascii="Cambria Math" w:hAnsi="Cambria Math" w:cs="宋体"/>
                <w:sz w:val="24"/>
                <w:szCs w:val="24"/>
              </w:rPr>
              <m:t>cl</m:t>
            </m:r>
            <m:ctrlPr>
              <w:rPr>
                <w:rFonts w:ascii="Cambria Math" w:hAnsi="Cambria Math" w:cs="宋体"/>
                <w:sz w:val="24"/>
                <w:szCs w:val="24"/>
              </w:rPr>
            </m:ctrlPr>
          </m:sub>
        </m:sSub>
      </m:oMath>
      <w:r>
        <w:rPr>
          <w:rFonts w:hint="eastAsia" w:cs="宋体"/>
          <w:sz w:val="24"/>
          <w:szCs w:val="24"/>
        </w:rPr>
        <w:t>——水处理产生的年碳排放（kgCO</w:t>
      </w:r>
      <w:r>
        <w:rPr>
          <w:rFonts w:hint="eastAsia" w:cs="宋体"/>
          <w:sz w:val="24"/>
          <w:szCs w:val="24"/>
          <w:vertAlign w:val="subscript"/>
        </w:rPr>
        <w:t>2</w:t>
      </w:r>
      <w:r>
        <w:rPr>
          <w:rFonts w:hint="eastAsia" w:cs="宋体"/>
          <w:sz w:val="24"/>
          <w:szCs w:val="24"/>
        </w:rPr>
        <w:t>)。</w:t>
      </w:r>
    </w:p>
    <w:p w14:paraId="6CF9EE25">
      <w:pPr>
        <w:spacing w:line="360" w:lineRule="auto"/>
        <w:jc w:val="left"/>
        <w:rPr>
          <w:rFonts w:cs="宋体"/>
          <w:sz w:val="24"/>
          <w:szCs w:val="24"/>
        </w:rPr>
      </w:pPr>
      <w:r>
        <w:rPr>
          <w:rFonts w:hint="eastAsia" w:cs="宋体"/>
          <w:sz w:val="24"/>
          <w:szCs w:val="24"/>
        </w:rPr>
        <w:t xml:space="preserve">      </w:t>
      </w:r>
      <w:bookmarkStart w:id="205" w:name="_Hlk90627167"/>
      <w:bookmarkStart w:id="206" w:name="_Hlk102981335"/>
      <w:r>
        <w:rPr>
          <w:rFonts w:hint="eastAsia" w:cs="宋体"/>
          <w:sz w:val="24"/>
          <w:szCs w:val="24"/>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zm</m:t>
            </m:r>
            <m:ctrlPr>
              <w:rPr>
                <w:rFonts w:ascii="Cambria Math" w:hAnsi="Cambria Math" w:cs="宋体"/>
                <w:sz w:val="24"/>
                <w:szCs w:val="24"/>
              </w:rPr>
            </m:ctrlPr>
          </m:sub>
        </m:sSub>
      </m:oMath>
      <w:r>
        <w:rPr>
          <w:rFonts w:hint="eastAsia" w:cs="宋体"/>
          <w:sz w:val="24"/>
          <w:szCs w:val="24"/>
        </w:rPr>
        <w:t>——照明系统耗电量（kWh)；</w:t>
      </w:r>
      <w:bookmarkEnd w:id="205"/>
    </w:p>
    <w:p w14:paraId="4B31F2F5">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qd</m:t>
            </m:r>
            <m:ctrlPr>
              <w:rPr>
                <w:rFonts w:ascii="Cambria Math" w:hAnsi="Cambria Math" w:cs="宋体"/>
                <w:sz w:val="24"/>
                <w:szCs w:val="24"/>
              </w:rPr>
            </m:ctrlPr>
          </m:sub>
        </m:sSub>
      </m:oMath>
      <w:r>
        <w:rPr>
          <w:rFonts w:cs="宋体"/>
          <w:sz w:val="24"/>
          <w:szCs w:val="24"/>
        </w:rPr>
        <w:t>——</w:t>
      </w:r>
      <w:bookmarkStart w:id="207" w:name="_Hlk89502994"/>
      <w:r>
        <w:rPr>
          <w:rFonts w:hint="eastAsia" w:cs="宋体"/>
          <w:sz w:val="24"/>
          <w:szCs w:val="24"/>
        </w:rPr>
        <w:t>强电系统年耗电量（kWh)；</w:t>
      </w:r>
      <w:bookmarkEnd w:id="207"/>
    </w:p>
    <w:p w14:paraId="56428209">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rd</m:t>
            </m:r>
            <m:ctrlPr>
              <w:rPr>
                <w:rFonts w:ascii="Cambria Math" w:hAnsi="Cambria Math" w:cs="宋体"/>
                <w:sz w:val="24"/>
                <w:szCs w:val="24"/>
              </w:rPr>
            </m:ctrlPr>
          </m:sub>
        </m:sSub>
      </m:oMath>
      <w:r>
        <w:rPr>
          <w:rFonts w:hint="eastAsia" w:cs="宋体"/>
          <w:sz w:val="24"/>
          <w:szCs w:val="24"/>
        </w:rPr>
        <w:t>——弱电系统年耗电量（kWh)。</w:t>
      </w:r>
    </w:p>
    <w:bookmarkEnd w:id="206"/>
    <w:p w14:paraId="508375BA">
      <w:pPr>
        <w:spacing w:line="360" w:lineRule="auto"/>
        <w:jc w:val="left"/>
        <w:rPr>
          <w:rFonts w:cs="宋体"/>
          <w:sz w:val="24"/>
          <w:szCs w:val="24"/>
        </w:rPr>
      </w:pPr>
      <w:r>
        <w:rPr>
          <w:rFonts w:hint="eastAsia" w:cs="宋体"/>
          <w:sz w:val="24"/>
          <w:szCs w:val="24"/>
        </w:rPr>
        <w:t xml:space="preserve">      </w:t>
      </w:r>
      <w:bookmarkStart w:id="208" w:name="_Hlk104703719"/>
      <w:r>
        <w:rPr>
          <w:rFonts w:hint="eastAsia" w:cs="宋体"/>
          <w:sz w:val="24"/>
          <w:szCs w:val="24"/>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cs="宋体"/>
          <w:sz w:val="24"/>
          <w:szCs w:val="24"/>
        </w:rPr>
        <w:t>——</w:t>
      </w:r>
      <w:bookmarkEnd w:id="208"/>
      <w:r>
        <w:rPr>
          <w:rFonts w:hint="eastAsia" w:cs="宋体"/>
          <w:sz w:val="24"/>
          <w:szCs w:val="24"/>
        </w:rPr>
        <w:t>灶具能源年消耗量，包括天然气、液化石油气、生物质能等；</w:t>
      </w:r>
    </w:p>
    <w:p w14:paraId="5E482DF8">
      <w:pPr>
        <w:spacing w:line="360" w:lineRule="auto"/>
        <w:ind w:firstLine="840" w:firstLineChars="350"/>
        <w:jc w:val="left"/>
        <w:rPr>
          <w:rFonts w:cs="宋体"/>
          <w:sz w:val="24"/>
          <w:szCs w:val="24"/>
        </w:rPr>
      </w:pPr>
      <w:bookmarkStart w:id="209" w:name="_Hlk103329842"/>
      <m:oMath>
        <m:sSub>
          <m:sSubPr>
            <m:ctrlPr>
              <w:rPr>
                <w:rFonts w:ascii="Cambria Math" w:hAnsi="Cambria Math" w:cs="宋体"/>
                <w:sz w:val="24"/>
                <w:szCs w:val="24"/>
              </w:rPr>
            </m:ctrlPr>
          </m:sSubPr>
          <m:e>
            <m:r>
              <m:rPr>
                <m:sty m:val="p"/>
              </m:rPr>
              <w:rPr>
                <w:rFonts w:ascii="Cambria Math" w:hAnsi="Cambria Math" w:cs="宋体"/>
                <w:sz w:val="24"/>
                <w:szCs w:val="24"/>
              </w:rPr>
              <m:t>F</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cs="宋体"/>
          <w:sz w:val="24"/>
          <w:szCs w:val="24"/>
        </w:rPr>
        <w:t>——</w:t>
      </w:r>
      <w:bookmarkEnd w:id="209"/>
      <w:r>
        <w:rPr>
          <w:rFonts w:hint="eastAsia" w:cs="宋体"/>
          <w:sz w:val="24"/>
          <w:szCs w:val="24"/>
        </w:rPr>
        <w:t>能源碳排放因子。</w:t>
      </w:r>
    </w:p>
    <w:p w14:paraId="1218754A">
      <w:pPr>
        <w:spacing w:line="360" w:lineRule="auto"/>
        <w:jc w:val="left"/>
        <w:rPr>
          <w:rFonts w:cs="宋体"/>
          <w:sz w:val="24"/>
          <w:szCs w:val="24"/>
        </w:rPr>
      </w:pPr>
      <w:r>
        <w:rPr>
          <w:rFonts w:hint="eastAsia" w:cs="宋体"/>
          <w:sz w:val="24"/>
          <w:szCs w:val="24"/>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E</m:t>
            </m:r>
            <m:ctrlPr>
              <w:rPr>
                <w:rFonts w:ascii="Cambria Math" w:hAnsi="Cambria Math" w:cs="宋体"/>
                <w:sz w:val="24"/>
                <w:szCs w:val="24"/>
              </w:rPr>
            </m:ctrlPr>
          </m:e>
          <m:sub>
            <m:r>
              <m:rPr>
                <m:sty m:val="p"/>
              </m:rPr>
              <w:rPr>
                <w:rFonts w:ascii="Cambria Math" w:hAnsi="Cambria Math" w:cs="宋体"/>
                <w:sz w:val="24"/>
                <w:szCs w:val="24"/>
              </w:rPr>
              <m:t>i</m:t>
            </m:r>
            <m:ctrlPr>
              <w:rPr>
                <w:rFonts w:ascii="Cambria Math" w:hAnsi="Cambria Math" w:cs="宋体"/>
                <w:sz w:val="24"/>
                <w:szCs w:val="24"/>
              </w:rPr>
            </m:ctrlPr>
          </m:sub>
        </m:sSub>
      </m:oMath>
      <w:r>
        <w:rPr>
          <w:rFonts w:hint="eastAsia" w:cs="宋体"/>
          <w:sz w:val="24"/>
          <w:szCs w:val="24"/>
        </w:rPr>
        <w:t>——第i种可再生能源发电量（kWh)。</w:t>
      </w:r>
    </w:p>
    <w:p w14:paraId="4F584477">
      <w:pPr>
        <w:spacing w:line="360" w:lineRule="auto"/>
        <w:jc w:val="left"/>
        <w:rPr>
          <w:rFonts w:cs="宋体"/>
          <w:sz w:val="24"/>
          <w:szCs w:val="24"/>
        </w:rPr>
      </w:pPr>
      <w:r>
        <w:rPr>
          <w:rFonts w:hint="eastAsia" w:cs="宋体"/>
          <w:sz w:val="24"/>
          <w:szCs w:val="24"/>
        </w:rPr>
        <w:t xml:space="preserve">       </w:t>
      </w:r>
      <m:oMath>
        <m:sSub>
          <m:sSubPr>
            <m:ctrlPr>
              <w:rPr>
                <w:rFonts w:ascii="Cambria Math" w:hAnsi="Cambria Math" w:cs="宋体"/>
                <w:sz w:val="24"/>
                <w:szCs w:val="24"/>
              </w:rPr>
            </m:ctrlPr>
          </m:sSubPr>
          <m:e>
            <m:r>
              <m:rPr>
                <m:sty m:val="p"/>
              </m:rPr>
              <w:rPr>
                <w:rFonts w:ascii="Cambria Math" w:hAnsi="Cambria Math" w:cs="宋体"/>
                <w:sz w:val="24"/>
                <w:szCs w:val="24"/>
              </w:rPr>
              <m:t>G</m:t>
            </m:r>
            <m:ctrlPr>
              <w:rPr>
                <w:rFonts w:ascii="Cambria Math" w:hAnsi="Cambria Math" w:cs="宋体"/>
                <w:sz w:val="24"/>
                <w:szCs w:val="24"/>
              </w:rPr>
            </m:ctrlPr>
          </m:e>
          <m:sub>
            <m:r>
              <m:rPr>
                <m:sty m:val="p"/>
              </m:rPr>
              <w:rPr>
                <w:rFonts w:ascii="Cambria Math" w:hAnsi="Cambria Math" w:cs="宋体"/>
                <w:sz w:val="24"/>
                <w:szCs w:val="24"/>
              </w:rPr>
              <m:t>c</m:t>
            </m:r>
            <m:ctrlPr>
              <w:rPr>
                <w:rFonts w:ascii="Cambria Math" w:hAnsi="Cambria Math" w:cs="宋体"/>
                <w:sz w:val="24"/>
                <w:szCs w:val="24"/>
              </w:rPr>
            </m:ctrlPr>
          </m:sub>
        </m:sSub>
      </m:oMath>
      <w:r>
        <w:rPr>
          <w:rFonts w:hint="eastAsia" w:cs="宋体"/>
          <w:sz w:val="24"/>
          <w:szCs w:val="24"/>
        </w:rPr>
        <w:t>——第i种绿植种类固碳系数；</w:t>
      </w:r>
    </w:p>
    <w:p w14:paraId="084765FF">
      <w:pPr>
        <w:spacing w:line="360" w:lineRule="auto"/>
        <w:ind w:firstLine="840" w:firstLineChars="350"/>
        <w:jc w:val="left"/>
        <w:rPr>
          <w:rFonts w:cs="宋体"/>
          <w:sz w:val="24"/>
          <w:szCs w:val="24"/>
        </w:rPr>
      </w:pPr>
      <m:oMath>
        <m:sSub>
          <m:sSubPr>
            <m:ctrlPr>
              <w:rPr>
                <w:rFonts w:ascii="Cambria Math" w:hAnsi="Cambria Math" w:cs="宋体"/>
                <w:sz w:val="24"/>
                <w:szCs w:val="24"/>
              </w:rPr>
            </m:ctrlPr>
          </m:sSubPr>
          <m:e>
            <m:r>
              <m:rPr>
                <m:sty m:val="p"/>
              </m:rPr>
              <w:rPr>
                <w:rFonts w:ascii="Cambria Math" w:hAnsi="Cambria Math" w:cs="宋体"/>
                <w:sz w:val="24"/>
                <w:szCs w:val="24"/>
              </w:rPr>
              <m:t>A</m:t>
            </m:r>
            <m:ctrlPr>
              <w:rPr>
                <w:rFonts w:ascii="Cambria Math" w:hAnsi="Cambria Math" w:cs="宋体"/>
                <w:sz w:val="24"/>
                <w:szCs w:val="24"/>
              </w:rPr>
            </m:ctrlPr>
          </m:e>
          <m:sub>
            <m:r>
              <m:rPr>
                <m:sty m:val="p"/>
              </m:rPr>
              <w:rPr>
                <w:rFonts w:ascii="Cambria Math" w:hAnsi="Cambria Math" w:cs="宋体"/>
                <w:sz w:val="24"/>
                <w:szCs w:val="24"/>
              </w:rPr>
              <m:t>g</m:t>
            </m:r>
            <m:ctrlPr>
              <w:rPr>
                <w:rFonts w:ascii="Cambria Math" w:hAnsi="Cambria Math" w:cs="宋体"/>
                <w:sz w:val="24"/>
                <w:szCs w:val="24"/>
              </w:rPr>
            </m:ctrlPr>
          </m:sub>
        </m:sSub>
      </m:oMath>
      <w:r>
        <w:rPr>
          <w:rFonts w:hint="eastAsia" w:cs="宋体"/>
          <w:sz w:val="24"/>
          <w:szCs w:val="24"/>
        </w:rPr>
        <w:t>——第i种植被种植面积（</w:t>
      </w:r>
      <w:r>
        <w:rPr>
          <w:rFonts w:cs="宋体"/>
          <w:sz w:val="24"/>
          <w:szCs w:val="24"/>
        </w:rPr>
        <w:t>m</w:t>
      </w:r>
      <w:r>
        <w:rPr>
          <w:rFonts w:cs="宋体"/>
          <w:sz w:val="24"/>
          <w:szCs w:val="24"/>
          <w:vertAlign w:val="superscript"/>
        </w:rPr>
        <w:t>2</w:t>
      </w:r>
      <w:r>
        <w:rPr>
          <w:rFonts w:hint="eastAsia" w:cs="宋体"/>
          <w:sz w:val="24"/>
          <w:szCs w:val="24"/>
        </w:rPr>
        <w:t>)。</w:t>
      </w:r>
    </w:p>
    <w:p w14:paraId="3620962B">
      <w:pPr>
        <w:spacing w:line="360" w:lineRule="auto"/>
        <w:ind w:firstLine="422"/>
        <w:jc w:val="left"/>
        <w:rPr>
          <w:rFonts w:cs="宋体"/>
        </w:rPr>
      </w:pPr>
      <w:r>
        <w:rPr>
          <w:rFonts w:hint="default" w:ascii="Times New Roman" w:hAnsi="Times New Roman" w:eastAsia="黑体" w:cs="Times New Roman"/>
          <w:b/>
          <w:bCs/>
          <w:sz w:val="24"/>
          <w:szCs w:val="24"/>
        </w:rPr>
        <w:t>A.1.4</w:t>
      </w:r>
      <w:r>
        <w:rPr>
          <w:rFonts w:hint="eastAsia"/>
          <w:sz w:val="24"/>
          <w:szCs w:val="24"/>
        </w:rPr>
        <w:t>　</w:t>
      </w:r>
      <w:r>
        <w:rPr>
          <w:rFonts w:hint="eastAsia" w:cs="宋体"/>
          <w:sz w:val="24"/>
          <w:szCs w:val="24"/>
        </w:rPr>
        <w:t>建筑废弃阶段应包含建筑拆除和废弃物运输碳排放，并应按式（A.1.2-2）计算碳排放。</w:t>
      </w:r>
    </w:p>
    <w:p w14:paraId="1B2DC1BF">
      <w:pPr>
        <w:tabs>
          <w:tab w:val="left" w:pos="0"/>
        </w:tabs>
        <w:spacing w:before="0" w:beforeLines="0" w:after="0" w:afterLines="0" w:line="360" w:lineRule="auto"/>
        <w:jc w:val="center"/>
        <w:outlineLvl w:val="1"/>
        <w:rPr>
          <w:rFonts w:ascii="Times New Roman" w:hAnsi="Times New Roman" w:eastAsia="黑体" w:cs="Times New Roman"/>
          <w:b/>
          <w:bCs/>
          <w:sz w:val="28"/>
          <w:szCs w:val="28"/>
        </w:rPr>
      </w:pPr>
      <w:bookmarkStart w:id="210" w:name="_Toc25729"/>
      <w:bookmarkStart w:id="211" w:name="_Toc4936"/>
      <w:bookmarkStart w:id="212" w:name="_Toc20882"/>
      <w:bookmarkStart w:id="213" w:name="_Toc6228"/>
      <w:bookmarkStart w:id="214" w:name="_Toc21913"/>
      <w:bookmarkStart w:id="215" w:name="_Toc11525"/>
      <w:bookmarkStart w:id="216" w:name="_Toc30795"/>
      <w:bookmarkStart w:id="217" w:name="_Toc25282"/>
      <w:bookmarkStart w:id="218" w:name="_Toc18703"/>
      <w:bookmarkStart w:id="219" w:name="_Toc29730"/>
      <w:bookmarkStart w:id="220" w:name="_Toc2108"/>
      <w:bookmarkStart w:id="221" w:name="_Toc31687"/>
      <w:bookmarkStart w:id="222" w:name="_Toc31594"/>
      <w:bookmarkStart w:id="223" w:name="_Toc20580"/>
      <w:r>
        <w:rPr>
          <w:rFonts w:hint="default" w:ascii="Times New Roman" w:hAnsi="Times New Roman" w:eastAsia="黑体" w:cs="Times New Roman"/>
          <w:b/>
          <w:bCs/>
          <w:sz w:val="28"/>
          <w:szCs w:val="28"/>
        </w:rPr>
        <w:t>A.2  碳减排效益</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56E72DC">
      <w:pPr>
        <w:spacing w:line="360" w:lineRule="auto"/>
        <w:ind w:firstLine="422"/>
        <w:rPr>
          <w:rFonts w:ascii="宋体" w:hAnsi="宋体" w:cs="宋体"/>
          <w:sz w:val="24"/>
          <w:szCs w:val="24"/>
        </w:rPr>
      </w:pPr>
      <w:r>
        <w:rPr>
          <w:rFonts w:hint="default" w:ascii="Times New Roman" w:hAnsi="Times New Roman" w:eastAsia="黑体" w:cs="Times New Roman"/>
          <w:b/>
          <w:bCs/>
          <w:sz w:val="24"/>
          <w:szCs w:val="24"/>
        </w:rPr>
        <w:t>A.2.1</w:t>
      </w:r>
      <w:r>
        <w:rPr>
          <w:rFonts w:hint="eastAsia"/>
          <w:sz w:val="24"/>
          <w:szCs w:val="24"/>
        </w:rPr>
        <w:t>　</w:t>
      </w:r>
      <w:r>
        <w:rPr>
          <w:rFonts w:hint="eastAsia" w:ascii="宋体" w:hAnsi="宋体" w:cs="宋体"/>
          <w:sz w:val="24"/>
          <w:szCs w:val="24"/>
        </w:rPr>
        <w:t>既有工业建筑单位面积年均碳排放量应按下式计算：</w:t>
      </w:r>
    </w:p>
    <w:p w14:paraId="39393DC9">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Sup>
          <m:sSubSupPr>
            <m:ctrlPr>
              <w:rPr>
                <w:rFonts w:hint="eastAsia" w:ascii="Cambria Math" w:hAnsi="Cambria Math" w:cs="宋体"/>
                <w:sz w:val="24"/>
                <w:szCs w:val="24"/>
              </w:rPr>
            </m:ctrlPr>
          </m:sSubSupPr>
          <m:e>
            <m:r>
              <m:rPr>
                <m:sty m:val="p"/>
              </m:rPr>
              <w:rPr>
                <w:rFonts w:ascii="Cambria Math" w:hAnsi="Cambria Math" w:cs="宋体"/>
                <w:sz w:val="24"/>
                <w:szCs w:val="24"/>
              </w:rPr>
              <m:t>P</m:t>
            </m:r>
            <m:ctrlPr>
              <w:rPr>
                <w:rFonts w:hint="eastAsia" w:ascii="Cambria Math" w:hAnsi="Cambria Math" w:cs="宋体"/>
                <w:sz w:val="24"/>
                <w:szCs w:val="24"/>
              </w:rPr>
            </m:ctrlPr>
          </m:e>
          <m:sub>
            <m:r>
              <m:rPr>
                <m:sty m:val="p"/>
              </m:rPr>
              <w:rPr>
                <w:rFonts w:ascii="Cambria Math" w:hAnsi="Cambria Math" w:cs="宋体"/>
                <w:sz w:val="24"/>
                <w:szCs w:val="24"/>
              </w:rPr>
              <m:t>t</m:t>
            </m:r>
            <m:ctrlPr>
              <w:rPr>
                <w:rFonts w:hint="eastAsia" w:ascii="Cambria Math" w:hAnsi="Cambria Math" w:cs="宋体"/>
                <w:sz w:val="24"/>
                <w:szCs w:val="24"/>
              </w:rPr>
            </m:ctrlPr>
          </m:sub>
          <m:sup>
            <m:r>
              <m:rPr>
                <m:sty m:val="p"/>
              </m:rPr>
              <w:rPr>
                <w:rFonts w:hint="eastAsia" w:ascii="Cambria Math" w:hAnsi="Cambria Math" w:cs="宋体"/>
                <w:sz w:val="24"/>
                <w:szCs w:val="24"/>
              </w:rPr>
              <m:t>'</m:t>
            </m:r>
            <m:ctrlPr>
              <w:rPr>
                <w:rFonts w:hint="eastAsia" w:ascii="Cambria Math" w:hAnsi="Cambria Math" w:cs="宋体"/>
                <w:sz w:val="24"/>
                <w:szCs w:val="24"/>
              </w:rPr>
            </m:ctrlPr>
          </m:sup>
        </m:sSubSup>
        <m:r>
          <m:rPr>
            <m:sty m:val="p"/>
          </m:rPr>
          <w:rPr>
            <w:rFonts w:ascii="Cambria Math" w:hAnsi="Cambria Math" w:cs="宋体"/>
            <w:sz w:val="24"/>
            <w:szCs w:val="24"/>
          </w:rPr>
          <m:t>=</m:t>
        </m:r>
        <m:f>
          <m:fPr>
            <m:ctrlPr>
              <w:rPr>
                <w:rFonts w:hint="eastAsia" w:ascii="Cambria Math" w:hAnsi="Cambria Math" w:cs="宋体"/>
                <w:sz w:val="24"/>
                <w:szCs w:val="24"/>
              </w:rPr>
            </m:ctrlPr>
          </m:fPr>
          <m:num>
            <m:sSub>
              <m:sSubPr>
                <m:ctrlPr>
                  <w:rPr>
                    <w:rFonts w:hint="eastAsia" w:ascii="Cambria Math" w:hAnsi="Cambria Math" w:cs="宋体"/>
                    <w:sz w:val="24"/>
                    <w:szCs w:val="24"/>
                  </w:rPr>
                </m:ctrlPr>
              </m:sSubPr>
              <m:e>
                <m:r>
                  <m:rPr>
                    <m:sty m:val="p"/>
                  </m:rPr>
                  <w:rPr>
                    <w:rFonts w:ascii="Cambria Math" w:hAnsi="Cambria Math" w:cs="宋体"/>
                    <w:sz w:val="24"/>
                    <w:szCs w:val="24"/>
                  </w:rPr>
                  <m:t>P</m:t>
                </m:r>
                <m:ctrlPr>
                  <w:rPr>
                    <w:rFonts w:hint="eastAsia" w:ascii="Cambria Math" w:hAnsi="Cambria Math" w:cs="宋体"/>
                    <w:sz w:val="24"/>
                    <w:szCs w:val="24"/>
                  </w:rPr>
                </m:ctrlPr>
              </m:e>
              <m:sub>
                <m:r>
                  <m:rPr>
                    <m:sty m:val="p"/>
                  </m:rPr>
                  <w:rPr>
                    <w:rFonts w:ascii="Cambria Math" w:hAnsi="Cambria Math" w:cs="宋体"/>
                    <w:sz w:val="24"/>
                    <w:szCs w:val="24"/>
                  </w:rPr>
                  <m:t>t</m:t>
                </m:r>
                <m:ctrlPr>
                  <w:rPr>
                    <w:rFonts w:hint="eastAsia" w:ascii="Cambria Math" w:hAnsi="Cambria Math" w:cs="宋体"/>
                    <w:sz w:val="24"/>
                    <w:szCs w:val="24"/>
                  </w:rPr>
                </m:ctrlPr>
              </m:sub>
            </m:sSub>
            <m:ctrlPr>
              <w:rPr>
                <w:rFonts w:hint="eastAsia" w:ascii="Cambria Math" w:hAnsi="Cambria Math" w:cs="宋体"/>
                <w:sz w:val="24"/>
                <w:szCs w:val="24"/>
              </w:rPr>
            </m:ctrlPr>
          </m:num>
          <m:den>
            <m:r>
              <m:rPr>
                <m:sty m:val="p"/>
              </m:rPr>
              <w:rPr>
                <w:rFonts w:ascii="Cambria Math" w:hAnsi="Cambria Math" w:cs="宋体"/>
                <w:sz w:val="24"/>
                <w:szCs w:val="24"/>
              </w:rPr>
              <m:t>A×y</m:t>
            </m:r>
            <m:ctrlPr>
              <w:rPr>
                <w:rFonts w:hint="eastAsia" w:ascii="Cambria Math" w:hAnsi="Cambria Math" w:cs="宋体"/>
                <w:sz w:val="24"/>
                <w:szCs w:val="24"/>
              </w:rPr>
            </m:ctrlPr>
          </m:den>
        </m:f>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(A.2.1)</w:t>
      </w:r>
    </w:p>
    <w:p w14:paraId="64041605">
      <w:pPr>
        <w:spacing w:line="360" w:lineRule="auto"/>
        <w:rPr>
          <w:rFonts w:ascii="宋体" w:hAnsi="宋体" w:cs="宋体"/>
          <w:sz w:val="24"/>
          <w:szCs w:val="24"/>
        </w:rPr>
      </w:pPr>
      <w:r>
        <w:rPr>
          <w:rFonts w:hint="eastAsia" w:ascii="宋体" w:hAnsi="宋体" w:cs="宋体"/>
          <w:sz w:val="24"/>
          <w:szCs w:val="24"/>
        </w:rPr>
        <w:t xml:space="preserve">式中： </w:t>
      </w:r>
      <m:oMath>
        <m:sSubSup>
          <m:sSubSupPr>
            <m:ctrlPr>
              <w:rPr>
                <w:rFonts w:hint="eastAsia" w:ascii="Cambria Math" w:hAnsi="Cambria Math" w:cs="宋体"/>
                <w:sz w:val="24"/>
                <w:szCs w:val="24"/>
              </w:rPr>
            </m:ctrlPr>
          </m:sSubSupPr>
          <m:e>
            <m:r>
              <m:rPr/>
              <w:rPr>
                <w:rFonts w:ascii="Cambria Math" w:hAnsi="Cambria Math" w:cs="宋体"/>
                <w:sz w:val="24"/>
                <w:szCs w:val="24"/>
              </w:rPr>
              <m:t>P</m:t>
            </m:r>
            <m:ctrlPr>
              <w:rPr>
                <w:rFonts w:hint="eastAsia" w:ascii="Cambria Math" w:hAnsi="Cambria Math" w:cs="宋体"/>
                <w:sz w:val="24"/>
                <w:szCs w:val="24"/>
              </w:rPr>
            </m:ctrlPr>
          </m:e>
          <m:sub>
            <m:r>
              <m:rPr/>
              <w:rPr>
                <w:rFonts w:ascii="Cambria Math" w:hAnsi="Cambria Math" w:cs="宋体"/>
                <w:sz w:val="24"/>
                <w:szCs w:val="24"/>
              </w:rPr>
              <m:t>t</m:t>
            </m:r>
            <m:ctrlPr>
              <w:rPr>
                <w:rFonts w:hint="eastAsia" w:ascii="Cambria Math" w:hAnsi="Cambria Math" w:cs="宋体"/>
                <w:sz w:val="24"/>
                <w:szCs w:val="24"/>
              </w:rPr>
            </m:ctrlPr>
          </m:sub>
          <m:sup>
            <m:r>
              <m:rPr/>
              <w:rPr>
                <w:rFonts w:hint="eastAsia" w:ascii="Cambria Math" w:hAnsi="Cambria Math" w:cs="宋体"/>
                <w:sz w:val="24"/>
                <w:szCs w:val="24"/>
              </w:rPr>
              <m:t>'</m:t>
            </m:r>
            <m:ctrlPr>
              <w:rPr>
                <w:rFonts w:hint="eastAsia" w:ascii="Cambria Math" w:hAnsi="Cambria Math" w:cs="宋体"/>
                <w:sz w:val="24"/>
                <w:szCs w:val="24"/>
              </w:rPr>
            </m:ctrlPr>
          </m:sup>
        </m:sSubSup>
      </m:oMath>
      <w:r>
        <w:rPr>
          <w:rFonts w:hint="eastAsia" w:ascii="宋体" w:hAnsi="宋体" w:cs="宋体"/>
          <w:bCs/>
          <w:sz w:val="24"/>
          <w:szCs w:val="24"/>
        </w:rPr>
        <w:t>——改造后建筑单位面积年均碳排放量</w:t>
      </w:r>
      <w:r>
        <w:rPr>
          <w:rFonts w:hint="default" w:ascii="Times New Roman" w:hAnsi="Times New Roman" w:cs="Times New Roman"/>
          <w:bCs/>
          <w:sz w:val="24"/>
          <w:szCs w:val="24"/>
        </w:rPr>
        <w:t>（</w:t>
      </w:r>
      <w:r>
        <w:rPr>
          <w:rFonts w:hint="default" w:ascii="Times New Roman" w:hAnsi="Times New Roman" w:cs="Times New Roman"/>
          <w:sz w:val="24"/>
          <w:szCs w:val="24"/>
        </w:rPr>
        <w:t>kgCO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w:t>
      </w:r>
      <w:r>
        <w:rPr>
          <w:rFonts w:hint="eastAsia" w:ascii="宋体" w:hAnsi="宋体" w:cs="宋体"/>
          <w:bCs/>
          <w:sz w:val="24"/>
          <w:szCs w:val="24"/>
        </w:rPr>
        <w:t>；</w:t>
      </w:r>
    </w:p>
    <w:p w14:paraId="0BCD9B08">
      <w:pPr>
        <w:spacing w:line="360" w:lineRule="auto"/>
        <w:ind w:firstLine="840" w:firstLineChars="350"/>
        <w:rPr>
          <w:rFonts w:ascii="宋体" w:hAnsi="宋体" w:cs="宋体"/>
          <w:sz w:val="24"/>
          <w:szCs w:val="24"/>
        </w:rPr>
      </w:pPr>
      <m:oMath>
        <m:r>
          <m:rPr/>
          <w:rPr>
            <w:rFonts w:ascii="Cambria Math" w:hAnsi="Cambria Math" w:cs="宋体"/>
            <w:sz w:val="24"/>
            <w:szCs w:val="24"/>
          </w:rPr>
          <m:t>A</m:t>
        </m:r>
      </m:oMath>
      <w:r>
        <w:rPr>
          <w:rFonts w:hint="eastAsia" w:ascii="宋体" w:hAnsi="宋体" w:cs="宋体"/>
          <w:sz w:val="24"/>
          <w:szCs w:val="24"/>
        </w:rPr>
        <w:t>——改造后建筑面积（</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eastAsia" w:ascii="宋体" w:hAnsi="宋体" w:cs="宋体"/>
          <w:sz w:val="24"/>
          <w:szCs w:val="24"/>
        </w:rPr>
        <w:t>)；</w:t>
      </w:r>
    </w:p>
    <w:p w14:paraId="69C133E2">
      <w:pPr>
        <w:spacing w:line="360" w:lineRule="auto"/>
        <w:ind w:firstLine="840" w:firstLineChars="350"/>
        <w:rPr>
          <w:rFonts w:ascii="宋体" w:hAnsi="宋体" w:cs="宋体"/>
          <w:sz w:val="24"/>
          <w:szCs w:val="24"/>
        </w:rPr>
      </w:pPr>
      <m:oMath>
        <w:bookmarkStart w:id="224" w:name="_Hlk89437534"/>
        <m:r>
          <m:rPr/>
          <w:rPr>
            <w:rFonts w:ascii="Cambria Math" w:hAnsi="Cambria Math" w:cs="宋体"/>
            <w:sz w:val="24"/>
            <w:szCs w:val="24"/>
          </w:rPr>
          <m:t>y</m:t>
        </m:r>
      </m:oMath>
      <w:r>
        <w:rPr>
          <w:rFonts w:hint="eastAsia" w:ascii="宋体" w:hAnsi="宋体" w:cs="宋体"/>
          <w:sz w:val="24"/>
          <w:szCs w:val="24"/>
        </w:rPr>
        <w:t>——改造后建筑使用寿命</w:t>
      </w:r>
      <w:r>
        <w:rPr>
          <w:rFonts w:hint="default" w:ascii="Times New Roman" w:hAnsi="Times New Roman" w:cs="Times New Roman"/>
          <w:sz w:val="24"/>
          <w:szCs w:val="24"/>
        </w:rPr>
        <w:t>（a)</w:t>
      </w:r>
      <w:bookmarkEnd w:id="224"/>
      <w:r>
        <w:rPr>
          <w:rFonts w:hint="eastAsia" w:ascii="宋体" w:hAnsi="宋体" w:cs="宋体"/>
          <w:sz w:val="24"/>
          <w:szCs w:val="24"/>
        </w:rPr>
        <w:t>。</w:t>
      </w:r>
    </w:p>
    <w:p w14:paraId="33F044DC">
      <w:pPr>
        <w:spacing w:line="360" w:lineRule="auto"/>
        <w:rPr>
          <w:rFonts w:ascii="宋体" w:hAnsi="宋体" w:cs="宋体"/>
          <w:sz w:val="24"/>
          <w:szCs w:val="24"/>
        </w:rPr>
      </w:pPr>
    </w:p>
    <w:p w14:paraId="238E8B02">
      <w:pPr>
        <w:spacing w:line="360" w:lineRule="auto"/>
        <w:ind w:firstLine="422"/>
        <w:rPr>
          <w:rFonts w:ascii="宋体" w:hAnsi="宋体" w:cs="宋体"/>
          <w:sz w:val="24"/>
          <w:szCs w:val="24"/>
        </w:rPr>
      </w:pPr>
      <w:r>
        <w:rPr>
          <w:rFonts w:hint="default" w:ascii="Times New Roman" w:hAnsi="Times New Roman" w:eastAsia="黑体" w:cs="Times New Roman"/>
          <w:b/>
          <w:bCs/>
          <w:sz w:val="24"/>
          <w:szCs w:val="24"/>
        </w:rPr>
        <w:t>A.2.2</w:t>
      </w:r>
      <w:r>
        <w:rPr>
          <w:rFonts w:hint="eastAsia"/>
          <w:sz w:val="24"/>
          <w:szCs w:val="24"/>
        </w:rPr>
        <w:t>　</w:t>
      </w:r>
      <w:r>
        <w:rPr>
          <w:rFonts w:hint="eastAsia" w:ascii="宋体" w:hAnsi="宋体" w:cs="宋体"/>
          <w:sz w:val="24"/>
          <w:szCs w:val="24"/>
        </w:rPr>
        <w:t>既有工业建筑民用化改造减碳率应按下式计算：</w:t>
      </w:r>
    </w:p>
    <w:p w14:paraId="2E779276">
      <w:pPr>
        <w:tabs>
          <w:tab w:val="center" w:pos="4200"/>
          <w:tab w:val="right" w:pos="8200"/>
        </w:tabs>
        <w:spacing w:line="360" w:lineRule="auto"/>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cs="宋体"/>
                <w:sz w:val="24"/>
                <w:szCs w:val="24"/>
              </w:rPr>
            </m:ctrlPr>
          </m:sSubPr>
          <m:e>
            <m:r>
              <m:rPr>
                <m:sty m:val="p"/>
              </m:rPr>
              <w:rPr>
                <w:rFonts w:hint="eastAsia" w:ascii="Cambria Math" w:hAnsi="Cambria Math" w:cs="宋体"/>
                <w:sz w:val="24"/>
                <w:szCs w:val="24"/>
              </w:rPr>
              <m:t>η</m:t>
            </m:r>
            <m:ctrlPr>
              <w:rPr>
                <w:rFonts w:hint="eastAsia" w:ascii="Cambria Math" w:hAnsi="Cambria Math" w:cs="宋体"/>
                <w:sz w:val="24"/>
                <w:szCs w:val="24"/>
              </w:rPr>
            </m:ctrlPr>
          </m:e>
          <m:sub>
            <m:r>
              <m:rPr>
                <m:sty m:val="p"/>
              </m:rPr>
              <w:rPr>
                <w:rFonts w:ascii="Cambria Math" w:hAnsi="Cambria Math" w:cs="宋体"/>
                <w:sz w:val="24"/>
                <w:szCs w:val="24"/>
              </w:rPr>
              <m:t>t</m:t>
            </m:r>
            <m:ctrlPr>
              <w:rPr>
                <w:rFonts w:hint="eastAsia" w:ascii="Cambria Math" w:hAnsi="Cambria Math" w:cs="宋体"/>
                <w:sz w:val="24"/>
                <w:szCs w:val="24"/>
              </w:rPr>
            </m:ctrlPr>
          </m:sub>
        </m:sSub>
        <m:r>
          <m:rPr>
            <m:sty m:val="p"/>
          </m:rPr>
          <w:rPr>
            <w:rFonts w:ascii="Cambria Math" w:hAnsi="Cambria Math" w:cs="宋体"/>
            <w:sz w:val="24"/>
            <w:szCs w:val="24"/>
          </w:rPr>
          <m:t>=</m:t>
        </m:r>
        <m:d>
          <m:dPr>
            <m:ctrlPr>
              <w:rPr>
                <w:rFonts w:hint="eastAsia" w:ascii="Cambria Math" w:hAnsi="Cambria Math" w:cs="宋体"/>
                <w:sz w:val="24"/>
                <w:szCs w:val="24"/>
              </w:rPr>
            </m:ctrlPr>
          </m:dPr>
          <m:e>
            <m:r>
              <m:rPr>
                <m:sty m:val="p"/>
              </m:rPr>
              <w:rPr>
                <w:rFonts w:ascii="Cambria Math" w:hAnsi="Cambria Math" w:cs="宋体"/>
                <w:sz w:val="24"/>
                <w:szCs w:val="24"/>
              </w:rPr>
              <m:t>1−</m:t>
            </m:r>
            <m:f>
              <m:fPr>
                <m:ctrlPr>
                  <w:rPr>
                    <w:rFonts w:hint="eastAsia" w:ascii="Cambria Math" w:hAnsi="Cambria Math" w:cs="宋体"/>
                    <w:sz w:val="24"/>
                    <w:szCs w:val="24"/>
                  </w:rPr>
                </m:ctrlPr>
              </m:fPr>
              <m:num>
                <m:sSubSup>
                  <m:sSubSupPr>
                    <m:ctrlPr>
                      <w:rPr>
                        <w:rFonts w:hint="eastAsia" w:ascii="Cambria Math" w:hAnsi="Cambria Math" w:cs="宋体"/>
                        <w:sz w:val="24"/>
                        <w:szCs w:val="24"/>
                      </w:rPr>
                    </m:ctrlPr>
                  </m:sSubSupPr>
                  <m:e>
                    <m:r>
                      <m:rPr>
                        <m:sty m:val="p"/>
                      </m:rPr>
                      <w:rPr>
                        <w:rFonts w:ascii="Cambria Math" w:hAnsi="Cambria Math" w:cs="宋体"/>
                        <w:sz w:val="24"/>
                        <w:szCs w:val="24"/>
                      </w:rPr>
                      <m:t>P</m:t>
                    </m:r>
                    <m:ctrlPr>
                      <w:rPr>
                        <w:rFonts w:hint="eastAsia" w:ascii="Cambria Math" w:hAnsi="Cambria Math" w:cs="宋体"/>
                        <w:sz w:val="24"/>
                        <w:szCs w:val="24"/>
                      </w:rPr>
                    </m:ctrlPr>
                  </m:e>
                  <m:sub>
                    <m:r>
                      <m:rPr>
                        <m:sty m:val="p"/>
                      </m:rPr>
                      <w:rPr>
                        <w:rFonts w:ascii="Cambria Math" w:hAnsi="Cambria Math" w:cs="宋体"/>
                        <w:sz w:val="24"/>
                        <w:szCs w:val="24"/>
                      </w:rPr>
                      <m:t>t</m:t>
                    </m:r>
                    <m:ctrlPr>
                      <w:rPr>
                        <w:rFonts w:hint="eastAsia" w:ascii="Cambria Math" w:hAnsi="Cambria Math" w:cs="宋体"/>
                        <w:sz w:val="24"/>
                        <w:szCs w:val="24"/>
                      </w:rPr>
                    </m:ctrlPr>
                  </m:sub>
                  <m:sup>
                    <m:r>
                      <m:rPr>
                        <m:sty m:val="p"/>
                      </m:rPr>
                      <w:rPr>
                        <w:rFonts w:hint="eastAsia" w:ascii="Cambria Math" w:hAnsi="Cambria Math" w:cs="宋体"/>
                        <w:sz w:val="24"/>
                        <w:szCs w:val="24"/>
                      </w:rPr>
                      <m:t>'</m:t>
                    </m:r>
                    <m:ctrlPr>
                      <w:rPr>
                        <w:rFonts w:hint="eastAsia" w:ascii="Cambria Math" w:hAnsi="Cambria Math" w:cs="宋体"/>
                        <w:sz w:val="24"/>
                        <w:szCs w:val="24"/>
                      </w:rPr>
                    </m:ctrlPr>
                  </m:sup>
                </m:sSubSup>
                <m:ctrlPr>
                  <w:rPr>
                    <w:rFonts w:hint="eastAsia" w:ascii="Cambria Math" w:hAnsi="Cambria Math" w:cs="宋体"/>
                    <w:sz w:val="24"/>
                    <w:szCs w:val="24"/>
                  </w:rPr>
                </m:ctrlPr>
              </m:num>
              <m:den>
                <m:sSubSup>
                  <m:sSubSupPr>
                    <m:ctrlPr>
                      <w:rPr>
                        <w:rFonts w:hint="eastAsia" w:ascii="Cambria Math" w:hAnsi="Cambria Math" w:cs="宋体"/>
                        <w:sz w:val="24"/>
                        <w:szCs w:val="24"/>
                      </w:rPr>
                    </m:ctrlPr>
                  </m:sSubSupPr>
                  <m:e>
                    <m:r>
                      <m:rPr>
                        <m:sty m:val="p"/>
                      </m:rPr>
                      <w:rPr>
                        <w:rFonts w:ascii="Cambria Math" w:hAnsi="Cambria Math" w:cs="宋体"/>
                        <w:sz w:val="24"/>
                        <w:szCs w:val="24"/>
                      </w:rPr>
                      <m:t>P</m:t>
                    </m:r>
                    <m:ctrlPr>
                      <w:rPr>
                        <w:rFonts w:hint="eastAsia" w:ascii="Cambria Math" w:hAnsi="Cambria Math" w:cs="宋体"/>
                        <w:sz w:val="24"/>
                        <w:szCs w:val="24"/>
                      </w:rPr>
                    </m:ctrlPr>
                  </m:e>
                  <m:sub>
                    <m:r>
                      <m:rPr>
                        <m:sty m:val="p"/>
                      </m:rPr>
                      <w:rPr>
                        <w:rFonts w:ascii="Cambria Math" w:hAnsi="Cambria Math" w:cs="宋体"/>
                        <w:sz w:val="24"/>
                        <w:szCs w:val="24"/>
                      </w:rPr>
                      <m:t>R</m:t>
                    </m:r>
                    <m:ctrlPr>
                      <w:rPr>
                        <w:rFonts w:hint="eastAsia" w:ascii="Cambria Math" w:hAnsi="Cambria Math" w:cs="宋体"/>
                        <w:sz w:val="24"/>
                        <w:szCs w:val="24"/>
                      </w:rPr>
                    </m:ctrlPr>
                  </m:sub>
                  <m:sup>
                    <m:r>
                      <m:rPr>
                        <m:sty m:val="p"/>
                      </m:rPr>
                      <w:rPr>
                        <w:rFonts w:hint="eastAsia" w:ascii="Cambria Math" w:hAnsi="Cambria Math" w:cs="宋体"/>
                        <w:sz w:val="24"/>
                        <w:szCs w:val="24"/>
                      </w:rPr>
                      <m:t>'</m:t>
                    </m:r>
                    <m:ctrlPr>
                      <w:rPr>
                        <w:rFonts w:hint="eastAsia" w:ascii="Cambria Math" w:hAnsi="Cambria Math" w:cs="宋体"/>
                        <w:sz w:val="24"/>
                        <w:szCs w:val="24"/>
                      </w:rPr>
                    </m:ctrlPr>
                  </m:sup>
                </m:sSubSup>
                <m:ctrlPr>
                  <w:rPr>
                    <w:rFonts w:hint="eastAsia" w:ascii="Cambria Math" w:hAnsi="Cambria Math" w:cs="宋体"/>
                    <w:sz w:val="24"/>
                    <w:szCs w:val="24"/>
                  </w:rPr>
                </m:ctrlPr>
              </m:den>
            </m:f>
            <m:ctrlPr>
              <w:rPr>
                <w:rFonts w:hint="eastAsia" w:ascii="Cambria Math" w:hAnsi="Cambria Math" w:cs="宋体"/>
                <w:sz w:val="24"/>
                <w:szCs w:val="24"/>
              </w:rPr>
            </m:ctrlPr>
          </m:e>
        </m:d>
        <m:r>
          <m:rPr>
            <m:sty m:val="p"/>
          </m:rPr>
          <w:rPr>
            <w:rFonts w:hint="eastAsia" w:ascii="Cambria Math" w:hAnsi="Cambria Math" w:cs="宋体"/>
            <w:sz w:val="24"/>
            <w:szCs w:val="24"/>
          </w:rPr>
          <m:t>×</m:t>
        </m:r>
        <m:r>
          <m:rPr>
            <m:sty m:val="p"/>
          </m:rPr>
          <w:rPr>
            <w:rFonts w:ascii="Cambria Math" w:hAnsi="Cambria Math" w:cs="宋体"/>
            <w:sz w:val="24"/>
            <w:szCs w:val="24"/>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ascii="Cambria Math" w:hAnsi="Cambria Math" w:cs="宋体"/>
          <w:sz w:val="24"/>
          <w:szCs w:val="24"/>
        </w:rPr>
        <w:t>(A.2.2)</w:t>
      </w:r>
    </w:p>
    <w:p w14:paraId="3C3A7E54">
      <w:pPr>
        <w:spacing w:line="360" w:lineRule="auto"/>
        <w:rPr>
          <w:rFonts w:ascii="宋体" w:hAnsi="宋体" w:cs="宋体"/>
          <w:sz w:val="24"/>
          <w:szCs w:val="24"/>
        </w:rPr>
      </w:pPr>
      <w:r>
        <w:rPr>
          <w:rFonts w:hint="eastAsia" w:ascii="宋体" w:hAnsi="宋体" w:cs="宋体"/>
          <w:sz w:val="24"/>
          <w:szCs w:val="24"/>
        </w:rPr>
        <w:t xml:space="preserve">式中： </w:t>
      </w:r>
      <m:oMath>
        <m:sSub>
          <m:sSubPr>
            <m:ctrlPr>
              <w:rPr>
                <w:rFonts w:hint="eastAsia" w:ascii="Cambria Math" w:hAnsi="Cambria Math" w:cs="宋体"/>
                <w:sz w:val="24"/>
                <w:szCs w:val="24"/>
              </w:rPr>
            </m:ctrlPr>
          </m:sSubPr>
          <m:e>
            <m:r>
              <m:rPr/>
              <w:rPr>
                <w:rFonts w:ascii="Cambria Math" w:hAnsi="Cambria Math" w:cs="宋体"/>
                <w:sz w:val="24"/>
                <w:szCs w:val="24"/>
              </w:rPr>
              <m:t>η</m:t>
            </m:r>
            <m:ctrlPr>
              <w:rPr>
                <w:rFonts w:hint="eastAsia" w:ascii="Cambria Math" w:hAnsi="Cambria Math" w:cs="宋体"/>
                <w:sz w:val="24"/>
                <w:szCs w:val="24"/>
              </w:rPr>
            </m:ctrlPr>
          </m:e>
          <m:sub>
            <m:r>
              <m:rPr/>
              <w:rPr>
                <w:rFonts w:ascii="Cambria Math" w:hAnsi="Cambria Math" w:cs="宋体"/>
                <w:sz w:val="24"/>
                <w:szCs w:val="24"/>
              </w:rPr>
              <m:t>t</m:t>
            </m:r>
            <m:ctrlPr>
              <w:rPr>
                <w:rFonts w:hint="eastAsia" w:ascii="Cambria Math" w:hAnsi="Cambria Math" w:cs="宋体"/>
                <w:sz w:val="24"/>
                <w:szCs w:val="24"/>
              </w:rPr>
            </m:ctrlPr>
          </m:sub>
        </m:sSub>
      </m:oMath>
      <w:r>
        <w:rPr>
          <w:rFonts w:hint="eastAsia" w:ascii="宋体" w:hAnsi="宋体" w:cs="宋体"/>
          <w:sz w:val="24"/>
          <w:szCs w:val="24"/>
        </w:rPr>
        <w:t>——改造减碳率</w:t>
      </w:r>
      <w:r>
        <w:rPr>
          <w:rFonts w:hint="default" w:ascii="Times New Roman" w:hAnsi="Times New Roman" w:cs="Times New Roman"/>
          <w:sz w:val="24"/>
          <w:szCs w:val="24"/>
        </w:rPr>
        <w:t>（%）</w:t>
      </w:r>
      <w:r>
        <w:rPr>
          <w:rFonts w:hint="eastAsia" w:ascii="宋体" w:hAnsi="宋体" w:cs="宋体"/>
          <w:sz w:val="24"/>
          <w:szCs w:val="24"/>
        </w:rPr>
        <w:t>；</w:t>
      </w:r>
    </w:p>
    <w:p w14:paraId="2B0D1E9B">
      <w:pPr>
        <w:spacing w:line="360" w:lineRule="auto"/>
        <w:ind w:firstLine="840" w:firstLineChars="350"/>
        <w:rPr>
          <w:rFonts w:ascii="宋体" w:hAnsi="宋体" w:cs="宋体"/>
          <w:sz w:val="24"/>
          <w:szCs w:val="24"/>
        </w:rPr>
      </w:pPr>
      <m:oMath>
        <m:sSubSup>
          <m:sSubSupPr>
            <m:ctrlPr>
              <w:rPr>
                <w:rFonts w:hint="eastAsia" w:ascii="Cambria Math" w:hAnsi="Cambria Math" w:cs="宋体"/>
                <w:sz w:val="24"/>
                <w:szCs w:val="24"/>
              </w:rPr>
            </m:ctrlPr>
          </m:sSubSupPr>
          <m:e>
            <m:r>
              <m:rPr/>
              <w:rPr>
                <w:rFonts w:ascii="Cambria Math" w:hAnsi="Cambria Math" w:cs="宋体"/>
                <w:sz w:val="24"/>
                <w:szCs w:val="24"/>
              </w:rPr>
              <m:t>P</m:t>
            </m:r>
            <m:ctrlPr>
              <w:rPr>
                <w:rFonts w:hint="eastAsia" w:ascii="Cambria Math" w:hAnsi="Cambria Math" w:cs="宋体"/>
                <w:sz w:val="24"/>
                <w:szCs w:val="24"/>
              </w:rPr>
            </m:ctrlPr>
          </m:e>
          <m:sub>
            <m:r>
              <m:rPr/>
              <w:rPr>
                <w:rFonts w:ascii="Cambria Math" w:hAnsi="Cambria Math" w:cs="宋体"/>
                <w:sz w:val="24"/>
                <w:szCs w:val="24"/>
              </w:rPr>
              <m:t>R</m:t>
            </m:r>
            <m:ctrlPr>
              <w:rPr>
                <w:rFonts w:hint="eastAsia" w:ascii="Cambria Math" w:hAnsi="Cambria Math" w:cs="宋体"/>
                <w:sz w:val="24"/>
                <w:szCs w:val="24"/>
              </w:rPr>
            </m:ctrlPr>
          </m:sub>
          <m:sup>
            <m:r>
              <m:rPr/>
              <w:rPr>
                <w:rFonts w:hint="eastAsia" w:ascii="Cambria Math" w:hAnsi="Cambria Math" w:cs="宋体"/>
                <w:sz w:val="24"/>
                <w:szCs w:val="24"/>
              </w:rPr>
              <m:t>'</m:t>
            </m:r>
            <m:ctrlPr>
              <w:rPr>
                <w:rFonts w:hint="eastAsia" w:ascii="Cambria Math" w:hAnsi="Cambria Math" w:cs="宋体"/>
                <w:sz w:val="24"/>
                <w:szCs w:val="24"/>
              </w:rPr>
            </m:ctrlPr>
          </m:sup>
        </m:sSubSup>
      </m:oMath>
      <w:r>
        <w:rPr>
          <w:rFonts w:hint="eastAsia" w:ascii="宋体" w:hAnsi="宋体" w:cs="宋体"/>
          <w:sz w:val="24"/>
          <w:szCs w:val="24"/>
        </w:rPr>
        <w:t>——基准建筑</w:t>
      </w:r>
      <w:r>
        <w:rPr>
          <w:rFonts w:hint="eastAsia" w:ascii="宋体" w:hAnsi="宋体" w:cs="宋体"/>
          <w:bCs/>
          <w:sz w:val="24"/>
          <w:szCs w:val="24"/>
        </w:rPr>
        <w:t>单位面积年均碳排放量</w:t>
      </w:r>
      <w:r>
        <w:rPr>
          <w:rFonts w:hint="default" w:ascii="Times New Roman" w:hAnsi="Times New Roman" w:cs="Times New Roman"/>
          <w:bCs/>
          <w:sz w:val="24"/>
          <w:szCs w:val="24"/>
        </w:rPr>
        <w:t>（</w:t>
      </w:r>
      <w:r>
        <w:rPr>
          <w:rFonts w:hint="default" w:ascii="Times New Roman" w:hAnsi="Times New Roman" w:cs="Times New Roman"/>
          <w:sz w:val="24"/>
          <w:szCs w:val="24"/>
        </w:rPr>
        <w:t>kgCO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w:t>
      </w:r>
      <w:r>
        <w:rPr>
          <w:rFonts w:hint="eastAsia" w:ascii="宋体" w:hAnsi="宋体" w:cs="宋体"/>
          <w:sz w:val="24"/>
          <w:szCs w:val="24"/>
        </w:rPr>
        <w:t>。</w:t>
      </w:r>
    </w:p>
    <w:p w14:paraId="315BDBBA"/>
    <w:p w14:paraId="26EF39CC">
      <w:pPr>
        <w:sectPr>
          <w:pgSz w:w="11906" w:h="16838"/>
          <w:pgMar w:top="1440" w:right="1800" w:bottom="1440" w:left="1800" w:header="851" w:footer="992" w:gutter="0"/>
          <w:cols w:space="425" w:num="1"/>
          <w:docGrid w:type="lines" w:linePitch="312" w:charSpace="0"/>
        </w:sectPr>
      </w:pPr>
    </w:p>
    <w:p w14:paraId="59A8C0E3">
      <w:pPr>
        <w:pStyle w:val="35"/>
        <w:spacing w:line="360" w:lineRule="auto"/>
        <w:ind w:firstLine="0" w:firstLineChars="0"/>
        <w:jc w:val="center"/>
        <w:outlineLvl w:val="9"/>
        <w:rPr>
          <w:rFonts w:hint="eastAsia" w:ascii="宋体" w:hAnsi="宋体"/>
          <w:b/>
          <w:sz w:val="28"/>
          <w:szCs w:val="28"/>
        </w:rPr>
      </w:pPr>
      <w:bookmarkStart w:id="225" w:name="_Toc160550429"/>
      <w:bookmarkStart w:id="226" w:name="_Toc20424"/>
      <w:bookmarkStart w:id="227" w:name="_Toc14332"/>
    </w:p>
    <w:p w14:paraId="4EBE10BD">
      <w:pPr>
        <w:pStyle w:val="35"/>
        <w:spacing w:line="360" w:lineRule="auto"/>
        <w:ind w:firstLine="0" w:firstLineChars="0"/>
        <w:jc w:val="center"/>
        <w:outlineLvl w:val="0"/>
        <w:rPr>
          <w:rFonts w:ascii="宋体" w:hAnsi="宋体"/>
          <w:b/>
          <w:sz w:val="28"/>
          <w:szCs w:val="28"/>
        </w:rPr>
      </w:pPr>
      <w:bookmarkStart w:id="228" w:name="_Toc8042"/>
      <w:bookmarkStart w:id="229" w:name="_Toc8616"/>
      <w:r>
        <w:rPr>
          <w:rFonts w:hint="eastAsia" w:ascii="宋体" w:hAnsi="宋体"/>
          <w:b/>
          <w:sz w:val="28"/>
          <w:szCs w:val="28"/>
        </w:rPr>
        <w:t>用词说明</w:t>
      </w:r>
      <w:bookmarkEnd w:id="225"/>
      <w:bookmarkEnd w:id="226"/>
      <w:bookmarkEnd w:id="227"/>
      <w:bookmarkEnd w:id="228"/>
      <w:bookmarkEnd w:id="229"/>
    </w:p>
    <w:p w14:paraId="01901DC9">
      <w:pPr>
        <w:pStyle w:val="35"/>
        <w:spacing w:line="360" w:lineRule="auto"/>
        <w:ind w:firstLine="480" w:firstLineChars="200"/>
        <w:rPr>
          <w:sz w:val="24"/>
          <w:szCs w:val="24"/>
        </w:rPr>
      </w:pPr>
      <w:r>
        <w:rPr>
          <w:rFonts w:hint="eastAsia"/>
          <w:sz w:val="24"/>
          <w:szCs w:val="24"/>
        </w:rPr>
        <w:t>为便于在执行本规程条款时区别对待，对要求严格程度不同的用词说明如下：</w:t>
      </w:r>
    </w:p>
    <w:p w14:paraId="194FE3B2">
      <w:pPr>
        <w:pStyle w:val="35"/>
        <w:numPr>
          <w:ilvl w:val="2"/>
          <w:numId w:val="2"/>
        </w:numPr>
        <w:spacing w:line="360" w:lineRule="auto"/>
        <w:ind w:left="0" w:firstLine="480" w:firstLineChars="200"/>
        <w:rPr>
          <w:sz w:val="24"/>
          <w:szCs w:val="24"/>
        </w:rPr>
      </w:pPr>
      <w:r>
        <w:rPr>
          <w:rFonts w:hint="eastAsia"/>
          <w:sz w:val="24"/>
          <w:szCs w:val="24"/>
        </w:rPr>
        <w:t>表示很严格，非这样做不可的：</w:t>
      </w:r>
    </w:p>
    <w:p w14:paraId="59B8EDCE">
      <w:pPr>
        <w:pStyle w:val="35"/>
        <w:spacing w:line="360" w:lineRule="auto"/>
        <w:ind w:left="0" w:leftChars="0" w:firstLine="480" w:firstLineChars="200"/>
        <w:rPr>
          <w:sz w:val="24"/>
          <w:szCs w:val="24"/>
        </w:rPr>
      </w:pPr>
      <w:r>
        <w:rPr>
          <w:rFonts w:hint="eastAsia"/>
          <w:sz w:val="24"/>
          <w:szCs w:val="24"/>
        </w:rPr>
        <w:t>正面词采用“必须”，反面词采用“严禁”；</w:t>
      </w:r>
    </w:p>
    <w:p w14:paraId="29A35A52">
      <w:pPr>
        <w:pStyle w:val="35"/>
        <w:numPr>
          <w:ilvl w:val="2"/>
          <w:numId w:val="2"/>
        </w:numPr>
        <w:spacing w:line="360" w:lineRule="auto"/>
        <w:ind w:left="0" w:firstLine="480" w:firstLineChars="200"/>
        <w:rPr>
          <w:sz w:val="24"/>
          <w:szCs w:val="24"/>
        </w:rPr>
      </w:pPr>
      <w:r>
        <w:rPr>
          <w:rFonts w:hint="eastAsia"/>
          <w:sz w:val="24"/>
          <w:szCs w:val="24"/>
        </w:rPr>
        <w:t>表示严格，在正常情况下均应这样做的：</w:t>
      </w:r>
    </w:p>
    <w:p w14:paraId="3A3BC989">
      <w:pPr>
        <w:pStyle w:val="35"/>
        <w:spacing w:line="360" w:lineRule="auto"/>
        <w:ind w:left="0" w:leftChars="0" w:firstLine="480" w:firstLineChars="200"/>
        <w:rPr>
          <w:sz w:val="24"/>
          <w:szCs w:val="24"/>
        </w:rPr>
      </w:pPr>
      <w:r>
        <w:rPr>
          <w:rFonts w:hint="eastAsia"/>
          <w:sz w:val="24"/>
          <w:szCs w:val="24"/>
        </w:rPr>
        <w:t>正面词采用“应”，反面词采用“不应”或“不得”；</w:t>
      </w:r>
    </w:p>
    <w:p w14:paraId="7F27B843">
      <w:pPr>
        <w:pStyle w:val="35"/>
        <w:numPr>
          <w:ilvl w:val="2"/>
          <w:numId w:val="2"/>
        </w:numPr>
        <w:spacing w:line="360" w:lineRule="auto"/>
        <w:ind w:left="0" w:firstLine="480" w:firstLineChars="200"/>
        <w:rPr>
          <w:sz w:val="24"/>
          <w:szCs w:val="24"/>
        </w:rPr>
      </w:pPr>
      <w:r>
        <w:rPr>
          <w:rFonts w:hint="eastAsia"/>
          <w:sz w:val="24"/>
          <w:szCs w:val="24"/>
        </w:rPr>
        <w:t>表示允许稍有选择，在条件许可时首先应这样做的：</w:t>
      </w:r>
    </w:p>
    <w:p w14:paraId="75100916">
      <w:pPr>
        <w:pStyle w:val="35"/>
        <w:spacing w:line="360" w:lineRule="auto"/>
        <w:ind w:left="0" w:leftChars="0" w:firstLine="480" w:firstLineChars="200"/>
        <w:rPr>
          <w:sz w:val="24"/>
          <w:szCs w:val="24"/>
        </w:rPr>
      </w:pPr>
      <w:r>
        <w:rPr>
          <w:rFonts w:hint="eastAsia"/>
          <w:sz w:val="24"/>
          <w:szCs w:val="24"/>
        </w:rPr>
        <w:t>正面词采用“宜”，反面词采用“不宜”；</w:t>
      </w:r>
    </w:p>
    <w:p w14:paraId="6E3194CF">
      <w:pPr>
        <w:pStyle w:val="35"/>
        <w:numPr>
          <w:ilvl w:val="2"/>
          <w:numId w:val="2"/>
        </w:numPr>
        <w:spacing w:line="360" w:lineRule="auto"/>
        <w:ind w:left="0" w:firstLine="480" w:firstLineChars="200"/>
        <w:rPr>
          <w:sz w:val="24"/>
          <w:szCs w:val="24"/>
        </w:rPr>
      </w:pPr>
      <w:r>
        <w:rPr>
          <w:rFonts w:hint="eastAsia"/>
          <w:sz w:val="24"/>
          <w:szCs w:val="24"/>
        </w:rPr>
        <w:t>表示有选择，在一定条件下可以这样做的，采用“可”。</w:t>
      </w:r>
    </w:p>
    <w:p w14:paraId="2B8D929B">
      <w:pPr>
        <w:spacing w:line="360" w:lineRule="auto"/>
        <w:sectPr>
          <w:pgSz w:w="11906" w:h="16838"/>
          <w:pgMar w:top="1440" w:right="1800" w:bottom="1440" w:left="1800" w:header="851" w:footer="992" w:gutter="0"/>
          <w:cols w:space="425" w:num="1"/>
          <w:docGrid w:type="lines" w:linePitch="312" w:charSpace="0"/>
        </w:sectPr>
      </w:pPr>
    </w:p>
    <w:p w14:paraId="43B95E25">
      <w:pPr>
        <w:pStyle w:val="35"/>
        <w:ind w:firstLine="0" w:firstLineChars="0"/>
        <w:jc w:val="center"/>
        <w:outlineLvl w:val="9"/>
        <w:rPr>
          <w:rFonts w:hint="eastAsia" w:ascii="宋体" w:hAnsi="宋体"/>
          <w:b/>
          <w:sz w:val="28"/>
          <w:szCs w:val="28"/>
        </w:rPr>
      </w:pPr>
      <w:bookmarkStart w:id="230" w:name="_Toc19684"/>
      <w:bookmarkStart w:id="231" w:name="_Toc160550430"/>
      <w:bookmarkStart w:id="232" w:name="_Toc28717"/>
    </w:p>
    <w:p w14:paraId="67821FC1">
      <w:pPr>
        <w:pStyle w:val="35"/>
        <w:ind w:firstLine="0" w:firstLineChars="0"/>
        <w:jc w:val="center"/>
        <w:outlineLvl w:val="0"/>
        <w:rPr>
          <w:rFonts w:ascii="宋体" w:hAnsi="宋体"/>
          <w:b/>
          <w:sz w:val="28"/>
          <w:szCs w:val="28"/>
        </w:rPr>
      </w:pPr>
      <w:bookmarkStart w:id="233" w:name="_Toc8742"/>
      <w:bookmarkStart w:id="234" w:name="_Toc25810"/>
      <w:r>
        <w:rPr>
          <w:rFonts w:hint="eastAsia" w:ascii="宋体" w:hAnsi="宋体"/>
          <w:b/>
          <w:sz w:val="28"/>
          <w:szCs w:val="28"/>
        </w:rPr>
        <w:t>引用标准名录</w:t>
      </w:r>
      <w:bookmarkEnd w:id="230"/>
      <w:bookmarkEnd w:id="231"/>
      <w:bookmarkEnd w:id="232"/>
      <w:bookmarkEnd w:id="233"/>
      <w:bookmarkEnd w:id="234"/>
    </w:p>
    <w:p w14:paraId="56694A2E">
      <w:pPr>
        <w:spacing w:line="360" w:lineRule="auto"/>
        <w:ind w:firstLine="480" w:firstLineChars="200"/>
        <w:rPr>
          <w:sz w:val="24"/>
          <w:szCs w:val="24"/>
        </w:rPr>
      </w:pPr>
      <w:r>
        <w:rPr>
          <w:rFonts w:hint="eastAsia"/>
          <w:sz w:val="24"/>
          <w:szCs w:val="24"/>
        </w:rPr>
        <w:t>本</w:t>
      </w:r>
      <w:r>
        <w:rPr>
          <w:rFonts w:hint="eastAsia"/>
          <w:sz w:val="24"/>
          <w:szCs w:val="24"/>
          <w:lang w:val="en-US" w:eastAsia="zh-CN"/>
        </w:rPr>
        <w:t>标准</w:t>
      </w:r>
      <w:r>
        <w:rPr>
          <w:rFonts w:hint="eastAsia"/>
          <w:sz w:val="24"/>
          <w:szCs w:val="24"/>
        </w:rPr>
        <w:t>引用下列标准。其中，注日期的，仅对该日期对应的版本适用本</w:t>
      </w:r>
      <w:r>
        <w:rPr>
          <w:rFonts w:hint="eastAsia"/>
          <w:sz w:val="24"/>
          <w:szCs w:val="24"/>
          <w:lang w:val="en-US" w:eastAsia="zh-CN"/>
        </w:rPr>
        <w:t>标准</w:t>
      </w:r>
      <w:r>
        <w:rPr>
          <w:rFonts w:hint="eastAsia"/>
          <w:sz w:val="24"/>
          <w:szCs w:val="24"/>
        </w:rPr>
        <w:t>；不注日期的，其最新版适用于本</w:t>
      </w:r>
      <w:r>
        <w:rPr>
          <w:rFonts w:hint="eastAsia"/>
          <w:sz w:val="24"/>
          <w:szCs w:val="24"/>
          <w:lang w:val="en-US" w:eastAsia="zh-CN"/>
        </w:rPr>
        <w:t>标准</w:t>
      </w:r>
      <w:r>
        <w:rPr>
          <w:rFonts w:hint="eastAsia"/>
          <w:sz w:val="24"/>
          <w:szCs w:val="24"/>
        </w:rPr>
        <w:t>。</w:t>
      </w:r>
    </w:p>
    <w:p w14:paraId="54859F05">
      <w:pPr>
        <w:spacing w:line="360" w:lineRule="auto"/>
        <w:ind w:firstLine="480" w:firstLineChars="200"/>
        <w:rPr>
          <w:rFonts w:hint="eastAsia" w:ascii="宋体"/>
          <w:sz w:val="24"/>
        </w:rPr>
      </w:pPr>
      <w:r>
        <w:rPr>
          <w:rFonts w:hint="eastAsia" w:ascii="宋体"/>
          <w:sz w:val="24"/>
        </w:rPr>
        <w:t>《中小型三相异步电动机能效限定值及能效等级》</w:t>
      </w:r>
      <w:r>
        <w:rPr>
          <w:rFonts w:hint="default" w:ascii="Times New Roman"/>
          <w:sz w:val="24"/>
        </w:rPr>
        <w:t>GB</w:t>
      </w:r>
      <w:r>
        <w:rPr>
          <w:rFonts w:hint="default" w:ascii="Times New Roman"/>
          <w:sz w:val="24"/>
          <w:lang w:val="en-US" w:eastAsia="zh-CN"/>
        </w:rPr>
        <w:t xml:space="preserve"> </w:t>
      </w:r>
      <w:r>
        <w:rPr>
          <w:rFonts w:hint="default" w:ascii="Times New Roman"/>
          <w:sz w:val="24"/>
        </w:rPr>
        <w:t>18613</w:t>
      </w:r>
    </w:p>
    <w:p w14:paraId="3F5488C9">
      <w:pPr>
        <w:spacing w:line="360" w:lineRule="auto"/>
        <w:ind w:firstLine="480" w:firstLineChars="200"/>
        <w:rPr>
          <w:rFonts w:hint="eastAsia" w:ascii="宋体"/>
          <w:sz w:val="24"/>
        </w:rPr>
      </w:pPr>
      <w:r>
        <w:rPr>
          <w:rFonts w:hint="eastAsia" w:ascii="宋体"/>
          <w:sz w:val="24"/>
        </w:rPr>
        <w:t>《三相配电变压器能效限定值及能效等级》</w:t>
      </w:r>
      <w:r>
        <w:rPr>
          <w:rFonts w:hint="default" w:ascii="Times New Roman"/>
          <w:sz w:val="24"/>
        </w:rPr>
        <w:t>GB 20052</w:t>
      </w:r>
    </w:p>
    <w:p w14:paraId="03B9D512">
      <w:pPr>
        <w:spacing w:line="360" w:lineRule="auto"/>
        <w:ind w:firstLine="480" w:firstLineChars="200"/>
        <w:rPr>
          <w:rFonts w:hint="eastAsia" w:ascii="宋体"/>
          <w:sz w:val="24"/>
        </w:rPr>
      </w:pPr>
      <w:r>
        <w:rPr>
          <w:rFonts w:hint="eastAsia" w:ascii="宋体"/>
          <w:sz w:val="24"/>
        </w:rPr>
        <w:t>《水（地）源热泵机组能效限定值及能效等级》</w:t>
      </w:r>
      <w:r>
        <w:rPr>
          <w:rFonts w:hint="default" w:ascii="Times New Roman"/>
          <w:sz w:val="24"/>
        </w:rPr>
        <w:t>GB</w:t>
      </w:r>
      <w:r>
        <w:rPr>
          <w:rFonts w:hint="default" w:ascii="Times New Roman"/>
          <w:sz w:val="24"/>
          <w:lang w:val="en-US" w:eastAsia="zh-CN"/>
        </w:rPr>
        <w:t xml:space="preserve"> </w:t>
      </w:r>
      <w:r>
        <w:rPr>
          <w:rFonts w:hint="default" w:ascii="Times New Roman"/>
          <w:sz w:val="24"/>
        </w:rPr>
        <w:t>30721</w:t>
      </w:r>
    </w:p>
    <w:p w14:paraId="5E4971FC">
      <w:pPr>
        <w:spacing w:line="360" w:lineRule="auto"/>
        <w:ind w:firstLine="480" w:firstLineChars="200"/>
        <w:rPr>
          <w:rFonts w:hint="eastAsia" w:ascii="宋体"/>
          <w:sz w:val="24"/>
        </w:rPr>
      </w:pPr>
      <w:r>
        <w:rPr>
          <w:rFonts w:hint="eastAsia" w:ascii="宋体"/>
          <w:sz w:val="24"/>
        </w:rPr>
        <w:t>《建筑照明设计标准》</w:t>
      </w:r>
      <w:r>
        <w:rPr>
          <w:rFonts w:hint="default" w:ascii="Times New Roman"/>
          <w:sz w:val="24"/>
        </w:rPr>
        <w:t>GB/T 50034</w:t>
      </w:r>
    </w:p>
    <w:p w14:paraId="2D549021">
      <w:pPr>
        <w:spacing w:line="360" w:lineRule="auto"/>
        <w:ind w:firstLine="480" w:firstLineChars="200"/>
        <w:rPr>
          <w:rFonts w:hint="eastAsia" w:ascii="宋体"/>
          <w:sz w:val="24"/>
        </w:rPr>
      </w:pPr>
      <w:r>
        <w:rPr>
          <w:rFonts w:hint="eastAsia" w:ascii="宋体"/>
          <w:sz w:val="24"/>
        </w:rPr>
        <w:t>《公共建筑节能设计标准》</w:t>
      </w:r>
      <w:r>
        <w:rPr>
          <w:rFonts w:hint="default" w:ascii="Times New Roman"/>
          <w:sz w:val="24"/>
        </w:rPr>
        <w:t>GB 50189</w:t>
      </w:r>
    </w:p>
    <w:p w14:paraId="77B4E2F7">
      <w:pPr>
        <w:spacing w:line="360" w:lineRule="auto"/>
        <w:ind w:firstLine="480" w:firstLineChars="200"/>
        <w:rPr>
          <w:rFonts w:hint="eastAsia" w:ascii="宋体"/>
          <w:sz w:val="24"/>
        </w:rPr>
      </w:pPr>
      <w:r>
        <w:rPr>
          <w:rFonts w:hint="eastAsia" w:ascii="宋体"/>
          <w:sz w:val="24"/>
        </w:rPr>
        <w:t>《智能建筑设计标准》</w:t>
      </w:r>
      <w:r>
        <w:rPr>
          <w:rFonts w:hint="default" w:ascii="Times New Roman"/>
          <w:sz w:val="24"/>
        </w:rPr>
        <w:t>GB 50314</w:t>
      </w:r>
    </w:p>
    <w:p w14:paraId="1FB93073">
      <w:pPr>
        <w:spacing w:line="360" w:lineRule="auto"/>
        <w:ind w:firstLine="480" w:firstLineChars="200"/>
        <w:rPr>
          <w:rFonts w:hint="eastAsia" w:ascii="宋体"/>
          <w:sz w:val="24"/>
        </w:rPr>
      </w:pPr>
      <w:r>
        <w:rPr>
          <w:rFonts w:hint="eastAsia" w:ascii="宋体"/>
          <w:sz w:val="24"/>
        </w:rPr>
        <w:t>《民用建筑供暖通风与空气调节设计规范》</w:t>
      </w:r>
      <w:r>
        <w:rPr>
          <w:rFonts w:hint="default" w:ascii="Times New Roman"/>
          <w:sz w:val="24"/>
        </w:rPr>
        <w:t>GB</w:t>
      </w:r>
      <w:r>
        <w:rPr>
          <w:rFonts w:hint="default" w:ascii="Times New Roman"/>
          <w:sz w:val="24"/>
          <w:lang w:val="en-US" w:eastAsia="zh-CN"/>
        </w:rPr>
        <w:t xml:space="preserve"> </w:t>
      </w:r>
      <w:r>
        <w:rPr>
          <w:rFonts w:hint="default" w:ascii="Times New Roman"/>
          <w:sz w:val="24"/>
        </w:rPr>
        <w:t>50736</w:t>
      </w:r>
    </w:p>
    <w:p w14:paraId="4449AB4F">
      <w:pPr>
        <w:spacing w:line="360" w:lineRule="auto"/>
        <w:ind w:firstLine="480" w:firstLineChars="200"/>
        <w:rPr>
          <w:rFonts w:hint="eastAsia" w:ascii="宋体"/>
          <w:sz w:val="24"/>
        </w:rPr>
      </w:pPr>
      <w:r>
        <w:rPr>
          <w:rFonts w:hint="eastAsia" w:ascii="宋体"/>
          <w:sz w:val="24"/>
        </w:rPr>
        <w:fldChar w:fldCharType="begin"/>
      </w:r>
      <w:r>
        <w:rPr>
          <w:rFonts w:hint="eastAsia" w:ascii="宋体"/>
          <w:sz w:val="24"/>
        </w:rPr>
        <w:instrText xml:space="preserve"> HYPERLINK "https://www.waizi.org.cn/bz/130895.html" \l ":~:text=%E3%80%8A%E4%BD%8F%E6%88%BF%E5%92%8C%E5%9F%8E%E4%B9%A1%E5%BB%BA%E8%AE%BE%E9%83%A8%E5%85%B3%E4%BA%8E%E5%8F%91%E5%B8%83%E5%9B%BD%E5%AE%B6%E6%A0%87%E5%87%86%E3%80%88%E6%B0%91%E7%94%A8%E5%BB%BA%E7%AD%91%E7%94%B5%E6%B0%94%E8%AE%BE%E8%AE%A1%E6%A0%87%E5%87%86%E3%80%89%E7%9A%84%E5%85%AC%E5%91%8A%E3%80%8B %E4%BD%8F%E6%88%BF%E5%92%8C%E5%9F%8E%E4%B9%A1%E5%BB%BA%E8%AE%BE%E9%83%A8%E5%85%AC%E5%91%8A2019%E5%B9%B4%E7%AC%AC314%E5%8F%B7,%E7%8E%B0%E6%89%B9%E5%87%86%E3%80%8A%E6%B0%91%E7%94%A8%E5%BB%BA%E7%AD%91%E7%94%B5%E6%B0%94%E8%AE%BE%E8%AE%A1%E6%A0%87%E5%87%86%E3%80%8B%E4%B8%BA%E5%9B%BD%E5%AE%B6%E6%A0%87%E5%87%86%EF%BC%8C%E7%BC%96%E5%8F%B7%E4%B8%BAGB51348-2019%EF%BC%8C%E8%87%AA2020%E5%B9%B48%E6%9C%881%E6%97%A5%E8%B5%B7%E5%AE%9E%E6%96%BD%E3%80%82 %E5%85%B6%E4%B8%AD%EF%BC%8C%E7%AC%AC3.2.1%E3%80%813.2.8%E3%80%813.3.4%E3%80%814.3.5%E3%80%814.7.3%E3%80%814.10.1%E3%80%817.2.4%E3%80%817.4.6%E3%80%817.5.2%E3%80%817.6.3%E3%80%818.1.6%E3%80%819.4.5%E3%80%8111.2.3%E3%80%8111.2.4%E3%80%8111.8.8%E3%80%8112.4.10%E3%80%8112.4.14%E3%80%8112.5.8%E3%80%8113.4.6%E3%80%8113.7.6%E3%80%8114.4.3%E3%80%8114.9.4%E6%9D%A1%E4%B8%BA%E5%BC%BA%E5%88%B6%E6%80%A7%E6%9D%A1%E6%96%87%EF%BC%8C%E5%BF%85%E9%A1%BB%E4%B8%A5%E6%A0%BC%E6%89%A7%E8%A1%8C%E3%80%82" \t "https://cn.bing.com/_blank" </w:instrText>
      </w:r>
      <w:r>
        <w:rPr>
          <w:rFonts w:hint="eastAsia" w:ascii="宋体"/>
          <w:sz w:val="24"/>
        </w:rPr>
        <w:fldChar w:fldCharType="separate"/>
      </w:r>
      <w:r>
        <w:rPr>
          <w:rFonts w:hint="eastAsia" w:ascii="宋体"/>
          <w:sz w:val="24"/>
        </w:rPr>
        <w:t>《民用建筑电气设计标准》</w:t>
      </w:r>
      <w:r>
        <w:rPr>
          <w:rFonts w:hint="default" w:ascii="Times New Roman"/>
          <w:sz w:val="24"/>
        </w:rPr>
        <w:t>GB</w:t>
      </w:r>
      <w:r>
        <w:rPr>
          <w:rFonts w:hint="default" w:ascii="Times New Roman"/>
          <w:sz w:val="24"/>
          <w:lang w:val="en-US" w:eastAsia="zh-CN"/>
        </w:rPr>
        <w:t xml:space="preserve"> </w:t>
      </w:r>
      <w:r>
        <w:rPr>
          <w:rFonts w:hint="default" w:ascii="Times New Roman"/>
          <w:sz w:val="24"/>
        </w:rPr>
        <w:t>51348</w:t>
      </w:r>
      <w:r>
        <w:rPr>
          <w:rFonts w:hint="eastAsia" w:ascii="宋体"/>
          <w:sz w:val="24"/>
        </w:rPr>
        <w:fldChar w:fldCharType="end"/>
      </w:r>
    </w:p>
    <w:p w14:paraId="50588FCA">
      <w:pPr>
        <w:spacing w:line="360" w:lineRule="auto"/>
        <w:ind w:firstLine="480" w:firstLineChars="200"/>
        <w:rPr>
          <w:rFonts w:hint="eastAsia" w:ascii="宋体"/>
          <w:sz w:val="24"/>
        </w:rPr>
      </w:pPr>
      <w:r>
        <w:rPr>
          <w:rFonts w:hint="eastAsia" w:ascii="宋体"/>
          <w:sz w:val="24"/>
        </w:rPr>
        <w:t>《建筑节能与可再生能源利用通用规范》</w:t>
      </w:r>
      <w:r>
        <w:rPr>
          <w:rFonts w:hint="default" w:ascii="Times New Roman"/>
          <w:sz w:val="24"/>
        </w:rPr>
        <w:t>GB</w:t>
      </w:r>
      <w:r>
        <w:rPr>
          <w:rFonts w:hint="default" w:ascii="Times New Roman"/>
          <w:sz w:val="24"/>
          <w:lang w:val="en-US" w:eastAsia="zh-CN"/>
        </w:rPr>
        <w:t xml:space="preserve"> </w:t>
      </w:r>
      <w:r>
        <w:rPr>
          <w:rFonts w:hint="default" w:ascii="Times New Roman"/>
          <w:sz w:val="24"/>
        </w:rPr>
        <w:t>55015</w:t>
      </w:r>
    </w:p>
    <w:p w14:paraId="010CBC84">
      <w:pPr>
        <w:spacing w:line="360" w:lineRule="auto"/>
        <w:ind w:firstLine="480" w:firstLineChars="200"/>
        <w:rPr>
          <w:rFonts w:hint="eastAsia" w:ascii="宋体"/>
          <w:sz w:val="24"/>
          <w:szCs w:val="21"/>
        </w:rPr>
      </w:pPr>
      <w:r>
        <w:rPr>
          <w:rFonts w:hint="eastAsia" w:ascii="宋体"/>
          <w:sz w:val="24"/>
          <w:szCs w:val="21"/>
        </w:rPr>
        <w:t>《塑料门窗工程技术规程》</w:t>
      </w:r>
      <w:r>
        <w:rPr>
          <w:rFonts w:hint="default" w:ascii="Times New Roman"/>
          <w:sz w:val="24"/>
          <w:szCs w:val="21"/>
        </w:rPr>
        <w:t>JGJ 103</w:t>
      </w:r>
    </w:p>
    <w:p w14:paraId="7F3C0FC1">
      <w:pPr>
        <w:spacing w:line="360" w:lineRule="auto"/>
        <w:ind w:firstLine="480" w:firstLineChars="200"/>
        <w:rPr>
          <w:rFonts w:hint="eastAsia" w:ascii="宋体"/>
          <w:sz w:val="24"/>
          <w:szCs w:val="21"/>
        </w:rPr>
      </w:pPr>
      <w:r>
        <w:rPr>
          <w:rFonts w:hint="eastAsia" w:ascii="宋体"/>
          <w:sz w:val="24"/>
          <w:szCs w:val="21"/>
        </w:rPr>
        <w:t>《公共建筑节能改造技术规范》</w:t>
      </w:r>
      <w:r>
        <w:rPr>
          <w:rFonts w:hint="default" w:ascii="Times New Roman"/>
          <w:sz w:val="24"/>
          <w:szCs w:val="21"/>
        </w:rPr>
        <w:t>JGJ 176</w:t>
      </w:r>
    </w:p>
    <w:p w14:paraId="1E9F7880">
      <w:pPr>
        <w:spacing w:line="360" w:lineRule="auto"/>
        <w:ind w:firstLine="480" w:firstLineChars="200"/>
        <w:rPr>
          <w:rFonts w:hint="eastAsia" w:ascii="宋体"/>
          <w:sz w:val="24"/>
          <w:szCs w:val="21"/>
        </w:rPr>
      </w:pPr>
      <w:r>
        <w:rPr>
          <w:rFonts w:hint="eastAsia" w:ascii="宋体"/>
          <w:sz w:val="24"/>
          <w:szCs w:val="21"/>
        </w:rPr>
        <w:t>《铝合金门窗工程技术规范》</w:t>
      </w:r>
      <w:r>
        <w:rPr>
          <w:rFonts w:hint="default" w:ascii="Times New Roman"/>
          <w:sz w:val="24"/>
          <w:szCs w:val="21"/>
        </w:rPr>
        <w:t>JGJ 214</w:t>
      </w:r>
    </w:p>
    <w:p w14:paraId="64677AAC">
      <w:pPr>
        <w:spacing w:line="360" w:lineRule="auto"/>
        <w:ind w:firstLine="480" w:firstLineChars="200"/>
        <w:rPr>
          <w:rFonts w:hint="eastAsia" w:ascii="宋体"/>
          <w:sz w:val="24"/>
        </w:rPr>
      </w:pPr>
      <w:r>
        <w:rPr>
          <w:rFonts w:hint="eastAsia" w:ascii="宋体"/>
          <w:sz w:val="24"/>
        </w:rPr>
        <w:t>《民用建筑绿色性能计算标准》</w:t>
      </w:r>
      <w:r>
        <w:rPr>
          <w:rFonts w:hint="default" w:ascii="Times New Roman"/>
          <w:sz w:val="24"/>
        </w:rPr>
        <w:t>JGJ/T 449</w:t>
      </w:r>
    </w:p>
    <w:p w14:paraId="379C3486">
      <w:pPr>
        <w:spacing w:line="360" w:lineRule="auto"/>
        <w:ind w:firstLine="480" w:firstLineChars="200"/>
        <w:rPr>
          <w:rFonts w:hint="eastAsia" w:ascii="宋体"/>
          <w:sz w:val="24"/>
        </w:rPr>
        <w:sectPr>
          <w:pgSz w:w="11906" w:h="16838"/>
          <w:pgMar w:top="1440" w:right="1800" w:bottom="1440" w:left="1800" w:header="851" w:footer="992" w:gutter="0"/>
          <w:cols w:space="425" w:num="1"/>
          <w:docGrid w:type="lines" w:linePitch="312" w:charSpace="0"/>
        </w:sectPr>
      </w:pPr>
    </w:p>
    <w:p w14:paraId="4F41A16D">
      <w:pPr>
        <w:widowControl/>
        <w:rPr>
          <w:sz w:val="24"/>
          <w:szCs w:val="24"/>
        </w:rPr>
      </w:pPr>
    </w:p>
    <w:p w14:paraId="10CC1A98">
      <w:pPr>
        <w:spacing w:line="600" w:lineRule="exact"/>
        <w:jc w:val="center"/>
        <w:rPr>
          <w:rFonts w:ascii="宋体"/>
          <w:sz w:val="36"/>
          <w:szCs w:val="36"/>
        </w:rPr>
      </w:pPr>
    </w:p>
    <w:p w14:paraId="2AF96976">
      <w:pPr>
        <w:spacing w:line="600" w:lineRule="exact"/>
        <w:jc w:val="center"/>
        <w:rPr>
          <w:rFonts w:ascii="宋体"/>
          <w:sz w:val="36"/>
          <w:szCs w:val="36"/>
        </w:rPr>
      </w:pPr>
    </w:p>
    <w:p w14:paraId="782BDD5A">
      <w:pPr>
        <w:spacing w:line="600" w:lineRule="exact"/>
        <w:jc w:val="center"/>
        <w:rPr>
          <w:rFonts w:ascii="宋体"/>
          <w:sz w:val="36"/>
          <w:szCs w:val="36"/>
        </w:rPr>
      </w:pPr>
      <w:r>
        <w:rPr>
          <w:rFonts w:hint="eastAsia" w:ascii="宋体"/>
          <w:sz w:val="36"/>
          <w:szCs w:val="36"/>
        </w:rPr>
        <w:t>中国工程建设标准化协会标准</w:t>
      </w:r>
    </w:p>
    <w:p w14:paraId="32D9A2D1">
      <w:pPr>
        <w:spacing w:after="156" w:afterLines="50" w:line="600" w:lineRule="exact"/>
        <w:jc w:val="center"/>
        <w:rPr>
          <w:rFonts w:ascii="仿宋_GB2312" w:eastAsia="仿宋_GB2312"/>
          <w:sz w:val="24"/>
        </w:rPr>
      </w:pPr>
    </w:p>
    <w:p w14:paraId="3D28A606">
      <w:pPr>
        <w:spacing w:line="600" w:lineRule="exact"/>
        <w:jc w:val="center"/>
        <w:rPr>
          <w:rFonts w:hint="eastAsia" w:ascii="宋体"/>
          <w:sz w:val="36"/>
          <w:szCs w:val="36"/>
        </w:rPr>
      </w:pPr>
      <w:r>
        <w:rPr>
          <w:rFonts w:hint="eastAsia" w:ascii="宋体"/>
          <w:sz w:val="36"/>
          <w:szCs w:val="36"/>
        </w:rPr>
        <w:t>既有工业建筑民用化低碳改造评价标准</w:t>
      </w:r>
    </w:p>
    <w:p w14:paraId="10B55FA4">
      <w:pPr>
        <w:spacing w:line="600" w:lineRule="exact"/>
        <w:jc w:val="center"/>
        <w:rPr>
          <w:rFonts w:hint="eastAsia" w:ascii="宋体"/>
          <w:sz w:val="36"/>
          <w:szCs w:val="36"/>
        </w:rPr>
      </w:pPr>
    </w:p>
    <w:p w14:paraId="73747751">
      <w:pPr>
        <w:spacing w:line="600" w:lineRule="exact"/>
        <w:jc w:val="center"/>
        <w:rPr>
          <w:rFonts w:hint="eastAsia" w:ascii="宋体"/>
          <w:sz w:val="36"/>
          <w:szCs w:val="36"/>
        </w:rPr>
      </w:pPr>
    </w:p>
    <w:p w14:paraId="29163754">
      <w:pPr>
        <w:spacing w:line="380" w:lineRule="atLeast"/>
        <w:ind w:left="1" w:firstLine="260"/>
        <w:jc w:val="center"/>
        <w:rPr>
          <w:rFonts w:hint="eastAsia"/>
          <w:sz w:val="30"/>
          <w:szCs w:val="30"/>
        </w:rPr>
      </w:pPr>
      <w:r>
        <w:rPr>
          <w:rFonts w:hint="eastAsia"/>
          <w:sz w:val="30"/>
          <w:szCs w:val="30"/>
        </w:rPr>
        <w:t>T/CECS 1×××-2</w:t>
      </w:r>
      <w:r>
        <w:rPr>
          <w:sz w:val="30"/>
          <w:szCs w:val="30"/>
        </w:rPr>
        <w:t>02</w:t>
      </w:r>
      <w:r>
        <w:rPr>
          <w:rFonts w:hint="eastAsia"/>
          <w:sz w:val="30"/>
          <w:szCs w:val="30"/>
        </w:rPr>
        <w:t>×</w:t>
      </w:r>
    </w:p>
    <w:p w14:paraId="239F9BB2">
      <w:pPr>
        <w:spacing w:line="380" w:lineRule="atLeast"/>
        <w:ind w:left="1" w:firstLine="260"/>
        <w:jc w:val="center"/>
        <w:rPr>
          <w:rFonts w:hint="eastAsia"/>
          <w:sz w:val="30"/>
          <w:szCs w:val="30"/>
        </w:rPr>
      </w:pPr>
    </w:p>
    <w:p w14:paraId="202B2A18">
      <w:pPr>
        <w:spacing w:line="380" w:lineRule="atLeast"/>
        <w:ind w:firstLine="238"/>
        <w:jc w:val="center"/>
        <w:outlineLvl w:val="0"/>
        <w:rPr>
          <w:rFonts w:ascii="宋体"/>
          <w:sz w:val="32"/>
          <w:szCs w:val="32"/>
        </w:rPr>
      </w:pPr>
      <w:bookmarkStart w:id="235" w:name="_Toc123206088"/>
      <w:bookmarkStart w:id="236" w:name="_Toc27583"/>
      <w:bookmarkStart w:id="237" w:name="_Toc5661"/>
      <w:bookmarkStart w:id="238" w:name="_Toc160550431"/>
      <w:bookmarkStart w:id="239" w:name="_Toc28236"/>
      <w:bookmarkStart w:id="240" w:name="_Toc4129"/>
      <w:bookmarkStart w:id="241" w:name="_Toc123206319"/>
      <w:r>
        <w:rPr>
          <w:rFonts w:hint="eastAsia" w:ascii="宋体"/>
          <w:sz w:val="32"/>
          <w:szCs w:val="32"/>
        </w:rPr>
        <w:t>条文说明</w:t>
      </w:r>
      <w:bookmarkEnd w:id="235"/>
      <w:bookmarkEnd w:id="236"/>
      <w:bookmarkEnd w:id="237"/>
      <w:bookmarkEnd w:id="238"/>
      <w:bookmarkEnd w:id="239"/>
      <w:bookmarkEnd w:id="240"/>
      <w:bookmarkEnd w:id="241"/>
    </w:p>
    <w:p w14:paraId="6CBEAAB4">
      <w:pPr>
        <w:spacing w:line="380" w:lineRule="atLeast"/>
        <w:ind w:firstLine="240"/>
        <w:jc w:val="center"/>
        <w:rPr>
          <w:rFonts w:ascii="宋体"/>
          <w:sz w:val="32"/>
          <w:szCs w:val="32"/>
        </w:rPr>
      </w:pPr>
    </w:p>
    <w:p w14:paraId="5D2BDFE5">
      <w:pPr>
        <w:spacing w:line="380" w:lineRule="atLeast"/>
        <w:ind w:firstLine="240"/>
        <w:jc w:val="center"/>
        <w:rPr>
          <w:rFonts w:ascii="宋体"/>
          <w:sz w:val="32"/>
          <w:szCs w:val="32"/>
        </w:rPr>
      </w:pPr>
    </w:p>
    <w:p w14:paraId="41D4003B">
      <w:pPr>
        <w:spacing w:line="360" w:lineRule="auto"/>
        <w:ind w:firstLine="480" w:firstLineChars="200"/>
        <w:rPr>
          <w:rFonts w:hint="eastAsia" w:ascii="宋体"/>
          <w:sz w:val="24"/>
        </w:rPr>
        <w:sectPr>
          <w:pgSz w:w="11906" w:h="16838"/>
          <w:pgMar w:top="1440" w:right="1800" w:bottom="1440" w:left="1800" w:header="851" w:footer="992" w:gutter="0"/>
          <w:cols w:space="425" w:num="1"/>
          <w:docGrid w:type="lines" w:linePitch="312" w:charSpace="0"/>
        </w:sectPr>
      </w:pPr>
    </w:p>
    <w:p w14:paraId="2B7BBB43">
      <w:pPr>
        <w:widowControl/>
        <w:spacing w:line="360" w:lineRule="auto"/>
        <w:rPr>
          <w:rFonts w:ascii="宋体" w:hAnsi="Calibri"/>
          <w:sz w:val="32"/>
          <w:szCs w:val="32"/>
        </w:rPr>
      </w:pPr>
    </w:p>
    <w:p w14:paraId="6AECC677">
      <w:pPr>
        <w:spacing w:line="600" w:lineRule="auto"/>
        <w:jc w:val="center"/>
        <w:outlineLvl w:val="0"/>
        <w:rPr>
          <w:rFonts w:ascii="宋体" w:hAnsi="宋体"/>
          <w:bCs/>
          <w:sz w:val="30"/>
          <w:szCs w:val="30"/>
        </w:rPr>
      </w:pPr>
      <w:bookmarkStart w:id="242" w:name="_Toc20203"/>
      <w:bookmarkStart w:id="243" w:name="_Toc11493"/>
      <w:bookmarkStart w:id="244" w:name="_Toc135901643"/>
      <w:bookmarkStart w:id="245" w:name="_Toc2372"/>
      <w:bookmarkStart w:id="246" w:name="_Toc123206089"/>
      <w:bookmarkStart w:id="247" w:name="_Toc123206320"/>
      <w:bookmarkStart w:id="248" w:name="_Toc160550432"/>
      <w:bookmarkStart w:id="249" w:name="_Toc141175293"/>
      <w:bookmarkStart w:id="250" w:name="_Toc135901712"/>
      <w:bookmarkStart w:id="251" w:name="_Toc137131850"/>
      <w:bookmarkStart w:id="252" w:name="_Toc123212920"/>
      <w:bookmarkStart w:id="253" w:name="_Toc30182"/>
      <w:r>
        <w:rPr>
          <w:rFonts w:ascii="宋体" w:hAnsi="宋体"/>
          <w:bCs/>
          <w:sz w:val="30"/>
          <w:szCs w:val="30"/>
        </w:rPr>
        <w:t>制</w:t>
      </w:r>
      <w:r>
        <w:rPr>
          <w:rFonts w:hint="eastAsia" w:ascii="宋体" w:hAnsi="宋体"/>
          <w:bCs/>
          <w:sz w:val="30"/>
          <w:szCs w:val="30"/>
        </w:rPr>
        <w:t xml:space="preserve"> </w:t>
      </w:r>
      <w:r>
        <w:rPr>
          <w:rFonts w:ascii="宋体" w:hAnsi="宋体"/>
          <w:bCs/>
          <w:sz w:val="30"/>
          <w:szCs w:val="30"/>
        </w:rPr>
        <w:t>定</w:t>
      </w:r>
      <w:r>
        <w:rPr>
          <w:rFonts w:hint="eastAsia" w:ascii="宋体" w:hAnsi="宋体"/>
          <w:bCs/>
          <w:sz w:val="30"/>
          <w:szCs w:val="30"/>
        </w:rPr>
        <w:t xml:space="preserve"> </w:t>
      </w:r>
      <w:r>
        <w:rPr>
          <w:rFonts w:ascii="宋体" w:hAnsi="宋体"/>
          <w:bCs/>
          <w:sz w:val="30"/>
          <w:szCs w:val="30"/>
        </w:rPr>
        <w:t>说</w:t>
      </w:r>
      <w:r>
        <w:rPr>
          <w:rFonts w:hint="eastAsia" w:ascii="宋体" w:hAnsi="宋体"/>
          <w:bCs/>
          <w:sz w:val="30"/>
          <w:szCs w:val="30"/>
        </w:rPr>
        <w:t xml:space="preserve"> </w:t>
      </w:r>
      <w:r>
        <w:rPr>
          <w:rFonts w:ascii="宋体" w:hAnsi="宋体"/>
          <w:bCs/>
          <w:sz w:val="30"/>
          <w:szCs w:val="30"/>
        </w:rPr>
        <w:t>明</w:t>
      </w:r>
      <w:bookmarkEnd w:id="242"/>
      <w:bookmarkEnd w:id="243"/>
      <w:bookmarkEnd w:id="244"/>
      <w:bookmarkEnd w:id="245"/>
      <w:bookmarkEnd w:id="246"/>
      <w:bookmarkEnd w:id="247"/>
      <w:bookmarkEnd w:id="248"/>
      <w:bookmarkEnd w:id="249"/>
      <w:bookmarkEnd w:id="250"/>
      <w:bookmarkEnd w:id="251"/>
      <w:bookmarkEnd w:id="252"/>
      <w:bookmarkEnd w:id="253"/>
    </w:p>
    <w:p w14:paraId="4B7D2F4D">
      <w:pPr>
        <w:spacing w:line="360" w:lineRule="auto"/>
        <w:ind w:firstLine="480" w:firstLineChars="200"/>
        <w:rPr>
          <w:rFonts w:ascii="Calibri" w:hAnsi="Calibri"/>
          <w:sz w:val="24"/>
          <w:szCs w:val="22"/>
        </w:rPr>
      </w:pPr>
    </w:p>
    <w:p w14:paraId="77133FC8">
      <w:pPr>
        <w:spacing w:line="360" w:lineRule="auto"/>
        <w:ind w:firstLine="480" w:firstLineChars="200"/>
        <w:rPr>
          <w:rFonts w:ascii="Calibri" w:hAnsi="Calibri"/>
          <w:sz w:val="24"/>
          <w:szCs w:val="22"/>
        </w:rPr>
      </w:pPr>
      <w:r>
        <w:rPr>
          <w:rFonts w:hint="eastAsia" w:ascii="Calibri" w:hAnsi="Calibri"/>
          <w:sz w:val="24"/>
          <w:szCs w:val="22"/>
        </w:rPr>
        <w:t>本</w:t>
      </w:r>
      <w:r>
        <w:rPr>
          <w:rFonts w:hint="eastAsia" w:ascii="Calibri" w:hAnsi="Calibri"/>
          <w:sz w:val="24"/>
          <w:szCs w:val="22"/>
          <w:lang w:val="en-US" w:eastAsia="zh-CN"/>
        </w:rPr>
        <w:t>标准</w:t>
      </w:r>
      <w:r>
        <w:rPr>
          <w:rFonts w:hint="eastAsia" w:ascii="Calibri" w:hAnsi="Calibri"/>
          <w:sz w:val="24"/>
          <w:szCs w:val="22"/>
        </w:rPr>
        <w:t>制定过程中，编制组对各地既有工业建筑民用化</w:t>
      </w:r>
      <w:r>
        <w:rPr>
          <w:rFonts w:hint="eastAsia" w:ascii="Calibri" w:hAnsi="Calibri"/>
          <w:sz w:val="24"/>
          <w:szCs w:val="22"/>
          <w:lang w:val="en-US" w:eastAsia="zh-CN"/>
        </w:rPr>
        <w:t>低碳</w:t>
      </w:r>
      <w:r>
        <w:rPr>
          <w:rFonts w:hint="eastAsia" w:ascii="Calibri" w:hAnsi="Calibri"/>
          <w:sz w:val="24"/>
          <w:szCs w:val="22"/>
        </w:rPr>
        <w:t>改造项目进行了</w:t>
      </w:r>
      <w:r>
        <w:rPr>
          <w:rFonts w:hint="default" w:ascii="Calibri" w:hAnsi="Calibri"/>
          <w:sz w:val="24"/>
          <w:szCs w:val="22"/>
          <w:lang w:val="en-US"/>
        </w:rPr>
        <w:t>广泛的</w:t>
      </w:r>
      <w:r>
        <w:rPr>
          <w:rFonts w:hint="eastAsia" w:ascii="Calibri" w:hAnsi="Calibri"/>
          <w:sz w:val="24"/>
          <w:szCs w:val="22"/>
        </w:rPr>
        <w:t>调查研究，总结了我国既有工业建筑及园区更新的实践经验，同时参考了国内外先进技术法规、技术标准和工程实践经验，通过细致研究编制了本</w:t>
      </w:r>
      <w:r>
        <w:rPr>
          <w:rFonts w:hint="eastAsia" w:ascii="Calibri" w:hAnsi="Calibri"/>
          <w:sz w:val="24"/>
          <w:szCs w:val="22"/>
          <w:lang w:val="en-US" w:eastAsia="zh-CN"/>
        </w:rPr>
        <w:t>标准</w:t>
      </w:r>
      <w:r>
        <w:rPr>
          <w:rFonts w:hint="eastAsia" w:ascii="Calibri" w:hAnsi="Calibri"/>
          <w:sz w:val="24"/>
          <w:szCs w:val="22"/>
        </w:rPr>
        <w:t>。</w:t>
      </w:r>
    </w:p>
    <w:p w14:paraId="26F15E18">
      <w:pPr>
        <w:spacing w:line="360" w:lineRule="auto"/>
        <w:ind w:firstLine="480" w:firstLineChars="200"/>
        <w:rPr>
          <w:rFonts w:ascii="Calibri" w:hAnsi="Calibri"/>
          <w:sz w:val="24"/>
          <w:szCs w:val="22"/>
        </w:rPr>
      </w:pPr>
      <w:r>
        <w:rPr>
          <w:rFonts w:hint="eastAsia" w:ascii="Calibri" w:hAnsi="Calibri"/>
          <w:sz w:val="24"/>
          <w:szCs w:val="22"/>
        </w:rPr>
        <w:t>为便于广大技术和管理人员在使用本</w:t>
      </w:r>
      <w:r>
        <w:rPr>
          <w:rFonts w:hint="eastAsia" w:ascii="Calibri" w:hAnsi="Calibri"/>
          <w:sz w:val="24"/>
          <w:szCs w:val="22"/>
          <w:lang w:val="en-US" w:eastAsia="zh-CN"/>
        </w:rPr>
        <w:t>标准</w:t>
      </w:r>
      <w:r>
        <w:rPr>
          <w:rFonts w:hint="eastAsia" w:ascii="Calibri" w:hAnsi="Calibri"/>
          <w:sz w:val="24"/>
          <w:szCs w:val="22"/>
        </w:rPr>
        <w:t>时能正确理解和执行条款规定，《既有工业建筑民用化低碳改造评价标准》编制组按章、节、条顺序编制了本</w:t>
      </w:r>
      <w:r>
        <w:rPr>
          <w:rFonts w:hint="eastAsia" w:ascii="Calibri" w:hAnsi="Calibri"/>
          <w:sz w:val="24"/>
          <w:szCs w:val="22"/>
          <w:lang w:val="en-US" w:eastAsia="zh-CN"/>
        </w:rPr>
        <w:t>标准</w:t>
      </w:r>
      <w:r>
        <w:rPr>
          <w:rFonts w:hint="eastAsia" w:ascii="Calibri" w:hAnsi="Calibri"/>
          <w:sz w:val="24"/>
          <w:szCs w:val="22"/>
        </w:rPr>
        <w:t>的条文说明，对条款规定的目的、依据以及执行中需注意的有关事项等进行了说明。本条文说明不具备与标准正文及附录同等的法律效力，仅供使用者作为理解和把握标准规定的参考。</w:t>
      </w:r>
    </w:p>
    <w:p w14:paraId="0CD3E721">
      <w:pPr>
        <w:spacing w:line="360" w:lineRule="auto"/>
        <w:ind w:firstLine="480" w:firstLineChars="200"/>
        <w:rPr>
          <w:rFonts w:hint="eastAsia" w:ascii="宋体"/>
          <w:sz w:val="24"/>
        </w:rPr>
        <w:sectPr>
          <w:pgSz w:w="11906" w:h="16838"/>
          <w:pgMar w:top="1440" w:right="1800" w:bottom="1440" w:left="1800" w:header="851" w:footer="992" w:gutter="0"/>
          <w:cols w:space="425" w:num="1"/>
          <w:docGrid w:type="lines" w:linePitch="312" w:charSpace="0"/>
        </w:sectPr>
      </w:pPr>
    </w:p>
    <w:p w14:paraId="5D27BD7B">
      <w:pPr>
        <w:spacing w:line="360" w:lineRule="auto"/>
        <w:ind w:firstLine="562" w:firstLineChars="200"/>
        <w:jc w:val="center"/>
        <w:outlineLvl w:val="0"/>
        <w:rPr>
          <w:rFonts w:hint="eastAsia"/>
          <w:b/>
          <w:sz w:val="28"/>
        </w:rPr>
      </w:pPr>
      <w:bookmarkStart w:id="254" w:name="_Toc2569"/>
      <w:bookmarkStart w:id="255" w:name="_Toc6913"/>
      <w:bookmarkStart w:id="256" w:name="_Toc4224"/>
      <w:r>
        <w:rPr>
          <w:rFonts w:hint="eastAsia"/>
          <w:b/>
          <w:sz w:val="28"/>
        </w:rPr>
        <w:t>目次</w:t>
      </w:r>
      <w:bookmarkEnd w:id="254"/>
      <w:bookmarkEnd w:id="255"/>
      <w:bookmarkEnd w:id="256"/>
    </w:p>
    <w:p w14:paraId="502840E8">
      <w:pPr>
        <w:spacing w:line="360" w:lineRule="auto"/>
        <w:ind w:firstLine="562" w:firstLineChars="200"/>
        <w:jc w:val="center"/>
        <w:rPr>
          <w:rFonts w:hint="eastAsia"/>
          <w:b/>
          <w:sz w:val="28"/>
        </w:rPr>
      </w:pPr>
    </w:p>
    <w:p w14:paraId="2939A64A">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_Toc16267 </w:instrText>
      </w:r>
      <w:r>
        <w:rPr>
          <w:rFonts w:hint="eastAsia" w:ascii="宋体" w:hAnsi="宋体" w:cs="宋体"/>
          <w:sz w:val="24"/>
          <w:szCs w:val="24"/>
        </w:rPr>
        <w:fldChar w:fldCharType="separate"/>
      </w:r>
      <w:r>
        <w:rPr>
          <w:rFonts w:hint="eastAsia" w:ascii="宋体" w:hAnsi="宋体" w:cs="宋体"/>
          <w:bCs w:val="0"/>
          <w:kern w:val="2"/>
          <w:sz w:val="24"/>
          <w:szCs w:val="24"/>
        </w:rPr>
        <w:t>1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_Toc16267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6F97717A">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_Toc27696 </w:instrText>
      </w:r>
      <w:r>
        <w:rPr>
          <w:rFonts w:hint="eastAsia" w:ascii="宋体" w:hAnsi="宋体" w:cs="宋体"/>
          <w:sz w:val="24"/>
          <w:szCs w:val="24"/>
        </w:rPr>
        <w:fldChar w:fldCharType="separate"/>
      </w:r>
      <w:r>
        <w:rPr>
          <w:rFonts w:hint="eastAsia" w:ascii="宋体" w:hAnsi="宋体" w:cs="宋体"/>
          <w:bCs w:val="0"/>
          <w:kern w:val="2"/>
          <w:sz w:val="24"/>
          <w:szCs w:val="24"/>
        </w:rPr>
        <w:t>2  术语</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_Toc27696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140D0C7F">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_Toc21998 </w:instrText>
      </w:r>
      <w:r>
        <w:rPr>
          <w:rFonts w:hint="eastAsia" w:ascii="宋体" w:hAnsi="宋体" w:cs="宋体"/>
          <w:sz w:val="24"/>
          <w:szCs w:val="24"/>
        </w:rPr>
        <w:fldChar w:fldCharType="separate"/>
      </w:r>
      <w:r>
        <w:rPr>
          <w:rFonts w:hint="eastAsia" w:ascii="宋体" w:hAnsi="宋体" w:cs="宋体"/>
          <w:bCs w:val="0"/>
          <w:kern w:val="2"/>
          <w:sz w:val="24"/>
          <w:szCs w:val="24"/>
        </w:rPr>
        <w:t>3  基本规定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_Toc21998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57E31F58">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_Toc1058 </w:instrText>
      </w:r>
      <w:r>
        <w:rPr>
          <w:rFonts w:hint="eastAsia" w:ascii="宋体" w:hAnsi="宋体" w:cs="宋体"/>
          <w:sz w:val="24"/>
          <w:szCs w:val="24"/>
        </w:rPr>
        <w:fldChar w:fldCharType="separate"/>
      </w:r>
      <w:r>
        <w:rPr>
          <w:rFonts w:hint="eastAsia" w:ascii="宋体" w:hAnsi="宋体" w:eastAsia="宋体" w:cs="宋体"/>
          <w:bCs/>
          <w:sz w:val="24"/>
          <w:szCs w:val="24"/>
        </w:rPr>
        <w:t>3.1  一般规定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_Toc1058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1E5FFEBE">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_Toc18415 </w:instrText>
      </w:r>
      <w:r>
        <w:rPr>
          <w:rFonts w:hint="eastAsia" w:ascii="宋体" w:hAnsi="宋体" w:cs="宋体"/>
          <w:sz w:val="24"/>
          <w:szCs w:val="24"/>
        </w:rPr>
        <w:fldChar w:fldCharType="separate"/>
      </w:r>
      <w:r>
        <w:rPr>
          <w:rFonts w:hint="eastAsia" w:ascii="宋体" w:hAnsi="宋体" w:eastAsia="宋体" w:cs="宋体"/>
          <w:bCs/>
          <w:sz w:val="24"/>
          <w:szCs w:val="24"/>
        </w:rPr>
        <w:t>3.2  评价与等级划分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_Toc18415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647361B4">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_Toc7993 </w:instrText>
      </w:r>
      <w:r>
        <w:rPr>
          <w:rFonts w:hint="eastAsia" w:ascii="宋体" w:hAnsi="宋体" w:cs="宋体"/>
          <w:sz w:val="24"/>
          <w:szCs w:val="24"/>
        </w:rPr>
        <w:fldChar w:fldCharType="separate"/>
      </w:r>
      <w:r>
        <w:rPr>
          <w:rFonts w:hint="eastAsia" w:ascii="宋体" w:hAnsi="宋体" w:cs="宋体"/>
          <w:bCs w:val="0"/>
          <w:kern w:val="2"/>
          <w:sz w:val="24"/>
          <w:szCs w:val="24"/>
        </w:rPr>
        <w:t xml:space="preserve">4 </w:t>
      </w:r>
      <w:r>
        <w:rPr>
          <w:rFonts w:hint="eastAsia" w:ascii="宋体" w:hAnsi="宋体" w:cs="宋体"/>
          <w:bCs w:val="0"/>
          <w:kern w:val="2"/>
          <w:sz w:val="24"/>
          <w:szCs w:val="24"/>
          <w:lang w:val="en-US" w:eastAsia="zh-CN"/>
        </w:rPr>
        <w:t xml:space="preserve"> </w:t>
      </w:r>
      <w:r>
        <w:rPr>
          <w:rFonts w:hint="eastAsia" w:ascii="宋体" w:hAnsi="宋体" w:cs="宋体"/>
          <w:bCs w:val="0"/>
          <w:kern w:val="2"/>
          <w:sz w:val="24"/>
          <w:szCs w:val="24"/>
        </w:rPr>
        <w:t>场地与环境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_Toc7993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60ABBEB7">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_Toc18298 </w:instrText>
      </w:r>
      <w:r>
        <w:rPr>
          <w:rFonts w:hint="eastAsia" w:ascii="宋体" w:hAnsi="宋体" w:cs="宋体"/>
          <w:sz w:val="24"/>
          <w:szCs w:val="24"/>
        </w:rPr>
        <w:fldChar w:fldCharType="separate"/>
      </w:r>
      <w:r>
        <w:rPr>
          <w:rFonts w:hint="eastAsia" w:ascii="宋体" w:hAnsi="宋体" w:eastAsia="宋体" w:cs="宋体"/>
          <w:bCs/>
          <w:sz w:val="24"/>
          <w:szCs w:val="24"/>
        </w:rPr>
        <w:t>4.1</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控制项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_Toc18298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304215F2">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_Toc16837 </w:instrText>
      </w:r>
      <w:r>
        <w:rPr>
          <w:rFonts w:hint="eastAsia" w:ascii="宋体" w:hAnsi="宋体" w:cs="宋体"/>
          <w:sz w:val="24"/>
          <w:szCs w:val="24"/>
        </w:rPr>
        <w:fldChar w:fldCharType="separate"/>
      </w:r>
      <w:r>
        <w:rPr>
          <w:rFonts w:hint="eastAsia" w:ascii="宋体" w:hAnsi="宋体" w:eastAsia="宋体" w:cs="宋体"/>
          <w:bCs/>
          <w:sz w:val="24"/>
          <w:szCs w:val="24"/>
        </w:rPr>
        <w:t>4.2</w:t>
      </w:r>
      <w:r>
        <w:rPr>
          <w:rFonts w:hint="eastAsia" w:ascii="宋体" w:hAnsi="宋体" w:cs="宋体"/>
          <w:bCs/>
          <w:sz w:val="24"/>
          <w:szCs w:val="24"/>
          <w:lang w:val="en-US" w:eastAsia="zh-CN"/>
        </w:rPr>
        <w:t xml:space="preserve">  </w:t>
      </w:r>
      <w:r>
        <w:rPr>
          <w:rFonts w:hint="eastAsia" w:ascii="宋体" w:hAnsi="宋体" w:eastAsia="宋体" w:cs="宋体"/>
          <w:bCs/>
          <w:sz w:val="24"/>
          <w:szCs w:val="24"/>
        </w:rPr>
        <w:t>评分项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_Toc16837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22922289">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_Toc16747 </w:instrText>
      </w:r>
      <w:r>
        <w:rPr>
          <w:rFonts w:hint="eastAsia" w:ascii="宋体" w:hAnsi="宋体" w:cs="宋体"/>
          <w:sz w:val="24"/>
          <w:szCs w:val="24"/>
        </w:rPr>
        <w:fldChar w:fldCharType="separate"/>
      </w:r>
      <w:r>
        <w:rPr>
          <w:rFonts w:hint="eastAsia" w:ascii="宋体" w:hAnsi="宋体" w:cs="宋体"/>
          <w:bCs w:val="0"/>
          <w:kern w:val="2"/>
          <w:sz w:val="24"/>
          <w:szCs w:val="24"/>
        </w:rPr>
        <w:t xml:space="preserve">5 </w:t>
      </w:r>
      <w:r>
        <w:rPr>
          <w:rFonts w:hint="eastAsia" w:ascii="宋体" w:hAnsi="宋体" w:cs="宋体"/>
          <w:bCs w:val="0"/>
          <w:kern w:val="2"/>
          <w:sz w:val="24"/>
          <w:szCs w:val="24"/>
          <w:lang w:val="en-US" w:eastAsia="zh-CN"/>
        </w:rPr>
        <w:t xml:space="preserve"> </w:t>
      </w:r>
      <w:r>
        <w:rPr>
          <w:rFonts w:hint="eastAsia" w:ascii="宋体" w:hAnsi="宋体" w:cs="宋体"/>
          <w:bCs w:val="0"/>
          <w:kern w:val="2"/>
          <w:sz w:val="24"/>
          <w:szCs w:val="24"/>
        </w:rPr>
        <w:t>建筑改造与利用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_Toc16747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495C125C">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_Toc24537 </w:instrText>
      </w:r>
      <w:r>
        <w:rPr>
          <w:rFonts w:hint="eastAsia" w:ascii="宋体" w:hAnsi="宋体" w:cs="宋体"/>
          <w:sz w:val="24"/>
          <w:szCs w:val="24"/>
        </w:rPr>
        <w:fldChar w:fldCharType="separate"/>
      </w:r>
      <w:r>
        <w:rPr>
          <w:rFonts w:hint="eastAsia" w:ascii="宋体" w:hAnsi="宋体" w:eastAsia="宋体" w:cs="宋体"/>
          <w:bCs/>
          <w:sz w:val="24"/>
          <w:szCs w:val="24"/>
        </w:rPr>
        <w:t>5.1</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控制项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_Toc24537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72B765EA">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_Toc12704 </w:instrText>
      </w:r>
      <w:r>
        <w:rPr>
          <w:rFonts w:hint="eastAsia" w:ascii="宋体" w:hAnsi="宋体" w:cs="宋体"/>
          <w:sz w:val="24"/>
          <w:szCs w:val="24"/>
        </w:rPr>
        <w:fldChar w:fldCharType="separate"/>
      </w:r>
      <w:r>
        <w:rPr>
          <w:rFonts w:hint="eastAsia" w:ascii="宋体" w:hAnsi="宋体" w:eastAsia="宋体" w:cs="宋体"/>
          <w:bCs/>
          <w:sz w:val="24"/>
          <w:szCs w:val="24"/>
        </w:rPr>
        <w:t>5.2</w:t>
      </w:r>
      <w:r>
        <w:rPr>
          <w:rFonts w:hint="eastAsia" w:ascii="宋体" w:hAnsi="宋体" w:cs="宋体"/>
          <w:bCs/>
          <w:sz w:val="24"/>
          <w:szCs w:val="24"/>
          <w:lang w:val="en-US" w:eastAsia="zh-CN"/>
        </w:rPr>
        <w:t xml:space="preserve">  </w:t>
      </w:r>
      <w:r>
        <w:rPr>
          <w:rFonts w:hint="eastAsia" w:ascii="宋体" w:hAnsi="宋体" w:eastAsia="宋体" w:cs="宋体"/>
          <w:bCs/>
          <w:sz w:val="24"/>
          <w:szCs w:val="24"/>
        </w:rPr>
        <w:t>评分项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_Toc12704 \h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762AAB92">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_Toc25990 </w:instrText>
      </w:r>
      <w:r>
        <w:rPr>
          <w:rFonts w:hint="eastAsia" w:ascii="宋体" w:hAnsi="宋体" w:cs="宋体"/>
          <w:sz w:val="24"/>
          <w:szCs w:val="24"/>
        </w:rPr>
        <w:fldChar w:fldCharType="separate"/>
      </w:r>
      <w:r>
        <w:rPr>
          <w:rFonts w:hint="eastAsia" w:ascii="宋体" w:hAnsi="宋体" w:cs="宋体"/>
          <w:bCs w:val="0"/>
          <w:kern w:val="2"/>
          <w:sz w:val="24"/>
          <w:szCs w:val="24"/>
        </w:rPr>
        <w:t xml:space="preserve">6 </w:t>
      </w:r>
      <w:r>
        <w:rPr>
          <w:rFonts w:hint="eastAsia" w:ascii="宋体" w:hAnsi="宋体" w:cs="宋体"/>
          <w:bCs w:val="0"/>
          <w:kern w:val="2"/>
          <w:sz w:val="24"/>
          <w:szCs w:val="24"/>
          <w:lang w:val="en-US" w:eastAsia="zh-CN"/>
        </w:rPr>
        <w:t xml:space="preserve"> </w:t>
      </w:r>
      <w:r>
        <w:rPr>
          <w:rFonts w:hint="eastAsia" w:ascii="宋体" w:hAnsi="宋体" w:cs="宋体"/>
          <w:bCs w:val="0"/>
          <w:kern w:val="2"/>
          <w:sz w:val="24"/>
          <w:szCs w:val="24"/>
        </w:rPr>
        <w:t>能源与水资源利用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_Toc25990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14:paraId="28694701">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_Toc31953 </w:instrText>
      </w:r>
      <w:r>
        <w:rPr>
          <w:rFonts w:hint="eastAsia" w:ascii="宋体" w:hAnsi="宋体" w:cs="宋体"/>
          <w:sz w:val="24"/>
          <w:szCs w:val="24"/>
        </w:rPr>
        <w:fldChar w:fldCharType="separate"/>
      </w:r>
      <w:r>
        <w:rPr>
          <w:rFonts w:hint="eastAsia" w:ascii="宋体" w:hAnsi="宋体" w:eastAsia="宋体" w:cs="宋体"/>
          <w:bCs/>
          <w:sz w:val="24"/>
          <w:szCs w:val="24"/>
        </w:rPr>
        <w:t xml:space="preserve">6.1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控制项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_Toc31953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14:paraId="1D9619B0">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_Toc20971 </w:instrText>
      </w:r>
      <w:r>
        <w:rPr>
          <w:rFonts w:hint="eastAsia" w:ascii="宋体" w:hAnsi="宋体" w:cs="宋体"/>
          <w:sz w:val="24"/>
          <w:szCs w:val="24"/>
        </w:rPr>
        <w:fldChar w:fldCharType="separate"/>
      </w:r>
      <w:r>
        <w:rPr>
          <w:rFonts w:hint="eastAsia" w:ascii="宋体" w:hAnsi="宋体" w:eastAsia="宋体" w:cs="宋体"/>
          <w:bCs/>
          <w:sz w:val="24"/>
          <w:szCs w:val="24"/>
        </w:rPr>
        <w:t>6.2</w:t>
      </w:r>
      <w:r>
        <w:rPr>
          <w:rFonts w:hint="eastAsia" w:ascii="宋体" w:hAnsi="宋体" w:cs="宋体"/>
          <w:bCs/>
          <w:sz w:val="24"/>
          <w:szCs w:val="24"/>
          <w:lang w:val="en-US" w:eastAsia="zh-CN"/>
        </w:rPr>
        <w:t xml:space="preserve">  </w:t>
      </w:r>
      <w:r>
        <w:rPr>
          <w:rFonts w:hint="eastAsia" w:ascii="宋体" w:hAnsi="宋体" w:eastAsia="宋体" w:cs="宋体"/>
          <w:bCs/>
          <w:sz w:val="24"/>
          <w:szCs w:val="24"/>
        </w:rPr>
        <w:t>评分项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_Toc20971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0F8F6457">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_Toc9691 </w:instrText>
      </w:r>
      <w:r>
        <w:rPr>
          <w:rFonts w:hint="eastAsia" w:ascii="宋体" w:hAnsi="宋体" w:cs="宋体"/>
          <w:sz w:val="24"/>
          <w:szCs w:val="24"/>
        </w:rPr>
        <w:fldChar w:fldCharType="separate"/>
      </w:r>
      <w:r>
        <w:rPr>
          <w:rFonts w:hint="eastAsia" w:ascii="宋体" w:hAnsi="宋体" w:cs="宋体"/>
          <w:bCs w:val="0"/>
          <w:kern w:val="2"/>
          <w:sz w:val="24"/>
          <w:szCs w:val="24"/>
        </w:rPr>
        <w:t>7　建材与建造</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_Toc9691 \h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14:paraId="1E11EE4B">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_Toc961 </w:instrText>
      </w:r>
      <w:r>
        <w:rPr>
          <w:rFonts w:hint="eastAsia" w:ascii="宋体" w:hAnsi="宋体" w:cs="宋体"/>
          <w:sz w:val="24"/>
          <w:szCs w:val="24"/>
        </w:rPr>
        <w:fldChar w:fldCharType="separate"/>
      </w:r>
      <w:r>
        <w:rPr>
          <w:rFonts w:hint="eastAsia" w:ascii="宋体" w:hAnsi="宋体" w:eastAsia="宋体" w:cs="宋体"/>
          <w:bCs/>
          <w:sz w:val="24"/>
          <w:szCs w:val="24"/>
        </w:rPr>
        <w:t>7.1　控制项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_Toc961 \h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14:paraId="2D53961D">
      <w:pPr>
        <w:pStyle w:val="12"/>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_Toc8861 </w:instrText>
      </w:r>
      <w:r>
        <w:rPr>
          <w:rFonts w:hint="eastAsia" w:ascii="宋体" w:hAnsi="宋体" w:cs="宋体"/>
          <w:sz w:val="24"/>
          <w:szCs w:val="24"/>
        </w:rPr>
        <w:fldChar w:fldCharType="separate"/>
      </w:r>
      <w:r>
        <w:rPr>
          <w:rFonts w:hint="eastAsia" w:ascii="宋体" w:hAnsi="宋体" w:eastAsia="宋体" w:cs="宋体"/>
          <w:bCs/>
          <w:sz w:val="24"/>
          <w:szCs w:val="24"/>
        </w:rPr>
        <w:t>7.2　评分项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_Toc8861 \h </w:instrText>
      </w:r>
      <w:r>
        <w:rPr>
          <w:rFonts w:hint="eastAsia" w:ascii="宋体" w:hAnsi="宋体" w:cs="宋体"/>
          <w:sz w:val="24"/>
          <w:szCs w:val="24"/>
        </w:rPr>
        <w:fldChar w:fldCharType="separate"/>
      </w:r>
      <w:r>
        <w:rPr>
          <w:rFonts w:hint="eastAsia" w:ascii="宋体" w:hAnsi="宋体" w:cs="宋体"/>
          <w:sz w:val="24"/>
          <w:szCs w:val="24"/>
        </w:rPr>
        <w:t>62</w:t>
      </w:r>
      <w:r>
        <w:rPr>
          <w:rFonts w:hint="eastAsia" w:ascii="宋体" w:hAnsi="宋体" w:cs="宋体"/>
          <w:sz w:val="24"/>
          <w:szCs w:val="24"/>
        </w:rPr>
        <w:fldChar w:fldCharType="end"/>
      </w:r>
      <w:r>
        <w:rPr>
          <w:rFonts w:hint="eastAsia" w:ascii="宋体" w:hAnsi="宋体" w:cs="宋体"/>
          <w:sz w:val="24"/>
          <w:szCs w:val="24"/>
        </w:rPr>
        <w:fldChar w:fldCharType="end"/>
      </w:r>
    </w:p>
    <w:p w14:paraId="13A2D46A">
      <w:pPr>
        <w:pStyle w:val="11"/>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_Toc9691 </w:instrText>
      </w:r>
      <w:r>
        <w:rPr>
          <w:rFonts w:hint="eastAsia" w:ascii="宋体" w:hAnsi="宋体" w:cs="宋体"/>
          <w:sz w:val="24"/>
          <w:szCs w:val="24"/>
        </w:rPr>
        <w:fldChar w:fldCharType="separate"/>
      </w:r>
      <w:r>
        <w:rPr>
          <w:rFonts w:hint="eastAsia" w:ascii="宋体" w:hAnsi="宋体" w:cs="宋体"/>
          <w:bCs w:val="0"/>
          <w:kern w:val="2"/>
          <w:sz w:val="24"/>
          <w:szCs w:val="24"/>
        </w:rPr>
        <w:t>8　提高与创新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_Toc2893 \h </w:instrText>
      </w:r>
      <w:r>
        <w:rPr>
          <w:rFonts w:hint="eastAsia" w:ascii="宋体" w:hAnsi="宋体" w:cs="宋体"/>
          <w:sz w:val="24"/>
          <w:szCs w:val="24"/>
        </w:rPr>
        <w:fldChar w:fldCharType="separate"/>
      </w:r>
      <w:r>
        <w:rPr>
          <w:rFonts w:hint="eastAsia" w:ascii="宋体" w:hAnsi="宋体" w:cs="宋体"/>
          <w:sz w:val="24"/>
          <w:szCs w:val="24"/>
        </w:rPr>
        <w:t>67</w:t>
      </w:r>
      <w:r>
        <w:rPr>
          <w:rFonts w:hint="eastAsia" w:ascii="宋体" w:hAnsi="宋体" w:cs="宋体"/>
          <w:sz w:val="24"/>
          <w:szCs w:val="24"/>
        </w:rPr>
        <w:fldChar w:fldCharType="end"/>
      </w:r>
      <w:r>
        <w:rPr>
          <w:rFonts w:hint="eastAsia" w:ascii="宋体" w:hAnsi="宋体" w:cs="宋体"/>
          <w:sz w:val="24"/>
          <w:szCs w:val="24"/>
        </w:rPr>
        <w:fldChar w:fldCharType="end"/>
      </w:r>
    </w:p>
    <w:p w14:paraId="1AD59D8F">
      <w:pPr>
        <w:spacing w:line="360" w:lineRule="auto"/>
        <w:ind w:firstLine="0" w:firstLineChars="0"/>
        <w:jc w:val="both"/>
        <w:rPr>
          <w:rFonts w:hint="eastAsia" w:eastAsia="宋体"/>
          <w:b/>
          <w:sz w:val="28"/>
          <w:lang w:val="en-US" w:eastAsia="zh-CN"/>
        </w:rPr>
        <w:sectPr>
          <w:pgSz w:w="11906" w:h="16838"/>
          <w:pgMar w:top="1440" w:right="1800" w:bottom="1440" w:left="1800" w:header="851" w:footer="992" w:gutter="0"/>
          <w:cols w:space="425" w:num="1"/>
          <w:docGrid w:type="lines" w:linePitch="312" w:charSpace="0"/>
        </w:sectPr>
      </w:pPr>
    </w:p>
    <w:p w14:paraId="5AE56A13">
      <w:pPr>
        <w:widowControl/>
        <w:snapToGrid w:val="0"/>
        <w:spacing w:line="360" w:lineRule="auto"/>
        <w:jc w:val="both"/>
        <w:outlineLvl w:val="9"/>
        <w:rPr>
          <w:rFonts w:ascii="Times New Roman" w:hAnsi="Times New Roman" w:cs="Times New Roman"/>
          <w:b/>
          <w:bCs w:val="0"/>
          <w:kern w:val="2"/>
          <w:sz w:val="30"/>
          <w:szCs w:val="30"/>
        </w:rPr>
      </w:pPr>
    </w:p>
    <w:p w14:paraId="21726898">
      <w:pPr>
        <w:widowControl/>
        <w:snapToGrid w:val="0"/>
        <w:spacing w:line="360" w:lineRule="auto"/>
        <w:jc w:val="center"/>
        <w:outlineLvl w:val="0"/>
        <w:rPr>
          <w:b/>
          <w:bCs w:val="0"/>
          <w:kern w:val="2"/>
          <w:sz w:val="30"/>
          <w:szCs w:val="30"/>
        </w:rPr>
      </w:pPr>
      <w:bookmarkStart w:id="257" w:name="_Toc16267"/>
      <w:bookmarkStart w:id="258" w:name="_Toc25092"/>
      <w:r>
        <w:rPr>
          <w:rFonts w:ascii="Times New Roman" w:hAnsi="Times New Roman" w:cs="Times New Roman"/>
          <w:b/>
          <w:bCs w:val="0"/>
          <w:kern w:val="2"/>
          <w:sz w:val="30"/>
          <w:szCs w:val="30"/>
        </w:rPr>
        <w:t xml:space="preserve">1  </w:t>
      </w:r>
      <w:r>
        <w:rPr>
          <w:rFonts w:hint="default" w:ascii="Times New Roman" w:hAnsi="Times New Roman" w:cs="Times New Roman"/>
          <w:b/>
          <w:bCs w:val="0"/>
          <w:kern w:val="2"/>
          <w:sz w:val="30"/>
          <w:szCs w:val="30"/>
        </w:rPr>
        <w:t>总则</w:t>
      </w:r>
      <w:bookmarkEnd w:id="257"/>
      <w:bookmarkEnd w:id="258"/>
    </w:p>
    <w:p w14:paraId="41065CC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1.0.1</w:t>
      </w:r>
      <w:r>
        <w:rPr>
          <w:rFonts w:hint="eastAsia" w:ascii="宋体" w:hAnsi="宋体" w:cs="宋体"/>
          <w:sz w:val="24"/>
          <w:szCs w:val="24"/>
        </w:rPr>
        <w:t xml:space="preserve">  </w:t>
      </w:r>
      <w:r>
        <w:rPr>
          <w:rFonts w:hint="eastAsia" w:ascii="宋体" w:hAnsi="宋体" w:eastAsia="宋体" w:cs="宋体"/>
          <w:sz w:val="24"/>
          <w:szCs w:val="24"/>
        </w:rPr>
        <w:t>本条规定了标准的制定目的。</w:t>
      </w:r>
    </w:p>
    <w:p w14:paraId="6442E9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我国现存既有工业建筑数量多、面积大。根据国家相关资料的统计，我国现有既有工业建筑总面积约有</w:t>
      </w:r>
      <w:r>
        <w:rPr>
          <w:rFonts w:hint="default" w:ascii="Times New Roman" w:hAnsi="Times New Roman" w:eastAsia="宋体" w:cs="Times New Roman"/>
          <w:sz w:val="24"/>
          <w:szCs w:val="24"/>
        </w:rPr>
        <w:t>120</w:t>
      </w:r>
      <w:r>
        <w:rPr>
          <w:rFonts w:hint="eastAsia" w:ascii="宋体" w:hAnsi="宋体" w:eastAsia="宋体" w:cs="宋体"/>
          <w:sz w:val="24"/>
          <w:szCs w:val="24"/>
        </w:rPr>
        <w:t>亿m</w:t>
      </w:r>
      <w:r>
        <w:rPr>
          <w:rFonts w:hint="eastAsia" w:ascii="宋体" w:hAnsi="宋体" w:eastAsia="宋体" w:cs="宋体"/>
          <w:sz w:val="24"/>
          <w:szCs w:val="24"/>
          <w:vertAlign w:val="superscript"/>
        </w:rPr>
        <w:t>2</w:t>
      </w:r>
      <w:r>
        <w:rPr>
          <w:rFonts w:hint="eastAsia" w:ascii="宋体" w:hAnsi="宋体" w:eastAsia="宋体" w:cs="宋体"/>
          <w:sz w:val="24"/>
          <w:szCs w:val="24"/>
        </w:rPr>
        <w:t>，其中具有民用化改造潜力的约有</w:t>
      </w:r>
      <w:r>
        <w:rPr>
          <w:rFonts w:hint="default" w:ascii="Times New Roman" w:hAnsi="Times New Roman" w:eastAsia="宋体" w:cs="Times New Roman"/>
          <w:sz w:val="24"/>
          <w:szCs w:val="24"/>
        </w:rPr>
        <w:t>30</w:t>
      </w:r>
      <w:r>
        <w:rPr>
          <w:rFonts w:hint="eastAsia" w:ascii="宋体" w:hAnsi="宋体" w:eastAsia="宋体" w:cs="宋体"/>
          <w:sz w:val="24"/>
          <w:szCs w:val="24"/>
        </w:rPr>
        <w:t>亿m</w:t>
      </w:r>
      <w:r>
        <w:rPr>
          <w:rFonts w:hint="eastAsia" w:ascii="宋体" w:hAnsi="宋体" w:eastAsia="宋体" w:cs="宋体"/>
          <w:sz w:val="24"/>
          <w:szCs w:val="24"/>
          <w:vertAlign w:val="superscript"/>
        </w:rPr>
        <w:t>2</w:t>
      </w:r>
      <w:r>
        <w:rPr>
          <w:rFonts w:hint="eastAsia" w:ascii="宋体" w:hAnsi="宋体" w:eastAsia="宋体" w:cs="宋体"/>
          <w:sz w:val="24"/>
          <w:szCs w:val="24"/>
        </w:rPr>
        <w:t>。近年来我国开展了各类既有工业建筑民用化改造探索，如首钢老工业园区绿色改造探索，被习近平总书记、国际奥委会主席巴赫高度评价，成为既有工业建筑民用化改造的典范。将旧工业建筑改造为办公、宾馆、商场等类型的民用建筑，并使改造后的建筑最大限度地节约资源，保护环境和减少污染，为使用者提供健康、舒适的室内环境，这不仅是对工业建筑改造方式的拓展与提升，也是促进国内建筑低碳发展的有效措施。</w:t>
      </w:r>
    </w:p>
    <w:p w14:paraId="6BAAA2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在国家“</w:t>
      </w:r>
      <w:r>
        <w:rPr>
          <w:rFonts w:hint="default" w:ascii="Times New Roman" w:hAnsi="Times New Roman" w:eastAsia="宋体" w:cs="Times New Roman"/>
          <w:sz w:val="24"/>
          <w:szCs w:val="24"/>
        </w:rPr>
        <w:t>3060</w:t>
      </w:r>
      <w:r>
        <w:rPr>
          <w:rFonts w:hint="eastAsia" w:ascii="宋体" w:hAnsi="宋体" w:eastAsia="宋体" w:cs="宋体"/>
          <w:sz w:val="24"/>
          <w:szCs w:val="24"/>
        </w:rPr>
        <w:t>”双碳目标的要求下，伴随着产业结构调整升级和城市工业用地的更新，针对需</w:t>
      </w:r>
      <w:r>
        <w:rPr>
          <w:rFonts w:hint="eastAsia" w:ascii="宋体" w:hAnsi="宋体" w:eastAsia="宋体" w:cs="宋体"/>
          <w:sz w:val="24"/>
          <w:szCs w:val="24"/>
          <w:highlight w:val="none"/>
        </w:rPr>
        <w:t>进行功能化转型</w:t>
      </w:r>
      <w:r>
        <w:rPr>
          <w:rFonts w:hint="eastAsia" w:ascii="宋体" w:hAnsi="宋体" w:eastAsia="宋体" w:cs="宋体"/>
          <w:sz w:val="24"/>
          <w:szCs w:val="24"/>
        </w:rPr>
        <w:t>的存量工业建筑开展民用化低碳改造，对延续既有工业建筑寿命、推动我国既有工业建筑全寿命周期的可持续发展，推动建筑行业绿色低碳转型，服务于城市更新和城市综合复兴，具有重要的社会意义。</w:t>
      </w:r>
    </w:p>
    <w:p w14:paraId="6C3FB3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随着我国建筑行业由粗放型外延式发展调整为集约型内涵式发展，建设重点从增量建设转变为存量提升，国家出台了一系列既有建筑改造标准，如《既有建筑维护与改造通用规范》</w:t>
      </w:r>
      <w:r>
        <w:rPr>
          <w:rFonts w:hint="default" w:ascii="Times New Roman" w:hAnsi="Times New Roman" w:eastAsia="宋体" w:cs="Times New Roman"/>
          <w:sz w:val="24"/>
          <w:szCs w:val="24"/>
        </w:rPr>
        <w:t>GB 55022-2021</w:t>
      </w:r>
      <w:r>
        <w:rPr>
          <w:rFonts w:hint="eastAsia" w:ascii="宋体" w:hAnsi="宋体" w:eastAsia="宋体" w:cs="宋体"/>
          <w:sz w:val="24"/>
          <w:szCs w:val="24"/>
        </w:rPr>
        <w:t>，主要针对既有建筑的维护、修缮与改造提出了通用性的要求；《既有建筑鉴定与加固通用规范》</w:t>
      </w:r>
      <w:r>
        <w:rPr>
          <w:rFonts w:hint="default" w:ascii="Times New Roman" w:hAnsi="Times New Roman" w:eastAsia="宋体" w:cs="Times New Roman"/>
          <w:sz w:val="24"/>
          <w:szCs w:val="24"/>
        </w:rPr>
        <w:t>GB 55021-2021</w:t>
      </w:r>
      <w:r>
        <w:rPr>
          <w:rFonts w:hint="eastAsia" w:ascii="宋体" w:hAnsi="宋体" w:eastAsia="宋体" w:cs="宋体"/>
          <w:sz w:val="24"/>
          <w:szCs w:val="24"/>
        </w:rPr>
        <w:t>，重点对既有建筑的结构鉴定和加固提出了通用性技术要求；《既有建筑绿色改造评价标准》</w:t>
      </w:r>
      <w:r>
        <w:rPr>
          <w:rFonts w:hint="default" w:ascii="Times New Roman" w:hAnsi="Times New Roman" w:eastAsia="宋体" w:cs="Times New Roman"/>
          <w:sz w:val="24"/>
          <w:szCs w:val="24"/>
        </w:rPr>
        <w:t>GB/T 51141-2015</w:t>
      </w:r>
      <w:r>
        <w:rPr>
          <w:rFonts w:hint="eastAsia" w:ascii="宋体" w:hAnsi="宋体" w:eastAsia="宋体" w:cs="宋体"/>
          <w:sz w:val="24"/>
          <w:szCs w:val="24"/>
        </w:rPr>
        <w:t>，则是提出了既有民用建筑绿色改造的评价体系，为指导既有建筑绿色化改造提供了标准支撑。此外，针对既有工业建筑，北京、江苏等地区积极开展了民用化绿色改造的探索，并根据地域特点，编制了相应的既有工业建筑民用化绿色改造评价标准，如北京市地方标准《既有工业建筑民用化绿色改造评价标准》</w:t>
      </w:r>
      <w:r>
        <w:rPr>
          <w:rFonts w:hint="default" w:ascii="Times New Roman" w:hAnsi="Times New Roman" w:eastAsia="宋体" w:cs="Times New Roman"/>
          <w:sz w:val="24"/>
          <w:szCs w:val="24"/>
        </w:rPr>
        <w:t>DB11/T 1844-2021</w:t>
      </w:r>
      <w:r>
        <w:rPr>
          <w:rFonts w:hint="eastAsia" w:ascii="宋体" w:hAnsi="宋体" w:eastAsia="宋体" w:cs="宋体"/>
          <w:sz w:val="24"/>
          <w:szCs w:val="24"/>
        </w:rPr>
        <w:t>。</w:t>
      </w:r>
    </w:p>
    <w:p w14:paraId="24F131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然而，目前我国现行的既有建筑改造类相关标准，一方面侧重于民用建筑，另一方面以安全性技术要求、绿色评价等方向为主</w:t>
      </w:r>
      <w:r>
        <w:rPr>
          <w:rFonts w:hint="eastAsia" w:ascii="宋体" w:hAnsi="宋体" w:cs="宋体"/>
          <w:sz w:val="24"/>
          <w:szCs w:val="24"/>
          <w:lang w:eastAsia="zh-CN"/>
        </w:rPr>
        <w:t>。</w:t>
      </w:r>
      <w:r>
        <w:rPr>
          <w:rFonts w:hint="eastAsia" w:ascii="宋体" w:hAnsi="宋体" w:eastAsia="宋体" w:cs="宋体"/>
          <w:sz w:val="24"/>
          <w:szCs w:val="24"/>
        </w:rPr>
        <w:t>一些经济发达地区，针对当地既有工业建筑的特性，也编制了针对绿色改造的技术标准，而对于既有工业建筑低碳改造方面，尚属空白。面对建筑行业实现碳达峰与碳中和的总目标，亟需编制一本适用于全国的既有工业建筑民用化低碳改造评价标准，从评价层面引领和推动既有工业建筑低碳有序发展，助力国家双碳目标的实现。</w:t>
      </w:r>
    </w:p>
    <w:p w14:paraId="56DFDB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对既有工业建筑民用化低碳改造进行评价和等级的划分，实现既有工业建筑民用化低碳改造性能认定从定性向定量的转换，助力既有工业建筑更新建设品质和人居环境质量提升，为城市更新的现代化建设和可持续发展创造条件，推动城市综合治理水平有序提高。</w:t>
      </w:r>
    </w:p>
    <w:p w14:paraId="1BBB4B0C">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1.0.2</w:t>
      </w:r>
      <w:r>
        <w:rPr>
          <w:rFonts w:hint="eastAsia" w:ascii="宋体" w:hAnsi="宋体" w:cs="宋体"/>
          <w:sz w:val="24"/>
          <w:szCs w:val="24"/>
        </w:rPr>
        <w:t xml:space="preserve">  </w:t>
      </w:r>
      <w:r>
        <w:rPr>
          <w:rFonts w:hint="eastAsia" w:ascii="宋体" w:hAnsi="宋体" w:eastAsia="宋体" w:cs="宋体"/>
          <w:sz w:val="24"/>
          <w:szCs w:val="24"/>
        </w:rPr>
        <w:t>本条规定了标准的适用范围。本标准适用于既有工业厂房、车间、作坊、库房等建筑物、构筑物及其附属设备、基础设施等改造为民用建筑的低碳性能改造评价。</w:t>
      </w:r>
    </w:p>
    <w:p w14:paraId="31880BAF">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1.0.3</w:t>
      </w:r>
      <w:r>
        <w:rPr>
          <w:rFonts w:hint="eastAsia" w:ascii="宋体" w:hAnsi="宋体" w:cs="宋体"/>
          <w:sz w:val="24"/>
          <w:szCs w:val="24"/>
        </w:rPr>
        <w:t xml:space="preserve">  </w:t>
      </w:r>
      <w:r>
        <w:rPr>
          <w:rFonts w:hint="eastAsia" w:ascii="宋体" w:hAnsi="宋体" w:eastAsia="宋体" w:cs="宋体"/>
          <w:sz w:val="24"/>
          <w:szCs w:val="24"/>
        </w:rPr>
        <w:t>既有工业建筑民用化低碳改造时，应注重改造项目自身特点，充分考虑当地的气候、资源、自然环境、经济、文化等。从既有工业建筑民用化低碳改造设计到施工、运营及最终的拆除，构成一个全寿命期。关注建筑的全寿命期，意味着不仅在改造设计阶段充分考虑并利用环境因素，而且确保施工过程中对环境的碳排放影响最低，运营阶段能为人们提供低碳的活动空间，以及拆除后又对环境危害最低。本标准以“以人为本”为核心要求，对既有工业建筑民用化低碳改造全寿命期内的场地与环境、建筑改造与利用、能源与水资源利用、建材与建造等性能进行综合评价。</w:t>
      </w:r>
    </w:p>
    <w:p w14:paraId="0D1B6483">
      <w:pPr>
        <w:spacing w:line="360" w:lineRule="auto"/>
        <w:ind w:firstLine="0" w:firstLineChars="0"/>
        <w:rPr>
          <w:rFonts w:hint="eastAsia" w:ascii="宋体" w:hAnsi="宋体" w:cs="宋体"/>
          <w:sz w:val="24"/>
          <w:szCs w:val="24"/>
        </w:rPr>
        <w:sectPr>
          <w:footerReference r:id="rId1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bCs/>
          <w:sz w:val="24"/>
          <w:szCs w:val="24"/>
        </w:rPr>
        <w:t>1.0.4</w:t>
      </w:r>
      <w:r>
        <w:rPr>
          <w:rFonts w:hint="eastAsia" w:ascii="宋体" w:hAnsi="宋体" w:cs="宋体"/>
          <w:sz w:val="24"/>
          <w:szCs w:val="24"/>
        </w:rPr>
        <w:t xml:space="preserve">  </w:t>
      </w:r>
      <w:r>
        <w:rPr>
          <w:rFonts w:hint="eastAsia" w:ascii="宋体" w:hAnsi="宋体" w:eastAsia="宋体" w:cs="宋体"/>
          <w:sz w:val="24"/>
          <w:szCs w:val="24"/>
        </w:rPr>
        <w:t>本标准重点针对既有工业建筑民用化低碳改造过程中低碳性能进行评价，并未涵盖建筑所应有的全部功能和性能要求，故参评建筑尚应符合国家及中国工程建设标准化协会现行有关标准的规定。</w:t>
      </w:r>
    </w:p>
    <w:p w14:paraId="0FC13DB4">
      <w:pPr>
        <w:widowControl/>
        <w:snapToGrid w:val="0"/>
        <w:spacing w:line="360" w:lineRule="auto"/>
        <w:jc w:val="both"/>
        <w:outlineLvl w:val="9"/>
        <w:rPr>
          <w:rFonts w:ascii="Times New Roman" w:hAnsi="Times New Roman" w:cs="Times New Roman"/>
          <w:b/>
          <w:bCs w:val="0"/>
          <w:kern w:val="2"/>
          <w:sz w:val="30"/>
          <w:szCs w:val="30"/>
        </w:rPr>
      </w:pPr>
    </w:p>
    <w:p w14:paraId="4DEF9E69">
      <w:pPr>
        <w:widowControl/>
        <w:snapToGrid w:val="0"/>
        <w:spacing w:line="360" w:lineRule="auto"/>
        <w:jc w:val="center"/>
        <w:outlineLvl w:val="0"/>
        <w:rPr>
          <w:rFonts w:ascii="Times New Roman" w:hAnsi="Times New Roman" w:cs="Times New Roman"/>
          <w:b/>
          <w:bCs w:val="0"/>
          <w:kern w:val="2"/>
          <w:sz w:val="30"/>
          <w:szCs w:val="30"/>
        </w:rPr>
      </w:pPr>
      <w:bookmarkStart w:id="259" w:name="_Toc27696"/>
      <w:bookmarkStart w:id="260" w:name="_Toc7906"/>
      <w:r>
        <w:rPr>
          <w:rFonts w:ascii="Times New Roman" w:hAnsi="Times New Roman" w:cs="Times New Roman"/>
          <w:b/>
          <w:bCs w:val="0"/>
          <w:kern w:val="2"/>
          <w:sz w:val="30"/>
          <w:szCs w:val="30"/>
        </w:rPr>
        <w:t xml:space="preserve">2  </w:t>
      </w:r>
      <w:r>
        <w:rPr>
          <w:rFonts w:hint="default" w:ascii="Times New Roman" w:hAnsi="Times New Roman" w:cs="Times New Roman"/>
          <w:b/>
          <w:bCs w:val="0"/>
          <w:kern w:val="2"/>
          <w:sz w:val="30"/>
          <w:szCs w:val="30"/>
        </w:rPr>
        <w:t>术语</w:t>
      </w:r>
      <w:bookmarkEnd w:id="259"/>
      <w:bookmarkEnd w:id="260"/>
    </w:p>
    <w:p w14:paraId="1DD5A2A8">
      <w:pPr>
        <w:widowControl/>
        <w:spacing w:line="360" w:lineRule="auto"/>
        <w:ind w:firstLine="0" w:firstLineChars="0"/>
        <w:jc w:val="both"/>
        <w:rPr>
          <w:rFonts w:hint="eastAsia" w:ascii="宋体" w:hAnsi="宋体" w:eastAsia="宋体" w:cs="宋体"/>
          <w:sz w:val="24"/>
          <w:szCs w:val="24"/>
        </w:rPr>
      </w:pPr>
      <w:r>
        <w:rPr>
          <w:rFonts w:hint="default" w:ascii="Times New Roman" w:hAnsi="Times New Roman" w:eastAsia="宋体" w:cs="Times New Roman"/>
          <w:b/>
          <w:bCs/>
          <w:sz w:val="24"/>
          <w:szCs w:val="24"/>
        </w:rPr>
        <w:t>2.0.4</w:t>
      </w:r>
      <w:r>
        <w:rPr>
          <w:rFonts w:hint="eastAsia" w:ascii="宋体" w:hAnsi="宋体" w:cs="宋体"/>
          <w:sz w:val="24"/>
          <w:szCs w:val="24"/>
        </w:rPr>
        <w:t xml:space="preserve">  </w:t>
      </w:r>
      <w:r>
        <w:rPr>
          <w:rFonts w:hint="eastAsia" w:ascii="宋体" w:hAnsi="宋体" w:eastAsia="宋体" w:cs="宋体"/>
          <w:sz w:val="24"/>
          <w:szCs w:val="24"/>
        </w:rPr>
        <w:t>众所周知，材料强度越高对应碳排放因子越高，因此无法明确因采用高强度材料减少了材料用量是否一定会降低碳排放。为更好衡量材料强度与碳排放间关系，给出碳强比概念，即建筑材料每单位强度需求或产生的碳排放量，从而更清晰明确材料强度与碳排放关系。</w:t>
      </w:r>
    </w:p>
    <w:p w14:paraId="79D0013A">
      <w:pPr>
        <w:widowControl/>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碳强比计算公式为：材料碳排放因子/材料强度，单位为</w:t>
      </w:r>
      <w:r>
        <w:rPr>
          <w:rFonts w:hint="default" w:ascii="Times New Roman" w:hAnsi="Times New Roman" w:eastAsia="宋体" w:cs="Times New Roman"/>
          <w:sz w:val="24"/>
          <w:szCs w:val="24"/>
        </w:rPr>
        <w:t>mm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e/t（㎡或m³）</w:t>
      </w:r>
      <w:r>
        <w:rPr>
          <w:rFonts w:hint="eastAsia" w:ascii="宋体" w:hAnsi="宋体" w:eastAsia="宋体" w:cs="宋体"/>
          <w:sz w:val="24"/>
          <w:szCs w:val="24"/>
        </w:rPr>
        <w:t>。</w:t>
      </w:r>
    </w:p>
    <w:p w14:paraId="60F31E68">
      <w:pPr>
        <w:widowControl/>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以三级钢筋为例，其碳排放因子为</w:t>
      </w:r>
      <w:r>
        <w:rPr>
          <w:rFonts w:hint="default" w:ascii="Times New Roman" w:hAnsi="Times New Roman" w:eastAsia="宋体" w:cs="Times New Roman"/>
          <w:sz w:val="24"/>
          <w:szCs w:val="24"/>
        </w:rPr>
        <w:t>2050kg 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e/t</w:t>
      </w:r>
      <w:r>
        <w:rPr>
          <w:rFonts w:hint="eastAsia" w:ascii="宋体" w:hAnsi="宋体" w:eastAsia="宋体" w:cs="宋体"/>
          <w:sz w:val="24"/>
          <w:szCs w:val="24"/>
        </w:rPr>
        <w:t>,抗拉强度设计值为</w:t>
      </w:r>
      <w:r>
        <w:rPr>
          <w:rFonts w:hint="default" w:ascii="Times New Roman" w:hAnsi="Times New Roman" w:eastAsia="宋体" w:cs="Times New Roman"/>
          <w:sz w:val="24"/>
          <w:szCs w:val="24"/>
        </w:rPr>
        <w:t>360N/mm</w:t>
      </w:r>
      <w:r>
        <w:rPr>
          <w:rFonts w:hint="default" w:ascii="Times New Roman" w:hAnsi="Times New Roman" w:eastAsia="宋体" w:cs="Times New Roman"/>
          <w:sz w:val="24"/>
          <w:szCs w:val="24"/>
          <w:vertAlign w:val="superscript"/>
        </w:rPr>
        <w:t>2</w:t>
      </w:r>
      <w:r>
        <w:rPr>
          <w:rFonts w:hint="eastAsia" w:ascii="宋体" w:hAnsi="宋体" w:eastAsia="宋体" w:cs="宋体"/>
          <w:sz w:val="24"/>
          <w:szCs w:val="24"/>
        </w:rPr>
        <w:t>，其碳排放因子为</w:t>
      </w:r>
      <w:r>
        <w:rPr>
          <w:rFonts w:hint="default" w:ascii="Times New Roman" w:hAnsi="Times New Roman" w:eastAsia="宋体" w:cs="Times New Roman"/>
          <w:sz w:val="24"/>
          <w:szCs w:val="24"/>
        </w:rPr>
        <w:t>2050/360=0.581mm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e/t</w:t>
      </w:r>
      <w:r>
        <w:rPr>
          <w:rFonts w:hint="eastAsia" w:ascii="宋体" w:hAnsi="宋体" w:eastAsia="宋体" w:cs="宋体"/>
          <w:sz w:val="24"/>
          <w:szCs w:val="24"/>
        </w:rPr>
        <w:t>。</w:t>
      </w:r>
    </w:p>
    <w:p w14:paraId="54D80E45"/>
    <w:p w14:paraId="2D889666"/>
    <w:p w14:paraId="3ACFC52D">
      <w:r>
        <w:rPr>
          <w:rFonts w:hint="eastAsia"/>
        </w:rPr>
        <w:br w:type="page"/>
      </w:r>
    </w:p>
    <w:p w14:paraId="16CF99BC">
      <w:pPr>
        <w:widowControl/>
        <w:snapToGrid w:val="0"/>
        <w:spacing w:line="360" w:lineRule="auto"/>
        <w:jc w:val="both"/>
        <w:outlineLvl w:val="9"/>
        <w:rPr>
          <w:rFonts w:ascii="Times New Roman" w:hAnsi="Times New Roman" w:cs="Times New Roman"/>
          <w:b/>
          <w:bCs w:val="0"/>
          <w:kern w:val="2"/>
          <w:sz w:val="30"/>
          <w:szCs w:val="30"/>
        </w:rPr>
      </w:pPr>
    </w:p>
    <w:p w14:paraId="48E91EF2">
      <w:pPr>
        <w:widowControl/>
        <w:snapToGrid w:val="0"/>
        <w:spacing w:line="360" w:lineRule="auto"/>
        <w:jc w:val="center"/>
        <w:outlineLvl w:val="0"/>
        <w:rPr>
          <w:rFonts w:ascii="Times New Roman" w:hAnsi="Times New Roman" w:cs="Times New Roman"/>
          <w:b/>
          <w:bCs w:val="0"/>
          <w:kern w:val="2"/>
          <w:sz w:val="30"/>
          <w:szCs w:val="30"/>
        </w:rPr>
      </w:pPr>
      <w:bookmarkStart w:id="261" w:name="_Toc21998"/>
      <w:bookmarkStart w:id="262" w:name="_Toc8392"/>
      <w:r>
        <w:rPr>
          <w:rFonts w:ascii="Times New Roman" w:hAnsi="Times New Roman" w:cs="Times New Roman"/>
          <w:b/>
          <w:bCs w:val="0"/>
          <w:kern w:val="2"/>
          <w:sz w:val="30"/>
          <w:szCs w:val="30"/>
        </w:rPr>
        <w:t xml:space="preserve">3  </w:t>
      </w:r>
      <w:r>
        <w:rPr>
          <w:rFonts w:hint="default" w:ascii="Times New Roman" w:hAnsi="Times New Roman" w:cs="Times New Roman"/>
          <w:b/>
          <w:bCs w:val="0"/>
          <w:kern w:val="2"/>
          <w:sz w:val="30"/>
          <w:szCs w:val="30"/>
        </w:rPr>
        <w:t>基本规定</w:t>
      </w:r>
      <w:bookmarkEnd w:id="261"/>
      <w:bookmarkEnd w:id="262"/>
    </w:p>
    <w:p w14:paraId="52FC4D45">
      <w:pPr>
        <w:tabs>
          <w:tab w:val="left" w:pos="0"/>
        </w:tabs>
        <w:spacing w:before="0" w:beforeLines="0" w:after="0" w:afterLines="0" w:line="360" w:lineRule="auto"/>
        <w:jc w:val="center"/>
        <w:outlineLvl w:val="1"/>
        <w:rPr>
          <w:rFonts w:ascii="黑体" w:hAnsi="黑体" w:eastAsia="黑体" w:cs="黑体"/>
          <w:b/>
          <w:bCs/>
          <w:sz w:val="28"/>
          <w:szCs w:val="28"/>
        </w:rPr>
      </w:pPr>
      <w:bookmarkStart w:id="263" w:name="_Toc26377"/>
      <w:bookmarkStart w:id="264" w:name="_Toc1058"/>
      <w:r>
        <w:rPr>
          <w:rFonts w:ascii="Times New Roman" w:hAnsi="Times New Roman" w:eastAsia="黑体" w:cs="Times New Roman"/>
          <w:b/>
          <w:bCs/>
          <w:sz w:val="28"/>
          <w:szCs w:val="28"/>
        </w:rPr>
        <w:t>3.1</w:t>
      </w:r>
      <w:r>
        <w:rPr>
          <w:rFonts w:ascii="黑体" w:hAnsi="黑体" w:eastAsia="黑体" w:cs="黑体"/>
          <w:b/>
          <w:bCs/>
          <w:sz w:val="28"/>
          <w:szCs w:val="28"/>
        </w:rPr>
        <w:t xml:space="preserve">  </w:t>
      </w:r>
      <w:r>
        <w:rPr>
          <w:rFonts w:hint="eastAsia" w:ascii="黑体" w:hAnsi="黑体" w:eastAsia="黑体" w:cs="黑体"/>
          <w:b/>
          <w:bCs/>
          <w:sz w:val="28"/>
          <w:szCs w:val="28"/>
        </w:rPr>
        <w:t>一般规定</w:t>
      </w:r>
      <w:bookmarkEnd w:id="263"/>
      <w:bookmarkEnd w:id="264"/>
    </w:p>
    <w:p w14:paraId="46C73EF8">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3.1.1</w:t>
      </w:r>
      <w:r>
        <w:rPr>
          <w:rFonts w:hint="eastAsia" w:ascii="宋体" w:hAnsi="宋体" w:cs="宋体"/>
          <w:sz w:val="24"/>
          <w:szCs w:val="24"/>
        </w:rPr>
        <w:t>　</w:t>
      </w:r>
      <w:r>
        <w:rPr>
          <w:rFonts w:hint="eastAsia" w:ascii="宋体" w:hAnsi="宋体" w:eastAsia="宋体" w:cs="宋体"/>
          <w:sz w:val="24"/>
          <w:szCs w:val="24"/>
        </w:rPr>
        <w:t>既有工业建筑民用化低碳改造完成后的建筑单体和同一功能的建筑群均可以参评低碳建筑，临时建筑不得参评。单栋建筑应为完整的建筑，不得从中剔除部分区域。</w:t>
      </w:r>
    </w:p>
    <w:p w14:paraId="0A1997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有工业建筑民用化低碳改造的评价，首先应基于评价对象的性能要求。当需要对某工程项目中的单栋建筑或同一功能的建筑群进行评价时，由于有些评价指标是针对该工程项目设定的，或该工程项目中其他建筑也采用了相同的技术方案，难以仅基于该单栋建筑进行评价，此时，应以该栋建筑所属工程项目的总体为基准进行评价。也就是说，评价内容涉及工程建设项目总体要求时（如绿地率、室外景观水体等控制指标），应依据该项目的整体控制指标，即所在地城乡规划行政主管部门核发的工程建设规划许可证及其设计条件提出的控制要求，进行评价。</w:t>
      </w:r>
    </w:p>
    <w:p w14:paraId="7D4393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一功能的建筑群是指位置毗邻、功能相同、权属相同、技术体系相同或相近的两个及以上单体建筑组成的群体。当对建筑群进行评价时，可先用本标准评分项和加分项对各单体建筑进行评价，得到各单体建筑的总得分，再按各单体建筑的建筑面积进行加权计算得到建筑群的总得分，最后按建筑群的总得分确定既有工业建筑群的低碳建筑等级。</w:t>
      </w:r>
    </w:p>
    <w:p w14:paraId="7237E9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无论评价对象为单栋建筑还是同一功能的建筑群，计算系统性、整体性指标时，边界应选取合理、口径一致。</w:t>
      </w:r>
    </w:p>
    <w:p w14:paraId="086B9FEC">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对于民用化改造后的工业建筑，可能会存在两个或两个以上业主的多功能综合性建筑，此情况下可灵活处理，首先仍应考虑“以一栋完整的建筑为基本对象”的原则，鼓励其业主联合申请低碳建筑评价；如所有业主无法联合申请，但有业主有意愿单独申请时，可对建筑中的部分区域进行评价，但申请评价的区域，有相对独立的暖通空调、给水排水等设备系统，此区域的电、气、热、水耗也能独立计量，还应明确物业产权和运行管理涵盖的区域，涉及的系统性、整体性指标，还应按照本条的规定执行。</w:t>
      </w:r>
    </w:p>
    <w:p w14:paraId="58839A92">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3.1.2</w:t>
      </w:r>
      <w:r>
        <w:rPr>
          <w:rFonts w:hint="eastAsia" w:ascii="宋体" w:hAnsi="宋体" w:cs="宋体"/>
          <w:sz w:val="24"/>
          <w:szCs w:val="24"/>
        </w:rPr>
        <w:t>　</w:t>
      </w:r>
      <w:r>
        <w:rPr>
          <w:rFonts w:hint="eastAsia" w:ascii="宋体" w:hAnsi="宋体" w:eastAsia="宋体" w:cs="宋体"/>
          <w:sz w:val="24"/>
          <w:szCs w:val="24"/>
        </w:rPr>
        <w:t>国家发展改革委、住房城乡建设部《加快推动建筑领域节能降碳工作方案》明确提出促进经济社会发展全面绿色转型，加快推动建筑领域节能降碳。与常规建筑领域降碳的发展方向相同，既有工业建筑民用化低碳改造也需要注重向运行实效方向发展，所以既有工业建筑民用化低碳改造性能评价应该设置在改造工程竣工后进行。</w:t>
      </w:r>
    </w:p>
    <w:p w14:paraId="4C62DD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此外，本条提出“在建筑工程施工图设计完成后，应进行预评价”，主要是考虑预评价能够更早地掌握改造过程中可能实现的低碳性能，可以及时优化或调整改造方案或技术措施，为建成后的运行管理做准备。</w:t>
      </w:r>
    </w:p>
    <w:p w14:paraId="46F1EFD8">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3.1.3</w:t>
      </w:r>
      <w:r>
        <w:rPr>
          <w:rFonts w:hint="eastAsia" w:ascii="宋体" w:hAnsi="宋体" w:cs="宋体"/>
          <w:sz w:val="24"/>
          <w:szCs w:val="24"/>
        </w:rPr>
        <w:t>　</w:t>
      </w:r>
      <w:r>
        <w:rPr>
          <w:rFonts w:hint="eastAsia" w:ascii="宋体" w:hAnsi="宋体" w:eastAsia="宋体" w:cs="宋体"/>
          <w:sz w:val="24"/>
          <w:szCs w:val="24"/>
        </w:rPr>
        <w:t>本条对既有工业建筑参与评价的条件进行了要求。</w:t>
      </w:r>
    </w:p>
    <w:p w14:paraId="2236AEFD">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标准针对既有工业建筑民用化低碳改造制定，其参与评价的前提是在保护既有工业建筑的基础上改造再利用，从而保留城市文化的记忆。为此，在建筑结构、场地环境、土壤状况、构筑物等安全可靠的前提下，本条将既有建筑空间、构配件、设备和系统、构筑物等综合改造再利用作为参与评价的基本条件。如果完全拆除既有工业建筑，在原址上重建、仿建，或者改造后建筑面积或占地面积远超改造前既有工业建筑的建筑面积或占地面积，则与本标准的编制目的相违背，标准中的相关技术条文也不适用。故参与本标准评价时，应充分利用既有建筑空间、构配件、设备和系统、构筑物等，并提交相关分析论证的报告。</w:t>
      </w:r>
    </w:p>
    <w:p w14:paraId="55C75739">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既有工业建筑民用化低碳改造前要综合考虑项目现状、改造模式、功能需求等因素,从而进行改造前评估、策划并在此基础上制定低碳改造方案和改造目标。通过改造前评估与策划可以对既有工业建筑各方面的性能现状进行全面了解，可充分考虑既有工业建筑所处区域的整体规划要求、改造采用的投、融资模式，改造前后建筑功能变化等，确定既有工业建筑民用化低碳改造的潜力和可行性，保证改造方案的合理性和经济性。改造前评估可采用现场查勘、问卷调研、资料审阅、现场检测、软件模拟等办法，确定建筑现状及运行效果。可行性研究报告或改造方案可包括：项目概况、改造方案的分析、经济性分析、资源利用分析、社会环境效益分析、环境保护措施、风险控制策略、结论与建议等。</w:t>
      </w:r>
    </w:p>
    <w:p w14:paraId="0874DAC1">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3.1.4</w:t>
      </w:r>
      <w:r>
        <w:rPr>
          <w:rFonts w:hint="eastAsia" w:ascii="宋体" w:hAnsi="宋体" w:cs="宋体"/>
          <w:sz w:val="24"/>
          <w:szCs w:val="24"/>
        </w:rPr>
        <w:t>　</w:t>
      </w:r>
      <w:r>
        <w:rPr>
          <w:rFonts w:hint="eastAsia" w:ascii="宋体" w:hAnsi="宋体" w:eastAsia="宋体" w:cs="宋体"/>
          <w:sz w:val="24"/>
          <w:szCs w:val="24"/>
        </w:rPr>
        <w:t>本条对申请评价方的相关工作提出要求。申请评价方依据有关管理制度文件确定。申请评价方应对建筑全寿命期内各个阶段进行控制，优化建筑技术、设备和材料选用，综合评估建筑规模、建筑技术与投资之间的总体平衡，并按本标准的要求提交相应分析、测试报告和相关文件，涉及计算和测试的结果，应明确计算方法和测试方法。申请评价方对所提交资料的真实性和完整性负责。</w:t>
      </w:r>
    </w:p>
    <w:p w14:paraId="46070FFC">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对既有工业建筑民用化低碳改造评价机构的相关工作提出要求。既有工业建筑民用化低碳改造评价机构依据有关管理制度文件确定。既有工业建筑民用化低碳改造评价机构应按照本标准的有关要求审查申请评价方提交的报告、文档，并在评价报告中确定等级。</w:t>
      </w:r>
    </w:p>
    <w:p w14:paraId="6765F349">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3.1.5</w:t>
      </w:r>
      <w:r>
        <w:rPr>
          <w:rFonts w:hint="eastAsia" w:ascii="宋体" w:hAnsi="宋体" w:cs="宋体"/>
          <w:sz w:val="24"/>
          <w:szCs w:val="24"/>
        </w:rPr>
        <w:t>　</w:t>
      </w:r>
      <w:r>
        <w:rPr>
          <w:rFonts w:hint="eastAsia" w:ascii="宋体" w:hAnsi="宋体" w:eastAsia="宋体" w:cs="宋体"/>
          <w:sz w:val="24"/>
          <w:szCs w:val="24"/>
        </w:rPr>
        <w:t>本条对既有工业建筑民用化低碳改造全寿命期单位面积碳排放计算方法和专项报告进行了规定。与新建建筑类似，既有工业建筑民用化低碳改造全寿命期碳排放包含建筑物化阶段碳排放（建材生产、运输、建筑施工、维护加固、拆除等过程中产生的碳排放，又称为建筑隐含碳）和建筑运行阶段碳排放。不同的是，改造保留的建筑构件，因已经在改造前的履约周期或建筑碳管理工作中计算和考核过，故这部分的建筑隐含碳可以不计算。此外，既有工业建筑在进行结构加固改造后，建筑的预期使用年限会发生变化，在进行全寿命期碳排放计算时应采用更新后的建筑使用年限。建筑全寿命期单位建筑面积碳排放强度是全寿命期碳排放与建筑面积的比值，单位是</w:t>
      </w:r>
      <w:r>
        <w:rPr>
          <w:rFonts w:hint="default" w:ascii="Times New Roman" w:hAnsi="Times New Roman" w:eastAsia="宋体" w:cs="Times New Roman"/>
          <w:sz w:val="24"/>
          <w:szCs w:val="24"/>
        </w:rPr>
        <w:t>kgCO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eastAsia" w:ascii="宋体" w:hAnsi="宋体" w:eastAsia="宋体" w:cs="宋体"/>
          <w:sz w:val="24"/>
          <w:szCs w:val="24"/>
        </w:rPr>
        <w:t>。</w:t>
      </w:r>
    </w:p>
    <w:p w14:paraId="6C84E7A6">
      <w:pPr>
        <w:tabs>
          <w:tab w:val="left" w:pos="0"/>
        </w:tabs>
        <w:spacing w:before="0" w:beforeLines="0" w:after="0" w:afterLines="0" w:line="360" w:lineRule="auto"/>
        <w:jc w:val="center"/>
        <w:outlineLvl w:val="1"/>
        <w:rPr>
          <w:rFonts w:ascii="黑体" w:hAnsi="黑体" w:eastAsia="黑体" w:cs="黑体"/>
          <w:b/>
          <w:bCs/>
          <w:sz w:val="28"/>
          <w:szCs w:val="28"/>
        </w:rPr>
      </w:pPr>
      <w:bookmarkStart w:id="265" w:name="_Toc18415"/>
      <w:bookmarkStart w:id="266" w:name="_Toc4120"/>
      <w:r>
        <w:rPr>
          <w:rFonts w:ascii="Times New Roman" w:hAnsi="Times New Roman" w:eastAsia="黑体" w:cs="Times New Roman"/>
          <w:b/>
          <w:bCs/>
          <w:sz w:val="28"/>
          <w:szCs w:val="28"/>
        </w:rPr>
        <w:t>3.2</w:t>
      </w:r>
      <w:r>
        <w:rPr>
          <w:rFonts w:ascii="黑体" w:hAnsi="黑体" w:eastAsia="黑体" w:cs="黑体"/>
          <w:b/>
          <w:bCs/>
          <w:sz w:val="28"/>
          <w:szCs w:val="28"/>
        </w:rPr>
        <w:t xml:space="preserve">  </w:t>
      </w:r>
      <w:r>
        <w:rPr>
          <w:rFonts w:hint="eastAsia" w:ascii="黑体" w:hAnsi="黑体" w:eastAsia="黑体" w:cs="黑体"/>
          <w:b/>
          <w:bCs/>
          <w:sz w:val="28"/>
          <w:szCs w:val="28"/>
        </w:rPr>
        <w:t>评价与等级划分</w:t>
      </w:r>
      <w:bookmarkEnd w:id="265"/>
      <w:bookmarkEnd w:id="266"/>
    </w:p>
    <w:p w14:paraId="0C901B14">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3.2.1</w:t>
      </w:r>
      <w:r>
        <w:rPr>
          <w:rFonts w:hint="eastAsia" w:ascii="宋体" w:hAnsi="宋体" w:cs="宋体"/>
          <w:sz w:val="24"/>
          <w:szCs w:val="24"/>
        </w:rPr>
        <w:t>　</w:t>
      </w:r>
      <w:r>
        <w:rPr>
          <w:rFonts w:hint="eastAsia" w:ascii="宋体" w:hAnsi="宋体" w:eastAsia="宋体" w:cs="宋体"/>
          <w:sz w:val="24"/>
          <w:szCs w:val="24"/>
        </w:rPr>
        <w:t>既有工业建筑民用化改造后，要以“四节一环保”为基本约束，遵循以人民为中心的发展理念。</w:t>
      </w:r>
    </w:p>
    <w:p w14:paraId="6F5E4319">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每类指标均包括控制项和评分项。为了鼓励既有工业建筑民用化低碳改造过程中采用提高、创新的建筑技术和产品建造更高性能的低碳建筑，评价指标体系还统一设置“提高创新”加分项。</w:t>
      </w:r>
    </w:p>
    <w:p w14:paraId="0B1DDE00">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3.2.2</w:t>
      </w:r>
      <w:r>
        <w:rPr>
          <w:rFonts w:hint="eastAsia" w:ascii="宋体" w:hAnsi="宋体" w:cs="宋体"/>
          <w:sz w:val="24"/>
          <w:szCs w:val="24"/>
        </w:rPr>
        <w:t>　</w:t>
      </w:r>
      <w:r>
        <w:rPr>
          <w:rFonts w:hint="eastAsia" w:ascii="宋体" w:hAnsi="宋体" w:eastAsia="宋体" w:cs="宋体"/>
          <w:sz w:val="24"/>
          <w:szCs w:val="24"/>
        </w:rPr>
        <w:t>评分项的评价，依据评价条文的规定确定得分或不得分，得分时根据需要对具体评分子项确定得分值，或根据具体达标程度确定得分值。加分项的评价，依据评价条文的规定确定得分或不得分。</w:t>
      </w:r>
    </w:p>
    <w:p w14:paraId="06F0AA63">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本标准中评分项和加分项条文主干部分给出了该条文的“评价分值”或“评价总分值”，是该条可能得到的最高分值。</w:t>
      </w:r>
    </w:p>
    <w:p w14:paraId="55F1DE16">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3.2.3</w:t>
      </w:r>
      <w:r>
        <w:rPr>
          <w:rFonts w:hint="eastAsia" w:ascii="宋体" w:hAnsi="宋体" w:cs="宋体"/>
          <w:sz w:val="24"/>
          <w:szCs w:val="24"/>
        </w:rPr>
        <w:t>　</w:t>
      </w:r>
      <w:r>
        <w:rPr>
          <w:rFonts w:hint="eastAsia" w:ascii="宋体" w:hAnsi="宋体" w:eastAsia="宋体" w:cs="宋体"/>
          <w:sz w:val="24"/>
          <w:szCs w:val="24"/>
        </w:rPr>
        <w:t>不论建筑功能是否综合，均以各个条/款为基本评判单元。对于某一条文，只要建筑中有相关区域涉及，则该建筑就参评并确定得分。总体原则为：只要有涉及即全部参评；系统性、整体性指标应总体评价；所有部分均满足要求才给分；递进分档的条文，按“就低不就高”的原则确定得分；上述情况之外的特殊情况可特殊处理。标准后文中不再一一说明。建筑整体的等级仍按本标准的规定确定。</w:t>
      </w:r>
    </w:p>
    <w:p w14:paraId="2073578D">
      <w:pPr>
        <w:spacing w:line="360" w:lineRule="auto"/>
        <w:ind w:firstLine="0"/>
        <w:rPr>
          <w:rFonts w:hint="eastAsia" w:ascii="宋体" w:hAnsi="宋体" w:eastAsia="宋体" w:cs="宋体"/>
          <w:sz w:val="24"/>
          <w:szCs w:val="24"/>
        </w:rPr>
      </w:pPr>
      <w:r>
        <w:rPr>
          <w:rFonts w:hint="default" w:ascii="Times New Roman" w:hAnsi="Times New Roman" w:eastAsia="宋体" w:cs="Times New Roman"/>
          <w:b/>
          <w:bCs/>
          <w:sz w:val="24"/>
          <w:szCs w:val="24"/>
        </w:rPr>
        <w:t>3.2.4</w:t>
      </w:r>
      <w:r>
        <w:rPr>
          <w:rFonts w:hint="eastAsia" w:ascii="宋体" w:hAnsi="宋体" w:cs="宋体"/>
          <w:sz w:val="24"/>
          <w:szCs w:val="24"/>
        </w:rPr>
        <w:t>　</w:t>
      </w:r>
      <w:r>
        <w:rPr>
          <w:rFonts w:hint="eastAsia" w:ascii="宋体" w:hAnsi="宋体" w:eastAsia="宋体" w:cs="宋体"/>
          <w:sz w:val="24"/>
          <w:szCs w:val="24"/>
        </w:rPr>
        <w:t>本标准中既有工业建筑民用化低碳改造评价控制项基础分值的获得条件是满足本标准所有控制项的要求。“能源与水资源利用”指标包含了能源综合利用、节水与水资源利用、电气与智能化的相关内容，包括内容较多，是既有工业建筑民用化低碳改造关注的重点，故该指标的总分值高于其他指标。“提高创新”为加分项，鼓励低碳改造性能提升和技术创新。</w:t>
      </w:r>
    </w:p>
    <w:p w14:paraId="0E0048B0">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当某项评价指标的评分项存在不参评时，应对该指标的得分率进行计算，即为该指标的最终得分。例如，场地与环境指标的参评分数为</w:t>
      </w:r>
      <w:r>
        <w:rPr>
          <w:rFonts w:hint="default" w:ascii="Times New Roman" w:hAnsi="Times New Roman" w:eastAsia="宋体" w:cs="Times New Roman"/>
          <w:sz w:val="24"/>
          <w:szCs w:val="24"/>
        </w:rPr>
        <w:t>90</w:t>
      </w:r>
      <w:r>
        <w:rPr>
          <w:rFonts w:hint="eastAsia" w:ascii="宋体" w:hAnsi="宋体" w:eastAsia="宋体" w:cs="宋体"/>
          <w:sz w:val="24"/>
          <w:szCs w:val="24"/>
        </w:rPr>
        <w:t>分，实际评价得分为</w:t>
      </w:r>
      <w:r>
        <w:rPr>
          <w:rFonts w:hint="default" w:ascii="Times New Roman" w:hAnsi="Times New Roman" w:eastAsia="宋体" w:cs="Times New Roman"/>
          <w:sz w:val="24"/>
          <w:szCs w:val="24"/>
        </w:rPr>
        <w:t>72</w:t>
      </w:r>
      <w:r>
        <w:rPr>
          <w:rFonts w:hint="eastAsia" w:ascii="宋体" w:hAnsi="宋体" w:eastAsia="宋体" w:cs="宋体"/>
          <w:sz w:val="24"/>
          <w:szCs w:val="24"/>
        </w:rPr>
        <w:t>分，则该指标的最终得分为：</w:t>
      </w:r>
      <w:r>
        <w:rPr>
          <w:rFonts w:hint="default" w:ascii="Times New Roman" w:hAnsi="Times New Roman" w:eastAsia="宋体" w:cs="Times New Roman"/>
          <w:sz w:val="24"/>
          <w:szCs w:val="24"/>
        </w:rPr>
        <w:t>（72÷90）×100=80</w:t>
      </w:r>
      <w:r>
        <w:rPr>
          <w:rFonts w:hint="eastAsia" w:ascii="宋体" w:hAnsi="宋体" w:eastAsia="宋体" w:cs="宋体"/>
          <w:sz w:val="24"/>
          <w:szCs w:val="24"/>
        </w:rPr>
        <w:t>分。</w:t>
      </w:r>
    </w:p>
    <w:p w14:paraId="6035E501">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本条规定的评价指标评分项满分值、提高与创新加分项满分值均为最高可能的分值。提高与创新项得分为加分项得分之和，当得分大于</w:t>
      </w:r>
      <w:r>
        <w:rPr>
          <w:rFonts w:hint="default" w:ascii="Times New Roman" w:hAnsi="Times New Roman" w:eastAsia="宋体" w:cs="Times New Roman"/>
          <w:sz w:val="24"/>
          <w:szCs w:val="24"/>
        </w:rPr>
        <w:t>100</w:t>
      </w:r>
      <w:r>
        <w:rPr>
          <w:rFonts w:hint="eastAsia" w:ascii="宋体" w:hAnsi="宋体" w:eastAsia="宋体" w:cs="宋体"/>
          <w:sz w:val="24"/>
          <w:szCs w:val="24"/>
        </w:rPr>
        <w:t>分时，应取为</w:t>
      </w:r>
      <w:r>
        <w:rPr>
          <w:rFonts w:hint="default" w:ascii="Times New Roman" w:hAnsi="Times New Roman" w:eastAsia="宋体" w:cs="Times New Roman"/>
          <w:sz w:val="24"/>
          <w:szCs w:val="24"/>
        </w:rPr>
        <w:t>100</w:t>
      </w:r>
      <w:r>
        <w:rPr>
          <w:rFonts w:hint="eastAsia" w:ascii="宋体" w:hAnsi="宋体" w:eastAsia="宋体" w:cs="宋体"/>
          <w:sz w:val="24"/>
          <w:szCs w:val="24"/>
        </w:rPr>
        <w:t>分。民用化低碳改造评价应在建筑工程竣工后进行，对于刚刚竣工后即评价的建筑，部分与运行有关的条文仍无法得分。</w:t>
      </w:r>
    </w:p>
    <w:p w14:paraId="396883FB">
      <w:pPr>
        <w:spacing w:line="360" w:lineRule="auto"/>
        <w:ind w:firstLine="0" w:firstLineChars="0"/>
        <w:rPr>
          <w:rFonts w:hint="eastAsia" w:ascii="宋体" w:hAnsi="宋体" w:cs="宋体"/>
          <w:sz w:val="24"/>
          <w:szCs w:val="24"/>
        </w:rPr>
      </w:pPr>
      <w:r>
        <w:rPr>
          <w:rFonts w:hint="default" w:ascii="Times New Roman" w:hAnsi="Times New Roman" w:eastAsia="宋体" w:cs="Times New Roman"/>
          <w:b/>
          <w:bCs/>
          <w:sz w:val="24"/>
          <w:szCs w:val="24"/>
        </w:rPr>
        <w:t>3.2.5</w:t>
      </w:r>
      <w:r>
        <w:rPr>
          <w:rFonts w:hint="eastAsia" w:ascii="宋体" w:hAnsi="宋体" w:cs="宋体"/>
          <w:sz w:val="24"/>
          <w:szCs w:val="24"/>
        </w:rPr>
        <w:t>　</w:t>
      </w:r>
      <w:r>
        <w:rPr>
          <w:rFonts w:hint="eastAsia" w:ascii="宋体" w:hAnsi="宋体" w:eastAsia="宋体" w:cs="宋体"/>
          <w:sz w:val="24"/>
          <w:szCs w:val="24"/>
        </w:rPr>
        <w:t>本条对既有工业建筑民用化低碳改造评价中的总得分的计算方法作出了规定。参评建筑的总得分由控制项基础分值、评分项得分和提高创新项得分三部分组成，总得分满分为</w:t>
      </w:r>
      <w:r>
        <w:rPr>
          <w:rFonts w:hint="default" w:ascii="Times New Roman" w:hAnsi="Times New Roman" w:eastAsia="宋体" w:cs="Times New Roman"/>
          <w:sz w:val="24"/>
          <w:szCs w:val="24"/>
        </w:rPr>
        <w:t>110</w:t>
      </w:r>
      <w:r>
        <w:rPr>
          <w:rFonts w:hint="eastAsia" w:ascii="宋体" w:hAnsi="宋体" w:eastAsia="宋体" w:cs="宋体"/>
          <w:sz w:val="24"/>
          <w:szCs w:val="24"/>
        </w:rPr>
        <w:t>分。控制项基础分值的获得条件是满足本标准所有控制项的要求，提高创新的得分应按本标准第</w:t>
      </w:r>
      <w:r>
        <w:rPr>
          <w:rFonts w:hint="default" w:ascii="Times New Roman" w:hAnsi="Times New Roman" w:eastAsia="宋体" w:cs="Times New Roman"/>
          <w:sz w:val="24"/>
          <w:szCs w:val="24"/>
        </w:rPr>
        <w:t>8</w:t>
      </w:r>
      <w:r>
        <w:rPr>
          <w:rFonts w:hint="eastAsia" w:ascii="宋体" w:hAnsi="宋体" w:eastAsia="宋体" w:cs="宋体"/>
          <w:sz w:val="24"/>
          <w:szCs w:val="24"/>
        </w:rPr>
        <w:t>章的相关要求确定。</w:t>
      </w:r>
    </w:p>
    <w:p w14:paraId="5AC6AFF9">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3.2.6</w:t>
      </w:r>
      <w:r>
        <w:rPr>
          <w:rFonts w:hint="eastAsia" w:ascii="宋体" w:hAnsi="宋体" w:cs="宋体"/>
          <w:sz w:val="24"/>
          <w:szCs w:val="24"/>
        </w:rPr>
        <w:t>　</w:t>
      </w:r>
      <w:r>
        <w:rPr>
          <w:rFonts w:hint="eastAsia" w:ascii="宋体" w:hAnsi="宋体" w:eastAsia="宋体" w:cs="宋体"/>
          <w:sz w:val="24"/>
          <w:szCs w:val="24"/>
        </w:rPr>
        <w:t>本标准中设置“基本级”，扩大既有工业建筑民用化低碳改造的覆盖面。基本级的设置，考虑了全国不同地区既有工业建筑本身状况的差异、低碳改造发展的不平衡性。</w:t>
      </w:r>
    </w:p>
    <w:p w14:paraId="7EC11A6F">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3.2.7</w:t>
      </w:r>
      <w:r>
        <w:rPr>
          <w:rFonts w:hint="eastAsia" w:ascii="宋体" w:hAnsi="宋体" w:cs="宋体"/>
          <w:sz w:val="24"/>
          <w:szCs w:val="24"/>
        </w:rPr>
        <w:t>　</w:t>
      </w:r>
      <w:r>
        <w:rPr>
          <w:rFonts w:hint="eastAsia" w:ascii="宋体" w:hAnsi="宋体" w:eastAsia="宋体" w:cs="宋体"/>
          <w:sz w:val="24"/>
          <w:szCs w:val="24"/>
        </w:rPr>
        <w:t>控制项是低碳建筑参与评价的必要条件，保证既有工业建筑民用化低碳改造完成后的基本性能，所有参与评价的既有工业建筑均应满足。当建筑项目满足本标准全部控制项的要求时，既有工业建筑民用化低碳改造的等级即达到基本级。</w:t>
      </w:r>
    </w:p>
    <w:p w14:paraId="2D33532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3.2.8</w:t>
      </w:r>
      <w:r>
        <w:rPr>
          <w:rFonts w:hint="eastAsia" w:ascii="宋体" w:hAnsi="宋体" w:cs="宋体"/>
          <w:sz w:val="24"/>
          <w:szCs w:val="24"/>
        </w:rPr>
        <w:t>　</w:t>
      </w:r>
      <w:r>
        <w:rPr>
          <w:rFonts w:hint="eastAsia" w:ascii="宋体" w:hAnsi="宋体" w:eastAsia="宋体" w:cs="宋体"/>
          <w:sz w:val="24"/>
          <w:szCs w:val="24"/>
        </w:rPr>
        <w:t>当对既有工业建筑民用化低碳改造进行星级评价时，首先应该满足本标准规定的全部控制项要求，同时规定了每类评价指标的最低得分要求，以实现低碳建筑的性能均衡。按本标准第</w:t>
      </w:r>
      <w:r>
        <w:rPr>
          <w:rFonts w:hint="default" w:ascii="Times New Roman" w:hAnsi="Times New Roman" w:eastAsia="宋体" w:cs="Times New Roman"/>
          <w:sz w:val="24"/>
          <w:szCs w:val="24"/>
        </w:rPr>
        <w:t>3.2.5</w:t>
      </w:r>
      <w:r>
        <w:rPr>
          <w:rFonts w:hint="eastAsia" w:ascii="宋体" w:hAnsi="宋体" w:eastAsia="宋体" w:cs="宋体"/>
          <w:sz w:val="24"/>
          <w:szCs w:val="24"/>
        </w:rPr>
        <w:t>条的规定计算得到既有工业建筑民用化低碳改造总得分，当总得分分别达到</w:t>
      </w:r>
      <w:r>
        <w:rPr>
          <w:rFonts w:hint="default" w:ascii="Times New Roman" w:hAnsi="Times New Roman" w:eastAsia="宋体" w:cs="Times New Roman"/>
          <w:sz w:val="24"/>
          <w:szCs w:val="24"/>
        </w:rPr>
        <w:t>60</w:t>
      </w:r>
      <w:r>
        <w:rPr>
          <w:rFonts w:hint="eastAsia" w:ascii="宋体" w:hAnsi="宋体" w:eastAsia="宋体" w:cs="宋体"/>
          <w:sz w:val="24"/>
          <w:szCs w:val="24"/>
        </w:rPr>
        <w:t>分、</w:t>
      </w:r>
      <w:r>
        <w:rPr>
          <w:rFonts w:hint="default" w:ascii="Times New Roman" w:hAnsi="Times New Roman" w:eastAsia="宋体" w:cs="Times New Roman"/>
          <w:sz w:val="24"/>
          <w:szCs w:val="24"/>
        </w:rPr>
        <w:t>70</w:t>
      </w:r>
      <w:r>
        <w:rPr>
          <w:rFonts w:hint="eastAsia" w:ascii="宋体" w:hAnsi="宋体" w:eastAsia="宋体" w:cs="宋体"/>
          <w:sz w:val="24"/>
          <w:szCs w:val="24"/>
        </w:rPr>
        <w:t>分、</w:t>
      </w:r>
      <w:r>
        <w:rPr>
          <w:rFonts w:hint="default" w:ascii="Times New Roman" w:hAnsi="Times New Roman" w:eastAsia="宋体" w:cs="Times New Roman"/>
          <w:sz w:val="24"/>
          <w:szCs w:val="24"/>
        </w:rPr>
        <w:t>85</w:t>
      </w:r>
      <w:r>
        <w:rPr>
          <w:rFonts w:hint="eastAsia" w:ascii="宋体" w:hAnsi="宋体" w:eastAsia="宋体" w:cs="宋体"/>
          <w:sz w:val="24"/>
          <w:szCs w:val="24"/>
        </w:rPr>
        <w:t>分且满足本条第</w:t>
      </w:r>
      <w:r>
        <w:rPr>
          <w:rFonts w:hint="default" w:ascii="Times New Roman" w:hAnsi="Times New Roman" w:eastAsia="宋体" w:cs="Times New Roman"/>
          <w:sz w:val="24"/>
          <w:szCs w:val="24"/>
        </w:rPr>
        <w:t>1</w:t>
      </w:r>
      <w:r>
        <w:rPr>
          <w:rFonts w:hint="eastAsia" w:ascii="宋体" w:hAnsi="宋体" w:eastAsia="宋体" w:cs="宋体"/>
          <w:sz w:val="24"/>
          <w:szCs w:val="24"/>
        </w:rPr>
        <w:t>款的要求时，既有工业建筑民用化低碳改造性能等级分别为一星级、二星级、三星级。</w:t>
      </w:r>
    </w:p>
    <w:p w14:paraId="44B53516"/>
    <w:p w14:paraId="689ACBFE">
      <w:pPr>
        <w:widowControl/>
        <w:jc w:val="left"/>
        <w:rPr>
          <w:b/>
          <w:bCs/>
          <w:kern w:val="44"/>
          <w:sz w:val="32"/>
          <w:szCs w:val="32"/>
        </w:rPr>
        <w:sectPr>
          <w:pgSz w:w="11906" w:h="16838"/>
          <w:pgMar w:top="1440" w:right="1800" w:bottom="1440" w:left="1800" w:header="851" w:footer="992" w:gutter="0"/>
          <w:cols w:space="425" w:num="1"/>
          <w:docGrid w:type="lines" w:linePitch="312" w:charSpace="0"/>
        </w:sectPr>
      </w:pPr>
      <w:r>
        <w:br w:type="page"/>
      </w:r>
    </w:p>
    <w:p w14:paraId="459E537D">
      <w:pPr>
        <w:widowControl/>
        <w:snapToGrid w:val="0"/>
        <w:spacing w:line="360" w:lineRule="auto"/>
        <w:jc w:val="both"/>
        <w:outlineLvl w:val="9"/>
        <w:rPr>
          <w:rFonts w:ascii="Times New Roman" w:hAnsi="Times New Roman" w:cs="Times New Roman"/>
          <w:b/>
          <w:bCs w:val="0"/>
          <w:kern w:val="2"/>
          <w:sz w:val="30"/>
          <w:szCs w:val="30"/>
        </w:rPr>
      </w:pPr>
    </w:p>
    <w:p w14:paraId="04A2FFB8">
      <w:pPr>
        <w:widowControl/>
        <w:snapToGrid w:val="0"/>
        <w:spacing w:line="360" w:lineRule="auto"/>
        <w:jc w:val="center"/>
        <w:outlineLvl w:val="0"/>
        <w:rPr>
          <w:rFonts w:hint="default" w:eastAsia="宋体"/>
          <w:b/>
          <w:sz w:val="30"/>
          <w:szCs w:val="30"/>
          <w:lang w:eastAsia="zh-CN"/>
        </w:rPr>
      </w:pPr>
      <w:bookmarkStart w:id="267" w:name="_Toc7993"/>
      <w:bookmarkStart w:id="268" w:name="_Toc16993"/>
      <w:r>
        <w:rPr>
          <w:rFonts w:ascii="Times New Roman" w:hAnsi="Times New Roman" w:cs="Times New Roman"/>
          <w:b/>
          <w:bCs w:val="0"/>
          <w:kern w:val="2"/>
          <w:sz w:val="30"/>
          <w:szCs w:val="30"/>
        </w:rPr>
        <w:t xml:space="preserve">4 </w:t>
      </w:r>
      <w:r>
        <w:rPr>
          <w:rFonts w:hint="default" w:ascii="Times New Roman" w:hAnsi="Times New Roman" w:cs="Times New Roman"/>
          <w:b/>
          <w:bCs w:val="0"/>
          <w:kern w:val="2"/>
          <w:sz w:val="30"/>
          <w:szCs w:val="30"/>
        </w:rPr>
        <w:t>场地与环境</w:t>
      </w:r>
      <w:bookmarkEnd w:id="267"/>
      <w:bookmarkEnd w:id="268"/>
    </w:p>
    <w:p w14:paraId="28C8B224">
      <w:pPr>
        <w:tabs>
          <w:tab w:val="left" w:pos="0"/>
        </w:tabs>
        <w:spacing w:before="0" w:beforeLines="0" w:after="0" w:afterLines="0" w:line="360" w:lineRule="auto"/>
        <w:jc w:val="center"/>
        <w:outlineLvl w:val="1"/>
        <w:rPr>
          <w:rFonts w:ascii="黑体" w:hAnsi="黑体" w:eastAsia="黑体" w:cs="黑体"/>
          <w:b/>
          <w:bCs/>
          <w:sz w:val="28"/>
          <w:szCs w:val="28"/>
        </w:rPr>
      </w:pPr>
      <w:bookmarkStart w:id="269" w:name="_Toc86"/>
      <w:bookmarkStart w:id="270" w:name="_Toc18298"/>
      <w:r>
        <w:rPr>
          <w:rFonts w:hint="default" w:ascii="Times New Roman" w:hAnsi="Times New Roman" w:eastAsia="黑体" w:cs="Times New Roman"/>
          <w:b/>
          <w:bCs/>
          <w:sz w:val="28"/>
          <w:szCs w:val="28"/>
        </w:rPr>
        <w:t>4.1</w:t>
      </w:r>
      <w:r>
        <w:rPr>
          <w:rFonts w:hint="eastAsia" w:ascii="黑体" w:hAnsi="黑体" w:eastAsia="黑体" w:cs="黑体"/>
          <w:b/>
          <w:bCs/>
          <w:sz w:val="28"/>
          <w:szCs w:val="28"/>
        </w:rPr>
        <w:t>控制项</w:t>
      </w:r>
      <w:bookmarkEnd w:id="269"/>
      <w:bookmarkEnd w:id="270"/>
    </w:p>
    <w:p w14:paraId="1D441FD3">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4.1.1</w:t>
      </w:r>
      <w:r>
        <w:rPr>
          <w:rFonts w:hint="eastAsia" w:ascii="宋体" w:hAnsi="宋体" w:cs="宋体"/>
          <w:sz w:val="24"/>
          <w:szCs w:val="24"/>
        </w:rPr>
        <w:t>　</w:t>
      </w:r>
      <w:r>
        <w:rPr>
          <w:rFonts w:hint="eastAsia" w:ascii="宋体" w:hAnsi="宋体" w:eastAsia="宋体" w:cs="宋体"/>
          <w:sz w:val="24"/>
          <w:szCs w:val="24"/>
        </w:rPr>
        <w:t>本条适用于预评价和评价。</w:t>
      </w:r>
    </w:p>
    <w:p w14:paraId="499816F3">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进行既有工业建筑民用化低碳改造时，应对场地进行全面的规划评估。宜采用复层绿化等方式，在满足功能需求的同时，加强对场地绿化的利用，尽可能保留场地内的现有乔木。进行绿化品类选择时应选择适应当地气候和土壤的物种，避免使用有毒害或难以维护的植物。种植区域的覆土深度和排水能力应根据所选植物的生长需求进行合理设计，满足《园林绿化工程项目规范》</w:t>
      </w:r>
      <w:r>
        <w:rPr>
          <w:rFonts w:hint="default" w:ascii="Times New Roman" w:hAnsi="Times New Roman" w:eastAsia="宋体" w:cs="Times New Roman"/>
          <w:sz w:val="24"/>
          <w:szCs w:val="24"/>
        </w:rPr>
        <w:t>GB 55014-2021</w:t>
      </w:r>
      <w:r>
        <w:rPr>
          <w:rFonts w:hint="eastAsia" w:ascii="宋体" w:hAnsi="宋体" w:eastAsia="宋体" w:cs="宋体"/>
          <w:sz w:val="24"/>
          <w:szCs w:val="24"/>
        </w:rPr>
        <w:t>中的有关规定。</w:t>
      </w:r>
    </w:p>
    <w:p w14:paraId="604F3B5D">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本条的评价方法为：预评价查阅相关设计文件；评价查阅相关竣工图，必要时现场核验。</w:t>
      </w:r>
    </w:p>
    <w:p w14:paraId="64E74C59">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4.1.2</w:t>
      </w:r>
      <w:r>
        <w:rPr>
          <w:rFonts w:hint="eastAsia" w:ascii="宋体" w:hAnsi="宋体" w:cs="宋体"/>
          <w:sz w:val="24"/>
          <w:szCs w:val="24"/>
        </w:rPr>
        <w:t>　</w:t>
      </w:r>
      <w:r>
        <w:rPr>
          <w:rFonts w:hint="eastAsia" w:ascii="宋体" w:hAnsi="宋体" w:eastAsia="宋体" w:cs="宋体"/>
          <w:sz w:val="24"/>
          <w:szCs w:val="24"/>
        </w:rPr>
        <w:t>本条适用于预评价和评价。</w:t>
      </w:r>
    </w:p>
    <w:p w14:paraId="4624AFCA">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在既有工业建筑民用化低碳改造前，应对原场地的物理环境，包括能源供给和可再生能源条件（如太阳能、风能等）进行评估，并依据地方能源供给状况预留可行的可再生能源设施安装空间。</w:t>
      </w:r>
    </w:p>
    <w:p w14:paraId="0A16521D">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城市电网规划、环境影响评估报告（含既有周边系统运行情况、既有设施利用的可行性分析等、采用新能源系统对周边环境造成可能的影响）及相关设计文件；评价查阅相关改造竣工图，可持续能源发电量评估报告，必要时现场核验。</w:t>
      </w:r>
    </w:p>
    <w:p w14:paraId="658EE38A">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4.1.3</w:t>
      </w:r>
      <w:r>
        <w:rPr>
          <w:rFonts w:hint="eastAsia" w:ascii="宋体" w:hAnsi="宋体" w:cs="宋体"/>
          <w:sz w:val="24"/>
          <w:szCs w:val="24"/>
        </w:rPr>
        <w:t>　</w:t>
      </w:r>
      <w:r>
        <w:rPr>
          <w:rFonts w:hint="eastAsia" w:ascii="宋体" w:hAnsi="宋体" w:eastAsia="宋体" w:cs="宋体"/>
          <w:sz w:val="24"/>
          <w:szCs w:val="24"/>
        </w:rPr>
        <w:t>本条适用于预评价和评价。</w:t>
      </w:r>
    </w:p>
    <w:p w14:paraId="5C51101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既有工业建筑民用化低碳改造项目中，场地内的机动车停车设施应设置充电桩。在规划、设计和改造过程中，需充分考虑电动汽车的充电需求，合理布局充电桩的位置和数量，确保其与停车设施的协调性和便利性。充电桩的设置应符合相关技术标准和安全要求，确保充电过程的安全性和可靠性。</w:t>
      </w:r>
    </w:p>
    <w:p w14:paraId="73C6C726">
      <w:pPr>
        <w:pStyle w:val="28"/>
        <w:spacing w:line="360" w:lineRule="auto"/>
        <w:ind w:firstLine="420"/>
        <w:rPr>
          <w:rFonts w:ascii="仿宋" w:hAnsi="仿宋" w:eastAsia="仿宋" w:cs="仿宋"/>
          <w:sz w:val="21"/>
          <w:szCs w:val="18"/>
        </w:rPr>
      </w:pPr>
      <w:r>
        <w:rPr>
          <w:rFonts w:hint="eastAsia" w:ascii="宋体" w:hAnsi="宋体" w:eastAsia="宋体" w:cs="宋体"/>
          <w:sz w:val="24"/>
          <w:szCs w:val="24"/>
        </w:rPr>
        <w:t>本条的评价方法为：预评价查阅相关设计文件（包含预计车流量、充电桩设置数量及场地规划、充电桩品类选择及相关参数）；评价查阅竣工图、现场影像材料。</w:t>
      </w:r>
    </w:p>
    <w:p w14:paraId="2B24E53B">
      <w:pPr>
        <w:tabs>
          <w:tab w:val="left" w:pos="0"/>
        </w:tabs>
        <w:spacing w:before="0" w:beforeLines="0" w:after="0" w:afterLines="0" w:line="360" w:lineRule="auto"/>
        <w:jc w:val="center"/>
        <w:outlineLvl w:val="1"/>
        <w:rPr>
          <w:rFonts w:ascii="黑体" w:hAnsi="黑体" w:eastAsia="黑体" w:cs="黑体"/>
          <w:b/>
          <w:bCs/>
          <w:sz w:val="28"/>
          <w:szCs w:val="28"/>
        </w:rPr>
      </w:pPr>
      <w:bookmarkStart w:id="271" w:name="_Toc16837"/>
      <w:bookmarkStart w:id="272" w:name="_Toc28793"/>
      <w:r>
        <w:rPr>
          <w:rFonts w:hint="default" w:ascii="Times New Roman" w:hAnsi="Times New Roman" w:eastAsia="黑体" w:cs="Times New Roman"/>
          <w:b/>
          <w:bCs/>
          <w:sz w:val="28"/>
          <w:szCs w:val="28"/>
        </w:rPr>
        <w:t>4.2</w:t>
      </w:r>
      <w:r>
        <w:rPr>
          <w:rFonts w:hint="eastAsia" w:ascii="黑体" w:hAnsi="黑体" w:eastAsia="黑体" w:cs="黑体"/>
          <w:b/>
          <w:bCs/>
          <w:sz w:val="28"/>
          <w:szCs w:val="28"/>
        </w:rPr>
        <w:t>评分项</w:t>
      </w:r>
      <w:bookmarkEnd w:id="271"/>
      <w:bookmarkEnd w:id="272"/>
    </w:p>
    <w:p w14:paraId="74352AB2">
      <w:pPr>
        <w:pStyle w:val="28"/>
        <w:spacing w:before="0" w:beforeLines="0" w:after="0" w:afterLines="0" w:line="360" w:lineRule="auto"/>
        <w:ind w:firstLine="0" w:firstLineChars="0"/>
        <w:jc w:val="center"/>
        <w:outlineLvl w:val="2"/>
        <w:rPr>
          <w:rFonts w:cs="Times New Roman"/>
          <w:b/>
          <w:bCs/>
          <w:sz w:val="28"/>
          <w:szCs w:val="28"/>
        </w:rPr>
      </w:pPr>
      <w:r>
        <w:rPr>
          <w:rFonts w:cs="Times New Roman"/>
          <w:b/>
          <w:bCs/>
          <w:sz w:val="28"/>
          <w:szCs w:val="28"/>
        </w:rPr>
        <w:fldChar w:fldCharType="begin"/>
      </w:r>
      <w:r>
        <w:rPr>
          <w:rFonts w:cs="Times New Roman"/>
          <w:b/>
          <w:bCs/>
          <w:sz w:val="28"/>
          <w:szCs w:val="28"/>
        </w:rPr>
        <w:instrText xml:space="preserve"> = 1 \* ROMAN </w:instrText>
      </w:r>
      <w:r>
        <w:rPr>
          <w:rFonts w:cs="Times New Roman"/>
          <w:b/>
          <w:bCs/>
          <w:sz w:val="28"/>
          <w:szCs w:val="28"/>
        </w:rPr>
        <w:fldChar w:fldCharType="separate"/>
      </w:r>
      <w:r>
        <w:rPr>
          <w:rFonts w:cs="Times New Roman"/>
          <w:b/>
          <w:bCs/>
          <w:sz w:val="28"/>
          <w:szCs w:val="28"/>
        </w:rPr>
        <w:t>I</w:t>
      </w:r>
      <w:r>
        <w:rPr>
          <w:rFonts w:cs="Times New Roman"/>
          <w:b/>
          <w:bCs/>
          <w:sz w:val="28"/>
          <w:szCs w:val="28"/>
        </w:rPr>
        <w:fldChar w:fldCharType="end"/>
      </w:r>
      <w:r>
        <w:rPr>
          <w:rFonts w:cs="Times New Roman"/>
          <w:b/>
          <w:bCs/>
          <w:sz w:val="28"/>
          <w:szCs w:val="28"/>
        </w:rPr>
        <w:t xml:space="preserve"> </w:t>
      </w:r>
      <w:r>
        <w:rPr>
          <w:rFonts w:hint="eastAsia" w:ascii="仿宋" w:hAnsi="仿宋" w:eastAsia="仿宋" w:cs="仿宋"/>
          <w:b/>
          <w:bCs/>
          <w:sz w:val="28"/>
          <w:szCs w:val="28"/>
        </w:rPr>
        <w:t>场地</w:t>
      </w:r>
    </w:p>
    <w:p w14:paraId="23A5FC0D">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4.2.1</w:t>
      </w:r>
      <w:r>
        <w:rPr>
          <w:rFonts w:hint="eastAsia" w:ascii="宋体" w:hAnsi="宋体" w:cs="宋体"/>
          <w:sz w:val="24"/>
          <w:szCs w:val="24"/>
        </w:rPr>
        <w:t>　</w:t>
      </w:r>
      <w:r>
        <w:rPr>
          <w:rFonts w:hint="eastAsia" w:ascii="宋体" w:hAnsi="宋体" w:eastAsia="宋体" w:cs="宋体"/>
          <w:sz w:val="24"/>
          <w:szCs w:val="24"/>
        </w:rPr>
        <w:t>本条适用于预评价和评价。</w:t>
      </w:r>
    </w:p>
    <w:p w14:paraId="6E7C1815">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文旨在对室内外场地中的原有结构、设备等元素进行创新和再利用设计。通过对现有资源的有效整合和再利用，提升场地的整体功能和价值。进行再利用设计前应全面评估场地内的工业建筑辅助设施、景观小品等构筑物的现状，通过保留改造，赋予新的使用功能或展示功能，从而激发场地的活力和潜力。同时，对于场地内既有的设备管沟、管井、管线、设备、机房等用地或空间，应充分考虑其再利用的可能性，使其继续承担原有功能或发挥其他新功能，实现资源的最大化利用。</w:t>
      </w:r>
    </w:p>
    <w:p w14:paraId="7D2FFBAC">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本条的评价方法为：预评价查阅相关设计文件，园区整体平面设计图；评价查阅相关竣工图、改造利用报告、现场影像材料，必要时现场核验。</w:t>
      </w:r>
    </w:p>
    <w:p w14:paraId="7A78407A">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4.2.2</w:t>
      </w:r>
      <w:r>
        <w:rPr>
          <w:rFonts w:hint="eastAsia" w:ascii="宋体" w:hAnsi="宋体" w:cs="宋体"/>
          <w:sz w:val="24"/>
          <w:szCs w:val="24"/>
        </w:rPr>
        <w:t>　</w:t>
      </w:r>
      <w:r>
        <w:rPr>
          <w:rFonts w:hint="eastAsia" w:ascii="宋体" w:hAnsi="宋体" w:eastAsia="宋体" w:cs="宋体"/>
          <w:sz w:val="24"/>
          <w:szCs w:val="24"/>
        </w:rPr>
        <w:t>本条适用于预评价和评价。</w:t>
      </w:r>
    </w:p>
    <w:p w14:paraId="4D657DAB">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本条文针对机动车与非机动车停放场地的管理提出了具体的评分标准和要求，旨在推动停车场地实现更加合理、安全、便捷的管理，并促进绿色出行。</w:t>
      </w:r>
    </w:p>
    <w:p w14:paraId="5251956D">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本条的评价方法为：预评价查阅相关设计文件（包含预计车流量、充电桩设置数量及场地规划、充电桩品类选择及相关参数）；评价查阅相关竣工图、现场影像材料，必要时现场核验。</w:t>
      </w:r>
    </w:p>
    <w:p w14:paraId="036A7A2F">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4.2.3</w:t>
      </w:r>
      <w:r>
        <w:rPr>
          <w:rFonts w:hint="eastAsia" w:ascii="宋体" w:hAnsi="宋体" w:cs="宋体"/>
          <w:sz w:val="24"/>
          <w:szCs w:val="24"/>
        </w:rPr>
        <w:t>　</w:t>
      </w:r>
      <w:r>
        <w:rPr>
          <w:rFonts w:hint="eastAsia" w:ascii="宋体" w:hAnsi="宋体" w:eastAsia="宋体" w:cs="宋体"/>
          <w:sz w:val="24"/>
          <w:szCs w:val="24"/>
        </w:rPr>
        <w:t>本条适用于预评价和评价。</w:t>
      </w:r>
    </w:p>
    <w:p w14:paraId="5B06604D">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本条文旨在通过绿化景观的合理利用来提升场地的碳汇能力，对场地的植物碳汇能力进行全面而具体的评价。这一评价机制有助于指导场地绿化工作，提升碳汇水平，促进生态环境的改善和可持续发展。</w:t>
      </w:r>
    </w:p>
    <w:p w14:paraId="21831C2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本条的评价方法为：预评价查阅相关设计文件，绿化布局说明；评价查阅相关竣工图、植物采购合同等。</w:t>
      </w:r>
    </w:p>
    <w:p w14:paraId="50538D5E">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4.2.4</w:t>
      </w:r>
      <w:r>
        <w:rPr>
          <w:rFonts w:hint="eastAsia" w:ascii="宋体" w:hAnsi="宋体" w:cs="宋体"/>
          <w:sz w:val="24"/>
          <w:szCs w:val="24"/>
        </w:rPr>
        <w:t>　</w:t>
      </w:r>
      <w:r>
        <w:rPr>
          <w:rFonts w:hint="eastAsia" w:ascii="宋体" w:hAnsi="宋体" w:eastAsia="宋体" w:cs="宋体"/>
          <w:sz w:val="24"/>
          <w:szCs w:val="24"/>
        </w:rPr>
        <w:t>本条适用于预评价和评价。</w:t>
      </w:r>
    </w:p>
    <w:p w14:paraId="4298CBA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生活垃圾总体上可分为四类：可回收垃圾、有害垃圾、厨余垃圾（湿垃圾）、其他垃圾（干垃圾）。垃圾分类收集可以提高可再生资源的利用；减少垃圾对人员和土壤、水源、大气等自然环境的危害，通过减少场地内异味和减少蚊虫滋生而提高环境质量等。</w:t>
      </w:r>
    </w:p>
    <w:p w14:paraId="57E10823">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本条的评价方法为：预评价查阅相关设计文件；垃圾处理实施方案、垃圾收集站或气力管道装置专项设计图纸；评价查阅相关竣工图、垃圾收集站或气力管道装置现场照片，必要时现场核验。</w:t>
      </w:r>
    </w:p>
    <w:p w14:paraId="1AB8AAD9">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4.2.5</w:t>
      </w:r>
      <w:r>
        <w:rPr>
          <w:rFonts w:hint="eastAsia" w:ascii="宋体" w:hAnsi="宋体" w:cs="宋体"/>
          <w:sz w:val="24"/>
          <w:szCs w:val="24"/>
        </w:rPr>
        <w:t>　</w:t>
      </w:r>
      <w:r>
        <w:rPr>
          <w:rFonts w:hint="eastAsia" w:ascii="宋体" w:hAnsi="宋体" w:eastAsia="宋体" w:cs="宋体"/>
          <w:sz w:val="24"/>
          <w:szCs w:val="24"/>
        </w:rPr>
        <w:t>本条适用于预评价和评价。</w:t>
      </w:r>
    </w:p>
    <w:p w14:paraId="5D0CFACF">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交通规划应充分利用工业园区内既有的道路系统，通过合理的布局调整和增设辅助道路，提升园区的交通效率和使用体验。还可以增设与行人路线一致的健身步道，再结合遮阴的植被，形成舒适的慢行系统，吸引更多人选择低碳步行。</w:t>
      </w:r>
    </w:p>
    <w:p w14:paraId="3C96E48E">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一些大型工业园区改造中，可借鉴景区模式，尝试提供园区内不同区域间的电动接驳车；而对于中小园区，则应该允许社会共享单车的通行，或者参考一些大学校园的做法，配置园区内部可共享的单车。总之，尽量提升园区内部公共交通工具的使用效率。</w:t>
      </w:r>
    </w:p>
    <w:p w14:paraId="44860C85">
      <w:pPr>
        <w:widowControl/>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本条的评价方法为：预评价查阅功能区域规划及相关设计文件；评价查阅相关竣工图、现场影像材料，必要时现场核验。</w:t>
      </w:r>
    </w:p>
    <w:p w14:paraId="0CC00F2D">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4.2.6</w:t>
      </w:r>
      <w:r>
        <w:rPr>
          <w:rFonts w:hint="eastAsia" w:ascii="宋体" w:hAnsi="宋体" w:cs="宋体"/>
          <w:sz w:val="24"/>
          <w:szCs w:val="24"/>
        </w:rPr>
        <w:t>　</w:t>
      </w:r>
      <w:r>
        <w:rPr>
          <w:rFonts w:hint="eastAsia" w:ascii="宋体" w:hAnsi="宋体" w:eastAsia="宋体" w:cs="宋体"/>
          <w:sz w:val="24"/>
          <w:szCs w:val="24"/>
        </w:rPr>
        <w:t>本条适用于评价。</w:t>
      </w:r>
    </w:p>
    <w:p w14:paraId="07729A2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场地内可利用现有连廊、宣传墙、公共大厅等专设为低碳展示专门区域，日常定期张贴和布置低碳政策、低碳知识、低碳技术、低碳产品等宣传资料，提升园区示范意义及进行低碳效果展示。</w:t>
      </w:r>
    </w:p>
    <w:p w14:paraId="4239889C">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可利用自身资源，组织外部或内部为主导的大型低碳教育展，可采取多种形式，如与发改、生态等相关部门联合举办低碳行为方式绘画大赛、“金点子”大赛等。另外，还可邀请低碳领域的社会专家或</w:t>
      </w:r>
      <w:r>
        <w:rPr>
          <w:rFonts w:hint="eastAsia" w:ascii="宋体" w:hAnsi="宋体" w:eastAsia="宋体" w:cs="宋体"/>
          <w:sz w:val="24"/>
          <w:szCs w:val="24"/>
          <w:highlight w:val="none"/>
        </w:rPr>
        <w:t>驻场建筑内的专家</w:t>
      </w:r>
      <w:r>
        <w:rPr>
          <w:rFonts w:hint="eastAsia" w:ascii="宋体" w:hAnsi="宋体" w:eastAsia="宋体" w:cs="宋体"/>
          <w:sz w:val="24"/>
          <w:szCs w:val="24"/>
        </w:rPr>
        <w:t>举办公益讲座，为大家普及低碳知识。</w:t>
      </w:r>
    </w:p>
    <w:p w14:paraId="3566D8D5">
      <w:pPr>
        <w:widowControl/>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本条的评价方法为：评价查阅相关竣工图、相关文字和影像证明材料，必要时现场核查。</w:t>
      </w:r>
    </w:p>
    <w:p w14:paraId="218D9DC1">
      <w:pPr>
        <w:pStyle w:val="28"/>
        <w:spacing w:before="0" w:beforeLines="0" w:after="0" w:afterLines="0" w:line="360" w:lineRule="auto"/>
        <w:ind w:firstLine="0" w:firstLineChars="0"/>
        <w:jc w:val="center"/>
        <w:outlineLvl w:val="2"/>
        <w:rPr>
          <w:rFonts w:cs="Times New Roman"/>
          <w:b/>
          <w:bCs/>
          <w:sz w:val="28"/>
          <w:szCs w:val="28"/>
        </w:rPr>
      </w:pPr>
      <w:r>
        <w:rPr>
          <w:rFonts w:cs="Times New Roman"/>
          <w:b/>
          <w:bCs/>
          <w:sz w:val="28"/>
          <w:szCs w:val="28"/>
        </w:rPr>
        <w:fldChar w:fldCharType="begin"/>
      </w:r>
      <w:r>
        <w:rPr>
          <w:rFonts w:cs="Times New Roman"/>
          <w:b/>
          <w:bCs/>
          <w:sz w:val="28"/>
          <w:szCs w:val="28"/>
        </w:rPr>
        <w:instrText xml:space="preserve"> = 1 \* ROMAN </w:instrText>
      </w:r>
      <w:r>
        <w:rPr>
          <w:rFonts w:cs="Times New Roman"/>
          <w:b/>
          <w:bCs/>
          <w:sz w:val="28"/>
          <w:szCs w:val="28"/>
        </w:rPr>
        <w:fldChar w:fldCharType="separate"/>
      </w:r>
      <w:r>
        <w:rPr>
          <w:rFonts w:cs="Times New Roman"/>
          <w:b/>
          <w:bCs/>
          <w:sz w:val="28"/>
          <w:szCs w:val="28"/>
        </w:rPr>
        <w:t>I</w:t>
      </w:r>
      <w:r>
        <w:rPr>
          <w:rFonts w:cs="Times New Roman"/>
          <w:b/>
          <w:bCs/>
          <w:sz w:val="28"/>
          <w:szCs w:val="28"/>
        </w:rPr>
        <w:fldChar w:fldCharType="end"/>
      </w:r>
      <w:r>
        <w:rPr>
          <w:rFonts w:cs="Times New Roman"/>
          <w:b/>
          <w:bCs/>
          <w:sz w:val="28"/>
          <w:szCs w:val="28"/>
        </w:rPr>
        <w:t xml:space="preserve">I </w:t>
      </w:r>
      <w:r>
        <w:rPr>
          <w:rFonts w:hint="eastAsia" w:ascii="仿宋" w:hAnsi="仿宋" w:eastAsia="仿宋" w:cs="仿宋"/>
          <w:b/>
          <w:bCs/>
          <w:sz w:val="28"/>
          <w:szCs w:val="28"/>
        </w:rPr>
        <w:t>室外环境</w:t>
      </w:r>
    </w:p>
    <w:p w14:paraId="45BFB66F">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4.2.7</w:t>
      </w:r>
      <w:r>
        <w:rPr>
          <w:rFonts w:hint="eastAsia" w:ascii="宋体" w:hAnsi="宋体" w:cs="宋体"/>
          <w:sz w:val="24"/>
          <w:szCs w:val="24"/>
        </w:rPr>
        <w:t>　</w:t>
      </w:r>
      <w:r>
        <w:rPr>
          <w:rFonts w:hint="eastAsia" w:ascii="宋体" w:hAnsi="宋体" w:eastAsia="宋体" w:cs="宋体"/>
          <w:sz w:val="24"/>
          <w:szCs w:val="24"/>
        </w:rPr>
        <w:t>本条适用于预评价和评价。</w:t>
      </w:r>
    </w:p>
    <w:p w14:paraId="78556545">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热环境是评价一个场地舒适度的重要指标之一，尤其是在炎热的夏季，一个舒适的热环境能够极大地提升人们的活动体验和幸福感。通过合理的绿化和构筑物遮阴设计，可以有效地改善场地的热环境，提高使用者的舒适度。这些措施不仅具有生态效益，还能够为人们提供更加宜居的活动空间。</w:t>
      </w:r>
    </w:p>
    <w:p w14:paraId="3AD97AAB">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本条的评价方法为：预评价查阅相关设计文件、计算分析报告；评价查阅相关竣工图、计算分析报告。</w:t>
      </w:r>
    </w:p>
    <w:p w14:paraId="6217EFB5">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4.2.8</w:t>
      </w:r>
      <w:r>
        <w:rPr>
          <w:rFonts w:hint="eastAsia" w:ascii="宋体" w:hAnsi="宋体" w:cs="宋体"/>
          <w:sz w:val="24"/>
          <w:szCs w:val="24"/>
        </w:rPr>
        <w:t>　</w:t>
      </w:r>
      <w:r>
        <w:rPr>
          <w:rFonts w:hint="eastAsia" w:ascii="宋体" w:hAnsi="宋体" w:eastAsia="宋体" w:cs="宋体"/>
          <w:sz w:val="24"/>
          <w:szCs w:val="24"/>
        </w:rPr>
        <w:t>本条适用于预评价和评价。</w:t>
      </w:r>
    </w:p>
    <w:p w14:paraId="6910E04D">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场地开发应遵循低影响开发原则，合理利用场地空间设置绿色雨水基础设施。绿色雨水基础设施有雨水花园、下凹式绿地、屋顶绿化、植被浅沟、截污设施、渗透设施、雨水塘、雨水湿地、景观水体等。绿色雨水基础设施有别于传统的灰色雨水设施（雨水口、雨水管道、调蓄池等），能够以自然的方式削减雨水径流、控制径流污染、保护水环境。</w:t>
      </w:r>
    </w:p>
    <w:p w14:paraId="290970ED">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1款利用场地内的水塘、湿地、低洼地等作为雨水调蓄设施，或利用场地内设计景观（如景观绿地、旱溪和景观水体）来调蓄雨水，可实现有限土地资源综合利用的目标。能调蓄雨水的景观绿地包括下凹式绿地、雨水花园、树池、干塘等。</w:t>
      </w:r>
    </w:p>
    <w:p w14:paraId="0058D5BF">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2、3</w:t>
      </w:r>
      <w:r>
        <w:rPr>
          <w:rFonts w:hint="eastAsia" w:ascii="宋体" w:hAnsi="宋体" w:eastAsia="宋体" w:cs="宋体"/>
          <w:sz w:val="24"/>
          <w:szCs w:val="24"/>
        </w:rPr>
        <w:t>款屋面雨水和道路雨水是建筑场地产生径流的重要源头，易被污染并形成污染源，故宜合理引导其进入地面生态设施进行调蓄、下渗和利用，并采取相应截污措施。地面生态设施是指下凹式绿地、植草沟、树池等，即在地势较低的区域种植植物，通过植物截流、土壤过滤滞留处理小流量径流雨水，达到控制径流污染的目的。洗衣废水若排入绿地，将危害植物的生长，物业应定期检查并杜绝阳台洗衣废水接入雨水管的情况发生。</w:t>
      </w:r>
    </w:p>
    <w:p w14:paraId="072C26E2">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4</w:t>
      </w:r>
      <w:r>
        <w:rPr>
          <w:rFonts w:hint="eastAsia" w:ascii="宋体" w:hAnsi="宋体" w:eastAsia="宋体" w:cs="宋体"/>
          <w:sz w:val="24"/>
          <w:szCs w:val="24"/>
        </w:rPr>
        <w:t>款雨水下渗也是消减径流和径流污染的重要途径之一。“硬质铺装地面”指场地中停车场、道路和室外活动场地等，不包括建筑占地（屋面）、绿地、水面等。“透水铺装”指既能满足路用及铺地强度和耐久性要求，又能使雨水通过本身与铺装下基层相通的渗水路径直接渗入下部土壤的地面铺装系统，包括采用透水铺装方式或使用植草砖、透水沥青、透水混凝土、透水地砖等透水铺装材料。当透水铺装下为地下室顶板时，若地下室顶板设有疏水板及导水管等可将渗透雨水导入与地下室顶板接壤的实土，或地下室顶板上覆土深度能满足当地园林绿化部门要求时，仍可认定其为透水铺装地面，但覆土深度不得小于</w:t>
      </w:r>
      <w:r>
        <w:rPr>
          <w:rFonts w:hint="default" w:ascii="Times New Roman" w:hAnsi="Times New Roman" w:eastAsia="宋体" w:cs="Times New Roman"/>
          <w:sz w:val="24"/>
          <w:szCs w:val="24"/>
        </w:rPr>
        <w:t>600mm</w:t>
      </w:r>
      <w:r>
        <w:rPr>
          <w:rFonts w:hint="eastAsia" w:ascii="宋体" w:hAnsi="宋体" w:eastAsia="宋体" w:cs="宋体"/>
          <w:sz w:val="24"/>
          <w:szCs w:val="24"/>
        </w:rPr>
        <w:t>。评价时以场地硬质铺装地面中透水铺装所占的面积比例为依据。申报材料中应提供场地铺装图，要求明确透水铺装地面位置、面积、铺装材料和透水铺装做法大样等。</w:t>
      </w:r>
    </w:p>
    <w:p w14:paraId="106808E0">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本条的评价方法为：预评价查阅相关设计文件（含总平面竖向设计图、景观设计图、室外给排水总平面图等）、计算书；评价查阅相关竣工图、计算书和现场影像材料，必要时现场核验。</w:t>
      </w:r>
    </w:p>
    <w:p w14:paraId="13D331A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4.2.9</w:t>
      </w:r>
      <w:r>
        <w:rPr>
          <w:rFonts w:hint="eastAsia" w:ascii="宋体" w:hAnsi="宋体" w:cs="宋体"/>
          <w:sz w:val="24"/>
          <w:szCs w:val="24"/>
        </w:rPr>
        <w:t>　</w:t>
      </w:r>
      <w:r>
        <w:rPr>
          <w:rFonts w:hint="eastAsia" w:ascii="宋体" w:hAnsi="宋体" w:eastAsia="宋体" w:cs="宋体"/>
          <w:sz w:val="24"/>
          <w:szCs w:val="24"/>
        </w:rPr>
        <w:t>本条适用于预评价和评价。</w:t>
      </w:r>
    </w:p>
    <w:p w14:paraId="2ED2E4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虽然利用非传统水源是节水最直接、最有效的措施之一，但由于既有建筑的特殊性，本标准对非传统水源的利用率要求及分值均较新建建筑适当降低。本条中“某用途采用非传统水源的用水量占其总用水量的比例＝该用途采用非传统水源的年用水量/该用途的年总用水量（包含传统和非传统水量）”。该比例与非传统水源利用率是不同的概念，在计算时，应明确分子分母的针对性。利用非传统水源进行绿化灌溉、车库及道路冲洗、洗车用水时，其水质指标应满足《城市污水再生利用城市杂用水水质》</w:t>
      </w:r>
      <w:r>
        <w:rPr>
          <w:rFonts w:hint="default" w:ascii="Times New Roman" w:hAnsi="Times New Roman" w:eastAsia="宋体" w:cs="Times New Roman"/>
          <w:sz w:val="24"/>
          <w:szCs w:val="24"/>
        </w:rPr>
        <w:t>GB/T 18920</w:t>
      </w:r>
      <w:r>
        <w:rPr>
          <w:rFonts w:hint="eastAsia" w:ascii="宋体" w:hAnsi="宋体" w:eastAsia="宋体" w:cs="宋体"/>
          <w:sz w:val="24"/>
          <w:szCs w:val="24"/>
        </w:rPr>
        <w:t>的水质要求。本款绿化灌溉、车库及道路冲洗、洗车用水三者总用水量比例达标，方可得分。</w:t>
      </w:r>
    </w:p>
    <w:p w14:paraId="10CD96F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w:t>
      </w:r>
      <w:r>
        <w:rPr>
          <w:rFonts w:hint="default" w:ascii="Times New Roman" w:hAnsi="Times New Roman" w:eastAsia="宋体" w:cs="Times New Roman"/>
          <w:sz w:val="24"/>
          <w:szCs w:val="24"/>
        </w:rPr>
        <w:t>2</w:t>
      </w:r>
      <w:r>
        <w:rPr>
          <w:rFonts w:hint="eastAsia" w:ascii="宋体" w:hAnsi="宋体" w:eastAsia="宋体" w:cs="宋体"/>
          <w:sz w:val="24"/>
          <w:szCs w:val="24"/>
        </w:rPr>
        <w:t>款，绿化灌溉应采用喷灌、微灌、渗灌、低压管灌等节水灌溉方式，同时还可采用湿度传感器或根据气候变化的调节控制器。目前普遍采用的绿化节水灌溉方式是喷灌，其比地面漫灌要省水</w:t>
      </w:r>
      <w:r>
        <w:rPr>
          <w:rFonts w:hint="default" w:ascii="Times New Roman" w:hAnsi="Times New Roman" w:eastAsia="宋体" w:cs="Times New Roman"/>
          <w:sz w:val="24"/>
          <w:szCs w:val="24"/>
        </w:rPr>
        <w:t>30％～50％</w:t>
      </w:r>
      <w:r>
        <w:rPr>
          <w:rFonts w:hint="eastAsia" w:ascii="宋体" w:hAnsi="宋体" w:eastAsia="宋体" w:cs="宋体"/>
          <w:sz w:val="24"/>
          <w:szCs w:val="24"/>
        </w:rPr>
        <w:t>。但是，采用再生水灌溉时，因水中微生物在空气中极易传播，应避免采用喷灌方式。微灌包括滴灌、微喷灌、涌流灌和地下渗灌，比地面漫灌省水</w:t>
      </w:r>
      <w:r>
        <w:rPr>
          <w:rFonts w:hint="default" w:ascii="Times New Roman" w:hAnsi="Times New Roman" w:eastAsia="宋体" w:cs="Times New Roman"/>
          <w:sz w:val="24"/>
          <w:szCs w:val="24"/>
        </w:rPr>
        <w:t>50％～70％</w:t>
      </w:r>
      <w:r>
        <w:rPr>
          <w:rFonts w:hint="eastAsia" w:ascii="宋体" w:hAnsi="宋体" w:eastAsia="宋体" w:cs="宋体"/>
          <w:sz w:val="24"/>
          <w:szCs w:val="24"/>
        </w:rPr>
        <w:t>，比喷灌省水</w:t>
      </w:r>
      <w:r>
        <w:rPr>
          <w:rFonts w:hint="default" w:ascii="Times New Roman" w:hAnsi="Times New Roman" w:eastAsia="宋体" w:cs="Times New Roman"/>
          <w:sz w:val="24"/>
          <w:szCs w:val="24"/>
        </w:rPr>
        <w:t>15％～20％</w:t>
      </w:r>
      <w:r>
        <w:rPr>
          <w:rFonts w:hint="eastAsia" w:ascii="宋体" w:hAnsi="宋体" w:eastAsia="宋体" w:cs="宋体"/>
          <w:sz w:val="24"/>
          <w:szCs w:val="24"/>
        </w:rPr>
        <w:t>。其中微喷灌射程较近，一般在</w:t>
      </w:r>
      <w:r>
        <w:rPr>
          <w:rFonts w:hint="default" w:ascii="Times New Roman" w:hAnsi="Times New Roman" w:eastAsia="宋体" w:cs="Times New Roman"/>
          <w:sz w:val="24"/>
          <w:szCs w:val="24"/>
        </w:rPr>
        <w:t>5m</w:t>
      </w:r>
      <w:r>
        <w:rPr>
          <w:rFonts w:hint="eastAsia" w:ascii="宋体" w:hAnsi="宋体" w:eastAsia="宋体" w:cs="宋体"/>
          <w:sz w:val="24"/>
          <w:szCs w:val="24"/>
        </w:rPr>
        <w:t>以内，喷水量为</w:t>
      </w:r>
      <w:r>
        <w:rPr>
          <w:rFonts w:hint="default" w:ascii="Times New Roman" w:hAnsi="Times New Roman" w:eastAsia="宋体" w:cs="Times New Roman"/>
          <w:sz w:val="24"/>
          <w:szCs w:val="24"/>
        </w:rPr>
        <w:t>200L/h～400L/h</w:t>
      </w:r>
      <w:r>
        <w:rPr>
          <w:rFonts w:hint="eastAsia" w:ascii="宋体" w:hAnsi="宋体" w:eastAsia="宋体" w:cs="宋体"/>
          <w:sz w:val="24"/>
          <w:szCs w:val="24"/>
        </w:rPr>
        <w:t>。鼓励采用湿度传感器或根据气候变化的调节控制器，根据土壤的湿度或气候的变化，自动控制浇洒系统的启停，从而提高浇洒效率。无需永久灌溉植物是指适应当地气候，仅依靠自然降雨即可维持良好的生长状态的植物，或在干旱时体内水分丧失，全株呈风干状态而不死亡的植物。无需永久灌溉植物仅在生根时需进行人工灌溉，因而不需设置永久的灌溉系统，但临时灌溉系统应在安装后一年之内移走。当</w:t>
      </w:r>
      <w:r>
        <w:rPr>
          <w:rFonts w:hint="default" w:ascii="Times New Roman" w:hAnsi="Times New Roman" w:eastAsia="宋体" w:cs="Times New Roman"/>
          <w:sz w:val="24"/>
          <w:szCs w:val="24"/>
        </w:rPr>
        <w:t>60%</w:t>
      </w:r>
      <w:r>
        <w:rPr>
          <w:rFonts w:hint="eastAsia" w:ascii="宋体" w:hAnsi="宋体" w:eastAsia="宋体" w:cs="宋体"/>
          <w:sz w:val="24"/>
          <w:szCs w:val="24"/>
        </w:rPr>
        <w:t>以上的绿化面积采用了高效节水灌溉方式，方可判定按“采用节水灌溉系统”得分；采用移动喷灌头，本条不得分。当</w:t>
      </w:r>
      <w:r>
        <w:rPr>
          <w:rFonts w:hint="default" w:ascii="Times New Roman" w:hAnsi="Times New Roman" w:eastAsia="宋体" w:cs="Times New Roman"/>
          <w:sz w:val="24"/>
          <w:szCs w:val="24"/>
        </w:rPr>
        <w:t>30%</w:t>
      </w:r>
      <w:r>
        <w:rPr>
          <w:rFonts w:hint="eastAsia" w:ascii="宋体" w:hAnsi="宋体" w:eastAsia="宋体" w:cs="宋体"/>
          <w:sz w:val="24"/>
          <w:szCs w:val="24"/>
        </w:rPr>
        <w:t>以上的绿化面积设置了节水控制措施，或种植了无需永久灌溉植物，且其余部分绿化采用了节水灌溉方式时，可判定得分。当选用无需永久灌溉植物时，设计文件中应提供植物配置表，并说明是否属无需永久灌溉植物，申报方应提供当地植物名录，说明所用植物的耐旱性能，可判定得分。</w:t>
      </w:r>
    </w:p>
    <w:p w14:paraId="20BE58E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本条的评价方法为：预评价查阅相关设计文件、分析论证报告及相关证明材料；评价查阅现场影像材料，必要时进行现场核验。</w:t>
      </w:r>
    </w:p>
    <w:p w14:paraId="64DA1D76">
      <w:pPr>
        <w:rPr>
          <w:rFonts w:ascii="仿宋" w:hAnsi="仿宋" w:eastAsia="仿宋" w:cs="仿宋"/>
        </w:rPr>
      </w:pPr>
    </w:p>
    <w:p w14:paraId="522F24DE">
      <w:pPr>
        <w:widowControl/>
        <w:snapToGrid w:val="0"/>
        <w:jc w:val="center"/>
        <w:outlineLvl w:val="0"/>
        <w:rPr>
          <w:rFonts w:ascii="宋体" w:hAnsi="宋体" w:cs="宋体"/>
          <w:b/>
          <w:bCs/>
          <w:kern w:val="44"/>
          <w:sz w:val="30"/>
          <w:szCs w:val="30"/>
        </w:rPr>
        <w:sectPr>
          <w:footerReference r:id="rId14" w:type="default"/>
          <w:pgSz w:w="11906" w:h="16838"/>
          <w:pgMar w:top="1440" w:right="1800" w:bottom="1440" w:left="1800" w:header="851" w:footer="992" w:gutter="0"/>
          <w:cols w:space="425" w:num="1"/>
          <w:docGrid w:type="lines" w:linePitch="312" w:charSpace="0"/>
        </w:sectPr>
      </w:pPr>
    </w:p>
    <w:p w14:paraId="42527D0B">
      <w:pPr>
        <w:widowControl/>
        <w:snapToGrid w:val="0"/>
        <w:spacing w:line="360" w:lineRule="auto"/>
        <w:jc w:val="both"/>
        <w:outlineLvl w:val="9"/>
        <w:rPr>
          <w:rFonts w:ascii="Times New Roman" w:hAnsi="Times New Roman" w:cs="Times New Roman"/>
          <w:b/>
          <w:bCs w:val="0"/>
          <w:kern w:val="2"/>
          <w:sz w:val="30"/>
          <w:szCs w:val="30"/>
        </w:rPr>
      </w:pPr>
    </w:p>
    <w:p w14:paraId="47BC7FB7">
      <w:pPr>
        <w:widowControl/>
        <w:snapToGrid w:val="0"/>
        <w:spacing w:line="360" w:lineRule="auto"/>
        <w:jc w:val="center"/>
        <w:outlineLvl w:val="0"/>
        <w:rPr>
          <w:rFonts w:hint="default" w:ascii="Times New Roman" w:hAnsi="Times New Roman" w:eastAsia="宋体" w:cs="Times New Roman"/>
          <w:b/>
          <w:bCs w:val="0"/>
          <w:kern w:val="2"/>
          <w:sz w:val="30"/>
          <w:szCs w:val="30"/>
          <w:lang w:eastAsia="zh-CN"/>
        </w:rPr>
      </w:pPr>
      <w:bookmarkStart w:id="273" w:name="_Toc16747"/>
      <w:bookmarkStart w:id="274" w:name="_Toc26810"/>
      <w:r>
        <w:rPr>
          <w:rFonts w:ascii="Times New Roman" w:hAnsi="Times New Roman" w:cs="Times New Roman"/>
          <w:b/>
          <w:bCs w:val="0"/>
          <w:kern w:val="2"/>
          <w:sz w:val="30"/>
          <w:szCs w:val="30"/>
        </w:rPr>
        <w:t xml:space="preserve">5 </w:t>
      </w:r>
      <w:r>
        <w:rPr>
          <w:rFonts w:hint="default" w:ascii="Times New Roman" w:hAnsi="Times New Roman" w:cs="Times New Roman"/>
          <w:b/>
          <w:bCs w:val="0"/>
          <w:kern w:val="2"/>
          <w:sz w:val="30"/>
          <w:szCs w:val="30"/>
        </w:rPr>
        <w:t>建筑改造与利用</w:t>
      </w:r>
      <w:bookmarkEnd w:id="273"/>
      <w:bookmarkEnd w:id="274"/>
    </w:p>
    <w:p w14:paraId="23B9C55C">
      <w:pPr>
        <w:tabs>
          <w:tab w:val="left" w:pos="0"/>
        </w:tabs>
        <w:spacing w:before="0" w:beforeLines="0" w:after="0" w:afterLines="0" w:line="360" w:lineRule="auto"/>
        <w:jc w:val="center"/>
        <w:outlineLvl w:val="1"/>
        <w:rPr>
          <w:rFonts w:ascii="黑体" w:hAnsi="黑体" w:eastAsia="黑体" w:cs="黑体"/>
          <w:b/>
          <w:bCs/>
          <w:sz w:val="28"/>
          <w:szCs w:val="28"/>
        </w:rPr>
      </w:pPr>
      <w:bookmarkStart w:id="275" w:name="_Toc4586"/>
      <w:bookmarkStart w:id="276" w:name="_Toc24537"/>
      <w:r>
        <w:rPr>
          <w:rFonts w:ascii="Times New Roman" w:hAnsi="Times New Roman" w:eastAsia="黑体" w:cs="Times New Roman"/>
          <w:b/>
          <w:bCs/>
          <w:sz w:val="28"/>
          <w:szCs w:val="28"/>
        </w:rPr>
        <w:t>5.1</w:t>
      </w:r>
      <w:r>
        <w:rPr>
          <w:rFonts w:hint="eastAsia" w:ascii="黑体" w:hAnsi="黑体" w:eastAsia="黑体" w:cs="黑体"/>
          <w:b/>
          <w:bCs/>
          <w:sz w:val="28"/>
          <w:szCs w:val="28"/>
        </w:rPr>
        <w:t>控制项</w:t>
      </w:r>
      <w:bookmarkEnd w:id="275"/>
      <w:bookmarkEnd w:id="276"/>
    </w:p>
    <w:p w14:paraId="684C27BF">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5.1.1</w:t>
      </w:r>
      <w:r>
        <w:rPr>
          <w:rFonts w:hint="eastAsia" w:ascii="宋体" w:hAnsi="宋体" w:cs="宋体"/>
          <w:sz w:val="24"/>
          <w:szCs w:val="24"/>
        </w:rPr>
        <w:t>　</w:t>
      </w:r>
      <w:r>
        <w:rPr>
          <w:rFonts w:hint="eastAsia" w:ascii="宋体" w:hAnsi="宋体" w:eastAsia="宋体" w:cs="宋体"/>
          <w:sz w:val="24"/>
          <w:szCs w:val="24"/>
        </w:rPr>
        <w:t>本条适用于预评价和评价。</w:t>
      </w:r>
    </w:p>
    <w:p w14:paraId="714913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有工业建筑的使用保存情况差异较大，改造前应结合现状和今后的使用功能制定详细改造策略，使空间、层数、结构形式等要素尽可能满足改造后的使用状态。建筑的空间改造宜充分利用原有的空间层高、空间尺度、结构形式、采光通风等条件，避免因方案设计考虑欠缺导致过度改造。</w:t>
      </w:r>
    </w:p>
    <w:p w14:paraId="675143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本条的评价方法为：预评价查阅相关设计文件（整体空间布局）；评价查阅相关竣工图</w:t>
      </w:r>
      <w:r>
        <w:rPr>
          <w:rFonts w:hint="eastAsia" w:ascii="宋体" w:hAnsi="宋体" w:cs="宋体"/>
          <w:sz w:val="24"/>
          <w:szCs w:val="24"/>
          <w:lang w:eastAsia="zh-CN"/>
        </w:rPr>
        <w:t>，</w:t>
      </w:r>
      <w:r>
        <w:rPr>
          <w:rFonts w:hint="eastAsia" w:ascii="宋体" w:hAnsi="宋体" w:eastAsia="宋体" w:cs="宋体"/>
          <w:sz w:val="24"/>
          <w:szCs w:val="24"/>
        </w:rPr>
        <w:t>现场勘察并进行地域适应性分析。</w:t>
      </w:r>
    </w:p>
    <w:p w14:paraId="72ED34B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5.1.2</w:t>
      </w:r>
      <w:r>
        <w:rPr>
          <w:rFonts w:hint="eastAsia" w:ascii="宋体" w:hAnsi="宋体" w:cs="宋体"/>
          <w:sz w:val="24"/>
          <w:szCs w:val="24"/>
        </w:rPr>
        <w:t>　</w:t>
      </w:r>
      <w:r>
        <w:rPr>
          <w:rFonts w:hint="eastAsia" w:ascii="宋体" w:hAnsi="宋体" w:eastAsia="宋体" w:cs="宋体"/>
          <w:sz w:val="24"/>
          <w:szCs w:val="24"/>
        </w:rPr>
        <w:t>本条适用于预评价和评价。</w:t>
      </w:r>
    </w:p>
    <w:p w14:paraId="320507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层排架结构工业建筑垂直方向设置夹层时，宜局部保留原有的高大空间及侧窗导风模式，形成垂直拔风中庭，并可兼顾良好的自然采光。单层排架结构工业建筑水平方向设置隔断或脱开原有建筑结构在室内新增建筑体量时，宜充分考虑自然风在室内的气流组织模式，保证气流通道畅通；对于多层及高层框架结构工业建筑，中庭是最常用的空间营造方法，也是改善室内自然采光与自然通风的常用手段，由于工业空间尺度与民用建筑有很大的不同，空间氛围也有很大差异，因此往往需要穿插通高空间调节，同时对于工业厂房原有的大进深空间，中庭也有利于引入自然光与风。</w:t>
      </w:r>
    </w:p>
    <w:p w14:paraId="65315A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本条的评价方法为：预评价查阅相关设计文件，查阅光环境和自然通风模拟分析报告，查阅建筑空间优化分析报告；评价查阅相关竣工图，查阅光环境和自然通风模拟分析报告，查阅建筑空间优化分析报告。</w:t>
      </w:r>
    </w:p>
    <w:p w14:paraId="3D49A16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5.1.3</w:t>
      </w:r>
      <w:r>
        <w:rPr>
          <w:rFonts w:hint="eastAsia" w:ascii="宋体" w:hAnsi="宋体" w:cs="宋体"/>
          <w:sz w:val="24"/>
          <w:szCs w:val="24"/>
        </w:rPr>
        <w:t>　</w:t>
      </w:r>
      <w:r>
        <w:rPr>
          <w:rFonts w:hint="eastAsia" w:ascii="宋体" w:hAnsi="宋体" w:eastAsia="宋体" w:cs="宋体"/>
          <w:sz w:val="24"/>
          <w:szCs w:val="24"/>
        </w:rPr>
        <w:t>本条适用于预评价和评价。</w:t>
      </w:r>
    </w:p>
    <w:p w14:paraId="643C9F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对于尚可使用的生产配套空间，可根据设计要求保留或改变其原有使用性质对其合理利用。减少新建材的使用量，降低建造活动对资源、能源的消耗，减少建筑垃圾的排放。</w:t>
      </w:r>
    </w:p>
    <w:p w14:paraId="002F8C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本条的评价方法为：预评价查阅相关设计文件；评价查阅相关竣工图和结构相关规范。</w:t>
      </w:r>
    </w:p>
    <w:p w14:paraId="1DC0AF31">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5.1.4</w:t>
      </w:r>
      <w:r>
        <w:rPr>
          <w:rFonts w:hint="eastAsia" w:ascii="宋体" w:hAnsi="宋体" w:cs="宋体"/>
          <w:sz w:val="24"/>
          <w:szCs w:val="24"/>
        </w:rPr>
        <w:t>　</w:t>
      </w:r>
      <w:r>
        <w:rPr>
          <w:rFonts w:hint="eastAsia" w:ascii="宋体" w:hAnsi="宋体" w:eastAsia="宋体" w:cs="宋体"/>
          <w:sz w:val="24"/>
          <w:szCs w:val="24"/>
        </w:rPr>
        <w:t>国内存量既有工业建筑建成年代跨度较大，但围护结构热工性能指标大多无法满足现行节能技术规范要求。在改造过程中，多涉及围护结构的局部修缮乃至全部更新，应保证改造的外围护结构符合现行行业标准《公共建筑节能改造技术规范》</w:t>
      </w:r>
      <w:r>
        <w:rPr>
          <w:rFonts w:hint="default" w:ascii="Times New Roman" w:hAnsi="Times New Roman" w:eastAsia="宋体" w:cs="Times New Roman"/>
          <w:sz w:val="24"/>
          <w:szCs w:val="24"/>
        </w:rPr>
        <w:t>JGJ 176</w:t>
      </w:r>
      <w:r>
        <w:rPr>
          <w:rFonts w:hint="eastAsia" w:ascii="宋体" w:hAnsi="宋体" w:eastAsia="宋体" w:cs="宋体"/>
          <w:sz w:val="24"/>
          <w:szCs w:val="24"/>
        </w:rPr>
        <w:t>的有关规定。</w:t>
      </w:r>
    </w:p>
    <w:p w14:paraId="197B6A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本条的评价方法为：预评价查阅相关设计文件；评价查阅相关竣工图、节能计算书和保温材料检测报告。</w:t>
      </w:r>
    </w:p>
    <w:p w14:paraId="079958B7">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5.1.5</w:t>
      </w:r>
      <w:r>
        <w:rPr>
          <w:rFonts w:hint="eastAsia" w:ascii="宋体" w:hAnsi="宋体" w:cs="宋体"/>
          <w:sz w:val="24"/>
          <w:szCs w:val="24"/>
        </w:rPr>
        <w:t>　</w:t>
      </w:r>
      <w:r>
        <w:rPr>
          <w:rFonts w:hint="eastAsia" w:ascii="宋体" w:hAnsi="宋体" w:eastAsia="宋体" w:cs="宋体"/>
          <w:sz w:val="24"/>
          <w:szCs w:val="24"/>
        </w:rPr>
        <w:t>当前较多既有工业建筑项目在局部区域将墙体改造为玻璃幕墙，以增加室内通透性，应注意保证玻璃幕墙满足安全、节能、气密性、水密性及抗风压性能要求。</w:t>
      </w:r>
    </w:p>
    <w:p w14:paraId="349A2B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本条的评价方法为：预评价查阅相关设计文件；评价查阅相关竣工图、相关测试报告。</w:t>
      </w:r>
    </w:p>
    <w:p w14:paraId="25B4AF0C">
      <w:pPr>
        <w:tabs>
          <w:tab w:val="left" w:pos="0"/>
        </w:tabs>
        <w:spacing w:before="0" w:beforeLines="0" w:after="0" w:afterLines="0" w:line="360" w:lineRule="auto"/>
        <w:jc w:val="center"/>
        <w:outlineLvl w:val="1"/>
        <w:rPr>
          <w:rFonts w:ascii="黑体" w:hAnsi="黑体" w:eastAsia="黑体" w:cs="黑体"/>
          <w:b/>
          <w:bCs/>
          <w:sz w:val="28"/>
          <w:szCs w:val="28"/>
        </w:rPr>
      </w:pPr>
      <w:bookmarkStart w:id="277" w:name="_Toc12704"/>
      <w:bookmarkStart w:id="278" w:name="_Toc23733"/>
      <w:r>
        <w:rPr>
          <w:rFonts w:hint="default" w:ascii="Times New Roman" w:hAnsi="Times New Roman" w:eastAsia="黑体" w:cs="Times New Roman"/>
          <w:b/>
          <w:bCs/>
          <w:sz w:val="28"/>
          <w:szCs w:val="28"/>
        </w:rPr>
        <w:t>5.2</w:t>
      </w:r>
      <w:r>
        <w:rPr>
          <w:rFonts w:hint="eastAsia" w:ascii="黑体" w:hAnsi="黑体" w:eastAsia="黑体" w:cs="黑体"/>
          <w:b/>
          <w:bCs/>
          <w:sz w:val="28"/>
          <w:szCs w:val="28"/>
        </w:rPr>
        <w:t>评分项</w:t>
      </w:r>
      <w:bookmarkEnd w:id="277"/>
      <w:bookmarkEnd w:id="278"/>
    </w:p>
    <w:p w14:paraId="5326FE95">
      <w:pPr>
        <w:pStyle w:val="28"/>
        <w:spacing w:before="0" w:beforeLines="0" w:after="0" w:afterLines="0" w:line="360" w:lineRule="auto"/>
        <w:ind w:firstLine="0" w:firstLineChars="0"/>
        <w:jc w:val="center"/>
        <w:outlineLvl w:val="2"/>
        <w:rPr>
          <w:rFonts w:hint="eastAsia" w:eastAsia="宋体" w:cs="Times New Roman"/>
          <w:b/>
          <w:bCs/>
          <w:sz w:val="28"/>
          <w:szCs w:val="28"/>
          <w:lang w:eastAsia="zh-CN"/>
        </w:rPr>
      </w:pPr>
      <w:r>
        <w:rPr>
          <w:rFonts w:hint="eastAsia" w:cs="Times New Roman"/>
          <w:b/>
          <w:bCs/>
          <w:sz w:val="28"/>
          <w:szCs w:val="28"/>
        </w:rPr>
        <w:t xml:space="preserve">Ⅰ </w:t>
      </w:r>
      <w:r>
        <w:rPr>
          <w:rFonts w:hint="eastAsia" w:ascii="仿宋" w:hAnsi="仿宋" w:eastAsia="仿宋" w:cs="仿宋"/>
          <w:b/>
          <w:bCs/>
          <w:sz w:val="28"/>
          <w:szCs w:val="28"/>
        </w:rPr>
        <w:t>建筑与构件</w:t>
      </w:r>
    </w:p>
    <w:p w14:paraId="37D8E717">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5.2.1</w:t>
      </w:r>
      <w:r>
        <w:rPr>
          <w:rFonts w:hint="eastAsia" w:ascii="宋体" w:hAnsi="宋体" w:cs="宋体"/>
          <w:sz w:val="24"/>
          <w:szCs w:val="24"/>
        </w:rPr>
        <w:t>　</w:t>
      </w:r>
      <w:r>
        <w:rPr>
          <w:rFonts w:hint="eastAsia" w:ascii="宋体" w:hAnsi="宋体" w:eastAsia="宋体" w:cs="宋体"/>
          <w:sz w:val="24"/>
          <w:szCs w:val="24"/>
        </w:rPr>
        <w:t>本条天然采光不仅有利于照明节能，而且有利于增加室内外的自然信息交流，改善空间卫生环境，调节室内人员的心情，有利于身体健康。既有工业建筑通常存在大体量、大进深等特点，在改造为民用建筑时，建筑内区的采光设计是难点，改造设计时可结合工业建筑的空间与屋面特征，通过利用天窗、中庭、采光井等措施来改善内区和主要功能房间的采光效果。充分利用原有高侧窗的自然采光模式，并可适当增加采光天窗，可采用电动控制方式，以改善自然采光与遮阳的条件。</w:t>
      </w:r>
    </w:p>
    <w:p w14:paraId="2881ACC2">
      <w:pPr>
        <w:spacing w:line="360" w:lineRule="auto"/>
        <w:ind w:firstLine="422"/>
        <w:rPr>
          <w:rFonts w:hint="eastAsia" w:ascii="宋体" w:hAnsi="宋体" w:eastAsia="宋体" w:cs="宋体"/>
          <w:b/>
          <w:bCs/>
          <w:sz w:val="24"/>
          <w:szCs w:val="24"/>
        </w:rPr>
      </w:pPr>
      <w:r>
        <w:rPr>
          <w:rFonts w:hint="eastAsia" w:ascii="宋体" w:hAnsi="宋体" w:eastAsia="宋体" w:cs="宋体"/>
          <w:sz w:val="24"/>
          <w:szCs w:val="24"/>
        </w:rPr>
        <w:t>本条的评价方法为：预评价查阅相关设计文件；评价查阅相关竣工图。</w:t>
      </w:r>
    </w:p>
    <w:p w14:paraId="7ADE78BB">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5.2.2</w:t>
      </w:r>
      <w:r>
        <w:rPr>
          <w:rFonts w:hint="eastAsia" w:ascii="宋体" w:hAnsi="宋体" w:cs="宋体"/>
          <w:sz w:val="24"/>
          <w:szCs w:val="24"/>
        </w:rPr>
        <w:t>　</w:t>
      </w:r>
      <w:r>
        <w:rPr>
          <w:rFonts w:hint="eastAsia" w:ascii="宋体" w:hAnsi="宋体" w:eastAsia="宋体" w:cs="宋体"/>
          <w:sz w:val="24"/>
          <w:szCs w:val="24"/>
        </w:rPr>
        <w:t>拔风井、导风墙、反光板、导光管、遮阳板等构造方法可以配合空间布局与改造，改善内部空间的采光、通风环境。内庭院、天井、中庭等空间改造措施可有效改善既有工业建筑大进深带来的通风不畅的问题。</w:t>
      </w:r>
    </w:p>
    <w:p w14:paraId="385AFE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w:t>
      </w:r>
    </w:p>
    <w:p w14:paraId="7E31D200">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5.2.3</w:t>
      </w:r>
      <w:r>
        <w:rPr>
          <w:rFonts w:hint="eastAsia" w:ascii="宋体" w:hAnsi="宋体" w:cs="宋体"/>
          <w:sz w:val="24"/>
          <w:szCs w:val="24"/>
        </w:rPr>
        <w:t>　</w:t>
      </w:r>
      <w:r>
        <w:rPr>
          <w:rFonts w:hint="eastAsia" w:ascii="宋体" w:hAnsi="宋体" w:eastAsia="宋体" w:cs="宋体"/>
          <w:sz w:val="24"/>
          <w:szCs w:val="24"/>
        </w:rPr>
        <w:t>本条适用于预评价和评价。</w:t>
      </w:r>
    </w:p>
    <w:p w14:paraId="447D6E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既有工业建筑民用化低碳改造过程中，宜积极推广屋顶绿化、墙面绿化等多维度绿化方式，不仅有助于改善建筑的环境质量，增加绿地面积，还能提供隔热、保温、降噪等多重效益。在进行绿化作物选择时，应根据不同地区的气候、土壤等条件，因地制宜地选择合适的绿化作物。</w:t>
      </w:r>
    </w:p>
    <w:p w14:paraId="01B43D84">
      <w:pPr>
        <w:spacing w:line="360" w:lineRule="auto"/>
        <w:ind w:firstLine="480" w:firstLineChars="200"/>
        <w:rPr>
          <w:rFonts w:hint="eastAsia" w:ascii="宋体" w:hAnsi="宋体" w:cs="宋体"/>
          <w:sz w:val="24"/>
          <w:szCs w:val="24"/>
        </w:rPr>
      </w:pPr>
      <w:r>
        <w:rPr>
          <w:rFonts w:hint="eastAsia" w:ascii="宋体" w:hAnsi="宋体" w:eastAsia="宋体" w:cs="宋体"/>
          <w:sz w:val="24"/>
          <w:szCs w:val="24"/>
        </w:rPr>
        <w:t>本条的评价方法为：预评价查阅相关设计文件（屋顶绿化设置的可行性分析）；评价查阅相关竣工图、植物选择及养护报告</w:t>
      </w:r>
      <w:r>
        <w:rPr>
          <w:rFonts w:hint="eastAsia" w:ascii="宋体" w:hAnsi="宋体" w:cs="宋体"/>
          <w:sz w:val="24"/>
          <w:szCs w:val="24"/>
        </w:rPr>
        <w:t>。</w:t>
      </w:r>
    </w:p>
    <w:p w14:paraId="47BF73FF">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5.2.4</w:t>
      </w:r>
      <w:r>
        <w:rPr>
          <w:rFonts w:hint="eastAsia" w:ascii="宋体" w:hAnsi="宋体" w:cs="宋体"/>
          <w:sz w:val="24"/>
          <w:szCs w:val="24"/>
        </w:rPr>
        <w:t>　</w:t>
      </w:r>
      <w:r>
        <w:rPr>
          <w:rFonts w:hint="eastAsia" w:ascii="宋体" w:hAnsi="宋体" w:eastAsia="宋体" w:cs="宋体"/>
          <w:sz w:val="24"/>
          <w:szCs w:val="24"/>
        </w:rPr>
        <w:t>本条适用于预评价和评价。</w:t>
      </w:r>
    </w:p>
    <w:p w14:paraId="524C2B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设备设计及施工，应充分利用现有资源，以减少项目投资。由于管线、管沟、管井、设备用房自身的耐久性问题，不适合继续利用，对其原位替换的方式，也满足本条款。</w:t>
      </w:r>
    </w:p>
    <w:p w14:paraId="21936DE9">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本条的评价方法为：预评价查阅厂区现状地形图、原有老图纸、照片、机电各专业施工图等资料，查阅土建施工图及其他证明文件；评价查阅土建、机电各专业竣工图及其他证明文件，并现场核实。</w:t>
      </w:r>
    </w:p>
    <w:p w14:paraId="4A4F42C4">
      <w:pPr>
        <w:pStyle w:val="28"/>
        <w:tabs>
          <w:tab w:val="left" w:pos="0"/>
        </w:tabs>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Cs w:val="24"/>
        </w:rPr>
        <w:t>5.2.5</w:t>
      </w:r>
      <w:r>
        <w:rPr>
          <w:rFonts w:hint="eastAsia" w:ascii="宋体" w:hAnsi="宋体" w:cs="宋体"/>
          <w:sz w:val="24"/>
          <w:szCs w:val="24"/>
        </w:rPr>
        <w:t>　</w:t>
      </w:r>
      <w:r>
        <w:rPr>
          <w:rFonts w:hint="eastAsia" w:ascii="宋体" w:hAnsi="宋体" w:eastAsia="宋体" w:cs="宋体"/>
          <w:sz w:val="24"/>
          <w:szCs w:val="24"/>
        </w:rPr>
        <w:t>高大空间对建筑空调负荷影响较大。在原有高大空间工业建筑空间内采用加层等方式植入新的空间，能够减少空调房间的使用负荷。本条高大空间是指建筑内层高超过</w:t>
      </w:r>
      <w:r>
        <w:rPr>
          <w:rFonts w:hint="default" w:ascii="Times New Roman" w:hAnsi="Times New Roman" w:eastAsia="宋体" w:cs="Times New Roman"/>
          <w:sz w:val="24"/>
          <w:szCs w:val="24"/>
        </w:rPr>
        <w:t>5</w:t>
      </w:r>
      <w:r>
        <w:rPr>
          <w:rFonts w:hint="eastAsia" w:ascii="宋体" w:hAnsi="宋体" w:eastAsia="宋体" w:cs="宋体"/>
          <w:sz w:val="24"/>
          <w:szCs w:val="24"/>
        </w:rPr>
        <w:t>米的部位。</w:t>
      </w:r>
    </w:p>
    <w:p w14:paraId="77FA1F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本条的评价方法为：预评定查阅装修施工图纸。评定查阅装修专业竣工图，并现场核实。</w:t>
      </w:r>
    </w:p>
    <w:p w14:paraId="43773020">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5.2.6</w:t>
      </w:r>
      <w:r>
        <w:rPr>
          <w:rFonts w:hint="eastAsia" w:ascii="宋体" w:hAnsi="宋体" w:cs="宋体"/>
          <w:sz w:val="24"/>
          <w:szCs w:val="24"/>
        </w:rPr>
        <w:t>　</w:t>
      </w:r>
      <w:r>
        <w:rPr>
          <w:rFonts w:hint="eastAsia" w:ascii="宋体" w:hAnsi="宋体" w:eastAsia="宋体" w:cs="宋体"/>
          <w:sz w:val="24"/>
          <w:szCs w:val="24"/>
        </w:rPr>
        <w:t>推动建筑与装修一体化设计。建筑、结构、设备管线、智能化等专业设计与装修设计相互衔接，实现固定面、设备管线、开关插座及基本设施等设计同步到位，从而避免专业矛盾引起的返工和材料的浪费。</w:t>
      </w:r>
    </w:p>
    <w:p w14:paraId="6E1BFE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定查阅装修施工图纸（包含设计说明、平面布置图、顶面布置图、地面布置图、灯具定位图、开关定位图、插座定位图、立面图、剖面图、装配工艺节点图等）。评定查阅预评定涉及内容的竣工文件。</w:t>
      </w:r>
    </w:p>
    <w:p w14:paraId="200C0C1C">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5.2.7</w:t>
      </w:r>
      <w:r>
        <w:rPr>
          <w:rFonts w:hint="eastAsia" w:ascii="宋体" w:hAnsi="宋体" w:cs="宋体"/>
          <w:sz w:val="24"/>
          <w:szCs w:val="24"/>
        </w:rPr>
        <w:t>　</w:t>
      </w:r>
      <w:r>
        <w:rPr>
          <w:rFonts w:hint="eastAsia" w:ascii="宋体" w:hAnsi="宋体" w:eastAsia="宋体" w:cs="宋体"/>
          <w:sz w:val="24"/>
          <w:szCs w:val="24"/>
        </w:rPr>
        <w:t>土建装修一体化设计、施工，对节约能源资源有重要作用。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消耗，并降低装修成本。实践中，可由建设单位统一组织建筑主体工程和装修施工。在选材和施工方面尽可能采取工业化制造，具备稳定性、耐久性、环保性和通用性的设备和装修装饰材料，从而在工程竣工验收时室内装修一步到位，避免破坏建筑构件和设施。</w:t>
      </w:r>
    </w:p>
    <w:p w14:paraId="594BAD6A">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5.2.8</w:t>
      </w: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款，非砌筑是新型建筑墙体的共同特征之一。非砌筑围护墙体包括各种中大型板材、幕墙、木骨架或轻钢骨架复合墙体等，应满足工厂生产、现场安装、以“干法”施工为主的要求。</w:t>
      </w:r>
    </w:p>
    <w:p w14:paraId="09CC193B">
      <w:pPr>
        <w:spacing w:line="360" w:lineRule="auto"/>
        <w:ind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rPr>
        <w:t>1)</w:t>
      </w:r>
      <w:r>
        <w:rPr>
          <w:rFonts w:hint="eastAsia" w:ascii="宋体" w:hAnsi="宋体" w:eastAsia="宋体" w:cs="宋体"/>
          <w:sz w:val="24"/>
          <w:szCs w:val="24"/>
        </w:rPr>
        <w:t xml:space="preserve"> 非砌筑围护墙的应用比例应按下式计算：</w:t>
      </w:r>
    </w:p>
    <w:p w14:paraId="31F7BB8B">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1a</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1a</m:t>
                </m:r>
                <m:ctrlPr>
                  <w:rPr>
                    <w:rFonts w:hint="eastAsia" w:ascii="Cambria Math" w:hAnsi="Cambria Math" w:eastAsia="仿宋" w:cs="仿宋"/>
                    <w:szCs w:val="20"/>
                  </w:rPr>
                </m:ctrlPr>
              </m:sub>
            </m:sSub>
            <m:ctrlPr>
              <w:rPr>
                <w:rFonts w:hint="eastAsia" w:ascii="Cambria Math" w:hAnsi="Cambria Math" w:eastAsia="仿宋" w:cs="仿宋"/>
                <w:szCs w:val="20"/>
              </w:rPr>
            </m:ctrlPr>
          </m:num>
          <m:den>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w1</m:t>
                </m:r>
                <m:ctrlPr>
                  <w:rPr>
                    <w:rFonts w:hint="eastAsia" w:ascii="Cambria Math" w:hAnsi="Cambria Math" w:eastAsia="仿宋" w:cs="仿宋"/>
                    <w:szCs w:val="20"/>
                  </w:rPr>
                </m:ctrlPr>
              </m:sub>
            </m:sSub>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hAnsi="Cambria Math" w:eastAsia="仿宋" w:cs="仿宋"/>
          <w:szCs w:val="20"/>
        </w:rPr>
        <w:t>(</w:t>
      </w:r>
      <w:r>
        <w:rPr>
          <w:rFonts w:hint="default" w:ascii="Times New Roman" w:hAnsi="Times New Roman" w:eastAsia="仿宋" w:cs="Times New Roman"/>
          <w:szCs w:val="20"/>
        </w:rPr>
        <w:t>5.2.</w:t>
      </w:r>
      <w:r>
        <w:rPr>
          <w:rFonts w:hint="default" w:ascii="Times New Roman" w:hAnsi="Times New Roman" w:eastAsia="仿宋" w:cs="Times New Roman"/>
          <w:szCs w:val="20"/>
          <w:lang w:val="en-US" w:eastAsia="zh-CN"/>
        </w:rPr>
        <w:t>8</w:t>
      </w:r>
      <w:r>
        <w:rPr>
          <w:rFonts w:hint="default" w:ascii="Times New Roman" w:hAnsi="Times New Roman" w:eastAsia="仿宋" w:cs="Times New Roman"/>
          <w:szCs w:val="20"/>
        </w:rPr>
        <w:t>-</w:t>
      </w:r>
      <w:r>
        <w:rPr>
          <w:rFonts w:ascii="Times New Roman" w:hAnsi="Times New Roman" w:eastAsia="仿宋" w:cs="Times New Roman"/>
          <w:szCs w:val="20"/>
        </w:rPr>
        <w:t>1</w:t>
      </w:r>
      <w:r>
        <w:rPr>
          <w:rFonts w:hint="eastAsia" w:hAnsi="Cambria Math" w:eastAsia="仿宋" w:cs="仿宋"/>
          <w:szCs w:val="20"/>
        </w:rPr>
        <w:t>)</w:t>
      </w:r>
    </w:p>
    <w:p w14:paraId="4447F09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1a</w:t>
      </w:r>
      <w:r>
        <w:rPr>
          <w:rFonts w:hint="eastAsia" w:ascii="宋体" w:hAnsi="宋体" w:eastAsia="宋体" w:cs="宋体"/>
          <w:sz w:val="24"/>
          <w:szCs w:val="24"/>
        </w:rPr>
        <w:t>——非砌筑围护墙的应用比例；</w:t>
      </w:r>
    </w:p>
    <w:p w14:paraId="6E4F64CE">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1a</w:t>
      </w:r>
      <w:r>
        <w:rPr>
          <w:rFonts w:hint="eastAsia" w:ascii="宋体" w:hAnsi="宋体" w:eastAsia="宋体" w:cs="宋体"/>
          <w:sz w:val="24"/>
          <w:szCs w:val="24"/>
        </w:rPr>
        <w:t>——各楼层非砌筑围护墙的外表面积之和，计算时可不扣除门、窗</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及预留洞口等的面积；</w:t>
      </w:r>
    </w:p>
    <w:p w14:paraId="7C77B76F">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w1</w:t>
      </w:r>
      <w:r>
        <w:rPr>
          <w:rFonts w:hint="eastAsia" w:ascii="宋体" w:hAnsi="宋体" w:eastAsia="宋体" w:cs="宋体"/>
          <w:sz w:val="24"/>
          <w:szCs w:val="24"/>
        </w:rPr>
        <w:t>——各楼层围护墙外表面总面积，计算时可不扣除门、窗及预留洞</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口等的面积。</w:t>
      </w:r>
    </w:p>
    <w:p w14:paraId="56C15E26">
      <w:pPr>
        <w:spacing w:line="360" w:lineRule="auto"/>
        <w:ind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 xml:space="preserve"> 围护墙内表面采用装修一体化的应用比例应按下式计算：</w:t>
      </w:r>
    </w:p>
    <w:p w14:paraId="701F9823">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1b</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1b</m:t>
                </m:r>
                <m:ctrlPr>
                  <w:rPr>
                    <w:rFonts w:hint="eastAsia" w:ascii="Cambria Math" w:hAnsi="Cambria Math" w:eastAsia="仿宋" w:cs="仿宋"/>
                    <w:szCs w:val="20"/>
                  </w:rPr>
                </m:ctrlPr>
              </m:sub>
            </m:sSub>
            <m:ctrlPr>
              <w:rPr>
                <w:rFonts w:hint="eastAsia" w:ascii="Cambria Math" w:hAnsi="Cambria Math" w:eastAsia="仿宋" w:cs="仿宋"/>
                <w:szCs w:val="20"/>
              </w:rPr>
            </m:ctrlPr>
          </m:num>
          <m:den>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w2</m:t>
                </m:r>
                <m:ctrlPr>
                  <w:rPr>
                    <w:rFonts w:hint="eastAsia" w:ascii="Cambria Math" w:hAnsi="Cambria Math" w:eastAsia="仿宋" w:cs="仿宋"/>
                    <w:szCs w:val="20"/>
                  </w:rPr>
                </m:ctrlPr>
              </m:sub>
            </m:sSub>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hAnsi="Cambria Math" w:eastAsia="仿宋" w:cs="仿宋"/>
          <w:szCs w:val="20"/>
        </w:rPr>
        <w:t>(</w:t>
      </w:r>
      <w:r>
        <w:rPr>
          <w:rFonts w:hint="default" w:ascii="Times New Roman" w:hAnsi="Times New Roman" w:eastAsia="仿宋" w:cs="Times New Roman"/>
          <w:szCs w:val="20"/>
        </w:rPr>
        <w:t>5.2.</w:t>
      </w:r>
      <w:r>
        <w:rPr>
          <w:rFonts w:hint="default" w:ascii="Times New Roman" w:hAnsi="Times New Roman" w:eastAsia="仿宋" w:cs="Times New Roman"/>
          <w:szCs w:val="20"/>
          <w:lang w:val="en-US" w:eastAsia="zh-CN"/>
        </w:rPr>
        <w:t>8</w:t>
      </w:r>
      <w:r>
        <w:rPr>
          <w:rFonts w:hint="default" w:ascii="Times New Roman" w:hAnsi="Times New Roman" w:eastAsia="仿宋" w:cs="Times New Roman"/>
          <w:szCs w:val="20"/>
        </w:rPr>
        <w:t>-2</w:t>
      </w:r>
      <w:r>
        <w:rPr>
          <w:rFonts w:hint="default" w:hAnsi="Times New Roman" w:eastAsia="仿宋" w:cs="Times New Roman"/>
          <w:szCs w:val="20"/>
        </w:rPr>
        <w:t>)</w:t>
      </w:r>
    </w:p>
    <w:p w14:paraId="0049805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1b</w:t>
      </w:r>
      <w:r>
        <w:rPr>
          <w:rFonts w:hint="eastAsia" w:ascii="宋体" w:hAnsi="宋体" w:eastAsia="宋体" w:cs="宋体"/>
          <w:sz w:val="24"/>
          <w:szCs w:val="24"/>
        </w:rPr>
        <w:t>——围护墙内表面采用装修一体化的应用比例；</w:t>
      </w:r>
    </w:p>
    <w:p w14:paraId="3297C3B7">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1b</w:t>
      </w:r>
      <w:r>
        <w:rPr>
          <w:rFonts w:hint="eastAsia" w:ascii="宋体" w:hAnsi="宋体" w:eastAsia="宋体" w:cs="宋体"/>
          <w:sz w:val="24"/>
          <w:szCs w:val="24"/>
        </w:rPr>
        <w:t>——各楼层围护墙内表面采用装修一体化的墙面面积之和，计算时</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可不扣除门、窗及预留洞口等的面积；</w:t>
      </w:r>
    </w:p>
    <w:p w14:paraId="7C8BBB60">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w2</w:t>
      </w:r>
      <w:r>
        <w:rPr>
          <w:rFonts w:hint="eastAsia" w:ascii="宋体" w:hAnsi="宋体" w:eastAsia="宋体" w:cs="宋体"/>
          <w:sz w:val="24"/>
          <w:szCs w:val="24"/>
        </w:rPr>
        <w:t>——各楼层围护墙内表面总面积，计算时可不扣除门、窗及预留洞</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口等的面积。</w:t>
      </w:r>
    </w:p>
    <w:p w14:paraId="3069B3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款，非砌筑内隔墙体内部骨架可采用龙骨类或条板类支撑体系，应满足工厂生产、现场安装、以“干法”施工为主的要求。</w:t>
      </w:r>
    </w:p>
    <w:p w14:paraId="5A1E8780">
      <w:pPr>
        <w:numPr>
          <w:ilvl w:val="255"/>
          <w:numId w:val="0"/>
        </w:numPr>
        <w:spacing w:line="360" w:lineRule="auto"/>
        <w:ind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rPr>
        <w:t>1)</w:t>
      </w:r>
      <w:r>
        <w:rPr>
          <w:rFonts w:hint="eastAsia" w:ascii="宋体" w:hAnsi="宋体" w:eastAsia="宋体" w:cs="宋体"/>
          <w:sz w:val="24"/>
          <w:szCs w:val="24"/>
        </w:rPr>
        <w:t xml:space="preserve"> 非砌筑内隔墙的应用比例应按下式计算：</w:t>
      </w:r>
    </w:p>
    <w:p w14:paraId="18A48BD2">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1c</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1c</m:t>
                </m:r>
                <m:ctrlPr>
                  <w:rPr>
                    <w:rFonts w:hint="eastAsia" w:ascii="Cambria Math" w:hAnsi="Cambria Math" w:eastAsia="仿宋" w:cs="仿宋"/>
                    <w:szCs w:val="20"/>
                  </w:rPr>
                </m:ctrlPr>
              </m:sub>
            </m:sSub>
            <m:ctrlPr>
              <w:rPr>
                <w:rFonts w:hint="eastAsia" w:ascii="Cambria Math" w:hAnsi="Cambria Math" w:eastAsia="仿宋" w:cs="仿宋"/>
                <w:szCs w:val="20"/>
              </w:rPr>
            </m:ctrlPr>
          </m:num>
          <m:den>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w3</m:t>
                </m:r>
                <m:ctrlPr>
                  <w:rPr>
                    <w:rFonts w:hint="eastAsia" w:ascii="Cambria Math" w:hAnsi="Cambria Math" w:eastAsia="仿宋" w:cs="仿宋"/>
                    <w:szCs w:val="20"/>
                  </w:rPr>
                </m:ctrlPr>
              </m:sub>
            </m:sSub>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hAnsi="Cambria Math" w:eastAsia="仿宋" w:cs="仿宋"/>
          <w:szCs w:val="20"/>
        </w:rPr>
        <w:t>(</w:t>
      </w:r>
      <w:r>
        <w:rPr>
          <w:rFonts w:hint="default" w:ascii="Times New Roman" w:hAnsi="Times New Roman" w:eastAsia="仿宋" w:cs="Times New Roman"/>
          <w:szCs w:val="20"/>
        </w:rPr>
        <w:t>5.2.</w:t>
      </w:r>
      <w:r>
        <w:rPr>
          <w:rFonts w:hint="default" w:ascii="Times New Roman" w:hAnsi="Times New Roman" w:eastAsia="仿宋" w:cs="Times New Roman"/>
          <w:szCs w:val="20"/>
          <w:lang w:val="en-US" w:eastAsia="zh-CN"/>
        </w:rPr>
        <w:t>8</w:t>
      </w:r>
      <w:r>
        <w:rPr>
          <w:rFonts w:hint="default" w:ascii="Times New Roman" w:hAnsi="Times New Roman" w:eastAsia="仿宋" w:cs="Times New Roman"/>
          <w:szCs w:val="20"/>
        </w:rPr>
        <w:t>-3</w:t>
      </w:r>
      <w:r>
        <w:rPr>
          <w:rFonts w:hint="default" w:hAnsi="Times New Roman" w:eastAsia="仿宋" w:cs="Times New Roman"/>
          <w:szCs w:val="20"/>
        </w:rPr>
        <w:t>)</w:t>
      </w:r>
    </w:p>
    <w:p w14:paraId="6B0F755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1c</w:t>
      </w:r>
      <w:r>
        <w:rPr>
          <w:rFonts w:hint="eastAsia" w:ascii="宋体" w:hAnsi="宋体" w:eastAsia="宋体" w:cs="宋体"/>
          <w:sz w:val="24"/>
          <w:szCs w:val="24"/>
        </w:rPr>
        <w:t>——非砌筑内隔墙体的应用比例；</w:t>
      </w:r>
    </w:p>
    <w:p w14:paraId="2E176B24">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1c</w:t>
      </w:r>
      <w:r>
        <w:rPr>
          <w:rFonts w:hint="eastAsia" w:ascii="宋体" w:hAnsi="宋体" w:eastAsia="宋体" w:cs="宋体"/>
          <w:sz w:val="24"/>
          <w:szCs w:val="24"/>
        </w:rPr>
        <w:t>——各楼层非砌筑内隔墙体的墙面面积之和，计算时可不扣除门、</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窗及预留洞口等的面积；</w:t>
      </w:r>
    </w:p>
    <w:p w14:paraId="01FABE62">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w3</w:t>
      </w:r>
      <w:r>
        <w:rPr>
          <w:rFonts w:hint="eastAsia" w:ascii="宋体" w:hAnsi="宋体" w:eastAsia="宋体" w:cs="宋体"/>
          <w:sz w:val="24"/>
          <w:szCs w:val="24"/>
        </w:rPr>
        <w:t>——各楼层内隔墙墙面总面积，计算时可不扣除门、窗及预留洞口</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等的面积。</w:t>
      </w:r>
    </w:p>
    <w:p w14:paraId="2B10ABA7">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地上内隔墙采用成品饰面应用比例应按下式计算：</w:t>
      </w:r>
    </w:p>
    <w:p w14:paraId="67E4E21C">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1d</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1d</m:t>
                </m:r>
                <m:ctrlPr>
                  <w:rPr>
                    <w:rFonts w:hint="eastAsia" w:ascii="Cambria Math" w:hAnsi="Cambria Math" w:eastAsia="仿宋" w:cs="仿宋"/>
                    <w:szCs w:val="20"/>
                  </w:rPr>
                </m:ctrlPr>
              </m:sub>
            </m:sSub>
            <m:ctrlPr>
              <w:rPr>
                <w:rFonts w:hint="eastAsia" w:ascii="Cambria Math" w:hAnsi="Cambria Math" w:eastAsia="仿宋" w:cs="仿宋"/>
                <w:szCs w:val="20"/>
              </w:rPr>
            </m:ctrlPr>
          </m:num>
          <m:den>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w4</m:t>
                </m:r>
                <m:ctrlPr>
                  <w:rPr>
                    <w:rFonts w:hint="eastAsia" w:ascii="Cambria Math" w:hAnsi="Cambria Math" w:eastAsia="仿宋" w:cs="仿宋"/>
                    <w:szCs w:val="20"/>
                  </w:rPr>
                </m:ctrlPr>
              </m:sub>
            </m:sSub>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hAnsi="Cambria Math" w:eastAsia="仿宋" w:cs="仿宋"/>
          <w:szCs w:val="20"/>
        </w:rPr>
        <w:t>(</w:t>
      </w:r>
      <w:r>
        <w:rPr>
          <w:rFonts w:hint="default" w:ascii="Times New Roman" w:hAnsi="Times New Roman" w:eastAsia="仿宋" w:cs="Times New Roman"/>
          <w:szCs w:val="20"/>
        </w:rPr>
        <w:t>5.2.</w:t>
      </w:r>
      <w:r>
        <w:rPr>
          <w:rFonts w:hint="default" w:ascii="Times New Roman" w:hAnsi="Times New Roman" w:eastAsia="仿宋" w:cs="Times New Roman"/>
          <w:szCs w:val="20"/>
          <w:lang w:val="en-US" w:eastAsia="zh-CN"/>
        </w:rPr>
        <w:t>8</w:t>
      </w:r>
      <w:r>
        <w:rPr>
          <w:rFonts w:hint="default" w:ascii="Times New Roman" w:hAnsi="Times New Roman" w:eastAsia="仿宋" w:cs="Times New Roman"/>
          <w:szCs w:val="20"/>
        </w:rPr>
        <w:t>-4</w:t>
      </w:r>
      <w:r>
        <w:rPr>
          <w:rFonts w:hint="eastAsia" w:hAnsi="Cambria Math" w:eastAsia="仿宋" w:cs="仿宋"/>
          <w:szCs w:val="20"/>
        </w:rPr>
        <w:t>)</w:t>
      </w:r>
    </w:p>
    <w:p w14:paraId="47EC8BD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1d</w:t>
      </w:r>
      <w:r>
        <w:rPr>
          <w:rFonts w:hint="eastAsia" w:ascii="宋体" w:hAnsi="宋体" w:eastAsia="宋体" w:cs="宋体"/>
          <w:sz w:val="24"/>
          <w:szCs w:val="24"/>
        </w:rPr>
        <w:t>——地上内隔墙采用成品饰面应用比例；</w:t>
      </w:r>
    </w:p>
    <w:p w14:paraId="56A2BF9A">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1d</w:t>
      </w:r>
      <w:r>
        <w:rPr>
          <w:rFonts w:hint="eastAsia" w:ascii="宋体" w:hAnsi="宋体" w:eastAsia="宋体" w:cs="宋体"/>
          <w:sz w:val="24"/>
          <w:szCs w:val="24"/>
        </w:rPr>
        <w:t>——地上内隔墙采用成品饰面面积，计算时可不扣除门、窗及预留</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洞口等的面积；</w:t>
      </w:r>
    </w:p>
    <w:p w14:paraId="7120AB80">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w4</w:t>
      </w:r>
      <w:r>
        <w:rPr>
          <w:rFonts w:hint="eastAsia" w:ascii="宋体" w:hAnsi="宋体" w:eastAsia="宋体" w:cs="宋体"/>
          <w:sz w:val="24"/>
          <w:szCs w:val="24"/>
        </w:rPr>
        <w:t>——地上内隔墙内饰面总面积，计算时可不扣除门、窗及预留洞口</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等的面积。</w:t>
      </w:r>
    </w:p>
    <w:p w14:paraId="764F7F92">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5.2.9</w:t>
      </w:r>
      <w:r>
        <w:rPr>
          <w:rFonts w:hint="eastAsia" w:ascii="宋体" w:hAnsi="宋体" w:cs="宋体"/>
          <w:sz w:val="24"/>
          <w:szCs w:val="24"/>
        </w:rPr>
        <w:t>　</w:t>
      </w:r>
      <w:r>
        <w:rPr>
          <w:rFonts w:hint="eastAsia" w:ascii="宋体" w:hAnsi="宋体" w:eastAsia="宋体" w:cs="宋体"/>
          <w:sz w:val="24"/>
          <w:szCs w:val="24"/>
        </w:rPr>
        <w:t>干式工法楼（地）面可以避免抹灰等湿作业，提高施工效率，同时可以一次性实现在地板下部空间敷设管线、支撑面层、找平和装饰的作用。干式地面的构造内部的骨架应满足架空、调平、支撑的要求。饰面材料应采用平整、耐磨、抗污染、易清洁、耐腐蚀的成品饰面材料。</w:t>
      </w:r>
    </w:p>
    <w:p w14:paraId="1362BC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干式工法楼（地）面的应用比例应按下式计算：</w:t>
      </w:r>
    </w:p>
    <w:p w14:paraId="4068E057">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2a</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2a</m:t>
                </m:r>
                <m:ctrlPr>
                  <w:rPr>
                    <w:rFonts w:hint="eastAsia" w:ascii="Cambria Math" w:hAnsi="Cambria Math" w:eastAsia="仿宋" w:cs="仿宋"/>
                    <w:szCs w:val="20"/>
                  </w:rPr>
                </m:ctrlPr>
              </m:sub>
            </m:sSub>
            <m:ctrlPr>
              <w:rPr>
                <w:rFonts w:hint="eastAsia" w:ascii="Cambria Math" w:hAnsi="Cambria Math" w:eastAsia="仿宋" w:cs="仿宋"/>
                <w:szCs w:val="20"/>
              </w:rPr>
            </m:ctrlPr>
          </m:num>
          <m:den>
            <m:r>
              <m:rPr>
                <m:sty m:val="p"/>
              </m:rPr>
              <w:rPr>
                <w:rFonts w:hint="eastAsia" w:ascii="Cambria Math" w:hAnsi="Cambria Math" w:eastAsia="仿宋" w:cs="仿宋"/>
                <w:szCs w:val="20"/>
              </w:rPr>
              <m:t>A</m:t>
            </m:r>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ascii="仿宋" w:hAnsi="仿宋" w:eastAsia="仿宋" w:cs="仿宋"/>
          <w:szCs w:val="20"/>
        </w:rPr>
        <w:t>（</w:t>
      </w:r>
      <w:r>
        <w:rPr>
          <w:rFonts w:hint="default" w:ascii="Times New Roman" w:hAnsi="Times New Roman" w:eastAsia="仿宋" w:cs="Times New Roman"/>
          <w:szCs w:val="20"/>
        </w:rPr>
        <w:t>5.2.11</w:t>
      </w:r>
      <w:r>
        <w:rPr>
          <w:rFonts w:hint="eastAsia" w:ascii="仿宋" w:hAnsi="仿宋" w:eastAsia="仿宋" w:cs="仿宋"/>
          <w:szCs w:val="20"/>
        </w:rPr>
        <w:t>）</w:t>
      </w:r>
    </w:p>
    <w:p w14:paraId="4AB74CD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2a</w:t>
      </w:r>
      <w:r>
        <w:rPr>
          <w:rFonts w:hint="eastAsia" w:ascii="宋体" w:hAnsi="宋体" w:eastAsia="宋体" w:cs="宋体"/>
          <w:sz w:val="24"/>
          <w:szCs w:val="24"/>
        </w:rPr>
        <w:t>——干式工法楼（地）面的应用比例；</w:t>
      </w:r>
    </w:p>
    <w:p w14:paraId="2415D8B1">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2a</w:t>
      </w:r>
      <w:r>
        <w:rPr>
          <w:rFonts w:hint="eastAsia" w:ascii="宋体" w:hAnsi="宋体" w:eastAsia="宋体" w:cs="宋体"/>
          <w:sz w:val="24"/>
          <w:szCs w:val="24"/>
        </w:rPr>
        <w:t>——干式工法楼（地）面的面积；</w:t>
      </w:r>
    </w:p>
    <w:p w14:paraId="6AD9512E">
      <w:pPr>
        <w:spacing w:line="360" w:lineRule="auto"/>
        <w:ind w:firstLine="967" w:firstLineChars="403"/>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eastAsia" w:ascii="宋体" w:hAnsi="宋体" w:eastAsia="宋体" w:cs="宋体"/>
          <w:sz w:val="24"/>
          <w:szCs w:val="24"/>
        </w:rPr>
        <w:t>——各楼层建筑平面总面积。</w:t>
      </w:r>
    </w:p>
    <w:p w14:paraId="71F6AA1D">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5.2.10</w:t>
      </w:r>
      <w:r>
        <w:rPr>
          <w:rFonts w:hint="eastAsia" w:ascii="宋体" w:hAnsi="宋体" w:cs="宋体"/>
          <w:sz w:val="24"/>
          <w:szCs w:val="24"/>
        </w:rPr>
        <w:t>　</w:t>
      </w: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没有厨房的建筑本条不参评。集成厨房多指居住建筑中的厨房，本条强调了厨房的“集成性”和“功能性”。集成厨房是装配式建筑装饰装修的重要组成部分，其设计应按照标准化、系列化原则，并符合干式工法施工的要求，在制作和加工阶段实现装配化。当评价项目各楼层厨房中的橱柜、厨房设备等全部安装到位，且墙面、顶面（或地面）采用干式工法的应用比例</w:t>
      </w:r>
      <w:r>
        <w:rPr>
          <w:rFonts w:hint="default" w:ascii="Times New Roman" w:hAnsi="Times New Roman" w:eastAsia="宋体" w:cs="Times New Roman"/>
          <w:sz w:val="24"/>
          <w:szCs w:val="24"/>
        </w:rPr>
        <w:t>≥90％</w:t>
      </w:r>
      <w:r>
        <w:rPr>
          <w:rFonts w:hint="eastAsia" w:ascii="宋体" w:hAnsi="宋体" w:eastAsia="宋体" w:cs="宋体"/>
          <w:sz w:val="24"/>
          <w:szCs w:val="24"/>
        </w:rPr>
        <w:t>时，应认定为该项目采用了干式工法。</w:t>
      </w:r>
    </w:p>
    <w:p w14:paraId="39F70CE8">
      <w:pPr>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厨房中墙面、顶面（或地面）中干式工法的应用比例应按下式计算：</w:t>
      </w:r>
    </w:p>
    <w:p w14:paraId="25D17897">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3a</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3a</m:t>
                </m:r>
                <m:ctrlPr>
                  <w:rPr>
                    <w:rFonts w:hint="eastAsia" w:ascii="Cambria Math" w:hAnsi="Cambria Math" w:eastAsia="仿宋" w:cs="仿宋"/>
                    <w:szCs w:val="20"/>
                  </w:rPr>
                </m:ctrlPr>
              </m:sub>
            </m:sSub>
            <m:ctrlPr>
              <w:rPr>
                <w:rFonts w:hint="eastAsia" w:ascii="Cambria Math" w:hAnsi="Cambria Math" w:eastAsia="仿宋" w:cs="仿宋"/>
                <w:szCs w:val="20"/>
              </w:rPr>
            </m:ctrlPr>
          </m:num>
          <m:den>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k</m:t>
                </m:r>
                <m:ctrlPr>
                  <w:rPr>
                    <w:rFonts w:hint="eastAsia" w:ascii="Cambria Math" w:hAnsi="Cambria Math" w:eastAsia="仿宋" w:cs="仿宋"/>
                    <w:szCs w:val="20"/>
                  </w:rPr>
                </m:ctrlPr>
              </m:sub>
            </m:sSub>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ascii="仿宋" w:hAnsi="仿宋" w:eastAsia="仿宋" w:cs="仿宋"/>
          <w:szCs w:val="20"/>
        </w:rPr>
        <w:t>（</w:t>
      </w:r>
      <w:r>
        <w:rPr>
          <w:rFonts w:hint="default" w:ascii="Times New Roman" w:hAnsi="Times New Roman" w:eastAsia="仿宋" w:cs="Times New Roman"/>
          <w:szCs w:val="20"/>
        </w:rPr>
        <w:t>5.2.1</w:t>
      </w:r>
      <w:r>
        <w:rPr>
          <w:rFonts w:hint="default" w:ascii="Times New Roman" w:hAnsi="Times New Roman" w:eastAsia="仿宋" w:cs="Times New Roman"/>
          <w:szCs w:val="20"/>
          <w:lang w:val="en-US" w:eastAsia="zh-CN"/>
        </w:rPr>
        <w:t>0</w:t>
      </w:r>
      <w:r>
        <w:rPr>
          <w:rFonts w:hint="default" w:ascii="Times New Roman" w:hAnsi="Times New Roman" w:eastAsia="仿宋" w:cs="Times New Roman"/>
          <w:szCs w:val="20"/>
        </w:rPr>
        <w:t>-1</w:t>
      </w:r>
      <w:r>
        <w:rPr>
          <w:rFonts w:hint="eastAsia" w:ascii="仿宋" w:hAnsi="仿宋" w:eastAsia="仿宋" w:cs="仿宋"/>
          <w:szCs w:val="20"/>
        </w:rPr>
        <w:t>）</w:t>
      </w:r>
    </w:p>
    <w:p w14:paraId="20530C5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3a</w:t>
      </w:r>
      <w:r>
        <w:rPr>
          <w:rFonts w:hint="eastAsia" w:ascii="宋体" w:hAnsi="宋体" w:eastAsia="宋体" w:cs="宋体"/>
          <w:sz w:val="24"/>
          <w:szCs w:val="24"/>
        </w:rPr>
        <w:t>——厨房中墙面、顶面（或地面）中干式工法的应用比例；</w:t>
      </w:r>
    </w:p>
    <w:p w14:paraId="376F8EC5">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3a</w:t>
      </w:r>
      <w:r>
        <w:rPr>
          <w:rFonts w:hint="eastAsia" w:ascii="宋体" w:hAnsi="宋体" w:eastAsia="宋体" w:cs="宋体"/>
          <w:sz w:val="24"/>
          <w:szCs w:val="24"/>
        </w:rPr>
        <w:t>——各楼层厨房墙面、顶面（或地面）采用干式工法的面积之和；</w:t>
      </w:r>
    </w:p>
    <w:p w14:paraId="2034BE0C">
      <w:pPr>
        <w:spacing w:line="360" w:lineRule="auto"/>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k</w:t>
      </w:r>
      <w:r>
        <w:rPr>
          <w:rFonts w:hint="eastAsia" w:ascii="宋体" w:hAnsi="宋体" w:eastAsia="宋体" w:cs="宋体"/>
          <w:sz w:val="24"/>
          <w:szCs w:val="24"/>
        </w:rPr>
        <w:t>——各楼层厨房的墙面、顶面（或地面）的总面积。</w:t>
      </w:r>
    </w:p>
    <w:p w14:paraId="1467F7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中，集成卫生间充分考虑了卫生间空间的多样组合或分隔，包括多器具的集成卫生间产品和仅有洗面、洗浴或便溺等单一功能模块的集成卫生间产品。集成卫生间是装配式建筑装饰装修的重要组成部分，其设计应按照标准化、系列化原则，并符合干式工法施工的要求，在制作和加工阶段实现装配化。当评价项目各楼层卫生间中的洁具设备等全部安装到位，且墙面、顶面（或地面）采用干式工法的应用比例</w:t>
      </w:r>
      <w:r>
        <w:rPr>
          <w:rFonts w:hint="default" w:ascii="Times New Roman" w:hAnsi="Times New Roman" w:eastAsia="宋体" w:cs="Times New Roman"/>
          <w:sz w:val="24"/>
          <w:szCs w:val="24"/>
        </w:rPr>
        <w:t>≥90％</w:t>
      </w:r>
      <w:r>
        <w:rPr>
          <w:rFonts w:hint="eastAsia" w:ascii="宋体" w:hAnsi="宋体" w:eastAsia="宋体" w:cs="宋体"/>
          <w:sz w:val="24"/>
          <w:szCs w:val="24"/>
        </w:rPr>
        <w:t>时，应认定为该项目采用了干式工法。</w:t>
      </w:r>
    </w:p>
    <w:p w14:paraId="5ACC7F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卫生间中墙面、顶面（或地面）中干式工法的应用比例应按下式计算：</w:t>
      </w:r>
    </w:p>
    <w:p w14:paraId="3F1920E1">
      <w:pPr>
        <w:tabs>
          <w:tab w:val="center" w:pos="4200"/>
          <w:tab w:val="right" w:pos="8200"/>
        </w:tabs>
        <w:jc w:val="center"/>
        <w:rPr>
          <w:rFonts w:hint="eastAsia" w:ascii="Cambria Math" w:hAnsi="Cambria Math" w:cs="宋体" w:eastAsiaTheme="minorEastAsia"/>
          <w:sz w:val="24"/>
          <w:szCs w:val="24"/>
        </w:rPr>
      </w:pPr>
      <w:r>
        <w:rPr>
          <w:rFonts w:hint="eastAsia" w:hAnsi="Cambria Math" w:cs="宋体" w:eastAsiaTheme="minorEastAsia"/>
          <w:sz w:val="24"/>
          <w:szCs w:val="24"/>
        </w:rPr>
        <w:tab/>
      </w:r>
      <m:oMath>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q</m:t>
            </m:r>
            <m:ctrlPr>
              <w:rPr>
                <w:rFonts w:hint="eastAsia" w:ascii="Cambria Math" w:hAnsi="Cambria Math" w:eastAsia="仿宋" w:cs="仿宋"/>
                <w:szCs w:val="20"/>
              </w:rPr>
            </m:ctrlPr>
          </m:e>
          <m:sub>
            <m:r>
              <m:rPr>
                <m:sty m:val="p"/>
              </m:rPr>
              <w:rPr>
                <w:rFonts w:hint="eastAsia" w:ascii="Cambria Math" w:hAnsi="Cambria Math" w:eastAsia="仿宋" w:cs="仿宋"/>
                <w:szCs w:val="20"/>
              </w:rPr>
              <m:t>3b</m:t>
            </m:r>
            <m:ctrlPr>
              <w:rPr>
                <w:rFonts w:hint="eastAsia" w:ascii="Cambria Math" w:hAnsi="Cambria Math" w:eastAsia="仿宋" w:cs="仿宋"/>
                <w:szCs w:val="20"/>
              </w:rPr>
            </m:ctrlPr>
          </m:sub>
        </m:sSub>
        <m:r>
          <m:rPr>
            <m:sty m:val="p"/>
          </m:rPr>
          <w:rPr>
            <w:rFonts w:hint="eastAsia" w:ascii="Cambria Math" w:hAnsi="Cambria Math" w:eastAsia="仿宋" w:cs="仿宋"/>
            <w:szCs w:val="20"/>
          </w:rPr>
          <m:t>=</m:t>
        </m:r>
        <m:f>
          <m:fPr>
            <m:ctrlPr>
              <w:rPr>
                <w:rFonts w:hint="eastAsia" w:ascii="Cambria Math" w:hAnsi="Cambria Math" w:eastAsia="仿宋" w:cs="仿宋"/>
                <w:szCs w:val="20"/>
              </w:rPr>
            </m:ctrlPr>
          </m:fPr>
          <m:num>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3b</m:t>
                </m:r>
                <m:ctrlPr>
                  <w:rPr>
                    <w:rFonts w:hint="eastAsia" w:ascii="Cambria Math" w:hAnsi="Cambria Math" w:eastAsia="仿宋" w:cs="仿宋"/>
                    <w:szCs w:val="20"/>
                  </w:rPr>
                </m:ctrlPr>
              </m:sub>
            </m:sSub>
            <m:ctrlPr>
              <w:rPr>
                <w:rFonts w:hint="eastAsia" w:ascii="Cambria Math" w:hAnsi="Cambria Math" w:eastAsia="仿宋" w:cs="仿宋"/>
                <w:szCs w:val="20"/>
              </w:rPr>
            </m:ctrlPr>
          </m:num>
          <m:den>
            <m:sSub>
              <m:sSubPr>
                <m:ctrlPr>
                  <w:rPr>
                    <w:rFonts w:hint="eastAsia" w:ascii="Cambria Math" w:hAnsi="Cambria Math" w:eastAsia="仿宋" w:cs="仿宋"/>
                    <w:szCs w:val="20"/>
                  </w:rPr>
                </m:ctrlPr>
              </m:sSubPr>
              <m:e>
                <m:r>
                  <m:rPr>
                    <m:sty m:val="p"/>
                  </m:rPr>
                  <w:rPr>
                    <w:rFonts w:hint="eastAsia" w:ascii="Cambria Math" w:hAnsi="Cambria Math" w:eastAsia="仿宋" w:cs="仿宋"/>
                    <w:szCs w:val="20"/>
                  </w:rPr>
                  <m:t>A</m:t>
                </m:r>
                <m:ctrlPr>
                  <w:rPr>
                    <w:rFonts w:hint="eastAsia" w:ascii="Cambria Math" w:hAnsi="Cambria Math" w:eastAsia="仿宋" w:cs="仿宋"/>
                    <w:szCs w:val="20"/>
                  </w:rPr>
                </m:ctrlPr>
              </m:e>
              <m:sub>
                <m:r>
                  <m:rPr>
                    <m:sty m:val="p"/>
                  </m:rPr>
                  <w:rPr>
                    <w:rFonts w:hint="eastAsia" w:ascii="Cambria Math" w:hAnsi="Cambria Math" w:eastAsia="仿宋" w:cs="仿宋"/>
                    <w:szCs w:val="20"/>
                  </w:rPr>
                  <m:t>b</m:t>
                </m:r>
                <m:ctrlPr>
                  <w:rPr>
                    <w:rFonts w:hint="eastAsia" w:ascii="Cambria Math" w:hAnsi="Cambria Math" w:eastAsia="仿宋" w:cs="仿宋"/>
                    <w:szCs w:val="20"/>
                  </w:rPr>
                </m:ctrlPr>
              </m:sub>
            </m:sSub>
            <m:ctrlPr>
              <w:rPr>
                <w:rFonts w:hint="eastAsia" w:ascii="Cambria Math" w:hAnsi="Cambria Math" w:eastAsia="仿宋" w:cs="仿宋"/>
                <w:szCs w:val="20"/>
              </w:rPr>
            </m:ctrlPr>
          </m:den>
        </m:f>
        <m:r>
          <m:rPr>
            <m:sty m:val="p"/>
          </m:rPr>
          <w:rPr>
            <w:rFonts w:hint="eastAsia" w:ascii="Cambria Math" w:hAnsi="Cambria Math" w:eastAsia="仿宋" w:cs="仿宋"/>
            <w:szCs w:val="20"/>
          </w:rPr>
          <m:t>×100%</m:t>
        </m:r>
      </m:oMath>
      <w:r>
        <w:rPr>
          <w:rFonts w:ascii="Cambria Math" w:hAnsi="Cambria Math" w:cs="宋体" w:eastAsiaTheme="minorEastAsia"/>
          <w:sz w:val="24"/>
          <w:szCs w:val="24"/>
        </w:rPr>
        <w:t xml:space="preserve">   </w:t>
      </w:r>
      <w:r>
        <w:rPr>
          <w:rFonts w:hint="eastAsia" w:ascii="Cambria Math" w:hAnsi="Cambria Math" w:cs="宋体" w:eastAsiaTheme="minorEastAsia"/>
          <w:sz w:val="24"/>
          <w:szCs w:val="24"/>
        </w:rPr>
        <w:tab/>
      </w:r>
      <w:r>
        <w:rPr>
          <w:rFonts w:hint="eastAsia" w:ascii="仿宋" w:hAnsi="仿宋" w:eastAsia="仿宋" w:cs="仿宋"/>
          <w:szCs w:val="20"/>
        </w:rPr>
        <w:t>（</w:t>
      </w:r>
      <w:r>
        <w:rPr>
          <w:rFonts w:hint="default" w:ascii="Times New Roman" w:hAnsi="Times New Roman" w:eastAsia="仿宋" w:cs="Times New Roman"/>
          <w:szCs w:val="20"/>
        </w:rPr>
        <w:t>5.2.1</w:t>
      </w:r>
      <w:r>
        <w:rPr>
          <w:rFonts w:hint="default" w:ascii="Times New Roman" w:hAnsi="Times New Roman" w:eastAsia="仿宋" w:cs="Times New Roman"/>
          <w:szCs w:val="20"/>
          <w:lang w:val="en-US" w:eastAsia="zh-CN"/>
        </w:rPr>
        <w:t>0</w:t>
      </w:r>
      <w:r>
        <w:rPr>
          <w:rFonts w:hint="default" w:ascii="Times New Roman" w:hAnsi="Times New Roman" w:eastAsia="仿宋" w:cs="Times New Roman"/>
          <w:szCs w:val="20"/>
        </w:rPr>
        <w:t>-2</w:t>
      </w:r>
      <w:r>
        <w:rPr>
          <w:rFonts w:hint="eastAsia" w:ascii="仿宋" w:hAnsi="仿宋" w:eastAsia="仿宋" w:cs="仿宋"/>
          <w:szCs w:val="20"/>
        </w:rPr>
        <w:t>）</w:t>
      </w:r>
    </w:p>
    <w:p w14:paraId="7C5073F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式中： </w:t>
      </w: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3b</w:t>
      </w:r>
      <w:r>
        <w:rPr>
          <w:rFonts w:hint="eastAsia" w:ascii="宋体" w:hAnsi="宋体" w:eastAsia="宋体" w:cs="宋体"/>
          <w:sz w:val="24"/>
          <w:szCs w:val="24"/>
        </w:rPr>
        <w:t>——卫生间中墙面、顶面（或地面）中干式工法的应用比例；</w:t>
      </w:r>
    </w:p>
    <w:p w14:paraId="52E7A4D3">
      <w:pPr>
        <w:spacing w:line="360" w:lineRule="auto"/>
        <w:ind w:firstLine="729" w:firstLineChars="304"/>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3b</w:t>
      </w:r>
      <w:r>
        <w:rPr>
          <w:rFonts w:hint="eastAsia" w:ascii="宋体" w:hAnsi="宋体" w:eastAsia="宋体" w:cs="宋体"/>
          <w:sz w:val="24"/>
          <w:szCs w:val="24"/>
        </w:rPr>
        <w:t>——楼层卫生间墙面、顶面（或地面）采用干式工法的面积之和；</w:t>
      </w:r>
    </w:p>
    <w:p w14:paraId="1BE42946">
      <w:pPr>
        <w:spacing w:line="360" w:lineRule="auto"/>
        <w:ind w:firstLine="729" w:firstLineChars="304"/>
        <w:rPr>
          <w:rFonts w:hint="eastAsia" w:ascii="宋体" w:hAnsi="宋体" w:eastAsia="宋体" w:cs="宋体"/>
          <w:sz w:val="24"/>
          <w:szCs w:val="24"/>
        </w:rPr>
      </w:pP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vertAlign w:val="subscript"/>
        </w:rPr>
        <w:t>b</w:t>
      </w:r>
      <w:r>
        <w:rPr>
          <w:rFonts w:hint="eastAsia" w:ascii="宋体" w:hAnsi="宋体" w:eastAsia="宋体" w:cs="宋体"/>
          <w:sz w:val="24"/>
          <w:szCs w:val="24"/>
        </w:rPr>
        <w:t>——各楼层卫生间的墙面、顶面（或地面）的总面积。</w:t>
      </w:r>
    </w:p>
    <w:p w14:paraId="2BEE214D">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5.2.11</w:t>
      </w:r>
      <w:r>
        <w:rPr>
          <w:rFonts w:hint="eastAsia" w:ascii="宋体" w:hAnsi="宋体" w:cs="宋体"/>
          <w:sz w:val="24"/>
          <w:szCs w:val="24"/>
        </w:rPr>
        <w:t>　</w:t>
      </w:r>
      <w:r>
        <w:rPr>
          <w:rFonts w:hint="eastAsia" w:ascii="宋体" w:hAnsi="宋体" w:eastAsia="宋体" w:cs="宋体"/>
          <w:sz w:val="24"/>
          <w:szCs w:val="24"/>
        </w:rPr>
        <w:t>工业建筑低碳改造，宜充分考虑太阳能技术的利用，有条件时采取太阳能与建筑一体化。对屋面进行改造时，设计时考虑太阳能光伏组件、太阳能集热器的布置，对结构荷载进行复核，并通过改造屋面预留连接构件，使太阳能组件与建筑很好地结合。当立面日照条件较好时，可结合立面在窗间墙设置光伏组件。太阳能光伏/光热提供的能量比例，参考《绿色建筑评价标准》</w:t>
      </w:r>
      <w:r>
        <w:rPr>
          <w:rFonts w:hint="default" w:ascii="Times New Roman" w:hAnsi="Times New Roman" w:eastAsia="宋体" w:cs="Times New Roman"/>
          <w:sz w:val="24"/>
          <w:szCs w:val="24"/>
        </w:rPr>
        <w:t>7.2.9</w:t>
      </w:r>
      <w:r>
        <w:rPr>
          <w:rFonts w:hint="eastAsia" w:ascii="宋体" w:hAnsi="宋体" w:eastAsia="宋体" w:cs="宋体"/>
          <w:sz w:val="24"/>
          <w:szCs w:val="24"/>
        </w:rPr>
        <w:t>条确定。</w:t>
      </w:r>
    </w:p>
    <w:p w14:paraId="2ECF3B3E">
      <w:pPr>
        <w:pStyle w:val="28"/>
        <w:spacing w:before="0" w:beforeLines="0" w:after="0" w:afterLines="0" w:line="360" w:lineRule="auto"/>
        <w:ind w:firstLine="0" w:firstLineChars="0"/>
        <w:jc w:val="center"/>
        <w:outlineLvl w:val="2"/>
        <w:rPr>
          <w:rFonts w:hint="eastAsia" w:eastAsia="宋体" w:cs="Times New Roman"/>
          <w:b/>
          <w:bCs/>
          <w:sz w:val="28"/>
          <w:szCs w:val="28"/>
          <w:lang w:eastAsia="zh-CN"/>
        </w:rPr>
      </w:pPr>
      <w:r>
        <w:rPr>
          <w:rFonts w:hint="eastAsia" w:cs="Times New Roman"/>
          <w:b/>
          <w:bCs/>
          <w:sz w:val="28"/>
          <w:szCs w:val="28"/>
        </w:rPr>
        <w:t xml:space="preserve">Ⅱ </w:t>
      </w:r>
      <w:r>
        <w:rPr>
          <w:rFonts w:hint="eastAsia" w:ascii="仿宋" w:hAnsi="仿宋" w:eastAsia="仿宋" w:cs="仿宋"/>
          <w:b/>
          <w:bCs/>
          <w:sz w:val="28"/>
          <w:szCs w:val="28"/>
        </w:rPr>
        <w:t>建筑围护结构</w:t>
      </w:r>
    </w:p>
    <w:p w14:paraId="7757789D">
      <w:pPr>
        <w:widowControl/>
        <w:spacing w:line="360" w:lineRule="auto"/>
        <w:ind w:firstLine="0" w:firstLineChars="0"/>
        <w:jc w:val="both"/>
        <w:rPr>
          <w:rFonts w:hint="eastAsia" w:ascii="宋体" w:hAnsi="宋体" w:eastAsia="宋体" w:cs="宋体"/>
          <w:sz w:val="24"/>
          <w:szCs w:val="24"/>
        </w:rPr>
      </w:pPr>
      <w:r>
        <w:rPr>
          <w:rFonts w:hint="default" w:ascii="Times New Roman" w:hAnsi="Times New Roman" w:eastAsia="宋体" w:cs="Times New Roman"/>
          <w:b/>
          <w:bCs/>
          <w:sz w:val="24"/>
          <w:szCs w:val="24"/>
        </w:rPr>
        <w:t>5.2.12</w:t>
      </w:r>
      <w:r>
        <w:rPr>
          <w:rFonts w:hint="eastAsia" w:ascii="宋体" w:hAnsi="宋体" w:cs="宋体"/>
          <w:sz w:val="24"/>
          <w:szCs w:val="24"/>
        </w:rPr>
        <w:t>　</w:t>
      </w:r>
      <w:r>
        <w:rPr>
          <w:rFonts w:hint="eastAsia" w:ascii="宋体" w:hAnsi="宋体" w:eastAsia="宋体" w:cs="宋体"/>
          <w:color w:val="000000"/>
          <w:kern w:val="0"/>
          <w:sz w:val="24"/>
          <w:szCs w:val="24"/>
          <w:lang w:bidi="ar"/>
        </w:rPr>
        <w:t xml:space="preserve">本条适用于预评价和评价。 </w:t>
      </w:r>
    </w:p>
    <w:p w14:paraId="07666913">
      <w:pPr>
        <w:widowControl/>
        <w:spacing w:line="360" w:lineRule="auto"/>
        <w:ind w:firstLine="422"/>
        <w:jc w:val="both"/>
        <w:rPr>
          <w:rFonts w:hint="eastAsia" w:ascii="宋体" w:hAnsi="宋体" w:eastAsia="宋体" w:cs="宋体"/>
          <w:sz w:val="24"/>
          <w:szCs w:val="24"/>
        </w:rPr>
      </w:pPr>
      <w:r>
        <w:rPr>
          <w:rFonts w:hint="eastAsia" w:ascii="宋体" w:hAnsi="宋体" w:eastAsia="宋体" w:cs="宋体"/>
          <w:sz w:val="24"/>
          <w:szCs w:val="24"/>
          <w:lang w:bidi="ar"/>
        </w:rPr>
        <w:t>与新建建筑相比，既有工业建筑民用化低碳改造时，如果需要对建筑外立面进行保护，</w:t>
      </w:r>
      <w:r>
        <w:rPr>
          <w:rFonts w:hint="eastAsia" w:ascii="宋体" w:hAnsi="宋体" w:cs="宋体"/>
          <w:sz w:val="24"/>
          <w:szCs w:val="24"/>
          <w:lang w:val="en-US" w:eastAsia="zh-CN" w:bidi="ar"/>
        </w:rPr>
        <w:t>则</w:t>
      </w:r>
      <w:r>
        <w:rPr>
          <w:rFonts w:hint="eastAsia" w:ascii="宋体" w:hAnsi="宋体" w:eastAsia="宋体" w:cs="宋体"/>
          <w:sz w:val="24"/>
          <w:szCs w:val="24"/>
          <w:lang w:bidi="ar"/>
        </w:rPr>
        <w:t>很大程度上限制了采用外墙外保温措施提升建筑围护结构的热工性能。故本标准控制项第</w:t>
      </w:r>
      <w:r>
        <w:rPr>
          <w:rFonts w:hint="default" w:ascii="Times New Roman" w:hAnsi="Times New Roman" w:eastAsia="宋体" w:cs="Times New Roman"/>
          <w:sz w:val="24"/>
          <w:szCs w:val="24"/>
          <w:lang w:bidi="ar"/>
        </w:rPr>
        <w:t>5.2.7</w:t>
      </w:r>
      <w:r>
        <w:rPr>
          <w:rFonts w:hint="eastAsia" w:ascii="宋体" w:hAnsi="宋体" w:eastAsia="宋体" w:cs="宋体"/>
          <w:sz w:val="24"/>
          <w:szCs w:val="24"/>
          <w:lang w:bidi="ar"/>
        </w:rPr>
        <w:t>第</w:t>
      </w:r>
      <w:r>
        <w:rPr>
          <w:rFonts w:hint="default" w:ascii="Times New Roman" w:hAnsi="Times New Roman" w:eastAsia="宋体" w:cs="Times New Roman"/>
          <w:sz w:val="24"/>
          <w:szCs w:val="24"/>
          <w:lang w:bidi="ar"/>
        </w:rPr>
        <w:t>1</w:t>
      </w:r>
      <w:r>
        <w:rPr>
          <w:rFonts w:hint="eastAsia" w:ascii="宋体" w:hAnsi="宋体" w:eastAsia="宋体" w:cs="宋体"/>
          <w:sz w:val="24"/>
          <w:szCs w:val="24"/>
          <w:lang w:bidi="ar"/>
        </w:rPr>
        <w:t xml:space="preserve">款对既有工业建筑民用化低碳改造时的新增围护结构热工性能提出了要求。但是，围护结构的热工性能对建筑冬季供暖和夏季空调的能耗，以及室内热舒适度的影响很大，国家对此制定了专门的技术标准，故本条鼓励采取合理措施，提升改造建筑整体围护结构热工性能。 </w:t>
      </w:r>
    </w:p>
    <w:p w14:paraId="45906B5D">
      <w:pPr>
        <w:widowControl/>
        <w:spacing w:line="360" w:lineRule="auto"/>
        <w:ind w:firstLine="422"/>
        <w:jc w:val="both"/>
        <w:rPr>
          <w:rFonts w:hint="eastAsia" w:ascii="宋体" w:hAnsi="宋体" w:eastAsia="宋体" w:cs="宋体"/>
          <w:sz w:val="24"/>
          <w:szCs w:val="24"/>
        </w:rPr>
      </w:pPr>
      <w:r>
        <w:rPr>
          <w:rFonts w:hint="eastAsia" w:ascii="宋体" w:hAnsi="宋体" w:eastAsia="宋体" w:cs="宋体"/>
          <w:sz w:val="24"/>
          <w:szCs w:val="24"/>
          <w:lang w:bidi="ar"/>
        </w:rPr>
        <w:t>第</w:t>
      </w:r>
      <w:r>
        <w:rPr>
          <w:rFonts w:hint="default" w:ascii="Times New Roman" w:hAnsi="Times New Roman" w:eastAsia="宋体" w:cs="Times New Roman"/>
          <w:sz w:val="24"/>
          <w:szCs w:val="24"/>
          <w:lang w:bidi="ar"/>
        </w:rPr>
        <w:t>1</w:t>
      </w:r>
      <w:r>
        <w:rPr>
          <w:rFonts w:hint="eastAsia" w:ascii="宋体" w:hAnsi="宋体" w:eastAsia="宋体" w:cs="宋体"/>
          <w:sz w:val="24"/>
          <w:szCs w:val="24"/>
          <w:lang w:bidi="ar"/>
        </w:rPr>
        <w:t>款，要求既有工业建筑民用化低碳改造时，建筑整体围护结构热工性能达到或优于《公共建筑节能改造技术规范》</w:t>
      </w:r>
      <w:r>
        <w:rPr>
          <w:rFonts w:hint="default" w:ascii="Times New Roman" w:hAnsi="Times New Roman" w:eastAsia="宋体" w:cs="Times New Roman"/>
          <w:sz w:val="24"/>
          <w:szCs w:val="24"/>
          <w:lang w:bidi="ar"/>
        </w:rPr>
        <w:t>JGJ</w:t>
      </w:r>
      <w:r>
        <w:rPr>
          <w:rFonts w:hint="eastAsia" w:cs="Times New Roman"/>
          <w:sz w:val="24"/>
          <w:szCs w:val="24"/>
          <w:lang w:val="en-US" w:eastAsia="zh-CN" w:bidi="ar"/>
        </w:rPr>
        <w:t xml:space="preserve"> </w:t>
      </w:r>
      <w:r>
        <w:rPr>
          <w:rFonts w:hint="default" w:ascii="Times New Roman" w:hAnsi="Times New Roman" w:eastAsia="宋体" w:cs="Times New Roman"/>
          <w:sz w:val="24"/>
          <w:szCs w:val="24"/>
          <w:lang w:bidi="ar"/>
        </w:rPr>
        <w:t>176</w:t>
      </w:r>
      <w:r>
        <w:rPr>
          <w:rFonts w:hint="eastAsia" w:ascii="宋体" w:hAnsi="宋体" w:eastAsia="宋体" w:cs="宋体"/>
          <w:sz w:val="24"/>
          <w:szCs w:val="24"/>
          <w:lang w:bidi="ar"/>
        </w:rPr>
        <w:t>等对外墙、屋顶、外窗、幕墙等围护结构主要部位的传热系数K和太阳得热系数</w:t>
      </w:r>
      <w:r>
        <w:rPr>
          <w:rFonts w:hint="default" w:ascii="Times New Roman" w:hAnsi="Times New Roman" w:eastAsia="宋体" w:cs="Times New Roman"/>
          <w:sz w:val="24"/>
          <w:szCs w:val="24"/>
          <w:lang w:bidi="ar"/>
        </w:rPr>
        <w:t>SHGC</w:t>
      </w:r>
      <w:r>
        <w:rPr>
          <w:rFonts w:hint="eastAsia" w:ascii="宋体" w:hAnsi="宋体" w:eastAsia="宋体" w:cs="宋体"/>
          <w:sz w:val="24"/>
          <w:szCs w:val="24"/>
          <w:lang w:bidi="ar"/>
        </w:rPr>
        <w:t xml:space="preserve">的要求。 </w:t>
      </w:r>
    </w:p>
    <w:p w14:paraId="596BA42B">
      <w:pPr>
        <w:widowControl/>
        <w:spacing w:line="360" w:lineRule="auto"/>
        <w:ind w:firstLine="422"/>
        <w:jc w:val="both"/>
        <w:rPr>
          <w:rFonts w:hint="eastAsia" w:ascii="宋体" w:hAnsi="宋体" w:eastAsia="宋体" w:cs="宋体"/>
          <w:sz w:val="24"/>
          <w:szCs w:val="24"/>
        </w:rPr>
      </w:pPr>
      <w:r>
        <w:rPr>
          <w:rFonts w:hint="eastAsia" w:ascii="宋体" w:hAnsi="宋体" w:eastAsia="宋体" w:cs="宋体"/>
          <w:sz w:val="24"/>
          <w:szCs w:val="24"/>
          <w:lang w:bidi="ar"/>
        </w:rPr>
        <w:t>第</w:t>
      </w:r>
      <w:r>
        <w:rPr>
          <w:rFonts w:hint="default" w:ascii="Times New Roman" w:hAnsi="Times New Roman" w:eastAsia="宋体" w:cs="Times New Roman"/>
          <w:sz w:val="24"/>
          <w:szCs w:val="24"/>
          <w:lang w:bidi="ar"/>
        </w:rPr>
        <w:t>2</w:t>
      </w:r>
      <w:r>
        <w:rPr>
          <w:rFonts w:hint="eastAsia" w:ascii="宋体" w:hAnsi="宋体" w:eastAsia="宋体" w:cs="宋体"/>
          <w:sz w:val="24"/>
          <w:szCs w:val="24"/>
          <w:lang w:bidi="ar"/>
        </w:rPr>
        <w:t>款，建筑围护结构节能率指的是，与参照建筑相比，设计建筑通过围护结构热工性能改善而使全年供暖空调负荷降低的百分数。本款规定只要既有工业建筑民用化低碳改造后的暖通空调负荷不低于参照建筑的负荷，同样可以得到满分。</w:t>
      </w:r>
    </w:p>
    <w:p w14:paraId="353B4BB9">
      <w:pPr>
        <w:widowControl/>
        <w:spacing w:line="360" w:lineRule="auto"/>
        <w:ind w:firstLine="422"/>
        <w:jc w:val="both"/>
        <w:rPr>
          <w:rFonts w:hint="eastAsia" w:ascii="宋体" w:hAnsi="宋体" w:eastAsia="宋体" w:cs="宋体"/>
          <w:sz w:val="24"/>
          <w:szCs w:val="24"/>
          <w:highlight w:val="yellow"/>
        </w:rPr>
      </w:pPr>
      <w:r>
        <w:rPr>
          <w:rFonts w:hint="eastAsia" w:ascii="宋体" w:hAnsi="宋体" w:eastAsia="宋体" w:cs="宋体"/>
          <w:sz w:val="24"/>
          <w:szCs w:val="24"/>
          <w:lang w:bidi="ar"/>
        </w:rPr>
        <w:t>本条的评价方法为：预评价查阅相关设计文件（设计说明、围护结构施工详图）、节能计算书、建筑围护结构节能率分析报告；评价查阅相关竣工图（设计说明、围护结构施工详图）、节能计算书、建筑围护结构节能率分析报告。</w:t>
      </w:r>
    </w:p>
    <w:p w14:paraId="699EA322">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5.2.13</w:t>
      </w:r>
      <w:r>
        <w:rPr>
          <w:rFonts w:hint="eastAsia" w:ascii="宋体" w:hAnsi="宋体" w:cs="宋体"/>
          <w:sz w:val="24"/>
          <w:szCs w:val="24"/>
        </w:rPr>
        <w:t>　</w:t>
      </w:r>
      <w:r>
        <w:rPr>
          <w:rFonts w:hint="eastAsia" w:ascii="宋体" w:hAnsi="宋体" w:eastAsia="宋体" w:cs="宋体"/>
          <w:sz w:val="24"/>
          <w:szCs w:val="24"/>
        </w:rPr>
        <w:t>由于工业建筑大多没有地下室，与土壤直接接触的地坪虽然结构较厚，但保温性能并不能满足要求。因此，在地坪的改造方面，建议结合室内外高差，参照上人保温屋面的做法，在原有地坪上设置防潮保温层。</w:t>
      </w:r>
    </w:p>
    <w:p w14:paraId="6CAA3E60">
      <w:pPr>
        <w:widowControl/>
        <w:spacing w:line="360" w:lineRule="auto"/>
        <w:ind w:firstLine="480" w:firstLineChars="200"/>
        <w:jc w:val="both"/>
        <w:rPr>
          <w:rFonts w:ascii="宋体" w:hAnsi="宋体" w:cs="宋体"/>
          <w:b/>
          <w:bCs/>
          <w:kern w:val="44"/>
          <w:sz w:val="24"/>
          <w:szCs w:val="24"/>
        </w:rPr>
      </w:pPr>
      <w:r>
        <w:rPr>
          <w:rFonts w:hint="eastAsia" w:ascii="宋体" w:hAnsi="宋体" w:eastAsia="宋体" w:cs="宋体"/>
          <w:sz w:val="24"/>
          <w:szCs w:val="24"/>
        </w:rPr>
        <w:t>本条的评价方法为：预评价查阅相关设计文件；评价查阅相关竣工图、相关测试报告。</w:t>
      </w:r>
    </w:p>
    <w:p w14:paraId="4EF804E9">
      <w:pPr>
        <w:widowControl/>
        <w:snapToGrid w:val="0"/>
        <w:spacing w:line="360" w:lineRule="auto"/>
        <w:jc w:val="both"/>
        <w:outlineLvl w:val="0"/>
        <w:rPr>
          <w:rFonts w:ascii="宋体" w:hAnsi="宋体" w:cs="宋体"/>
          <w:b/>
          <w:bCs/>
          <w:kern w:val="44"/>
          <w:sz w:val="24"/>
          <w:szCs w:val="24"/>
        </w:rPr>
        <w:sectPr>
          <w:footerReference r:id="rId15" w:type="default"/>
          <w:pgSz w:w="11906" w:h="16838"/>
          <w:pgMar w:top="1440" w:right="1800" w:bottom="1440" w:left="1800" w:header="851" w:footer="992" w:gutter="0"/>
          <w:cols w:space="425" w:num="1"/>
          <w:docGrid w:type="lines" w:linePitch="312" w:charSpace="0"/>
        </w:sectPr>
      </w:pPr>
    </w:p>
    <w:p w14:paraId="3EE0CF9B">
      <w:pPr>
        <w:widowControl/>
        <w:snapToGrid w:val="0"/>
        <w:spacing w:line="360" w:lineRule="auto"/>
        <w:jc w:val="both"/>
        <w:outlineLvl w:val="9"/>
        <w:rPr>
          <w:rFonts w:ascii="Times New Roman" w:hAnsi="Times New Roman" w:cs="Times New Roman"/>
          <w:b/>
          <w:bCs w:val="0"/>
          <w:kern w:val="2"/>
          <w:sz w:val="30"/>
          <w:szCs w:val="30"/>
        </w:rPr>
      </w:pPr>
    </w:p>
    <w:p w14:paraId="5BCF3D25">
      <w:pPr>
        <w:widowControl/>
        <w:snapToGrid w:val="0"/>
        <w:spacing w:line="360" w:lineRule="auto"/>
        <w:jc w:val="center"/>
        <w:outlineLvl w:val="0"/>
        <w:rPr>
          <w:rFonts w:hint="default" w:eastAsia="宋体"/>
          <w:b/>
          <w:sz w:val="30"/>
          <w:szCs w:val="30"/>
          <w:lang w:eastAsia="zh-CN"/>
        </w:rPr>
      </w:pPr>
      <w:bookmarkStart w:id="279" w:name="_Toc25990"/>
      <w:bookmarkStart w:id="280" w:name="_Toc29871"/>
      <w:r>
        <w:rPr>
          <w:rFonts w:ascii="Times New Roman" w:hAnsi="Times New Roman" w:cs="Times New Roman"/>
          <w:b/>
          <w:bCs w:val="0"/>
          <w:kern w:val="2"/>
          <w:sz w:val="30"/>
          <w:szCs w:val="30"/>
        </w:rPr>
        <w:t xml:space="preserve">6 </w:t>
      </w:r>
      <w:r>
        <w:rPr>
          <w:rFonts w:hint="default" w:ascii="Times New Roman" w:hAnsi="Times New Roman" w:cs="Times New Roman"/>
          <w:b/>
          <w:bCs w:val="0"/>
          <w:kern w:val="2"/>
          <w:sz w:val="30"/>
          <w:szCs w:val="30"/>
        </w:rPr>
        <w:t>能源与水资源利用</w:t>
      </w:r>
      <w:bookmarkEnd w:id="279"/>
      <w:bookmarkEnd w:id="280"/>
    </w:p>
    <w:p w14:paraId="0435A7A4">
      <w:pPr>
        <w:tabs>
          <w:tab w:val="left" w:pos="0"/>
        </w:tabs>
        <w:spacing w:before="0" w:beforeLines="0" w:after="0" w:afterLines="0" w:line="360" w:lineRule="auto"/>
        <w:jc w:val="center"/>
        <w:outlineLvl w:val="1"/>
        <w:rPr>
          <w:rFonts w:ascii="黑体" w:hAnsi="黑体" w:eastAsia="黑体" w:cs="黑体"/>
          <w:b/>
          <w:bCs/>
          <w:sz w:val="28"/>
          <w:szCs w:val="28"/>
        </w:rPr>
      </w:pPr>
      <w:bookmarkStart w:id="281" w:name="_Toc8542"/>
      <w:bookmarkStart w:id="282" w:name="_Toc31953"/>
      <w:r>
        <w:rPr>
          <w:rFonts w:ascii="Times New Roman" w:hAnsi="Times New Roman" w:eastAsia="黑体" w:cs="Times New Roman"/>
          <w:b/>
          <w:bCs/>
          <w:sz w:val="28"/>
          <w:szCs w:val="28"/>
        </w:rPr>
        <w:t>6.1</w:t>
      </w:r>
      <w:r>
        <w:rPr>
          <w:rFonts w:ascii="黑体" w:hAnsi="黑体" w:eastAsia="黑体" w:cs="黑体"/>
          <w:b/>
          <w:bCs/>
          <w:sz w:val="28"/>
          <w:szCs w:val="28"/>
        </w:rPr>
        <w:t xml:space="preserve"> </w:t>
      </w:r>
      <w:r>
        <w:rPr>
          <w:rFonts w:hint="eastAsia" w:ascii="黑体" w:hAnsi="黑体" w:eastAsia="黑体" w:cs="黑体"/>
          <w:b/>
          <w:bCs/>
          <w:sz w:val="28"/>
          <w:szCs w:val="28"/>
        </w:rPr>
        <w:t>控制项</w:t>
      </w:r>
      <w:bookmarkEnd w:id="281"/>
      <w:bookmarkEnd w:id="282"/>
    </w:p>
    <w:p w14:paraId="6D3AAE9F">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6.1.1</w:t>
      </w:r>
      <w:r>
        <w:rPr>
          <w:rFonts w:hint="eastAsia" w:ascii="宋体" w:hAnsi="宋体" w:cs="宋体"/>
          <w:sz w:val="24"/>
          <w:szCs w:val="24"/>
        </w:rPr>
        <w:t>　</w:t>
      </w:r>
      <w:r>
        <w:rPr>
          <w:rFonts w:hint="eastAsia" w:ascii="宋体" w:hAnsi="宋体" w:eastAsia="宋体" w:cs="宋体"/>
          <w:sz w:val="24"/>
          <w:szCs w:val="24"/>
        </w:rPr>
        <w:t>本条适用于预评价和评价。</w:t>
      </w:r>
    </w:p>
    <w:p w14:paraId="33C05BD3">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款，建筑应满足室内热环境舒适度的要求。采用集中供暖空调系统的建筑，其房间的温度、湿度、新风量等是室内热环境的重要指标，应满足现行国家标准《民用建筑供暖通风与空气调节设计规范》</w:t>
      </w:r>
      <w:r>
        <w:rPr>
          <w:rFonts w:hint="default" w:ascii="Times New Roman" w:hAnsi="Times New Roman" w:eastAsia="宋体" w:cs="Times New Roman"/>
          <w:sz w:val="24"/>
          <w:szCs w:val="24"/>
        </w:rPr>
        <w:t>GB 50736</w:t>
      </w:r>
      <w:r>
        <w:rPr>
          <w:rFonts w:hint="eastAsia" w:ascii="宋体" w:hAnsi="宋体" w:eastAsia="宋体" w:cs="宋体"/>
          <w:sz w:val="24"/>
          <w:szCs w:val="24"/>
        </w:rPr>
        <w:t>中的有关规定。对于非集中供暖空调系统的建筑，应有保障室内热环境的措施或预留条件，如分体空调安装条件等。</w:t>
      </w:r>
    </w:p>
    <w:p w14:paraId="5031B194">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款，对于工业建筑进行民用化改造过程中，原有的工业建筑机电系统因建筑功能的改变基本上无法适用，本款对于新增的机电系统和设备要求其应满足《建筑节能与可再生能源利用通用规范》</w:t>
      </w:r>
      <w:r>
        <w:rPr>
          <w:rFonts w:hint="default" w:ascii="Times New Roman" w:hAnsi="Times New Roman" w:eastAsia="宋体" w:cs="Times New Roman"/>
          <w:sz w:val="24"/>
          <w:szCs w:val="24"/>
        </w:rPr>
        <w:t>GB</w:t>
      </w:r>
      <w:r>
        <w:rPr>
          <w:rFonts w:hint="eastAsia" w:cs="Times New Roman"/>
          <w:sz w:val="24"/>
          <w:szCs w:val="24"/>
          <w:lang w:val="en-US" w:eastAsia="zh-CN"/>
        </w:rPr>
        <w:t xml:space="preserve"> </w:t>
      </w:r>
      <w:r>
        <w:rPr>
          <w:rFonts w:hint="default" w:ascii="Times New Roman" w:hAnsi="Times New Roman" w:eastAsia="宋体" w:cs="Times New Roman"/>
          <w:sz w:val="24"/>
          <w:szCs w:val="24"/>
        </w:rPr>
        <w:t>55015</w:t>
      </w:r>
      <w:r>
        <w:rPr>
          <w:rFonts w:hint="eastAsia" w:ascii="宋体" w:hAnsi="宋体" w:eastAsia="宋体" w:cs="宋体"/>
          <w:sz w:val="24"/>
          <w:szCs w:val="24"/>
        </w:rPr>
        <w:t>的要求。如经节能诊断和系统评估，现有设备、系统未达到设计使用年限，且运行正常，或系统已达到设计使用年限系统，但能满足现行国家标准的要求，可沿用现有系统，进行局部改造，改造设计可参考《公共建筑节能改造技术规范</w:t>
      </w:r>
      <w:r>
        <w:rPr>
          <w:rFonts w:hint="default" w:ascii="Times New Roman" w:hAnsi="Times New Roman" w:eastAsia="宋体" w:cs="Times New Roman"/>
          <w:sz w:val="24"/>
          <w:szCs w:val="24"/>
        </w:rPr>
        <w:t>》JGJ</w:t>
      </w:r>
      <w:r>
        <w:rPr>
          <w:rFonts w:hint="eastAsia" w:cs="Times New Roman"/>
          <w:sz w:val="24"/>
          <w:szCs w:val="24"/>
          <w:lang w:val="en-US" w:eastAsia="zh-CN"/>
        </w:rPr>
        <w:t xml:space="preserve"> </w:t>
      </w:r>
      <w:r>
        <w:rPr>
          <w:rFonts w:hint="default" w:ascii="Times New Roman" w:hAnsi="Times New Roman" w:eastAsia="宋体" w:cs="Times New Roman"/>
          <w:sz w:val="24"/>
          <w:szCs w:val="24"/>
        </w:rPr>
        <w:t>176</w:t>
      </w:r>
      <w:r>
        <w:rPr>
          <w:rFonts w:hint="eastAsia" w:ascii="宋体" w:hAnsi="宋体" w:eastAsia="宋体" w:cs="宋体"/>
          <w:sz w:val="24"/>
          <w:szCs w:val="24"/>
        </w:rPr>
        <w:t>。</w:t>
      </w:r>
    </w:p>
    <w:p w14:paraId="5F959172">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本条的评价方法为：预评价查阅相关设计文件；评价查阅相关竣工图、室内温湿度检测报告。</w:t>
      </w:r>
    </w:p>
    <w:p w14:paraId="3A12CD28">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6.1.2</w:t>
      </w:r>
      <w:r>
        <w:rPr>
          <w:rFonts w:hint="eastAsia" w:ascii="宋体" w:hAnsi="宋体" w:cs="宋体"/>
          <w:sz w:val="24"/>
          <w:szCs w:val="24"/>
        </w:rPr>
        <w:t>　</w:t>
      </w:r>
      <w:r>
        <w:rPr>
          <w:rFonts w:hint="eastAsia" w:ascii="宋体" w:hAnsi="宋体" w:eastAsia="宋体" w:cs="宋体"/>
          <w:sz w:val="24"/>
          <w:szCs w:val="24"/>
        </w:rPr>
        <w:t>本条适用于预评价和评价。本条适用于预评价和评价。</w:t>
      </w:r>
    </w:p>
    <w:p w14:paraId="112BFDBE">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既有工业建筑建成时间大都比较久远，由于历史原因可能存在排水系统不满足现有规范的情况，改造前应充分了解既有排水模式和排水水质的现状。如果项目周边市政排水已实现雨污分流，或有规划将进行雨污分流时，应对项目内的雨污合流系统进行相应的分流制改造。对于项目周边市政排水很难进行雨污分流改造的老旧城区，也可对项目内的雨水进行海绵化改造，雨水排水系统可以通过采取渗、滞、蓄、净、用、排的海绵设施进行雨水的控制与利用。雨污水的排水水质不满足国家和地方排放标准要求时，还应增设水处理设施，确保达标排放。</w:t>
      </w:r>
    </w:p>
    <w:p w14:paraId="7643CEDE">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项目所在地区市政排水情况、既有项目雨污排水系统的调研评估报告、相关改造设计文件；评价查阅相关改造竣工图、雨污水达标排放情况报告、水处理设备设施管理制度、工作记录，必要时现场核查。</w:t>
      </w:r>
    </w:p>
    <w:p w14:paraId="1A18AD58">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6.1.3</w:t>
      </w:r>
      <w:r>
        <w:rPr>
          <w:rFonts w:hint="eastAsia" w:ascii="宋体" w:hAnsi="宋体" w:cs="宋体"/>
          <w:sz w:val="24"/>
          <w:szCs w:val="24"/>
        </w:rPr>
        <w:t>　</w:t>
      </w:r>
      <w:r>
        <w:rPr>
          <w:rFonts w:hint="eastAsia" w:ascii="宋体" w:hAnsi="宋体" w:eastAsia="宋体" w:cs="宋体"/>
          <w:sz w:val="24"/>
          <w:szCs w:val="24"/>
        </w:rPr>
        <w:t>本条适用于预评价和评价。对于改造后未应用可再生能源利用的项目，本条直接通过。</w:t>
      </w:r>
    </w:p>
    <w:p w14:paraId="5F51BAC6">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可再生能源利用具有节能减排的综合效益，利用可再生能源提供生活热水、作为采暖或空调系统的冷热源等已有很多成功案例，适宜广泛推广。工业建筑一般有较为理想的屋面资源，可在结构荷载允许下，充分按照应铺尽铺原则设计，同时应注意光伏光热系统应用形式不应影响整体建筑风貌。本款要求如进行太阳能光热光电系统利用时，对其系统的基本要求要满足《建筑节能与可再生能源利用通用规范》</w:t>
      </w:r>
      <w:r>
        <w:rPr>
          <w:rFonts w:hint="default" w:ascii="Times New Roman" w:hAnsi="Times New Roman" w:eastAsia="宋体" w:cs="Times New Roman"/>
          <w:sz w:val="24"/>
          <w:szCs w:val="24"/>
        </w:rPr>
        <w:t>GB</w:t>
      </w:r>
      <w:r>
        <w:rPr>
          <w:rFonts w:hint="eastAsia" w:cs="Times New Roman"/>
          <w:sz w:val="24"/>
          <w:szCs w:val="24"/>
          <w:lang w:val="en-US" w:eastAsia="zh-CN"/>
        </w:rPr>
        <w:t xml:space="preserve"> </w:t>
      </w:r>
      <w:r>
        <w:rPr>
          <w:rFonts w:hint="default" w:ascii="Times New Roman" w:hAnsi="Times New Roman" w:eastAsia="宋体" w:cs="Times New Roman"/>
          <w:sz w:val="24"/>
          <w:szCs w:val="24"/>
        </w:rPr>
        <w:t>55015</w:t>
      </w:r>
      <w:r>
        <w:rPr>
          <w:rFonts w:hint="eastAsia" w:ascii="宋体" w:hAnsi="宋体" w:eastAsia="宋体" w:cs="宋体"/>
          <w:sz w:val="24"/>
          <w:szCs w:val="24"/>
        </w:rPr>
        <w:t>的规定。</w:t>
      </w:r>
    </w:p>
    <w:p w14:paraId="00697A1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地源热泵系统作为可再生能源利用的一种形式，设计及运行管理合理时，可以起到良好的节能效果。改造后以用热为主的建筑，在考虑相应的辅助热源后，可采用地埋管地源热泵系统。改造后以用冷为主的建筑，在考虑相应的辅助冷源后，可采用地源热泵系统。当工业建筑改造时采用地源热泵利用时，需结合所在气候区和改造后的功能类型进行地源热泵系统的适宜性判定，其影响因素包括所在地的土壤温度、建筑冷热负荷需求特征等。当建设项目临近江、河、湖水等地表淡水水源或污水水源，并征得相关部门同意后，建设项目应优先采用地表水地源热泵系统。当使用地埋管地源热泵系统时，须考虑埋管空间的可行性。本款从降碳节能的角度考虑，对地源泵系统的能效做出了限值要求。</w:t>
      </w:r>
    </w:p>
    <w:p w14:paraId="14472AC9">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6.1.4</w:t>
      </w:r>
      <w:r>
        <w:rPr>
          <w:rFonts w:hint="eastAsia" w:ascii="宋体" w:hAnsi="宋体" w:cs="宋体"/>
          <w:sz w:val="24"/>
          <w:szCs w:val="24"/>
        </w:rPr>
        <w:t>　</w:t>
      </w:r>
      <w:r>
        <w:rPr>
          <w:rFonts w:hint="eastAsia" w:ascii="宋体" w:hAnsi="宋体" w:eastAsia="宋体" w:cs="宋体"/>
          <w:sz w:val="24"/>
          <w:szCs w:val="24"/>
        </w:rPr>
        <w:t>本条适用于预评价和评价。</w:t>
      </w:r>
    </w:p>
    <w:p w14:paraId="4E4C577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现行国家标准《建筑照明设计标准》</w:t>
      </w:r>
      <w:r>
        <w:rPr>
          <w:rFonts w:hint="default" w:ascii="Times New Roman" w:hAnsi="Times New Roman" w:eastAsia="宋体" w:cs="Times New Roman"/>
          <w:sz w:val="24"/>
          <w:szCs w:val="24"/>
        </w:rPr>
        <w:t>GB 50034</w:t>
      </w:r>
      <w:r>
        <w:rPr>
          <w:rFonts w:hint="eastAsia" w:ascii="宋体" w:hAnsi="宋体" w:eastAsia="宋体" w:cs="宋体"/>
          <w:sz w:val="24"/>
          <w:szCs w:val="24"/>
        </w:rPr>
        <w:t>规定了各类房间或场所的照明功率密度值，分为“现行值”和“目标值”，其中“现行值”是新建建筑必须满足的最低要求，“目标值”要求更高。对于改造的主要功能房间，其改造后应满足现行国家标准《建筑照明设计标准》</w:t>
      </w:r>
      <w:r>
        <w:rPr>
          <w:rFonts w:hint="default" w:ascii="Times New Roman" w:hAnsi="Times New Roman" w:eastAsia="宋体" w:cs="Times New Roman"/>
          <w:sz w:val="24"/>
          <w:szCs w:val="24"/>
        </w:rPr>
        <w:t>GB/T 50034</w:t>
      </w:r>
      <w:r>
        <w:rPr>
          <w:rFonts w:hint="eastAsia" w:ascii="宋体" w:hAnsi="宋体" w:eastAsia="宋体" w:cs="宋体"/>
          <w:sz w:val="24"/>
          <w:szCs w:val="24"/>
        </w:rPr>
        <w:t>规定的现行值的要求。</w:t>
      </w:r>
    </w:p>
    <w:p w14:paraId="39B825DC">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6.1.5</w:t>
      </w:r>
      <w:r>
        <w:rPr>
          <w:rFonts w:hint="eastAsia" w:ascii="宋体" w:hAnsi="宋体" w:cs="宋体"/>
          <w:sz w:val="24"/>
          <w:szCs w:val="24"/>
        </w:rPr>
        <w:t>　</w:t>
      </w:r>
      <w:r>
        <w:rPr>
          <w:rFonts w:hint="eastAsia" w:ascii="宋体" w:hAnsi="宋体" w:eastAsia="宋体" w:cs="宋体"/>
          <w:sz w:val="24"/>
          <w:szCs w:val="24"/>
        </w:rPr>
        <w:t>本条适用于预评价和评价。</w:t>
      </w:r>
    </w:p>
    <w:p w14:paraId="0CE6202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调研评估现有给排水系统状况、市政给排水条件与要求，既有水源水量、水压等现状，结合改造后使用需求，对给排水设施系统进行设计，对于新增的给排水设施及系统设计，应符合现行有关国家标准的规定；</w:t>
      </w:r>
    </w:p>
    <w:p w14:paraId="7CDF8DCB">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用水器具给水配件在单位时间内的出水量超过额定流量的现象，称超压出流现象，该流量与额定流量的差值，为超压出流量。超压出流量未产生使用效益，为无效用水量，即浪费的水量。给水系统设计时应采取措施控制超压出流现象，应合理进行压力分区，并适当地采取减压措施，避免造成浪费。</w:t>
      </w:r>
    </w:p>
    <w:p w14:paraId="73BDC835">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当选用自带减压装置的用水器具时，该部分管线的工作压力满足相关设计规范的要求即可。当建筑因功能需要，选用特殊水压要求的用水器具时，可根据产品要求采用适当的工作压力，但应当选用用水效率高的产品，并在说明中做相应描述。</w:t>
      </w:r>
    </w:p>
    <w:p w14:paraId="2F65EB2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3</w:t>
      </w:r>
      <w:r>
        <w:rPr>
          <w:rFonts w:hint="eastAsia" w:ascii="宋体" w:hAnsi="宋体" w:eastAsia="宋体" w:cs="宋体"/>
          <w:sz w:val="24"/>
          <w:szCs w:val="24"/>
        </w:rPr>
        <w:t>款，更换的所有用水器具应满足现行标准《节水型产品技术条件与管理通则》</w:t>
      </w:r>
      <w:r>
        <w:rPr>
          <w:rFonts w:hint="default" w:ascii="Times New Roman" w:hAnsi="Times New Roman" w:eastAsia="宋体" w:cs="Times New Roman"/>
          <w:sz w:val="24"/>
          <w:szCs w:val="24"/>
        </w:rPr>
        <w:t>GB/T</w:t>
      </w:r>
      <w:r>
        <w:rPr>
          <w:rFonts w:hint="eastAsia" w:cs="Times New Roman"/>
          <w:sz w:val="24"/>
          <w:szCs w:val="24"/>
          <w:lang w:val="en-US" w:eastAsia="zh-CN"/>
        </w:rPr>
        <w:t xml:space="preserve"> </w:t>
      </w:r>
      <w:r>
        <w:rPr>
          <w:rFonts w:hint="default" w:ascii="Times New Roman" w:hAnsi="Times New Roman" w:eastAsia="宋体" w:cs="Times New Roman"/>
          <w:sz w:val="24"/>
          <w:szCs w:val="24"/>
        </w:rPr>
        <w:t>18870</w:t>
      </w:r>
      <w:r>
        <w:rPr>
          <w:rFonts w:hint="eastAsia" w:ascii="宋体" w:hAnsi="宋体" w:eastAsia="宋体" w:cs="宋体"/>
          <w:sz w:val="24"/>
          <w:szCs w:val="24"/>
        </w:rPr>
        <w:t>的要求。除特殊功能需求外，均应采用节水型用水器具。</w:t>
      </w:r>
    </w:p>
    <w:p w14:paraId="500FF383">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4</w:t>
      </w:r>
      <w:r>
        <w:rPr>
          <w:rFonts w:hint="eastAsia" w:ascii="宋体" w:hAnsi="宋体" w:eastAsia="宋体" w:cs="宋体"/>
          <w:sz w:val="24"/>
          <w:szCs w:val="24"/>
        </w:rPr>
        <w:t>款，当水池、水箱的补水管发生故障时，常出现水池、水箱的溢流现象，如不能及早发现，会导致水资源的大量浪费。强制性工程建设规范《建筑给水排水与节水通用规范》</w:t>
      </w:r>
      <w:r>
        <w:rPr>
          <w:rFonts w:hint="default" w:ascii="Times New Roman" w:hAnsi="Times New Roman" w:eastAsia="宋体" w:cs="Times New Roman"/>
          <w:sz w:val="24"/>
          <w:szCs w:val="24"/>
        </w:rPr>
        <w:t>GB 55020-2021</w:t>
      </w:r>
      <w:r>
        <w:rPr>
          <w:rFonts w:hint="eastAsia" w:ascii="宋体" w:hAnsi="宋体" w:eastAsia="宋体" w:cs="宋体"/>
          <w:sz w:val="24"/>
          <w:szCs w:val="24"/>
        </w:rPr>
        <w:t>第</w:t>
      </w:r>
      <w:r>
        <w:rPr>
          <w:rFonts w:hint="default" w:ascii="Times New Roman" w:hAnsi="Times New Roman" w:eastAsia="宋体" w:cs="Times New Roman"/>
          <w:sz w:val="24"/>
          <w:szCs w:val="24"/>
        </w:rPr>
        <w:t>3.4.6</w:t>
      </w:r>
      <w:r>
        <w:rPr>
          <w:rFonts w:hint="eastAsia" w:ascii="宋体" w:hAnsi="宋体" w:eastAsia="宋体" w:cs="宋体"/>
          <w:sz w:val="24"/>
          <w:szCs w:val="24"/>
        </w:rPr>
        <w:t>条规定“生活给水水池（箱）应设置水位控制和溢流报警装置”。</w:t>
      </w:r>
    </w:p>
    <w:p w14:paraId="78889D0F">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既有工业建筑物给排水系统情况调研评估报告（含既有系统运行情况、既有设施再利用的可行性分析等）、相关改造设计文件（各层用水点用水压力计算图表、用水器具节水性能要求）；评价查阅相关改造竣工图，用水器具产品说明书或产品节水性能检测报告、影像资料，必要时现场核查。</w:t>
      </w:r>
    </w:p>
    <w:p w14:paraId="0E663CD7">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6.1.6</w:t>
      </w:r>
      <w:r>
        <w:rPr>
          <w:rFonts w:hint="eastAsia" w:ascii="宋体" w:hAnsi="宋体" w:cs="宋体"/>
          <w:sz w:val="24"/>
          <w:szCs w:val="24"/>
        </w:rPr>
        <w:t>　</w:t>
      </w:r>
      <w:r>
        <w:rPr>
          <w:rFonts w:hint="eastAsia" w:ascii="宋体" w:hAnsi="宋体" w:eastAsia="宋体" w:cs="宋体"/>
          <w:sz w:val="24"/>
          <w:szCs w:val="24"/>
        </w:rPr>
        <w:t>本条适用于预评价和评价。</w:t>
      </w:r>
    </w:p>
    <w:p w14:paraId="117DC8C9">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建筑运行能源消耗情况较为复杂，主要包括空调系统、照明系统、其他动力系统等。设置分项或分功能计量系统，有助于统计各类设备系统的能耗分布，发现能耗不合理之处。</w:t>
      </w:r>
    </w:p>
    <w:p w14:paraId="11A80938">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要求采用集中冷热源的公共建筑，在改造设计时，应考虑使建筑内各能耗环节如冷热源、输配系统、照明、热水能耗等都能实现独立分项计量；对非集中冷热源的公共建筑，在改造设计时，应考虑使建筑内根据面积或功能等实现分项计量。这有助于分析建筑各项能耗水平和能耗结构是否合理，发现问题并提出改进措施，从而有效地实施建筑节能。</w:t>
      </w:r>
    </w:p>
    <w:p w14:paraId="1E23DD00">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对于改造后作为住宅建筑，不要求户内各路用电的单独分项计量，但改造应实现分户计量。</w:t>
      </w:r>
    </w:p>
    <w:p w14:paraId="7D9CDA14">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本条的评价方法为：预评价查阅相关设计文件、计算书；评价时查阅相关竣工图、计算书、运行记录。</w:t>
      </w:r>
    </w:p>
    <w:p w14:paraId="00C64135">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6.1.7</w:t>
      </w:r>
      <w:r>
        <w:rPr>
          <w:rFonts w:hint="eastAsia" w:ascii="宋体" w:hAnsi="宋体" w:cs="宋体"/>
          <w:sz w:val="24"/>
          <w:szCs w:val="24"/>
        </w:rPr>
        <w:t>　</w:t>
      </w:r>
      <w:r>
        <w:rPr>
          <w:rFonts w:hint="eastAsia" w:ascii="宋体" w:hAnsi="宋体" w:eastAsia="宋体" w:cs="宋体"/>
          <w:sz w:val="24"/>
          <w:szCs w:val="24"/>
        </w:rPr>
        <w:t>本条适用于预评价和评价。经检测或评估，电梯和自动扶梯节能控制系统符合原设计要求，且能够满足建筑功能需求，不进行改造时，本条直接达标。</w:t>
      </w:r>
    </w:p>
    <w:p w14:paraId="5A11A8CE">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对垂直电梯，应具有群控、变频调速拖动、能量再生回馈等至少一项技术，实现电梯节能。对于扶梯，应采用变频感应启动技术来降低使用能耗。</w:t>
      </w:r>
    </w:p>
    <w:p w14:paraId="3E06E9F1">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本条的评价方法为：预评价查阅相关设计文件、电梯与自动扶梯人流平衡计算分析报告；评价查阅相关竣工图、相关产品型式检验报告。</w:t>
      </w:r>
    </w:p>
    <w:p w14:paraId="1ABB3621">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Cs w:val="24"/>
        </w:rPr>
        <w:t>6.1.8</w:t>
      </w:r>
      <w:r>
        <w:rPr>
          <w:rFonts w:hint="eastAsia" w:ascii="宋体" w:hAnsi="宋体" w:cs="宋体"/>
          <w:szCs w:val="24"/>
        </w:rPr>
        <w:t>　</w:t>
      </w:r>
      <w:r>
        <w:rPr>
          <w:rFonts w:hint="eastAsia" w:ascii="宋体" w:hAnsi="宋体" w:eastAsia="宋体" w:cs="宋体"/>
          <w:sz w:val="24"/>
          <w:szCs w:val="24"/>
        </w:rPr>
        <w:t>本条适用于预评价和评价。既有建筑电气改造工程的设计，应在对既有建筑供配电系统现场检查、评定的基础上，根据改造后建筑物的用电负荷情况和使用要求进行供配电系统设计，且应符合国家现行标准的规定。</w:t>
      </w:r>
    </w:p>
    <w:p w14:paraId="40B4B5C4">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本条的评价方法为：预评价查阅相关设计文件、分析报告；评价查阅相关竣工图、相关检验报告。</w:t>
      </w:r>
    </w:p>
    <w:p w14:paraId="46E0E437">
      <w:pPr>
        <w:numPr>
          <w:ilvl w:val="-1"/>
          <w:numId w:val="0"/>
        </w:numPr>
        <w:tabs>
          <w:tab w:val="left" w:pos="0"/>
        </w:tabs>
        <w:spacing w:before="0" w:beforeLines="0" w:after="0" w:afterLines="0" w:line="360" w:lineRule="auto"/>
        <w:jc w:val="center"/>
        <w:outlineLvl w:val="1"/>
        <w:rPr>
          <w:rFonts w:ascii="黑体" w:hAnsi="黑体" w:eastAsia="黑体" w:cs="黑体"/>
          <w:b/>
          <w:bCs/>
          <w:sz w:val="28"/>
          <w:szCs w:val="28"/>
        </w:rPr>
      </w:pPr>
      <w:bookmarkStart w:id="283" w:name="_Toc20971"/>
      <w:bookmarkStart w:id="284" w:name="_Toc25707"/>
      <w:r>
        <w:rPr>
          <w:rFonts w:hint="default" w:ascii="Times New Roman" w:hAnsi="Times New Roman" w:eastAsia="黑体" w:cs="Times New Roman"/>
          <w:b/>
          <w:bCs/>
          <w:sz w:val="28"/>
          <w:szCs w:val="28"/>
        </w:rPr>
        <w:t>6.2</w:t>
      </w:r>
      <w:r>
        <w:rPr>
          <w:rFonts w:hint="eastAsia" w:ascii="黑体" w:hAnsi="黑体" w:eastAsia="黑体" w:cs="黑体"/>
          <w:b/>
          <w:bCs/>
          <w:sz w:val="28"/>
          <w:szCs w:val="28"/>
        </w:rPr>
        <w:t>评分项</w:t>
      </w:r>
      <w:bookmarkEnd w:id="283"/>
      <w:bookmarkEnd w:id="284"/>
    </w:p>
    <w:p w14:paraId="2098A0E6">
      <w:pPr>
        <w:pStyle w:val="28"/>
        <w:spacing w:before="0" w:beforeLines="0" w:after="0" w:afterLines="0" w:line="360" w:lineRule="auto"/>
        <w:ind w:firstLine="0" w:firstLineChars="0"/>
        <w:jc w:val="center"/>
        <w:outlineLvl w:val="2"/>
        <w:rPr>
          <w:rFonts w:hint="eastAsia" w:eastAsia="仿宋" w:cs="Times New Roman"/>
          <w:b/>
          <w:bCs/>
          <w:sz w:val="28"/>
          <w:szCs w:val="28"/>
          <w:lang w:eastAsia="zh-CN"/>
        </w:rPr>
      </w:pPr>
      <w:r>
        <w:rPr>
          <w:rFonts w:hint="default" w:cs="Times New Roman"/>
          <w:b/>
          <w:bCs/>
          <w:sz w:val="28"/>
          <w:szCs w:val="28"/>
        </w:rPr>
        <w:t>Ⅰ</w:t>
      </w:r>
      <w:r>
        <w:rPr>
          <w:rFonts w:cs="Times New Roman"/>
          <w:b/>
          <w:bCs/>
          <w:sz w:val="28"/>
          <w:szCs w:val="28"/>
        </w:rPr>
        <w:t xml:space="preserve"> </w:t>
      </w:r>
      <w:r>
        <w:rPr>
          <w:rFonts w:hint="eastAsia" w:ascii="仿宋" w:hAnsi="仿宋" w:eastAsia="仿宋" w:cs="仿宋"/>
          <w:b/>
          <w:bCs/>
          <w:sz w:val="28"/>
          <w:szCs w:val="28"/>
        </w:rPr>
        <w:t>节能与能源</w:t>
      </w:r>
    </w:p>
    <w:p w14:paraId="613865B7">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6.2.1</w:t>
      </w:r>
      <w:r>
        <w:rPr>
          <w:rFonts w:hint="eastAsia" w:ascii="宋体" w:hAnsi="宋体" w:cs="宋体"/>
          <w:b/>
          <w:bCs/>
          <w:sz w:val="24"/>
          <w:szCs w:val="24"/>
        </w:rPr>
        <w:t xml:space="preserve">  </w:t>
      </w:r>
      <w:r>
        <w:rPr>
          <w:rFonts w:hint="eastAsia" w:ascii="宋体" w:hAnsi="宋体" w:eastAsia="宋体" w:cs="宋体"/>
          <w:sz w:val="24"/>
          <w:szCs w:val="24"/>
        </w:rPr>
        <w:t>本条适用于预评价和评价。</w:t>
      </w:r>
    </w:p>
    <w:p w14:paraId="5950933C">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针对供暖空调系统的冷、热源机组能效等级，发布了多部标准，具体见表</w:t>
      </w:r>
      <w:r>
        <w:rPr>
          <w:rFonts w:hint="default" w:ascii="Times New Roman" w:hAnsi="Times New Roman" w:eastAsia="宋体" w:cs="Times New Roman"/>
          <w:sz w:val="24"/>
          <w:szCs w:val="24"/>
        </w:rPr>
        <w:t>1</w:t>
      </w:r>
      <w:r>
        <w:rPr>
          <w:rFonts w:hint="eastAsia" w:ascii="宋体" w:hAnsi="宋体" w:eastAsia="宋体" w:cs="宋体"/>
          <w:sz w:val="24"/>
          <w:szCs w:val="24"/>
        </w:rPr>
        <w:t>。在现行标准的上版标准中能效等级一般为</w:t>
      </w:r>
      <w:r>
        <w:rPr>
          <w:rFonts w:hint="default" w:ascii="Times New Roman" w:hAnsi="Times New Roman" w:eastAsia="宋体" w:cs="Times New Roman"/>
          <w:sz w:val="24"/>
          <w:szCs w:val="24"/>
        </w:rPr>
        <w:t>5</w:t>
      </w:r>
      <w:r>
        <w:rPr>
          <w:rFonts w:hint="eastAsia" w:ascii="宋体" w:hAnsi="宋体" w:eastAsia="宋体" w:cs="宋体"/>
          <w:sz w:val="24"/>
          <w:szCs w:val="24"/>
        </w:rPr>
        <w:t>级或</w:t>
      </w:r>
      <w:r>
        <w:rPr>
          <w:rFonts w:hint="default" w:ascii="Times New Roman" w:hAnsi="Times New Roman" w:eastAsia="宋体" w:cs="Times New Roman"/>
          <w:sz w:val="24"/>
          <w:szCs w:val="24"/>
        </w:rPr>
        <w:t>3</w:t>
      </w:r>
      <w:r>
        <w:rPr>
          <w:rFonts w:hint="eastAsia" w:ascii="宋体" w:hAnsi="宋体" w:eastAsia="宋体" w:cs="宋体"/>
          <w:sz w:val="24"/>
          <w:szCs w:val="24"/>
        </w:rPr>
        <w:t>级，</w:t>
      </w:r>
      <w:r>
        <w:rPr>
          <w:rFonts w:hint="default" w:ascii="Times New Roman" w:hAnsi="Times New Roman" w:eastAsia="宋体" w:cs="Times New Roman"/>
          <w:sz w:val="24"/>
          <w:szCs w:val="24"/>
        </w:rPr>
        <w:t>1</w:t>
      </w:r>
      <w:r>
        <w:rPr>
          <w:rFonts w:hint="eastAsia" w:ascii="宋体" w:hAnsi="宋体" w:eastAsia="宋体" w:cs="宋体"/>
          <w:sz w:val="24"/>
          <w:szCs w:val="24"/>
        </w:rPr>
        <w:t>级为最高。为保证既有建筑低碳改造的经济性，避免过度改造，如果原有供暖空调系统的冷、热源机组运行良好，改造时未进行更换，且符合设计时产品标准的</w:t>
      </w:r>
      <w:r>
        <w:rPr>
          <w:rFonts w:hint="default" w:ascii="Times New Roman" w:hAnsi="Times New Roman" w:eastAsia="宋体" w:cs="Times New Roman"/>
          <w:sz w:val="24"/>
          <w:szCs w:val="24"/>
        </w:rPr>
        <w:t>3</w:t>
      </w:r>
      <w:r>
        <w:rPr>
          <w:rFonts w:hint="eastAsia" w:ascii="宋体" w:hAnsi="宋体" w:eastAsia="宋体" w:cs="宋体"/>
          <w:sz w:val="24"/>
          <w:szCs w:val="24"/>
        </w:rPr>
        <w:t>级能效等级，本条即可得分；达到设计时产品标准的节能评价值或现行标准</w:t>
      </w:r>
      <w:r>
        <w:rPr>
          <w:rFonts w:hint="default" w:ascii="Times New Roman" w:hAnsi="Times New Roman" w:eastAsia="宋体" w:cs="Times New Roman"/>
          <w:sz w:val="24"/>
          <w:szCs w:val="24"/>
        </w:rPr>
        <w:t>2</w:t>
      </w:r>
      <w:r>
        <w:rPr>
          <w:rFonts w:hint="eastAsia" w:ascii="宋体" w:hAnsi="宋体" w:eastAsia="宋体" w:cs="宋体"/>
          <w:sz w:val="24"/>
          <w:szCs w:val="24"/>
        </w:rPr>
        <w:t>级能效等级，本条可得满分。如果相关冷、热源机组之前未发布产品能效等级标准，可参照相关标准执行。</w:t>
      </w:r>
    </w:p>
    <w:p w14:paraId="2F75A9B4">
      <w:pPr>
        <w:widowControl/>
        <w:spacing w:line="360" w:lineRule="auto"/>
        <w:jc w:val="center"/>
        <w:rPr>
          <w:b/>
          <w:bCs/>
          <w:szCs w:val="24"/>
        </w:rPr>
      </w:pPr>
      <w:r>
        <w:rPr>
          <w:rFonts w:hint="eastAsia"/>
          <w:b/>
          <w:bCs/>
          <w:kern w:val="0"/>
          <w:szCs w:val="20"/>
        </w:rPr>
        <w:t>表1  不同版本供暖空调系统的冷、热源机组能效标准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962"/>
        <w:gridCol w:w="1086"/>
        <w:gridCol w:w="2268"/>
        <w:gridCol w:w="784"/>
        <w:gridCol w:w="996"/>
      </w:tblGrid>
      <w:tr w14:paraId="5DAD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vMerge w:val="restart"/>
            <w:shd w:val="clear" w:color="auto" w:fill="auto"/>
            <w:vAlign w:val="center"/>
          </w:tcPr>
          <w:p w14:paraId="53ABD12C">
            <w:pPr>
              <w:spacing w:line="360" w:lineRule="auto"/>
              <w:jc w:val="center"/>
            </w:pPr>
            <w:r>
              <w:rPr>
                <w:rFonts w:hint="eastAsia"/>
              </w:rPr>
              <w:t>设备名称</w:t>
            </w:r>
          </w:p>
        </w:tc>
        <w:tc>
          <w:tcPr>
            <w:tcW w:w="3048" w:type="dxa"/>
            <w:gridSpan w:val="2"/>
            <w:shd w:val="clear" w:color="auto" w:fill="auto"/>
            <w:vAlign w:val="center"/>
          </w:tcPr>
          <w:p w14:paraId="0CB1C3AA">
            <w:pPr>
              <w:spacing w:line="360" w:lineRule="auto"/>
              <w:jc w:val="center"/>
            </w:pPr>
            <w:r>
              <w:rPr>
                <w:rFonts w:hint="eastAsia"/>
              </w:rPr>
              <w:t>现行标准</w:t>
            </w:r>
          </w:p>
        </w:tc>
        <w:tc>
          <w:tcPr>
            <w:tcW w:w="4048" w:type="dxa"/>
            <w:gridSpan w:val="3"/>
            <w:shd w:val="clear" w:color="auto" w:fill="auto"/>
            <w:vAlign w:val="center"/>
          </w:tcPr>
          <w:p w14:paraId="05074856">
            <w:pPr>
              <w:spacing w:line="360" w:lineRule="auto"/>
              <w:jc w:val="center"/>
            </w:pPr>
            <w:r>
              <w:rPr>
                <w:rFonts w:hint="eastAsia"/>
              </w:rPr>
              <w:t>上版标准</w:t>
            </w:r>
          </w:p>
        </w:tc>
      </w:tr>
      <w:tr w14:paraId="0D61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vMerge w:val="continue"/>
            <w:vAlign w:val="center"/>
          </w:tcPr>
          <w:p w14:paraId="0AC6693A">
            <w:pPr>
              <w:spacing w:line="360" w:lineRule="auto"/>
              <w:jc w:val="center"/>
            </w:pPr>
          </w:p>
        </w:tc>
        <w:tc>
          <w:tcPr>
            <w:tcW w:w="1962" w:type="dxa"/>
            <w:shd w:val="clear" w:color="auto" w:fill="auto"/>
            <w:vAlign w:val="center"/>
          </w:tcPr>
          <w:p w14:paraId="574E99D6">
            <w:pPr>
              <w:spacing w:line="360" w:lineRule="auto"/>
              <w:jc w:val="center"/>
            </w:pPr>
            <w:r>
              <w:rPr>
                <w:rFonts w:hint="eastAsia"/>
              </w:rPr>
              <w:t>标准名称和标准号</w:t>
            </w:r>
          </w:p>
        </w:tc>
        <w:tc>
          <w:tcPr>
            <w:tcW w:w="1086" w:type="dxa"/>
            <w:shd w:val="clear" w:color="auto" w:fill="auto"/>
            <w:vAlign w:val="center"/>
          </w:tcPr>
          <w:p w14:paraId="307F2BDE">
            <w:pPr>
              <w:spacing w:line="360" w:lineRule="auto"/>
              <w:jc w:val="center"/>
            </w:pPr>
            <w:r>
              <w:rPr>
                <w:rFonts w:hint="eastAsia"/>
              </w:rPr>
              <w:t>能效等级</w:t>
            </w:r>
          </w:p>
        </w:tc>
        <w:tc>
          <w:tcPr>
            <w:tcW w:w="2268" w:type="dxa"/>
            <w:shd w:val="clear" w:color="auto" w:fill="auto"/>
            <w:vAlign w:val="center"/>
          </w:tcPr>
          <w:p w14:paraId="3951C888">
            <w:pPr>
              <w:spacing w:line="360" w:lineRule="auto"/>
              <w:jc w:val="center"/>
            </w:pPr>
            <w:r>
              <w:rPr>
                <w:rFonts w:hint="eastAsia"/>
              </w:rPr>
              <w:t>标准名称和标准号</w:t>
            </w:r>
          </w:p>
        </w:tc>
        <w:tc>
          <w:tcPr>
            <w:tcW w:w="784" w:type="dxa"/>
            <w:shd w:val="clear" w:color="auto" w:fill="auto"/>
            <w:vAlign w:val="center"/>
          </w:tcPr>
          <w:p w14:paraId="21651A86">
            <w:pPr>
              <w:spacing w:line="360" w:lineRule="auto"/>
              <w:jc w:val="center"/>
            </w:pPr>
            <w:r>
              <w:rPr>
                <w:rFonts w:hint="eastAsia"/>
              </w:rPr>
              <w:t>能效等级</w:t>
            </w:r>
          </w:p>
        </w:tc>
        <w:tc>
          <w:tcPr>
            <w:tcW w:w="996" w:type="dxa"/>
            <w:shd w:val="clear" w:color="auto" w:fill="auto"/>
            <w:vAlign w:val="center"/>
          </w:tcPr>
          <w:p w14:paraId="3B5153C4">
            <w:pPr>
              <w:spacing w:line="360" w:lineRule="auto"/>
              <w:jc w:val="center"/>
            </w:pPr>
            <w:r>
              <w:rPr>
                <w:rFonts w:hint="eastAsia"/>
              </w:rPr>
              <w:t>节能评价值</w:t>
            </w:r>
          </w:p>
        </w:tc>
      </w:tr>
      <w:tr w14:paraId="2348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shd w:val="clear" w:color="auto" w:fill="auto"/>
            <w:vAlign w:val="center"/>
          </w:tcPr>
          <w:p w14:paraId="6FCAE50E">
            <w:pPr>
              <w:spacing w:line="360" w:lineRule="auto"/>
              <w:jc w:val="center"/>
            </w:pPr>
            <w:r>
              <w:rPr>
                <w:rFonts w:hint="eastAsia"/>
              </w:rPr>
              <w:t>冷水机组</w:t>
            </w:r>
          </w:p>
        </w:tc>
        <w:tc>
          <w:tcPr>
            <w:tcW w:w="1962" w:type="dxa"/>
            <w:shd w:val="clear" w:color="auto" w:fill="auto"/>
            <w:vAlign w:val="center"/>
          </w:tcPr>
          <w:p w14:paraId="0F07523B">
            <w:pPr>
              <w:spacing w:line="360" w:lineRule="auto"/>
              <w:jc w:val="center"/>
            </w:pPr>
            <w:r>
              <w:rPr>
                <w:rFonts w:hint="eastAsia"/>
              </w:rPr>
              <w:t xml:space="preserve">《冷水机组能效限定值及能效等级》GB 19577-2015 </w:t>
            </w:r>
          </w:p>
        </w:tc>
        <w:tc>
          <w:tcPr>
            <w:tcW w:w="1086" w:type="dxa"/>
            <w:shd w:val="clear" w:color="auto" w:fill="auto"/>
            <w:vAlign w:val="center"/>
          </w:tcPr>
          <w:p w14:paraId="3FBB29B0">
            <w:pPr>
              <w:spacing w:line="360" w:lineRule="auto"/>
              <w:jc w:val="center"/>
            </w:pPr>
            <w:r>
              <w:rPr>
                <w:rFonts w:hint="eastAsia"/>
              </w:rPr>
              <w:t>3级</w:t>
            </w:r>
          </w:p>
        </w:tc>
        <w:tc>
          <w:tcPr>
            <w:tcW w:w="2268" w:type="dxa"/>
            <w:shd w:val="clear" w:color="auto" w:fill="auto"/>
            <w:vAlign w:val="center"/>
          </w:tcPr>
          <w:p w14:paraId="334681F1">
            <w:pPr>
              <w:spacing w:line="360" w:lineRule="auto"/>
              <w:jc w:val="center"/>
            </w:pPr>
            <w:r>
              <w:rPr>
                <w:rFonts w:hint="eastAsia"/>
              </w:rPr>
              <w:t>《冷水机组能效限定值及能源效率等级》GB</w:t>
            </w:r>
            <w:r>
              <w:rPr>
                <w:rFonts w:hint="eastAsia"/>
                <w:lang w:val="en-US" w:eastAsia="zh-CN"/>
              </w:rPr>
              <w:t xml:space="preserve"> </w:t>
            </w:r>
            <w:r>
              <w:rPr>
                <w:rFonts w:hint="eastAsia"/>
              </w:rPr>
              <w:t xml:space="preserve">19577-2004 </w:t>
            </w:r>
          </w:p>
        </w:tc>
        <w:tc>
          <w:tcPr>
            <w:tcW w:w="784" w:type="dxa"/>
            <w:shd w:val="clear" w:color="auto" w:fill="auto"/>
            <w:vAlign w:val="center"/>
          </w:tcPr>
          <w:p w14:paraId="739183FE">
            <w:pPr>
              <w:spacing w:line="360" w:lineRule="auto"/>
              <w:jc w:val="center"/>
            </w:pPr>
            <w:r>
              <w:rPr>
                <w:rFonts w:hint="eastAsia"/>
              </w:rPr>
              <w:t>5级</w:t>
            </w:r>
          </w:p>
        </w:tc>
        <w:tc>
          <w:tcPr>
            <w:tcW w:w="996" w:type="dxa"/>
            <w:shd w:val="clear" w:color="auto" w:fill="auto"/>
            <w:vAlign w:val="center"/>
          </w:tcPr>
          <w:p w14:paraId="76A1BB00">
            <w:pPr>
              <w:spacing w:line="360" w:lineRule="auto"/>
              <w:jc w:val="center"/>
            </w:pPr>
            <w:r>
              <w:rPr>
                <w:rFonts w:hint="eastAsia"/>
              </w:rPr>
              <w:t>2级</w:t>
            </w:r>
          </w:p>
        </w:tc>
      </w:tr>
      <w:tr w14:paraId="7AA9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shd w:val="clear" w:color="auto" w:fill="auto"/>
            <w:vAlign w:val="center"/>
          </w:tcPr>
          <w:p w14:paraId="19978DDB">
            <w:pPr>
              <w:spacing w:line="360" w:lineRule="auto"/>
              <w:jc w:val="center"/>
            </w:pPr>
            <w:r>
              <w:rPr>
                <w:rFonts w:hint="eastAsia"/>
              </w:rPr>
              <w:t>多联式空调（热泵）机组</w:t>
            </w:r>
          </w:p>
        </w:tc>
        <w:tc>
          <w:tcPr>
            <w:tcW w:w="1962" w:type="dxa"/>
            <w:shd w:val="clear" w:color="auto" w:fill="auto"/>
            <w:vAlign w:val="center"/>
          </w:tcPr>
          <w:p w14:paraId="4860E4A5">
            <w:pPr>
              <w:spacing w:line="360" w:lineRule="auto"/>
              <w:jc w:val="center"/>
            </w:pPr>
            <w:r>
              <w:rPr>
                <w:rFonts w:hint="eastAsia"/>
              </w:rPr>
              <w:t>《多联式空调（热泵）机组能效限定值及能效等级》GB</w:t>
            </w:r>
            <w:r>
              <w:t xml:space="preserve"> 21454-2021</w:t>
            </w:r>
          </w:p>
        </w:tc>
        <w:tc>
          <w:tcPr>
            <w:tcW w:w="1086" w:type="dxa"/>
            <w:shd w:val="clear" w:color="auto" w:fill="auto"/>
            <w:vAlign w:val="center"/>
          </w:tcPr>
          <w:p w14:paraId="73001153">
            <w:pPr>
              <w:spacing w:line="360" w:lineRule="auto"/>
              <w:jc w:val="center"/>
            </w:pPr>
            <w:r>
              <w:rPr>
                <w:rFonts w:hint="eastAsia"/>
              </w:rPr>
              <w:t>3级</w:t>
            </w:r>
          </w:p>
        </w:tc>
        <w:tc>
          <w:tcPr>
            <w:tcW w:w="2268" w:type="dxa"/>
            <w:shd w:val="clear" w:color="auto" w:fill="auto"/>
            <w:vAlign w:val="center"/>
          </w:tcPr>
          <w:p w14:paraId="3A5CA872">
            <w:pPr>
              <w:spacing w:line="360" w:lineRule="auto"/>
              <w:jc w:val="center"/>
            </w:pPr>
            <w:r>
              <w:rPr>
                <w:rFonts w:hint="eastAsia"/>
              </w:rPr>
              <w:t xml:space="preserve">《多联式空调（热泵）机组能效限定值及能源效率等级标准》GB 21454-2008 </w:t>
            </w:r>
          </w:p>
        </w:tc>
        <w:tc>
          <w:tcPr>
            <w:tcW w:w="784" w:type="dxa"/>
            <w:shd w:val="clear" w:color="auto" w:fill="auto"/>
            <w:vAlign w:val="center"/>
          </w:tcPr>
          <w:p w14:paraId="30114F7E">
            <w:pPr>
              <w:spacing w:line="360" w:lineRule="auto"/>
              <w:jc w:val="center"/>
            </w:pPr>
            <w:r>
              <w:rPr>
                <w:rFonts w:hint="eastAsia"/>
              </w:rPr>
              <w:t>5级</w:t>
            </w:r>
          </w:p>
        </w:tc>
        <w:tc>
          <w:tcPr>
            <w:tcW w:w="996" w:type="dxa"/>
            <w:shd w:val="clear" w:color="auto" w:fill="auto"/>
            <w:vAlign w:val="center"/>
          </w:tcPr>
          <w:p w14:paraId="2D432BD9">
            <w:pPr>
              <w:spacing w:line="360" w:lineRule="auto"/>
              <w:jc w:val="center"/>
            </w:pPr>
            <w:r>
              <w:rPr>
                <w:rFonts w:hint="eastAsia"/>
              </w:rPr>
              <w:t>2级</w:t>
            </w:r>
          </w:p>
        </w:tc>
      </w:tr>
      <w:tr w14:paraId="21BC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shd w:val="clear" w:color="auto" w:fill="auto"/>
            <w:vAlign w:val="center"/>
          </w:tcPr>
          <w:p w14:paraId="779A8572">
            <w:pPr>
              <w:spacing w:line="360" w:lineRule="auto"/>
              <w:jc w:val="center"/>
            </w:pPr>
            <w:r>
              <w:rPr>
                <w:rFonts w:hint="eastAsia"/>
              </w:rPr>
              <w:t>单元式空气调节机</w:t>
            </w:r>
          </w:p>
        </w:tc>
        <w:tc>
          <w:tcPr>
            <w:tcW w:w="1962" w:type="dxa"/>
            <w:shd w:val="clear" w:color="auto" w:fill="auto"/>
            <w:vAlign w:val="center"/>
          </w:tcPr>
          <w:p w14:paraId="2C46BA1B">
            <w:pPr>
              <w:spacing w:line="360" w:lineRule="auto"/>
              <w:jc w:val="center"/>
            </w:pPr>
            <w:r>
              <w:rPr>
                <w:rFonts w:hint="eastAsia"/>
              </w:rPr>
              <w:t>《单元式空气调节机能效限定值及能效等级》GB</w:t>
            </w:r>
            <w:r>
              <w:t xml:space="preserve"> 19576-2019</w:t>
            </w:r>
          </w:p>
        </w:tc>
        <w:tc>
          <w:tcPr>
            <w:tcW w:w="1086" w:type="dxa"/>
            <w:shd w:val="clear" w:color="auto" w:fill="auto"/>
            <w:vAlign w:val="center"/>
          </w:tcPr>
          <w:p w14:paraId="4B28640A">
            <w:pPr>
              <w:spacing w:line="360" w:lineRule="auto"/>
              <w:jc w:val="center"/>
            </w:pPr>
            <w:r>
              <w:rPr>
                <w:rFonts w:hint="eastAsia"/>
              </w:rPr>
              <w:t>3级</w:t>
            </w:r>
          </w:p>
        </w:tc>
        <w:tc>
          <w:tcPr>
            <w:tcW w:w="2268" w:type="dxa"/>
            <w:shd w:val="clear" w:color="auto" w:fill="auto"/>
            <w:vAlign w:val="center"/>
          </w:tcPr>
          <w:p w14:paraId="383877EC">
            <w:pPr>
              <w:spacing w:line="360" w:lineRule="auto"/>
              <w:jc w:val="center"/>
            </w:pPr>
            <w:r>
              <w:rPr>
                <w:rFonts w:hint="eastAsia"/>
              </w:rPr>
              <w:t xml:space="preserve">《单元式空气调节机能效限定值及能源效率等级标准》GB 19576-2004 </w:t>
            </w:r>
          </w:p>
        </w:tc>
        <w:tc>
          <w:tcPr>
            <w:tcW w:w="784" w:type="dxa"/>
            <w:shd w:val="clear" w:color="auto" w:fill="auto"/>
            <w:vAlign w:val="center"/>
          </w:tcPr>
          <w:p w14:paraId="2F3F6BE8">
            <w:pPr>
              <w:spacing w:line="360" w:lineRule="auto"/>
              <w:jc w:val="center"/>
            </w:pPr>
            <w:r>
              <w:rPr>
                <w:rFonts w:hint="eastAsia"/>
              </w:rPr>
              <w:t>5级</w:t>
            </w:r>
          </w:p>
        </w:tc>
        <w:tc>
          <w:tcPr>
            <w:tcW w:w="996" w:type="dxa"/>
            <w:shd w:val="clear" w:color="auto" w:fill="auto"/>
            <w:vAlign w:val="center"/>
          </w:tcPr>
          <w:p w14:paraId="5B9B3183">
            <w:pPr>
              <w:spacing w:line="360" w:lineRule="auto"/>
              <w:jc w:val="center"/>
            </w:pPr>
            <w:r>
              <w:rPr>
                <w:rFonts w:hint="eastAsia"/>
              </w:rPr>
              <w:t>2级</w:t>
            </w:r>
          </w:p>
        </w:tc>
      </w:tr>
      <w:tr w14:paraId="2B2D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shd w:val="clear" w:color="auto" w:fill="auto"/>
            <w:vAlign w:val="center"/>
          </w:tcPr>
          <w:p w14:paraId="10EFDF2E">
            <w:pPr>
              <w:spacing w:line="360" w:lineRule="auto"/>
              <w:jc w:val="center"/>
            </w:pPr>
            <w:r>
              <w:rPr>
                <w:rFonts w:hint="eastAsia"/>
              </w:rPr>
              <w:t>房间空气调节器</w:t>
            </w:r>
          </w:p>
        </w:tc>
        <w:tc>
          <w:tcPr>
            <w:tcW w:w="1962" w:type="dxa"/>
            <w:shd w:val="clear" w:color="auto" w:fill="auto"/>
            <w:vAlign w:val="center"/>
          </w:tcPr>
          <w:p w14:paraId="5895BC34">
            <w:pPr>
              <w:spacing w:line="360" w:lineRule="auto"/>
              <w:jc w:val="center"/>
            </w:pPr>
            <w:r>
              <w:rPr>
                <w:rFonts w:hint="eastAsia"/>
              </w:rPr>
              <w:t>《房间空气调节器能效限定值及能效等级》GB</w:t>
            </w:r>
            <w:r>
              <w:t xml:space="preserve"> 21455-2019</w:t>
            </w:r>
          </w:p>
        </w:tc>
        <w:tc>
          <w:tcPr>
            <w:tcW w:w="1086" w:type="dxa"/>
            <w:shd w:val="clear" w:color="auto" w:fill="auto"/>
            <w:vAlign w:val="center"/>
          </w:tcPr>
          <w:p w14:paraId="30CC2506">
            <w:pPr>
              <w:spacing w:line="360" w:lineRule="auto"/>
              <w:jc w:val="center"/>
            </w:pPr>
            <w:r>
              <w:t>5</w:t>
            </w:r>
            <w:r>
              <w:rPr>
                <w:rFonts w:hint="eastAsia"/>
              </w:rPr>
              <w:t>级</w:t>
            </w:r>
          </w:p>
        </w:tc>
        <w:tc>
          <w:tcPr>
            <w:tcW w:w="2268" w:type="dxa"/>
            <w:shd w:val="clear" w:color="auto" w:fill="auto"/>
            <w:vAlign w:val="center"/>
          </w:tcPr>
          <w:p w14:paraId="6A2CA213">
            <w:pPr>
              <w:spacing w:line="360" w:lineRule="auto"/>
              <w:jc w:val="center"/>
            </w:pPr>
            <w:r>
              <w:rPr>
                <w:rFonts w:hint="eastAsia"/>
              </w:rPr>
              <w:t>《房间空气调节器能效限定值及能效等级》GB</w:t>
            </w:r>
            <w:r>
              <w:t xml:space="preserve"> 12021.3-2010</w:t>
            </w:r>
          </w:p>
        </w:tc>
        <w:tc>
          <w:tcPr>
            <w:tcW w:w="784" w:type="dxa"/>
            <w:shd w:val="clear" w:color="auto" w:fill="auto"/>
            <w:vAlign w:val="center"/>
          </w:tcPr>
          <w:p w14:paraId="2D8F7E61">
            <w:pPr>
              <w:spacing w:line="360" w:lineRule="auto"/>
              <w:jc w:val="center"/>
            </w:pPr>
            <w:r>
              <w:t>3</w:t>
            </w:r>
            <w:r>
              <w:rPr>
                <w:rFonts w:hint="eastAsia"/>
              </w:rPr>
              <w:t>级</w:t>
            </w:r>
          </w:p>
        </w:tc>
        <w:tc>
          <w:tcPr>
            <w:tcW w:w="996" w:type="dxa"/>
            <w:shd w:val="clear" w:color="auto" w:fill="auto"/>
            <w:vAlign w:val="center"/>
          </w:tcPr>
          <w:p w14:paraId="7EB5936A">
            <w:pPr>
              <w:spacing w:line="360" w:lineRule="auto"/>
              <w:jc w:val="center"/>
            </w:pPr>
            <w:r>
              <w:rPr>
                <w:rFonts w:hint="eastAsia"/>
              </w:rPr>
              <w:t>2级</w:t>
            </w:r>
          </w:p>
        </w:tc>
      </w:tr>
      <w:tr w14:paraId="6C81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0" w:type="dxa"/>
            <w:shd w:val="clear" w:color="auto" w:fill="auto"/>
            <w:vAlign w:val="center"/>
          </w:tcPr>
          <w:p w14:paraId="19A22685">
            <w:pPr>
              <w:spacing w:line="360" w:lineRule="auto"/>
              <w:jc w:val="center"/>
            </w:pPr>
            <w:r>
              <w:rPr>
                <w:rFonts w:hint="eastAsia"/>
              </w:rPr>
              <w:t>家用燃气快速热水器和燃气采暖热水炉</w:t>
            </w:r>
          </w:p>
        </w:tc>
        <w:tc>
          <w:tcPr>
            <w:tcW w:w="1962" w:type="dxa"/>
            <w:shd w:val="clear" w:color="auto" w:fill="auto"/>
            <w:vAlign w:val="center"/>
          </w:tcPr>
          <w:p w14:paraId="01F2EE5E">
            <w:pPr>
              <w:spacing w:line="360" w:lineRule="auto"/>
              <w:jc w:val="center"/>
            </w:pPr>
            <w:r>
              <w:rPr>
                <w:rFonts w:hint="eastAsia"/>
              </w:rPr>
              <w:t>《家用燃气快速热水器和燃气采暖热水炉能效限定值及能效等级》GB</w:t>
            </w:r>
            <w:r>
              <w:t xml:space="preserve"> 20665-2015</w:t>
            </w:r>
          </w:p>
        </w:tc>
        <w:tc>
          <w:tcPr>
            <w:tcW w:w="1086" w:type="dxa"/>
            <w:shd w:val="clear" w:color="auto" w:fill="auto"/>
            <w:vAlign w:val="center"/>
          </w:tcPr>
          <w:p w14:paraId="7F698A77">
            <w:pPr>
              <w:spacing w:line="360" w:lineRule="auto"/>
              <w:jc w:val="center"/>
            </w:pPr>
            <w:r>
              <w:rPr>
                <w:rFonts w:hint="eastAsia"/>
              </w:rPr>
              <w:t>3级</w:t>
            </w:r>
          </w:p>
        </w:tc>
        <w:tc>
          <w:tcPr>
            <w:tcW w:w="2268" w:type="dxa"/>
            <w:shd w:val="clear" w:color="auto" w:fill="auto"/>
            <w:vAlign w:val="center"/>
          </w:tcPr>
          <w:p w14:paraId="020F4DC4">
            <w:pPr>
              <w:spacing w:line="360" w:lineRule="auto"/>
              <w:jc w:val="center"/>
            </w:pPr>
            <w:r>
              <w:rPr>
                <w:rFonts w:hint="eastAsia"/>
              </w:rPr>
              <w:t>《家用燃气快速热水器和燃气采暖热水炉能效限定值及能效等级》GB</w:t>
            </w:r>
            <w:r>
              <w:t xml:space="preserve"> 20665-2006</w:t>
            </w:r>
          </w:p>
        </w:tc>
        <w:tc>
          <w:tcPr>
            <w:tcW w:w="784" w:type="dxa"/>
            <w:shd w:val="clear" w:color="auto" w:fill="auto"/>
            <w:vAlign w:val="center"/>
          </w:tcPr>
          <w:p w14:paraId="0E8FA834">
            <w:pPr>
              <w:spacing w:line="360" w:lineRule="auto"/>
              <w:jc w:val="center"/>
            </w:pPr>
            <w:r>
              <w:rPr>
                <w:rFonts w:hint="eastAsia"/>
              </w:rPr>
              <w:t>3级</w:t>
            </w:r>
          </w:p>
        </w:tc>
        <w:tc>
          <w:tcPr>
            <w:tcW w:w="996" w:type="dxa"/>
            <w:shd w:val="clear" w:color="auto" w:fill="auto"/>
            <w:vAlign w:val="center"/>
          </w:tcPr>
          <w:p w14:paraId="7C5A8B2B">
            <w:pPr>
              <w:spacing w:line="360" w:lineRule="auto"/>
              <w:jc w:val="center"/>
            </w:pPr>
            <w:r>
              <w:rPr>
                <w:rFonts w:hint="eastAsia"/>
              </w:rPr>
              <w:t>2级</w:t>
            </w:r>
          </w:p>
        </w:tc>
      </w:tr>
    </w:tbl>
    <w:p w14:paraId="352FB8F7">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本条的评价方法为：预评价查阅相关设计文件、运行记录；评价查阅相关竣工图、主要产品型式检验报告、能效标识、运行记录。</w:t>
      </w:r>
    </w:p>
    <w:p w14:paraId="6C67F1E2">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6.2.2</w:t>
      </w:r>
      <w:r>
        <w:rPr>
          <w:rFonts w:hint="eastAsia" w:ascii="宋体" w:hAnsi="宋体" w:cs="宋体"/>
          <w:sz w:val="24"/>
          <w:szCs w:val="24"/>
        </w:rPr>
        <w:t>　</w:t>
      </w:r>
      <w:r>
        <w:rPr>
          <w:rFonts w:hint="eastAsia" w:ascii="宋体" w:hAnsi="宋体" w:eastAsia="宋体" w:cs="宋体"/>
          <w:sz w:val="24"/>
          <w:szCs w:val="24"/>
        </w:rPr>
        <w:t>本条适用于预评价和评价。</w:t>
      </w:r>
    </w:p>
    <w:p w14:paraId="256414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经检测或评估，供暖空调系统的末端系统及输配系统满足原设计标准要求，且未超设计工作年限并能满足建筑使用需求，不进行改造时，本条可直接得分。采用分体空调和多联机空调（热泵）机组，本条第</w:t>
      </w:r>
      <w:r>
        <w:rPr>
          <w:rFonts w:hint="default" w:ascii="Times New Roman" w:hAnsi="Times New Roman" w:eastAsia="宋体" w:cs="Times New Roman"/>
          <w:sz w:val="24"/>
          <w:szCs w:val="24"/>
        </w:rPr>
        <w:t>1</w:t>
      </w:r>
      <w:r>
        <w:rPr>
          <w:rFonts w:hint="eastAsia" w:ascii="宋体" w:hAnsi="宋体" w:eastAsia="宋体" w:cs="宋体"/>
          <w:sz w:val="24"/>
          <w:szCs w:val="24"/>
        </w:rPr>
        <w:t>款直接得分；供暖空调系统采用分体空调、多联机空调（热泵）机组、单元式空气调节机等，非集中供暖空调系统时，本条第</w:t>
      </w:r>
      <w:r>
        <w:rPr>
          <w:rFonts w:hint="default" w:ascii="Times New Roman" w:hAnsi="Times New Roman" w:eastAsia="宋体" w:cs="Times New Roman"/>
          <w:sz w:val="24"/>
          <w:szCs w:val="24"/>
        </w:rPr>
        <w:t>2</w:t>
      </w:r>
      <w:r>
        <w:rPr>
          <w:rFonts w:hint="eastAsia" w:ascii="宋体" w:hAnsi="宋体" w:eastAsia="宋体" w:cs="宋体"/>
          <w:sz w:val="24"/>
          <w:szCs w:val="24"/>
        </w:rPr>
        <w:t>款直接得分。</w:t>
      </w:r>
    </w:p>
    <w:p w14:paraId="7647D1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在大量既有建筑中，输配系统的能耗可占到整个暖通空调系统能耗的</w:t>
      </w:r>
      <w:r>
        <w:rPr>
          <w:rFonts w:hint="default" w:ascii="Times New Roman" w:hAnsi="Times New Roman" w:eastAsia="宋体" w:cs="Times New Roman"/>
          <w:sz w:val="24"/>
          <w:szCs w:val="24"/>
        </w:rPr>
        <w:t>30%</w:t>
      </w:r>
      <w:r>
        <w:rPr>
          <w:rFonts w:hint="eastAsia" w:ascii="宋体" w:hAnsi="宋体" w:eastAsia="宋体" w:cs="宋体"/>
          <w:sz w:val="24"/>
          <w:szCs w:val="24"/>
        </w:rPr>
        <w:t>及以上，在低碳改造中要重视解决“大流量小温差”以及水泵、风机低效率运转等问题。对于设置新风机的项目，新风机需参与评价。</w:t>
      </w:r>
    </w:p>
    <w:p w14:paraId="783EE1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款，对于非集中供暖空调系统的项目，如分体空调、多联机空调（热泵）机组、单元式空气调节机等，本款可直接得分。</w:t>
      </w:r>
    </w:p>
    <w:p w14:paraId="30CE8D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本条的评价方法为：预评价查阅相关设计文件、计算书、影像资料；评价查阅相关竣工图、主要产品型式检验报告、计算书、影像资料。</w:t>
      </w:r>
    </w:p>
    <w:p w14:paraId="11EEFFD9">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6.2.3</w:t>
      </w:r>
      <w:r>
        <w:rPr>
          <w:rFonts w:hint="eastAsia" w:ascii="宋体" w:hAnsi="宋体" w:cs="宋体"/>
          <w:sz w:val="24"/>
          <w:szCs w:val="24"/>
        </w:rPr>
        <w:t>　</w:t>
      </w:r>
      <w:r>
        <w:rPr>
          <w:rFonts w:hint="eastAsia" w:ascii="宋体" w:hAnsi="宋体" w:eastAsia="宋体" w:cs="宋体"/>
          <w:sz w:val="24"/>
          <w:szCs w:val="24"/>
        </w:rPr>
        <w:t>本条适用于预评价和评价。</w:t>
      </w:r>
    </w:p>
    <w:p w14:paraId="4F2E244B">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可再生能源利用具有节能减排的综合效益，利用可再生能源提供生活热水、作为供暖或空调系统的冷热源等已有很多成功案例，具备了大范围推广的条件。因此，在建筑低碳改造时，应根据当地气候和自然资源条件合理利用太阳能、地热能等可再生能源。可再生能源利用率的具体算法可参照现行国家标准《绿色建筑评价标准》</w:t>
      </w:r>
      <w:r>
        <w:rPr>
          <w:rFonts w:hint="default" w:ascii="Times New Roman" w:hAnsi="Times New Roman" w:eastAsia="宋体" w:cs="Times New Roman"/>
          <w:sz w:val="24"/>
          <w:szCs w:val="24"/>
        </w:rPr>
        <w:t>GB/T 50378</w:t>
      </w:r>
      <w:r>
        <w:rPr>
          <w:rFonts w:hint="eastAsia" w:ascii="宋体" w:hAnsi="宋体" w:eastAsia="宋体" w:cs="宋体"/>
          <w:sz w:val="24"/>
          <w:szCs w:val="24"/>
        </w:rPr>
        <w:t>的有关规定。</w:t>
      </w:r>
    </w:p>
    <w:p w14:paraId="107B76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本条的评价方法为：预评价查阅相关设计文件、计算分析报告；运行评价查阅相关竣工图、计算分析报告、主要产品型式检验报告、运行记录。</w:t>
      </w:r>
    </w:p>
    <w:p w14:paraId="4210EB7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6.2.4</w:t>
      </w:r>
      <w:r>
        <w:rPr>
          <w:rFonts w:hint="eastAsia" w:ascii="宋体" w:hAnsi="宋体" w:cs="宋体"/>
          <w:sz w:val="24"/>
          <w:szCs w:val="24"/>
        </w:rPr>
        <w:t>　</w:t>
      </w:r>
      <w:r>
        <w:rPr>
          <w:rFonts w:hint="eastAsia" w:ascii="宋体" w:hAnsi="宋体" w:eastAsia="宋体" w:cs="宋体"/>
          <w:sz w:val="24"/>
          <w:szCs w:val="24"/>
        </w:rPr>
        <w:t>本条适用于预评价和评价。</w:t>
      </w:r>
    </w:p>
    <w:p w14:paraId="2A308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行业标准《民用建筑绿色性能计算标准》</w:t>
      </w:r>
      <w:r>
        <w:rPr>
          <w:rFonts w:hint="default" w:ascii="Times New Roman" w:hAnsi="Times New Roman" w:eastAsia="宋体" w:cs="Times New Roman"/>
          <w:sz w:val="24"/>
          <w:szCs w:val="24"/>
        </w:rPr>
        <w:t>JGJ/T 449-2018</w:t>
      </w:r>
      <w:r>
        <w:rPr>
          <w:rFonts w:hint="eastAsia" w:ascii="宋体" w:hAnsi="宋体" w:eastAsia="宋体" w:cs="宋体"/>
          <w:sz w:val="24"/>
          <w:szCs w:val="24"/>
        </w:rPr>
        <w:t>已经对暖通系统及照明系统的能耗计算方法进行了标准化。</w:t>
      </w:r>
    </w:p>
    <w:p w14:paraId="44FEFC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根据现行行业标准《民用建筑绿色性能计算标准》</w:t>
      </w:r>
      <w:r>
        <w:rPr>
          <w:rFonts w:hint="default" w:ascii="Times New Roman" w:hAnsi="Times New Roman" w:eastAsia="宋体" w:cs="Times New Roman"/>
          <w:sz w:val="24"/>
          <w:szCs w:val="24"/>
        </w:rPr>
        <w:t>JGJ/T 449-2018</w:t>
      </w:r>
      <w:r>
        <w:rPr>
          <w:rFonts w:hint="eastAsia" w:ascii="宋体" w:hAnsi="宋体" w:eastAsia="宋体" w:cs="宋体"/>
          <w:sz w:val="24"/>
          <w:szCs w:val="24"/>
        </w:rPr>
        <w:t>的规定，建筑供暖和空调系统能耗应包括冷热源、输配系统及末端空气处理设备的能耗；建筑通风系统能耗应包括除消防及事故通风外的机械通风设备能耗；照明系统能耗应包括公共建筑或住宅建筑公共空间的照明系统能耗。本条涉及的设计建筑的供暖空调和照明系统能耗，以及参照建筑的供暖空调和照明系统能耗，应按照行业标准《民用建筑绿色性能计算标准》</w:t>
      </w:r>
      <w:r>
        <w:rPr>
          <w:rFonts w:hint="default" w:ascii="Times New Roman" w:hAnsi="Times New Roman" w:eastAsia="宋体" w:cs="Times New Roman"/>
          <w:sz w:val="24"/>
          <w:szCs w:val="24"/>
        </w:rPr>
        <w:t>JGJ/T 449-2018</w:t>
      </w:r>
      <w:r>
        <w:rPr>
          <w:rFonts w:hint="eastAsia" w:ascii="宋体" w:hAnsi="宋体" w:eastAsia="宋体" w:cs="宋体"/>
          <w:sz w:val="24"/>
          <w:szCs w:val="24"/>
        </w:rPr>
        <w:t>中第</w:t>
      </w:r>
      <w:r>
        <w:rPr>
          <w:rFonts w:hint="default" w:ascii="Times New Roman" w:hAnsi="Times New Roman" w:eastAsia="宋体" w:cs="Times New Roman"/>
          <w:sz w:val="24"/>
          <w:szCs w:val="24"/>
        </w:rPr>
        <w:t>5.3</w:t>
      </w:r>
      <w:r>
        <w:rPr>
          <w:rFonts w:hint="eastAsia" w:ascii="宋体" w:hAnsi="宋体" w:eastAsia="宋体" w:cs="宋体"/>
          <w:sz w:val="24"/>
          <w:szCs w:val="24"/>
        </w:rPr>
        <w:t>节的相关规定计算。</w:t>
      </w:r>
    </w:p>
    <w:p w14:paraId="0511E3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暖通、电气、内装专业施工图纸及设计说明、建筑暖通及照明系统能耗模拟计算书；评价查阅暖通、电气、内装专业竣工图纸及设计说明，建筑暖通系统及照明系统能耗模拟计算书、暖通系统运行调试记录等，已投入运行的项目尚应查阅能耗统计数据。</w:t>
      </w:r>
    </w:p>
    <w:p w14:paraId="10F49B3D">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6.2.5</w:t>
      </w:r>
      <w:r>
        <w:rPr>
          <w:rFonts w:hint="eastAsia" w:ascii="宋体" w:hAnsi="宋体" w:cs="宋体"/>
          <w:sz w:val="24"/>
          <w:szCs w:val="24"/>
        </w:rPr>
        <w:t>　</w:t>
      </w:r>
      <w:r>
        <w:rPr>
          <w:rFonts w:hint="eastAsia" w:ascii="宋体" w:hAnsi="宋体" w:eastAsia="宋体" w:cs="宋体"/>
          <w:sz w:val="24"/>
          <w:szCs w:val="24"/>
        </w:rPr>
        <w:t>本条适用于预评价和评价。</w:t>
      </w:r>
    </w:p>
    <w:p w14:paraId="3FC204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文强调的室内热舒适的可调控性，包括主动式供暖空调末端的可调性及个性化的调节措施，目标是尽量地满足用户改善个人热舒适的差异化需求，从而最大限度地改善个体热舒适性，提高室内人员对室内热环境的满意率。同时，在满足热舒适的前提下，鼓励行为节能。对于采用集中供暖空调系统的建筑，应根据房间、区域的功能和所采用的系统形式，合理设置可现场独立调节的热环境调节装置。对于未采用集中供暖空调系统的建筑，应合理设计建筑热环境营造方案，具备满足个性化热舒适需求的</w:t>
      </w:r>
      <w:r>
        <w:rPr>
          <w:rFonts w:hint="eastAsia" w:ascii="宋体" w:hAnsi="宋体" w:cs="宋体"/>
          <w:sz w:val="24"/>
          <w:szCs w:val="24"/>
          <w:lang w:eastAsia="zh-CN"/>
        </w:rPr>
        <w:t>、</w:t>
      </w:r>
      <w:r>
        <w:rPr>
          <w:rFonts w:hint="eastAsia" w:ascii="宋体" w:hAnsi="宋体" w:eastAsia="宋体" w:cs="宋体"/>
          <w:sz w:val="24"/>
          <w:szCs w:val="24"/>
        </w:rPr>
        <w:t>可独立控制的热环境调节装置或功能。</w:t>
      </w:r>
    </w:p>
    <w:p w14:paraId="474EF6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w:t>
      </w:r>
    </w:p>
    <w:p w14:paraId="4CFF5EED">
      <w:pPr>
        <w:spacing w:before="0" w:beforeLines="0" w:after="0" w:afterLines="0" w:line="360" w:lineRule="auto"/>
        <w:jc w:val="center"/>
        <w:outlineLvl w:val="2"/>
        <w:rPr>
          <w:rFonts w:hint="eastAsia" w:eastAsia="仿宋"/>
          <w:b/>
          <w:bCs/>
          <w:lang w:eastAsia="zh-CN"/>
        </w:rPr>
      </w:pPr>
      <w:r>
        <w:rPr>
          <w:b/>
          <w:bCs/>
          <w:sz w:val="28"/>
          <w:szCs w:val="28"/>
        </w:rPr>
        <w:fldChar w:fldCharType="begin"/>
      </w:r>
      <w:r>
        <w:rPr>
          <w:b/>
          <w:bCs/>
          <w:sz w:val="28"/>
          <w:szCs w:val="28"/>
        </w:rPr>
        <w:instrText xml:space="preserve"> = 3 \* ROMAN </w:instrText>
      </w:r>
      <w:r>
        <w:rPr>
          <w:b/>
          <w:bCs/>
          <w:sz w:val="28"/>
          <w:szCs w:val="28"/>
        </w:rPr>
        <w:fldChar w:fldCharType="separate"/>
      </w:r>
      <w:r>
        <w:rPr>
          <w:b/>
          <w:bCs/>
          <w:sz w:val="28"/>
          <w:szCs w:val="28"/>
        </w:rPr>
        <w:t>II</w:t>
      </w:r>
      <w:r>
        <w:rPr>
          <w:b/>
          <w:bCs/>
          <w:sz w:val="28"/>
          <w:szCs w:val="28"/>
        </w:rPr>
        <w:fldChar w:fldCharType="end"/>
      </w:r>
      <w:r>
        <w:rPr>
          <w:b/>
          <w:bCs/>
          <w:sz w:val="28"/>
          <w:szCs w:val="28"/>
        </w:rPr>
        <w:t xml:space="preserve"> </w:t>
      </w:r>
      <w:r>
        <w:rPr>
          <w:rFonts w:hint="eastAsia" w:ascii="仿宋" w:hAnsi="仿宋" w:eastAsia="仿宋" w:cs="仿宋"/>
          <w:b/>
          <w:bCs/>
          <w:sz w:val="28"/>
          <w:szCs w:val="28"/>
        </w:rPr>
        <w:t>节水与水资源</w:t>
      </w:r>
    </w:p>
    <w:p w14:paraId="57401EA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6.2.6</w:t>
      </w:r>
      <w:r>
        <w:rPr>
          <w:rFonts w:hint="eastAsia" w:ascii="宋体" w:hAnsi="宋体" w:cs="宋体"/>
          <w:sz w:val="24"/>
          <w:szCs w:val="24"/>
        </w:rPr>
        <w:t>　</w:t>
      </w:r>
      <w:r>
        <w:rPr>
          <w:rFonts w:hint="eastAsia" w:ascii="宋体" w:hAnsi="宋体" w:eastAsia="宋体" w:cs="宋体"/>
          <w:sz w:val="24"/>
          <w:szCs w:val="24"/>
        </w:rPr>
        <w:t>本条适用于预评价和评价。公共场所未设洗手盆水嘴时，本条第</w:t>
      </w:r>
      <w:r>
        <w:rPr>
          <w:rFonts w:hint="default" w:ascii="Times New Roman" w:hAnsi="Times New Roman" w:eastAsia="宋体" w:cs="Times New Roman"/>
          <w:sz w:val="24"/>
          <w:szCs w:val="24"/>
        </w:rPr>
        <w:t>2</w:t>
      </w:r>
      <w:r>
        <w:rPr>
          <w:rFonts w:hint="eastAsia" w:ascii="宋体" w:hAnsi="宋体" w:eastAsia="宋体" w:cs="宋体"/>
          <w:sz w:val="24"/>
          <w:szCs w:val="24"/>
        </w:rPr>
        <w:t>款直接得分。</w:t>
      </w:r>
    </w:p>
    <w:p w14:paraId="418D46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款，采用节水型卫生器具是最明显、最直观的节水措施。既有建筑全面更换卫生器具存在一定难度，故本标准适当降低要求，用水效率等级达到</w:t>
      </w:r>
      <w:r>
        <w:rPr>
          <w:rFonts w:hint="default" w:ascii="Times New Roman" w:hAnsi="Times New Roman" w:eastAsia="宋体" w:cs="Times New Roman"/>
          <w:sz w:val="24"/>
          <w:szCs w:val="24"/>
        </w:rPr>
        <w:t>2</w:t>
      </w:r>
      <w:r>
        <w:rPr>
          <w:rFonts w:hint="eastAsia" w:ascii="宋体" w:hAnsi="宋体" w:eastAsia="宋体" w:cs="宋体"/>
          <w:sz w:val="24"/>
          <w:szCs w:val="24"/>
        </w:rPr>
        <w:t>级的卫生器具数量比例达到</w:t>
      </w:r>
      <w:r>
        <w:rPr>
          <w:rFonts w:hint="default" w:ascii="Times New Roman" w:hAnsi="Times New Roman" w:eastAsia="宋体" w:cs="Times New Roman"/>
          <w:sz w:val="24"/>
          <w:szCs w:val="24"/>
        </w:rPr>
        <w:t>50%</w:t>
      </w:r>
      <w:r>
        <w:rPr>
          <w:rFonts w:hint="eastAsia" w:ascii="宋体" w:hAnsi="宋体" w:eastAsia="宋体" w:cs="宋体"/>
          <w:sz w:val="24"/>
          <w:szCs w:val="24"/>
        </w:rPr>
        <w:t>即可得分。本条中的卫生器具仅包括有用水效率相关标准的卫生器具。</w:t>
      </w:r>
    </w:p>
    <w:p w14:paraId="3F25C1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我国对卫生器具的用水效率均制定了系列国家标准，如《水嘴用水效率限定值及用水效率等级》</w:t>
      </w:r>
      <w:r>
        <w:rPr>
          <w:rFonts w:hint="default" w:ascii="Times New Roman" w:hAnsi="Times New Roman" w:eastAsia="宋体" w:cs="Times New Roman"/>
          <w:sz w:val="24"/>
          <w:szCs w:val="24"/>
        </w:rPr>
        <w:t>GB 25501</w:t>
      </w:r>
      <w:r>
        <w:rPr>
          <w:rFonts w:hint="eastAsia" w:ascii="宋体" w:hAnsi="宋体" w:eastAsia="宋体" w:cs="宋体"/>
          <w:sz w:val="24"/>
          <w:szCs w:val="24"/>
        </w:rPr>
        <w:t>、《坐便器用水效率限定值及用水效率等级》</w:t>
      </w:r>
      <w:r>
        <w:rPr>
          <w:rFonts w:hint="default" w:ascii="Times New Roman" w:hAnsi="Times New Roman" w:eastAsia="宋体" w:cs="Times New Roman"/>
          <w:sz w:val="24"/>
          <w:szCs w:val="24"/>
        </w:rPr>
        <w:t>GB 25502</w:t>
      </w:r>
      <w:r>
        <w:rPr>
          <w:rFonts w:hint="eastAsia" w:ascii="宋体" w:hAnsi="宋体" w:eastAsia="宋体" w:cs="宋体"/>
          <w:sz w:val="24"/>
          <w:szCs w:val="24"/>
        </w:rPr>
        <w:t>，《小便器用水效率限定值及用水效率等级》</w:t>
      </w:r>
      <w:r>
        <w:rPr>
          <w:rFonts w:hint="default" w:ascii="Times New Roman" w:hAnsi="Times New Roman" w:eastAsia="宋体" w:cs="Times New Roman"/>
          <w:sz w:val="24"/>
          <w:szCs w:val="24"/>
        </w:rPr>
        <w:t>GB 28377</w:t>
      </w:r>
      <w:r>
        <w:rPr>
          <w:rFonts w:hint="eastAsia" w:ascii="宋体" w:hAnsi="宋体" w:eastAsia="宋体" w:cs="宋体"/>
          <w:sz w:val="24"/>
          <w:szCs w:val="24"/>
        </w:rPr>
        <w:t>、《淋浴器用水效率限定值及用水效率等级》</w:t>
      </w:r>
      <w:r>
        <w:rPr>
          <w:rFonts w:hint="default" w:ascii="Times New Roman" w:hAnsi="Times New Roman" w:eastAsia="宋体" w:cs="Times New Roman"/>
          <w:sz w:val="24"/>
          <w:szCs w:val="24"/>
        </w:rPr>
        <w:t>GB 28378</w:t>
      </w:r>
      <w:r>
        <w:rPr>
          <w:rFonts w:hint="eastAsia" w:ascii="宋体" w:hAnsi="宋体" w:eastAsia="宋体" w:cs="宋体"/>
          <w:sz w:val="24"/>
          <w:szCs w:val="24"/>
        </w:rPr>
        <w:t>、《便器冲洗阀用水效率限定值及用水效率等级》</w:t>
      </w:r>
      <w:r>
        <w:rPr>
          <w:rFonts w:hint="default" w:ascii="Times New Roman" w:hAnsi="Times New Roman" w:eastAsia="宋体" w:cs="Times New Roman"/>
          <w:sz w:val="24"/>
          <w:szCs w:val="24"/>
        </w:rPr>
        <w:t>GB 28379</w:t>
      </w:r>
      <w:r>
        <w:rPr>
          <w:rFonts w:hint="eastAsia" w:ascii="宋体" w:hAnsi="宋体" w:eastAsia="宋体" w:cs="宋体"/>
          <w:sz w:val="24"/>
          <w:szCs w:val="24"/>
        </w:rPr>
        <w:t>等。卫生器具的用水效率等级一般共有</w:t>
      </w:r>
      <w:r>
        <w:rPr>
          <w:rFonts w:hint="default" w:ascii="Times New Roman" w:hAnsi="Times New Roman" w:eastAsia="宋体" w:cs="Times New Roman"/>
          <w:sz w:val="24"/>
          <w:szCs w:val="24"/>
        </w:rPr>
        <w:t>3</w:t>
      </w:r>
      <w:r>
        <w:rPr>
          <w:rFonts w:hint="eastAsia" w:ascii="宋体" w:hAnsi="宋体" w:eastAsia="宋体" w:cs="宋体"/>
          <w:sz w:val="24"/>
          <w:szCs w:val="24"/>
        </w:rPr>
        <w:t>级或</w:t>
      </w:r>
      <w:r>
        <w:rPr>
          <w:rFonts w:hint="default" w:ascii="Times New Roman" w:hAnsi="Times New Roman" w:eastAsia="宋体" w:cs="Times New Roman"/>
          <w:sz w:val="24"/>
          <w:szCs w:val="24"/>
        </w:rPr>
        <w:t>5</w:t>
      </w:r>
      <w:r>
        <w:rPr>
          <w:rFonts w:hint="eastAsia" w:ascii="宋体" w:hAnsi="宋体" w:eastAsia="宋体" w:cs="宋体"/>
          <w:sz w:val="24"/>
          <w:szCs w:val="24"/>
        </w:rPr>
        <w:t>级，</w:t>
      </w:r>
      <w:r>
        <w:rPr>
          <w:rFonts w:hint="default" w:ascii="Times New Roman" w:hAnsi="Times New Roman" w:eastAsia="宋体" w:cs="Times New Roman"/>
          <w:sz w:val="24"/>
          <w:szCs w:val="24"/>
        </w:rPr>
        <w:t>1</w:t>
      </w:r>
      <w:r>
        <w:rPr>
          <w:rFonts w:hint="eastAsia" w:ascii="宋体" w:hAnsi="宋体" w:eastAsia="宋体" w:cs="宋体"/>
          <w:sz w:val="24"/>
          <w:szCs w:val="24"/>
        </w:rPr>
        <w:t>级表示用水效率最高。既有建筑低碳改造时，应在设计文件中注明所有卫生器具的用水效率等级及相应的参数，并计算出用水效率等级达到2级的卫生器具数量占卫生器具总量的比例。</w:t>
      </w:r>
    </w:p>
    <w:p w14:paraId="6CB7A8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款，洗手盆采用感应式水嘴、延时自闭水嘴等非接触式水嘴，在使用者离开后，会自动定时断水，用于公共场所的卫生间时不仅节水，而且卫生。强制性工程建设规范《建筑给水排水与节水通用规范》</w:t>
      </w:r>
      <w:r>
        <w:rPr>
          <w:rFonts w:hint="default" w:ascii="Times New Roman" w:hAnsi="Times New Roman" w:eastAsia="宋体" w:cs="Times New Roman"/>
          <w:sz w:val="24"/>
          <w:szCs w:val="24"/>
        </w:rPr>
        <w:t>GB 55020-2021</w:t>
      </w:r>
      <w:r>
        <w:rPr>
          <w:rFonts w:hint="eastAsia" w:ascii="宋体" w:hAnsi="宋体" w:eastAsia="宋体" w:cs="宋体"/>
          <w:sz w:val="24"/>
          <w:szCs w:val="24"/>
        </w:rPr>
        <w:t>第</w:t>
      </w:r>
      <w:r>
        <w:rPr>
          <w:rFonts w:hint="default" w:ascii="Times New Roman" w:hAnsi="Times New Roman" w:eastAsia="宋体" w:cs="Times New Roman"/>
          <w:sz w:val="24"/>
          <w:szCs w:val="24"/>
        </w:rPr>
        <w:t>3.4.5</w:t>
      </w:r>
      <w:r>
        <w:rPr>
          <w:rFonts w:hint="eastAsia" w:ascii="宋体" w:hAnsi="宋体" w:eastAsia="宋体" w:cs="宋体"/>
          <w:sz w:val="24"/>
          <w:szCs w:val="24"/>
        </w:rPr>
        <w:t>条规定“公共场所的洗手盆水嘴应采用非接触式或延时自闭式水嘴”。公共场所</w:t>
      </w:r>
      <w:r>
        <w:rPr>
          <w:rFonts w:hint="default" w:ascii="Times New Roman" w:hAnsi="Times New Roman" w:eastAsia="宋体" w:cs="Times New Roman"/>
          <w:sz w:val="24"/>
          <w:szCs w:val="24"/>
        </w:rPr>
        <w:t>100%</w:t>
      </w:r>
      <w:r>
        <w:rPr>
          <w:rFonts w:hint="eastAsia" w:ascii="宋体" w:hAnsi="宋体" w:eastAsia="宋体" w:cs="宋体"/>
          <w:sz w:val="24"/>
          <w:szCs w:val="24"/>
        </w:rPr>
        <w:t>洗手盆水嘴采用非接触式水嘴，本款方可得分。</w:t>
      </w:r>
    </w:p>
    <w:p w14:paraId="6E50D3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本条的评价方法为：预评价查阅相关设计文件、计算书、产品说明书（含相关节水器具的性能参数）、影像资料；评价查阅竣工图、计算书、产品说明书或产品节水性能检测报告、影像资料。</w:t>
      </w:r>
    </w:p>
    <w:p w14:paraId="709BB800">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6.2.7</w:t>
      </w:r>
      <w:r>
        <w:rPr>
          <w:rFonts w:hint="eastAsia" w:ascii="宋体" w:hAnsi="宋体" w:cs="宋体"/>
          <w:sz w:val="24"/>
          <w:szCs w:val="24"/>
        </w:rPr>
        <w:t>　</w:t>
      </w:r>
      <w:r>
        <w:rPr>
          <w:rFonts w:hint="eastAsia" w:ascii="宋体" w:hAnsi="宋体" w:eastAsia="宋体" w:cs="宋体"/>
          <w:sz w:val="24"/>
          <w:szCs w:val="24"/>
        </w:rPr>
        <w:t>本条适用于预评价和评价。空调设备不包括冷却水系统时，本条直接得分。</w:t>
      </w:r>
    </w:p>
    <w:p w14:paraId="43F2D9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公共建筑集中空调系统的冷却水补水量很大，可能占据建筑物用水量的</w:t>
      </w:r>
      <w:r>
        <w:rPr>
          <w:rFonts w:hint="default" w:ascii="Times New Roman" w:hAnsi="Times New Roman" w:eastAsia="宋体" w:cs="Times New Roman"/>
          <w:sz w:val="24"/>
          <w:szCs w:val="24"/>
        </w:rPr>
        <w:t>30%～50%</w:t>
      </w:r>
      <w:r>
        <w:rPr>
          <w:rFonts w:hint="eastAsia" w:ascii="宋体" w:hAnsi="宋体" w:eastAsia="宋体" w:cs="宋体"/>
          <w:sz w:val="24"/>
          <w:szCs w:val="24"/>
        </w:rPr>
        <w:t xml:space="preserve">，减少冷却水系统不必要的耗水对整个建筑物的节水意义重大。 </w:t>
      </w:r>
    </w:p>
    <w:p w14:paraId="4C8783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空调冷却水系统采用节水设备或技术主要如下：</w:t>
      </w:r>
    </w:p>
    <w:p w14:paraId="6FB93B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1）循环冷却水系统</w:t>
      </w:r>
      <w:r>
        <w:rPr>
          <w:rFonts w:hint="eastAsia" w:ascii="宋体" w:hAnsi="宋体" w:cs="宋体"/>
          <w:sz w:val="24"/>
          <w:szCs w:val="24"/>
          <w:lang w:val="en-US" w:eastAsia="zh-CN"/>
        </w:rPr>
        <w:t>通过</w:t>
      </w:r>
      <w:r>
        <w:rPr>
          <w:rFonts w:hint="eastAsia" w:ascii="宋体" w:hAnsi="宋体" w:eastAsia="宋体" w:cs="宋体"/>
          <w:sz w:val="24"/>
          <w:szCs w:val="24"/>
        </w:rPr>
        <w:t>设置水处理措施、加大集水盘、设置平衡管或平衡水箱的方式，避免冷却水泵停泵时冷却水溢出。</w:t>
      </w:r>
    </w:p>
    <w:p w14:paraId="37B403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用无蒸发耗水量的冷却技术，包括采用分体空调、风冷式冷水机组、风冷式多联机、地源热泵、干式运行的闭式冷却塔等。风冷空调系统的冷凝排热以显热方式排到大气，并不直接耗费水资源，采用风冷方式替代水冷方式可以节省水资源。但由于风冷方式制冷机组的</w:t>
      </w:r>
      <w:r>
        <w:rPr>
          <w:rFonts w:hint="default" w:ascii="Times New Roman" w:hAnsi="Times New Roman" w:eastAsia="宋体" w:cs="Times New Roman"/>
          <w:sz w:val="24"/>
          <w:szCs w:val="24"/>
        </w:rPr>
        <w:t>COP</w:t>
      </w:r>
      <w:r>
        <w:rPr>
          <w:rFonts w:hint="eastAsia" w:ascii="宋体" w:hAnsi="宋体" w:eastAsia="宋体" w:cs="宋体"/>
          <w:sz w:val="24"/>
          <w:szCs w:val="24"/>
        </w:rPr>
        <w:t>通常较水冷方式的制冷机组低，所以需要综合评价工程所在地的水资源和电力资源情况，有条件时优先考虑风冷方式排出空调冷凝热。</w:t>
      </w:r>
    </w:p>
    <w:p w14:paraId="16E36C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本条的评价方法为：预评价查阅相关设计文件、计算书、产品说明、影像资料；评价查阅相关竣工图纸、产品说明书、绿化灌溉用水量记录、冷却水系统用水计量、影像资料。</w:t>
      </w:r>
    </w:p>
    <w:p w14:paraId="17087B45">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6.2.8</w:t>
      </w:r>
      <w:r>
        <w:rPr>
          <w:rFonts w:hint="eastAsia" w:ascii="宋体" w:hAnsi="宋体" w:cs="宋体"/>
          <w:sz w:val="24"/>
          <w:szCs w:val="24"/>
        </w:rPr>
        <w:t>　</w:t>
      </w:r>
      <w:r>
        <w:rPr>
          <w:rFonts w:hint="eastAsia" w:ascii="宋体" w:hAnsi="宋体" w:eastAsia="宋体" w:cs="宋体"/>
          <w:sz w:val="24"/>
          <w:szCs w:val="24"/>
        </w:rPr>
        <w:t>本条适用于预评价和评价。</w:t>
      </w:r>
    </w:p>
    <w:p w14:paraId="1F519E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虽然利用非传统水源是节水最直接、最有效的措施之一，但由于既有建筑的特殊性，本标准对非传统水源的利用率要求及分值均较新建建筑适当降低。</w:t>
      </w:r>
    </w:p>
    <w:p w14:paraId="7F6AB321">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本条中“某用途采用非传统水源的用水量占其总用水量的比例＝该用途采用非传统水源的年用水量/该用途的年总用水量（包含传统和非传统水量）”。该比例与非传统水源利用率是不同的概念，在计算时，应明确分子分母的针对性。</w:t>
      </w:r>
    </w:p>
    <w:p w14:paraId="12D067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款，利用非传统水源进行冲厕时，其水质指标应满足《城市污水再生利用城市杂用水水质》</w:t>
      </w:r>
      <w:r>
        <w:rPr>
          <w:rFonts w:hint="default" w:ascii="Times New Roman" w:hAnsi="Times New Roman" w:eastAsia="宋体" w:cs="Times New Roman"/>
          <w:sz w:val="24"/>
          <w:szCs w:val="24"/>
        </w:rPr>
        <w:t>GB/T 18920</w:t>
      </w:r>
      <w:r>
        <w:rPr>
          <w:rFonts w:hint="eastAsia" w:ascii="宋体" w:hAnsi="宋体" w:eastAsia="宋体" w:cs="宋体"/>
          <w:sz w:val="24"/>
          <w:szCs w:val="24"/>
        </w:rPr>
        <w:t>的水质要求；利用非传统水源作为冷却水补水水源时，其水质指标应满足现行国家标准《供暖空调系统水质》</w:t>
      </w:r>
      <w:r>
        <w:rPr>
          <w:rFonts w:hint="default" w:ascii="Times New Roman" w:hAnsi="Times New Roman" w:eastAsia="宋体" w:cs="Times New Roman"/>
          <w:sz w:val="24"/>
          <w:szCs w:val="24"/>
        </w:rPr>
        <w:t>GB/T 29044</w:t>
      </w:r>
      <w:r>
        <w:rPr>
          <w:rFonts w:hint="eastAsia" w:ascii="宋体" w:hAnsi="宋体" w:eastAsia="宋体" w:cs="宋体"/>
          <w:sz w:val="24"/>
          <w:szCs w:val="24"/>
        </w:rPr>
        <w:t>中规定的空调冷却水的水质要求。</w:t>
      </w:r>
    </w:p>
    <w:p w14:paraId="72139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当非传统水源利用市政再生水预评价时</w:t>
      </w:r>
      <w:r>
        <w:rPr>
          <w:rFonts w:hint="eastAsia" w:ascii="宋体" w:hAnsi="宋体" w:cs="宋体"/>
          <w:sz w:val="24"/>
          <w:szCs w:val="24"/>
          <w:lang w:eastAsia="zh-CN"/>
        </w:rPr>
        <w:t>，</w:t>
      </w:r>
      <w:r>
        <w:rPr>
          <w:rFonts w:hint="eastAsia" w:ascii="宋体" w:hAnsi="宋体" w:eastAsia="宋体" w:cs="宋体"/>
          <w:sz w:val="24"/>
          <w:szCs w:val="24"/>
        </w:rPr>
        <w:t>应提供相关主管部门确认的市政再生水接口资料；评价时，市政再生水</w:t>
      </w:r>
      <w:r>
        <w:rPr>
          <w:rFonts w:hint="eastAsia" w:ascii="宋体" w:hAnsi="宋体" w:eastAsia="宋体" w:cs="宋体"/>
          <w:sz w:val="24"/>
          <w:szCs w:val="24"/>
          <w:highlight w:val="none"/>
        </w:rPr>
        <w:t>须</w:t>
      </w:r>
      <w:r>
        <w:rPr>
          <w:rFonts w:hint="eastAsia" w:ascii="宋体" w:hAnsi="宋体" w:eastAsia="宋体" w:cs="宋体"/>
          <w:sz w:val="24"/>
          <w:szCs w:val="24"/>
        </w:rPr>
        <w:t>接通使用。当非传统水源利用自建中水处理站出水预评价时，应提供中水处理站的施工图；评价时，中水处理站须运行使用。</w:t>
      </w:r>
    </w:p>
    <w:p w14:paraId="0791B5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款，储水设施的清洗废水水质较好，若白白放掉即造成资源浪费，也不符合节水理念，建议清洗废水在处理达标后，可用于绿化灌溉或场地冲洗等用途。</w:t>
      </w:r>
    </w:p>
    <w:p w14:paraId="26E531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说明、非传统水源利用计算书、中水供水管网平面及系统图、中水处理站图纸等相关文件；评价查阅相关竣工图、用水计量记录及统计报告、非传统水源的水质检测报告等相关文件。</w:t>
      </w:r>
    </w:p>
    <w:p w14:paraId="721F5A0B">
      <w:pPr>
        <w:spacing w:before="0" w:beforeLines="0" w:after="0" w:afterLines="0" w:line="360" w:lineRule="auto"/>
        <w:jc w:val="center"/>
        <w:outlineLvl w:val="2"/>
        <w:rPr>
          <w:rFonts w:hint="eastAsia" w:ascii="仿宋" w:hAnsi="仿宋" w:eastAsia="仿宋" w:cs="仿宋"/>
          <w:b/>
          <w:bCs/>
          <w:sz w:val="28"/>
          <w:szCs w:val="28"/>
          <w:lang w:eastAsia="zh-CN"/>
        </w:rPr>
      </w:pPr>
      <w:r>
        <w:rPr>
          <w:rFonts w:hint="eastAsia"/>
          <w:b/>
          <w:bCs/>
          <w:sz w:val="28"/>
          <w:szCs w:val="28"/>
        </w:rPr>
        <w:t xml:space="preserve">Ⅲ </w:t>
      </w:r>
      <w:r>
        <w:rPr>
          <w:rFonts w:hint="eastAsia" w:ascii="仿宋" w:hAnsi="仿宋" w:eastAsia="仿宋" w:cs="仿宋"/>
          <w:b/>
          <w:bCs/>
          <w:sz w:val="28"/>
          <w:szCs w:val="28"/>
        </w:rPr>
        <w:t>电气与智能化</w:t>
      </w:r>
    </w:p>
    <w:p w14:paraId="58C1BBC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6.2.9</w:t>
      </w:r>
      <w:r>
        <w:rPr>
          <w:rFonts w:hint="eastAsia" w:ascii="宋体" w:hAnsi="宋体" w:cs="宋体"/>
          <w:sz w:val="24"/>
          <w:szCs w:val="24"/>
        </w:rPr>
        <w:t>　</w:t>
      </w:r>
      <w:r>
        <w:rPr>
          <w:rFonts w:hint="eastAsia" w:ascii="宋体" w:hAnsi="宋体" w:eastAsia="宋体" w:cs="宋体"/>
          <w:sz w:val="24"/>
          <w:szCs w:val="24"/>
        </w:rPr>
        <w:t>本条适用于预评价和评价。</w:t>
      </w:r>
    </w:p>
    <w:p w14:paraId="6ED7AD0B">
      <w:pPr>
        <w:spacing w:line="360" w:lineRule="auto"/>
        <w:ind w:firstLine="480" w:firstLineChars="200"/>
        <w:rPr>
          <w:rFonts w:hint="eastAsia" w:ascii="宋体" w:hAnsi="宋体" w:cs="宋体"/>
          <w:sz w:val="24"/>
          <w:szCs w:val="24"/>
        </w:rPr>
      </w:pPr>
      <w:r>
        <w:rPr>
          <w:rFonts w:hint="eastAsia" w:ascii="宋体" w:hAnsi="宋体" w:eastAsia="宋体" w:cs="宋体"/>
          <w:sz w:val="24"/>
          <w:szCs w:val="24"/>
        </w:rPr>
        <w:t>合理的灯光控制需综合多方面因素。首先，照明灯具的布置与一次配电回路的设计应根据照明区域自然采光及业态功能情况进行分组并分回路配电，为运行控制的行为节能提供可能性。如在自然采光到达区域的人工照明采用同一分支回路配电时，可以根据天然光产生的照度，控制此分支回路供电的通断；如现场设置控制开关时，自然采光到达区域的人工照明应有自己的就地开关控制，这样在控制自然采光到达区域的人工照明时，不影响其他区域人工照明的运行。另外，大面积照明场所按照最小功能区域配电，可以在某个功能区域照明控制时，不影响其他功能区域照明的正常运行。</w:t>
      </w:r>
    </w:p>
    <w:p w14:paraId="0E6DCDBD">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6.2.10</w:t>
      </w:r>
      <w:r>
        <w:rPr>
          <w:rFonts w:hint="eastAsia" w:ascii="宋体" w:hAnsi="宋体" w:cs="宋体"/>
          <w:sz w:val="24"/>
          <w:szCs w:val="24"/>
        </w:rPr>
        <w:t>　</w:t>
      </w:r>
      <w:r>
        <w:rPr>
          <w:rFonts w:hint="eastAsia" w:ascii="宋体" w:hAnsi="宋体" w:eastAsia="宋体" w:cs="宋体"/>
          <w:sz w:val="24"/>
          <w:szCs w:val="24"/>
        </w:rPr>
        <w:t>本条适用于预评价和评价。</w:t>
      </w:r>
    </w:p>
    <w:p w14:paraId="697EE8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款，现行国家标准《建筑照明设计标准》</w:t>
      </w:r>
      <w:r>
        <w:rPr>
          <w:rFonts w:hint="default" w:ascii="Times New Roman" w:hAnsi="Times New Roman" w:eastAsia="宋体" w:cs="Times New Roman"/>
          <w:sz w:val="24"/>
          <w:szCs w:val="24"/>
        </w:rPr>
        <w:t>GB 50034</w:t>
      </w:r>
      <w:r>
        <w:rPr>
          <w:rFonts w:hint="eastAsia" w:ascii="宋体" w:hAnsi="宋体" w:eastAsia="宋体" w:cs="宋体"/>
          <w:sz w:val="24"/>
          <w:szCs w:val="24"/>
        </w:rPr>
        <w:t>规定了各类房间或场所的照明功率密度值，分为“现行值”和“目标值”，其中“现行值”是新建建筑必须满足的最低要求，“目标值”要求更高。</w:t>
      </w:r>
    </w:p>
    <w:p w14:paraId="457367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 xml:space="preserve">款，要求所用配电变压器满足现行国家标准《三相配电变压器能效限定值及能效等级》 </w:t>
      </w:r>
      <w:r>
        <w:rPr>
          <w:rFonts w:hint="default" w:ascii="Times New Roman" w:hAnsi="Times New Roman" w:eastAsia="宋体" w:cs="Times New Roman"/>
          <w:sz w:val="24"/>
          <w:szCs w:val="24"/>
        </w:rPr>
        <w:t>GB 20052</w:t>
      </w:r>
      <w:r>
        <w:rPr>
          <w:rFonts w:hint="eastAsia" w:ascii="宋体" w:hAnsi="宋体" w:eastAsia="宋体" w:cs="宋体"/>
          <w:sz w:val="24"/>
          <w:szCs w:val="24"/>
        </w:rPr>
        <w:t xml:space="preserve"> 规定的节能评价值，油浸式配电变压器、干式配电变压器的空载损耗和负载损耗值均应不高于能效等级</w:t>
      </w:r>
      <w:r>
        <w:rPr>
          <w:rFonts w:hint="default" w:ascii="Times New Roman" w:hAnsi="Times New Roman" w:eastAsia="宋体" w:cs="Times New Roman"/>
          <w:sz w:val="24"/>
          <w:szCs w:val="24"/>
        </w:rPr>
        <w:t>2</w:t>
      </w:r>
      <w:r>
        <w:rPr>
          <w:rFonts w:hint="eastAsia" w:ascii="宋体" w:hAnsi="宋体" w:eastAsia="宋体" w:cs="宋体"/>
          <w:sz w:val="24"/>
          <w:szCs w:val="24"/>
        </w:rPr>
        <w:t>级的规定。照明产品、水泵、风机等其他电气设备也满足《室内照明用LED产品能效限定值及能效等级》</w:t>
      </w:r>
      <w:r>
        <w:rPr>
          <w:rFonts w:hint="default" w:ascii="Times New Roman" w:hAnsi="Times New Roman" w:eastAsia="宋体" w:cs="Times New Roman"/>
          <w:sz w:val="24"/>
          <w:szCs w:val="24"/>
        </w:rPr>
        <w:t>GB 30255</w:t>
      </w:r>
      <w:r>
        <w:rPr>
          <w:rFonts w:hint="eastAsia" w:ascii="宋体" w:hAnsi="宋体" w:eastAsia="宋体" w:cs="宋体"/>
          <w:sz w:val="24"/>
          <w:szCs w:val="24"/>
        </w:rPr>
        <w:t>、《清水离心泵能效限定值及节能评价值》</w:t>
      </w:r>
      <w:r>
        <w:rPr>
          <w:rFonts w:hint="default" w:ascii="Times New Roman" w:hAnsi="Times New Roman" w:eastAsia="宋体" w:cs="Times New Roman"/>
          <w:sz w:val="24"/>
          <w:szCs w:val="24"/>
        </w:rPr>
        <w:t>GB 19762</w:t>
      </w:r>
      <w:r>
        <w:rPr>
          <w:rFonts w:hint="eastAsia" w:ascii="宋体" w:hAnsi="宋体" w:eastAsia="宋体" w:cs="宋体"/>
          <w:sz w:val="24"/>
          <w:szCs w:val="24"/>
        </w:rPr>
        <w:t>、《通风机能效限定值及能效等级》</w:t>
      </w:r>
      <w:r>
        <w:rPr>
          <w:rFonts w:hint="default" w:ascii="Times New Roman" w:hAnsi="Times New Roman" w:eastAsia="宋体" w:cs="Times New Roman"/>
          <w:sz w:val="24"/>
          <w:szCs w:val="24"/>
        </w:rPr>
        <w:t>GB 19761</w:t>
      </w:r>
      <w:r>
        <w:rPr>
          <w:rFonts w:hint="eastAsia" w:ascii="宋体" w:hAnsi="宋体" w:eastAsia="宋体" w:cs="宋体"/>
          <w:sz w:val="24"/>
          <w:szCs w:val="24"/>
        </w:rPr>
        <w:t>等国家现行有关标准的节能评价。</w:t>
      </w:r>
    </w:p>
    <w:p w14:paraId="1A32AD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3</w:t>
      </w:r>
      <w:r>
        <w:rPr>
          <w:rFonts w:hint="eastAsia" w:ascii="宋体" w:hAnsi="宋体" w:eastAsia="宋体" w:cs="宋体"/>
          <w:sz w:val="24"/>
          <w:szCs w:val="24"/>
        </w:rPr>
        <w:t>款，对于既有工业建筑低碳改造，与暖通空调系统一样，照明系统需要按照相关标准规范重新设计。通过改造，对人工照明进行分区、分组控制，可以根据实际需求调整照明水平，做到按需照明，有利于节能。与此同时，室内人员可以通过控制照明环境来划分照明空间，使空间的功能随之发生变化，还可以通过照明的调节在同一房间中营造不同的气氛，通过不同的视觉感受，从生理上、心理上给人积极的影响。</w:t>
      </w:r>
    </w:p>
    <w:p w14:paraId="1147ED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4</w:t>
      </w:r>
      <w:r>
        <w:rPr>
          <w:rFonts w:hint="eastAsia" w:ascii="宋体" w:hAnsi="宋体" w:eastAsia="宋体" w:cs="宋体"/>
          <w:sz w:val="24"/>
          <w:szCs w:val="24"/>
        </w:rPr>
        <w:t>款，根据室外天气条件的变化，鼓励采取照度自动控制措施，降低人工照明的照度，避免室内亮度较高或较低对人们生理和心理造成不必要的负面影响，同时具有一定的节能作用。</w:t>
      </w:r>
    </w:p>
    <w:p w14:paraId="0DA8565F">
      <w:pPr>
        <w:spacing w:line="360" w:lineRule="auto"/>
        <w:ind w:firstLine="480" w:firstLineChars="200"/>
        <w:rPr>
          <w:rFonts w:hint="eastAsia" w:ascii="宋体" w:hAnsi="宋体" w:cs="宋体"/>
          <w:sz w:val="24"/>
          <w:szCs w:val="24"/>
        </w:rPr>
      </w:pPr>
      <w:r>
        <w:rPr>
          <w:rFonts w:hint="eastAsia" w:ascii="宋体" w:hAnsi="宋体" w:eastAsia="宋体" w:cs="宋体"/>
          <w:sz w:val="24"/>
          <w:szCs w:val="24"/>
        </w:rPr>
        <w:t>本条评价方法为：预评价查阅相关设计文件、照明计算书（其中应包含灯具选型参数）；评价查阅相关竣工图、主要产品型式检验报告、现场照度和照明功率密度检测报告。</w:t>
      </w:r>
    </w:p>
    <w:p w14:paraId="515C8115">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6.2.11</w:t>
      </w:r>
      <w:r>
        <w:rPr>
          <w:rFonts w:hint="eastAsia" w:ascii="宋体" w:hAnsi="宋体" w:cs="宋体"/>
          <w:sz w:val="24"/>
          <w:szCs w:val="24"/>
        </w:rPr>
        <w:t>　</w:t>
      </w:r>
      <w:r>
        <w:rPr>
          <w:rFonts w:hint="eastAsia" w:ascii="宋体" w:hAnsi="宋体" w:eastAsia="宋体" w:cs="宋体"/>
          <w:sz w:val="24"/>
          <w:szCs w:val="24"/>
        </w:rPr>
        <w:t>第</w:t>
      </w:r>
      <w:r>
        <w:rPr>
          <w:rFonts w:hint="default" w:ascii="Times New Roman" w:hAnsi="Times New Roman" w:eastAsia="宋体" w:cs="Times New Roman"/>
          <w:sz w:val="24"/>
          <w:szCs w:val="24"/>
        </w:rPr>
        <w:t>1-4</w:t>
      </w:r>
      <w:r>
        <w:rPr>
          <w:rFonts w:hint="eastAsia" w:ascii="宋体" w:hAnsi="宋体" w:eastAsia="宋体" w:cs="宋体"/>
          <w:sz w:val="24"/>
          <w:szCs w:val="24"/>
        </w:rPr>
        <w:t>款，分别对暖通系统、给排水系统、充电系统、变电系统、机房系统的电气设备能效进行评价，每个评价子项采用简化的单个指标。实际设计时，每个评价子项则需要考虑很多因素，包含很多指标，运行能效高低还与负载有关，要合理选型、优化控制，可另外参考机电系统能效分级评价的相关标准，不在本条评价中展开。</w:t>
      </w:r>
    </w:p>
    <w:p w14:paraId="1DF732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3</w:t>
      </w:r>
      <w:r>
        <w:rPr>
          <w:rFonts w:hint="eastAsia" w:ascii="宋体" w:hAnsi="宋体" w:eastAsia="宋体" w:cs="宋体"/>
          <w:sz w:val="24"/>
          <w:szCs w:val="24"/>
        </w:rPr>
        <w:t>款，本条对充电系统综合能效进行了深入研究，归纳总结得到表</w:t>
      </w:r>
      <w:r>
        <w:rPr>
          <w:rFonts w:hint="eastAsia" w:cs="Times New Roman"/>
          <w:sz w:val="24"/>
          <w:szCs w:val="24"/>
          <w:lang w:eastAsia="zh-CN"/>
        </w:rPr>
        <w:t>2</w:t>
      </w:r>
      <w:r>
        <w:rPr>
          <w:rFonts w:hint="eastAsia" w:ascii="宋体" w:hAnsi="宋体" w:eastAsia="宋体" w:cs="宋体"/>
          <w:sz w:val="24"/>
          <w:szCs w:val="24"/>
        </w:rPr>
        <w:t>“充电系统综合能效”，便于在规划设计和以后的运营管理中区分、鉴定充电基础设施能效水平，针对工程项目采用适宜的节能技术措施，改进能源利用效率。</w:t>
      </w:r>
    </w:p>
    <w:p w14:paraId="6129B89C">
      <w:pPr>
        <w:widowControl/>
        <w:spacing w:line="360" w:lineRule="auto"/>
        <w:ind w:firstLine="0" w:firstLineChars="0"/>
        <w:jc w:val="center"/>
        <w:rPr>
          <w:rFonts w:hint="eastAsia" w:ascii="Times New Roman" w:hAnsi="Times New Roman" w:eastAsia="宋体" w:cs="Times New Roman"/>
          <w:b/>
          <w:bCs/>
          <w:kern w:val="0"/>
          <w:szCs w:val="20"/>
        </w:rPr>
      </w:pPr>
      <w:r>
        <w:rPr>
          <w:rFonts w:hint="eastAsia" w:ascii="Times New Roman" w:hAnsi="Times New Roman" w:eastAsia="宋体" w:cs="Times New Roman"/>
          <w:b/>
          <w:bCs/>
          <w:kern w:val="0"/>
          <w:szCs w:val="20"/>
        </w:rPr>
        <w:t>表2 充电系统综合能效</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19FD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14:paraId="4DDA0823">
            <w:pPr>
              <w:jc w:val="center"/>
              <w:rPr>
                <w:rFonts w:hint="eastAsia" w:ascii="宋体" w:hAnsi="宋体" w:eastAsia="宋体" w:cs="宋体"/>
              </w:rPr>
            </w:pPr>
            <w:r>
              <w:rPr>
                <w:rFonts w:hint="eastAsia" w:ascii="宋体" w:hAnsi="宋体" w:eastAsia="宋体" w:cs="宋体"/>
              </w:rPr>
              <w:t>充电系统</w:t>
            </w:r>
          </w:p>
        </w:tc>
        <w:tc>
          <w:tcPr>
            <w:tcW w:w="6637" w:type="dxa"/>
            <w:gridSpan w:val="4"/>
            <w:vAlign w:val="center"/>
          </w:tcPr>
          <w:p w14:paraId="2C8AA1AC">
            <w:pPr>
              <w:jc w:val="center"/>
              <w:rPr>
                <w:rFonts w:hint="eastAsia" w:ascii="宋体" w:hAnsi="宋体" w:eastAsia="宋体" w:cs="宋体"/>
              </w:rPr>
            </w:pPr>
            <w:r>
              <w:rPr>
                <w:rFonts w:hint="eastAsia" w:ascii="宋体" w:hAnsi="宋体" w:eastAsia="宋体" w:cs="宋体"/>
              </w:rPr>
              <w:t>综合能效限值</w:t>
            </w:r>
          </w:p>
        </w:tc>
      </w:tr>
      <w:tr w14:paraId="52AC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2C582910">
            <w:pPr>
              <w:jc w:val="center"/>
              <w:rPr>
                <w:rFonts w:hint="eastAsia" w:ascii="宋体" w:hAnsi="宋体" w:eastAsia="宋体" w:cs="宋体"/>
              </w:rPr>
            </w:pPr>
          </w:p>
        </w:tc>
        <w:tc>
          <w:tcPr>
            <w:tcW w:w="3318" w:type="dxa"/>
            <w:gridSpan w:val="2"/>
            <w:vAlign w:val="center"/>
          </w:tcPr>
          <w:p w14:paraId="35BFFCB6">
            <w:pPr>
              <w:jc w:val="center"/>
              <w:rPr>
                <w:rFonts w:hint="eastAsia" w:ascii="宋体" w:hAnsi="宋体" w:eastAsia="宋体" w:cs="宋体"/>
              </w:rPr>
            </w:pPr>
            <w:r>
              <w:rPr>
                <w:rFonts w:hint="eastAsia" w:ascii="宋体" w:hAnsi="宋体" w:eastAsia="宋体" w:cs="宋体"/>
              </w:rPr>
              <w:t>室外</w:t>
            </w:r>
          </w:p>
        </w:tc>
        <w:tc>
          <w:tcPr>
            <w:tcW w:w="3319" w:type="dxa"/>
            <w:gridSpan w:val="2"/>
            <w:vAlign w:val="center"/>
          </w:tcPr>
          <w:p w14:paraId="3AC60DC9">
            <w:pPr>
              <w:jc w:val="center"/>
              <w:rPr>
                <w:rFonts w:hint="eastAsia" w:ascii="宋体" w:hAnsi="宋体" w:eastAsia="宋体" w:cs="宋体"/>
              </w:rPr>
            </w:pPr>
            <w:r>
              <w:rPr>
                <w:rFonts w:hint="eastAsia" w:ascii="宋体" w:hAnsi="宋体" w:eastAsia="宋体" w:cs="宋体"/>
              </w:rPr>
              <w:t>室内</w:t>
            </w:r>
          </w:p>
        </w:tc>
      </w:tr>
      <w:tr w14:paraId="3293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7B13E689">
            <w:pPr>
              <w:jc w:val="center"/>
              <w:rPr>
                <w:rFonts w:hint="eastAsia" w:ascii="宋体" w:hAnsi="宋体" w:eastAsia="宋体" w:cs="宋体"/>
              </w:rPr>
            </w:pPr>
            <w:r>
              <w:rPr>
                <w:rFonts w:hint="eastAsia" w:ascii="宋体" w:hAnsi="宋体" w:eastAsia="宋体" w:cs="宋体"/>
              </w:rPr>
              <w:t>能源利用环节</w:t>
            </w:r>
          </w:p>
        </w:tc>
        <w:tc>
          <w:tcPr>
            <w:tcW w:w="1659" w:type="dxa"/>
            <w:vAlign w:val="center"/>
          </w:tcPr>
          <w:p w14:paraId="29CD0301">
            <w:pPr>
              <w:jc w:val="center"/>
              <w:rPr>
                <w:rFonts w:hint="eastAsia" w:ascii="宋体" w:hAnsi="宋体" w:eastAsia="宋体" w:cs="宋体"/>
              </w:rPr>
            </w:pPr>
            <w:r>
              <w:rPr>
                <w:rFonts w:hint="eastAsia" w:ascii="宋体" w:hAnsi="宋体" w:eastAsia="宋体" w:cs="宋体"/>
              </w:rPr>
              <w:t>现行值</w:t>
            </w:r>
          </w:p>
        </w:tc>
        <w:tc>
          <w:tcPr>
            <w:tcW w:w="1659" w:type="dxa"/>
            <w:vAlign w:val="center"/>
          </w:tcPr>
          <w:p w14:paraId="1F323D60">
            <w:pPr>
              <w:jc w:val="center"/>
              <w:rPr>
                <w:rFonts w:hint="eastAsia" w:ascii="宋体" w:hAnsi="宋体" w:eastAsia="宋体" w:cs="宋体"/>
              </w:rPr>
            </w:pPr>
            <w:r>
              <w:rPr>
                <w:rFonts w:hint="eastAsia" w:ascii="宋体" w:hAnsi="宋体" w:eastAsia="宋体" w:cs="宋体"/>
              </w:rPr>
              <w:t>目标值</w:t>
            </w:r>
          </w:p>
        </w:tc>
        <w:tc>
          <w:tcPr>
            <w:tcW w:w="1659" w:type="dxa"/>
            <w:vAlign w:val="center"/>
          </w:tcPr>
          <w:p w14:paraId="6FAEAC93">
            <w:pPr>
              <w:jc w:val="center"/>
              <w:rPr>
                <w:rFonts w:hint="eastAsia" w:ascii="宋体" w:hAnsi="宋体" w:eastAsia="宋体" w:cs="宋体"/>
              </w:rPr>
            </w:pPr>
            <w:r>
              <w:rPr>
                <w:rFonts w:hint="eastAsia" w:ascii="宋体" w:hAnsi="宋体" w:eastAsia="宋体" w:cs="宋体"/>
              </w:rPr>
              <w:t>现行值</w:t>
            </w:r>
          </w:p>
        </w:tc>
        <w:tc>
          <w:tcPr>
            <w:tcW w:w="1660" w:type="dxa"/>
            <w:vAlign w:val="center"/>
          </w:tcPr>
          <w:p w14:paraId="4764ACA8">
            <w:pPr>
              <w:jc w:val="center"/>
              <w:rPr>
                <w:rFonts w:hint="eastAsia" w:ascii="宋体" w:hAnsi="宋体" w:eastAsia="宋体" w:cs="宋体"/>
              </w:rPr>
            </w:pPr>
            <w:r>
              <w:rPr>
                <w:rFonts w:hint="eastAsia" w:ascii="宋体" w:hAnsi="宋体" w:eastAsia="宋体" w:cs="宋体"/>
              </w:rPr>
              <w:t>目标值</w:t>
            </w:r>
          </w:p>
        </w:tc>
      </w:tr>
      <w:tr w14:paraId="387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AD45C26">
            <w:pPr>
              <w:jc w:val="center"/>
              <w:rPr>
                <w:rFonts w:hint="eastAsia" w:ascii="宋体" w:hAnsi="宋体" w:eastAsia="宋体" w:cs="宋体"/>
                <w:vertAlign w:val="subscript"/>
              </w:rPr>
            </w:pPr>
            <w:r>
              <w:rPr>
                <w:rFonts w:hint="eastAsia" w:ascii="宋体" w:hAnsi="宋体" w:eastAsia="宋体" w:cs="宋体"/>
              </w:rPr>
              <w:t>变电效率</w:t>
            </w:r>
            <w:r>
              <w:rPr>
                <w:rFonts w:hint="default" w:ascii="Times New Roman" w:hAnsi="Times New Roman" w:cs="Times New Roman"/>
              </w:rPr>
              <w:t>η</w:t>
            </w:r>
            <w:r>
              <w:rPr>
                <w:rFonts w:hint="default" w:ascii="Times New Roman" w:hAnsi="Times New Roman" w:cs="Times New Roman"/>
                <w:vertAlign w:val="subscript"/>
              </w:rPr>
              <w:t>1</w:t>
            </w:r>
          </w:p>
        </w:tc>
        <w:tc>
          <w:tcPr>
            <w:tcW w:w="1659" w:type="dxa"/>
            <w:vAlign w:val="center"/>
          </w:tcPr>
          <w:p w14:paraId="5D34C5EB">
            <w:pPr>
              <w:jc w:val="center"/>
              <w:rPr>
                <w:rFonts w:hint="default" w:ascii="Times New Roman" w:hAnsi="Times New Roman" w:eastAsia="宋体" w:cs="Times New Roman"/>
              </w:rPr>
            </w:pPr>
            <w:r>
              <w:rPr>
                <w:rFonts w:hint="default" w:ascii="Times New Roman" w:hAnsi="Times New Roman" w:eastAsia="宋体" w:cs="Times New Roman"/>
              </w:rPr>
              <w:t>0.97</w:t>
            </w:r>
          </w:p>
        </w:tc>
        <w:tc>
          <w:tcPr>
            <w:tcW w:w="1659" w:type="dxa"/>
            <w:vAlign w:val="center"/>
          </w:tcPr>
          <w:p w14:paraId="730030B1">
            <w:pPr>
              <w:jc w:val="center"/>
              <w:rPr>
                <w:rFonts w:hint="default" w:ascii="Times New Roman" w:hAnsi="Times New Roman" w:eastAsia="宋体" w:cs="Times New Roman"/>
              </w:rPr>
            </w:pPr>
            <w:r>
              <w:rPr>
                <w:rFonts w:hint="default" w:ascii="Times New Roman" w:hAnsi="Times New Roman" w:eastAsia="宋体" w:cs="Times New Roman"/>
              </w:rPr>
              <w:t>0.98</w:t>
            </w:r>
          </w:p>
        </w:tc>
        <w:tc>
          <w:tcPr>
            <w:tcW w:w="1659" w:type="dxa"/>
            <w:vAlign w:val="center"/>
          </w:tcPr>
          <w:p w14:paraId="01262601">
            <w:pPr>
              <w:jc w:val="center"/>
              <w:rPr>
                <w:rFonts w:hint="default" w:ascii="Times New Roman" w:hAnsi="Times New Roman" w:eastAsia="宋体" w:cs="Times New Roman"/>
              </w:rPr>
            </w:pPr>
            <w:r>
              <w:rPr>
                <w:rFonts w:hint="default" w:ascii="Times New Roman" w:hAnsi="Times New Roman" w:eastAsia="宋体" w:cs="Times New Roman"/>
              </w:rPr>
              <w:t>0.97</w:t>
            </w:r>
          </w:p>
        </w:tc>
        <w:tc>
          <w:tcPr>
            <w:tcW w:w="1660" w:type="dxa"/>
            <w:vAlign w:val="center"/>
          </w:tcPr>
          <w:p w14:paraId="44BC77F3">
            <w:pPr>
              <w:jc w:val="center"/>
              <w:rPr>
                <w:rFonts w:hint="default" w:ascii="Times New Roman" w:hAnsi="Times New Roman" w:eastAsia="宋体" w:cs="Times New Roman"/>
              </w:rPr>
            </w:pPr>
            <w:r>
              <w:rPr>
                <w:rFonts w:hint="default" w:ascii="Times New Roman" w:hAnsi="Times New Roman" w:eastAsia="宋体" w:cs="Times New Roman"/>
              </w:rPr>
              <w:t>0.98</w:t>
            </w:r>
          </w:p>
        </w:tc>
      </w:tr>
      <w:tr w14:paraId="21B4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6AD25BC">
            <w:pPr>
              <w:jc w:val="center"/>
              <w:rPr>
                <w:rFonts w:hint="eastAsia" w:ascii="宋体" w:hAnsi="宋体" w:eastAsia="宋体" w:cs="宋体"/>
              </w:rPr>
            </w:pPr>
            <w:r>
              <w:rPr>
                <w:rFonts w:hint="eastAsia" w:ascii="宋体" w:hAnsi="宋体" w:eastAsia="宋体" w:cs="宋体"/>
              </w:rPr>
              <w:t>输电效率</w:t>
            </w:r>
            <w:r>
              <w:rPr>
                <w:rFonts w:hint="default" w:ascii="Times New Roman" w:hAnsi="Times New Roman" w:cs="Times New Roman"/>
              </w:rPr>
              <w:t>η</w:t>
            </w:r>
            <w:r>
              <w:rPr>
                <w:rFonts w:hint="default" w:ascii="Times New Roman" w:hAnsi="Times New Roman" w:cs="Times New Roman"/>
                <w:vertAlign w:val="subscript"/>
              </w:rPr>
              <w:t>2</w:t>
            </w:r>
          </w:p>
        </w:tc>
        <w:tc>
          <w:tcPr>
            <w:tcW w:w="1659" w:type="dxa"/>
            <w:vAlign w:val="center"/>
          </w:tcPr>
          <w:p w14:paraId="7344AF4A">
            <w:pPr>
              <w:jc w:val="center"/>
              <w:rPr>
                <w:rFonts w:hint="default" w:ascii="Times New Roman" w:hAnsi="Times New Roman" w:eastAsia="宋体" w:cs="Times New Roman"/>
              </w:rPr>
            </w:pPr>
            <w:r>
              <w:rPr>
                <w:rFonts w:hint="default" w:ascii="Times New Roman" w:hAnsi="Times New Roman" w:eastAsia="宋体" w:cs="Times New Roman"/>
              </w:rPr>
              <w:t>0.95</w:t>
            </w:r>
          </w:p>
        </w:tc>
        <w:tc>
          <w:tcPr>
            <w:tcW w:w="1659" w:type="dxa"/>
            <w:vAlign w:val="center"/>
          </w:tcPr>
          <w:p w14:paraId="29D08265">
            <w:pPr>
              <w:jc w:val="center"/>
              <w:rPr>
                <w:rFonts w:hint="default" w:ascii="Times New Roman" w:hAnsi="Times New Roman" w:eastAsia="宋体" w:cs="Times New Roman"/>
              </w:rPr>
            </w:pPr>
            <w:r>
              <w:rPr>
                <w:rFonts w:hint="default" w:ascii="Times New Roman" w:hAnsi="Times New Roman" w:eastAsia="宋体" w:cs="Times New Roman"/>
              </w:rPr>
              <w:t>0.95</w:t>
            </w:r>
          </w:p>
        </w:tc>
        <w:tc>
          <w:tcPr>
            <w:tcW w:w="1659" w:type="dxa"/>
            <w:vAlign w:val="center"/>
          </w:tcPr>
          <w:p w14:paraId="64913438">
            <w:pPr>
              <w:jc w:val="center"/>
              <w:rPr>
                <w:rFonts w:hint="default" w:ascii="Times New Roman" w:hAnsi="Times New Roman" w:eastAsia="宋体" w:cs="Times New Roman"/>
              </w:rPr>
            </w:pPr>
            <w:r>
              <w:rPr>
                <w:rFonts w:hint="default" w:ascii="Times New Roman" w:hAnsi="Times New Roman" w:eastAsia="宋体" w:cs="Times New Roman"/>
              </w:rPr>
              <w:t>0.97</w:t>
            </w:r>
          </w:p>
        </w:tc>
        <w:tc>
          <w:tcPr>
            <w:tcW w:w="1660" w:type="dxa"/>
            <w:vAlign w:val="center"/>
          </w:tcPr>
          <w:p w14:paraId="57E700EA">
            <w:pPr>
              <w:jc w:val="center"/>
              <w:rPr>
                <w:rFonts w:hint="default" w:ascii="Times New Roman" w:hAnsi="Times New Roman" w:eastAsia="宋体" w:cs="Times New Roman"/>
              </w:rPr>
            </w:pPr>
            <w:r>
              <w:rPr>
                <w:rFonts w:hint="default" w:ascii="Times New Roman" w:hAnsi="Times New Roman" w:eastAsia="宋体" w:cs="Times New Roman"/>
              </w:rPr>
              <w:t>0.97</w:t>
            </w:r>
          </w:p>
        </w:tc>
      </w:tr>
      <w:tr w14:paraId="3C1D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585A9A9F">
            <w:pPr>
              <w:jc w:val="center"/>
              <w:rPr>
                <w:rFonts w:hint="eastAsia" w:ascii="宋体" w:hAnsi="宋体" w:eastAsia="宋体" w:cs="宋体"/>
              </w:rPr>
            </w:pPr>
            <w:r>
              <w:rPr>
                <w:rFonts w:hint="eastAsia" w:ascii="宋体" w:hAnsi="宋体" w:eastAsia="宋体" w:cs="宋体"/>
              </w:rPr>
              <w:t>设施效率</w:t>
            </w:r>
            <w:r>
              <w:rPr>
                <w:rFonts w:hint="default" w:ascii="Times New Roman" w:hAnsi="Times New Roman" w:cs="Times New Roman"/>
              </w:rPr>
              <w:t>η</w:t>
            </w:r>
            <w:r>
              <w:rPr>
                <w:rFonts w:hint="default" w:ascii="Times New Roman" w:hAnsi="Times New Roman" w:cs="Times New Roman"/>
                <w:vertAlign w:val="subscript"/>
              </w:rPr>
              <w:t>E7</w:t>
            </w:r>
          </w:p>
        </w:tc>
        <w:tc>
          <w:tcPr>
            <w:tcW w:w="1659" w:type="dxa"/>
            <w:vAlign w:val="center"/>
          </w:tcPr>
          <w:p w14:paraId="24C90C57">
            <w:pPr>
              <w:jc w:val="center"/>
              <w:rPr>
                <w:rFonts w:hint="default" w:ascii="Times New Roman" w:hAnsi="Times New Roman" w:eastAsia="宋体" w:cs="Times New Roman"/>
              </w:rPr>
            </w:pPr>
            <w:r>
              <w:rPr>
                <w:rFonts w:hint="default" w:ascii="Times New Roman" w:hAnsi="Times New Roman" w:eastAsia="宋体" w:cs="Times New Roman"/>
              </w:rPr>
              <w:t>0.97</w:t>
            </w:r>
          </w:p>
        </w:tc>
        <w:tc>
          <w:tcPr>
            <w:tcW w:w="1659" w:type="dxa"/>
            <w:vAlign w:val="center"/>
          </w:tcPr>
          <w:p w14:paraId="4A9E94A9">
            <w:pPr>
              <w:jc w:val="center"/>
              <w:rPr>
                <w:rFonts w:hint="default" w:ascii="Times New Roman" w:hAnsi="Times New Roman" w:eastAsia="宋体" w:cs="Times New Roman"/>
              </w:rPr>
            </w:pPr>
            <w:r>
              <w:rPr>
                <w:rFonts w:hint="default" w:ascii="Times New Roman" w:hAnsi="Times New Roman" w:eastAsia="宋体" w:cs="Times New Roman"/>
              </w:rPr>
              <w:t>0.99</w:t>
            </w:r>
          </w:p>
        </w:tc>
        <w:tc>
          <w:tcPr>
            <w:tcW w:w="1659" w:type="dxa"/>
            <w:vAlign w:val="center"/>
          </w:tcPr>
          <w:p w14:paraId="25820649">
            <w:pPr>
              <w:jc w:val="center"/>
              <w:rPr>
                <w:rFonts w:hint="default" w:ascii="Times New Roman" w:hAnsi="Times New Roman" w:eastAsia="宋体" w:cs="Times New Roman"/>
              </w:rPr>
            </w:pPr>
            <w:r>
              <w:rPr>
                <w:rFonts w:hint="default" w:ascii="Times New Roman" w:hAnsi="Times New Roman" w:eastAsia="宋体" w:cs="Times New Roman"/>
              </w:rPr>
              <w:t>0.96</w:t>
            </w:r>
          </w:p>
        </w:tc>
        <w:tc>
          <w:tcPr>
            <w:tcW w:w="1660" w:type="dxa"/>
            <w:vAlign w:val="center"/>
          </w:tcPr>
          <w:p w14:paraId="2C988BBE">
            <w:pPr>
              <w:jc w:val="center"/>
              <w:rPr>
                <w:rFonts w:hint="default" w:ascii="Times New Roman" w:hAnsi="Times New Roman" w:eastAsia="宋体" w:cs="Times New Roman"/>
              </w:rPr>
            </w:pPr>
            <w:r>
              <w:rPr>
                <w:rFonts w:hint="default" w:ascii="Times New Roman" w:hAnsi="Times New Roman" w:eastAsia="宋体" w:cs="Times New Roman"/>
              </w:rPr>
              <w:t>0.98</w:t>
            </w:r>
          </w:p>
        </w:tc>
      </w:tr>
      <w:tr w14:paraId="118C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64FB64D8">
            <w:pPr>
              <w:jc w:val="center"/>
              <w:rPr>
                <w:rFonts w:hint="eastAsia" w:ascii="宋体" w:hAnsi="宋体" w:eastAsia="宋体" w:cs="宋体"/>
              </w:rPr>
            </w:pPr>
            <w:r>
              <w:rPr>
                <w:rFonts w:hint="eastAsia" w:ascii="宋体" w:hAnsi="宋体" w:eastAsia="宋体" w:cs="宋体"/>
              </w:rPr>
              <w:t>充电效率</w:t>
            </w:r>
            <w:r>
              <w:rPr>
                <w:rFonts w:hint="default" w:ascii="Times New Roman" w:hAnsi="Times New Roman" w:cs="Times New Roman"/>
              </w:rPr>
              <w:t>η</w:t>
            </w:r>
            <w:r>
              <w:rPr>
                <w:rFonts w:hint="default" w:ascii="Times New Roman" w:hAnsi="Times New Roman" w:cs="Times New Roman"/>
                <w:vertAlign w:val="subscript"/>
              </w:rPr>
              <w:t>C</w:t>
            </w:r>
          </w:p>
        </w:tc>
        <w:tc>
          <w:tcPr>
            <w:tcW w:w="1659" w:type="dxa"/>
            <w:vAlign w:val="center"/>
          </w:tcPr>
          <w:p w14:paraId="3C09BE8D">
            <w:pPr>
              <w:jc w:val="center"/>
              <w:rPr>
                <w:rFonts w:hint="default" w:ascii="Times New Roman" w:hAnsi="Times New Roman" w:eastAsia="宋体" w:cs="Times New Roman"/>
              </w:rPr>
            </w:pPr>
            <w:r>
              <w:rPr>
                <w:rFonts w:hint="default" w:ascii="Times New Roman" w:hAnsi="Times New Roman" w:eastAsia="宋体" w:cs="Times New Roman"/>
              </w:rPr>
              <w:t>0.90</w:t>
            </w:r>
          </w:p>
        </w:tc>
        <w:tc>
          <w:tcPr>
            <w:tcW w:w="1659" w:type="dxa"/>
            <w:vAlign w:val="center"/>
          </w:tcPr>
          <w:p w14:paraId="123414DE">
            <w:pPr>
              <w:jc w:val="center"/>
              <w:rPr>
                <w:rFonts w:hint="default" w:ascii="Times New Roman" w:hAnsi="Times New Roman" w:eastAsia="宋体" w:cs="Times New Roman"/>
              </w:rPr>
            </w:pPr>
            <w:r>
              <w:rPr>
                <w:rFonts w:hint="default" w:ascii="Times New Roman" w:hAnsi="Times New Roman" w:eastAsia="宋体" w:cs="Times New Roman"/>
              </w:rPr>
              <w:t>0.92</w:t>
            </w:r>
          </w:p>
        </w:tc>
        <w:tc>
          <w:tcPr>
            <w:tcW w:w="1659" w:type="dxa"/>
            <w:vAlign w:val="center"/>
          </w:tcPr>
          <w:p w14:paraId="2A21AFC3">
            <w:pPr>
              <w:jc w:val="center"/>
              <w:rPr>
                <w:rFonts w:hint="default" w:ascii="Times New Roman" w:hAnsi="Times New Roman" w:eastAsia="宋体" w:cs="Times New Roman"/>
              </w:rPr>
            </w:pPr>
            <w:r>
              <w:rPr>
                <w:rFonts w:hint="default" w:ascii="Times New Roman" w:hAnsi="Times New Roman" w:eastAsia="宋体" w:cs="Times New Roman"/>
              </w:rPr>
              <w:t>0.95</w:t>
            </w:r>
          </w:p>
        </w:tc>
        <w:tc>
          <w:tcPr>
            <w:tcW w:w="1660" w:type="dxa"/>
            <w:vAlign w:val="center"/>
          </w:tcPr>
          <w:p w14:paraId="0F4CA8DE">
            <w:pPr>
              <w:jc w:val="center"/>
              <w:rPr>
                <w:rFonts w:hint="default" w:ascii="Times New Roman" w:hAnsi="Times New Roman" w:eastAsia="宋体" w:cs="Times New Roman"/>
              </w:rPr>
            </w:pPr>
            <w:r>
              <w:rPr>
                <w:rFonts w:hint="default" w:ascii="Times New Roman" w:hAnsi="Times New Roman" w:eastAsia="宋体" w:cs="Times New Roman"/>
              </w:rPr>
              <w:t>0.97</w:t>
            </w:r>
          </w:p>
        </w:tc>
      </w:tr>
      <w:tr w14:paraId="5D29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340F74E3">
            <w:pPr>
              <w:jc w:val="center"/>
              <w:rPr>
                <w:rFonts w:hint="eastAsia" w:ascii="宋体" w:hAnsi="宋体" w:eastAsia="宋体" w:cs="宋体"/>
              </w:rPr>
            </w:pPr>
            <w:r>
              <w:rPr>
                <w:rFonts w:hint="eastAsia" w:ascii="宋体" w:hAnsi="宋体" w:eastAsia="宋体" w:cs="宋体"/>
              </w:rPr>
              <w:t>外部电能综合效率</w:t>
            </w:r>
            <w:r>
              <w:rPr>
                <w:rFonts w:hint="default" w:ascii="Times New Roman" w:hAnsi="Times New Roman" w:cs="Times New Roman"/>
              </w:rPr>
              <w:t>η</w:t>
            </w:r>
            <w:r>
              <w:rPr>
                <w:rFonts w:hint="default" w:ascii="Times New Roman" w:hAnsi="Times New Roman" w:cs="Times New Roman"/>
                <w:vertAlign w:val="subscript"/>
              </w:rPr>
              <w:t>w</w:t>
            </w:r>
          </w:p>
        </w:tc>
        <w:tc>
          <w:tcPr>
            <w:tcW w:w="1659" w:type="dxa"/>
            <w:vAlign w:val="center"/>
          </w:tcPr>
          <w:p w14:paraId="073380E6">
            <w:pPr>
              <w:jc w:val="center"/>
              <w:rPr>
                <w:rFonts w:hint="default" w:ascii="Times New Roman" w:hAnsi="Times New Roman" w:eastAsia="宋体" w:cs="Times New Roman"/>
              </w:rPr>
            </w:pPr>
            <w:r>
              <w:rPr>
                <w:rFonts w:hint="default" w:ascii="Times New Roman" w:hAnsi="Times New Roman" w:eastAsia="宋体" w:cs="Times New Roman"/>
              </w:rPr>
              <w:t>0.804</w:t>
            </w:r>
          </w:p>
        </w:tc>
        <w:tc>
          <w:tcPr>
            <w:tcW w:w="1659" w:type="dxa"/>
            <w:vAlign w:val="center"/>
          </w:tcPr>
          <w:p w14:paraId="51232ACF">
            <w:pPr>
              <w:jc w:val="center"/>
              <w:rPr>
                <w:rFonts w:hint="default" w:ascii="Times New Roman" w:hAnsi="Times New Roman" w:eastAsia="宋体" w:cs="Times New Roman"/>
              </w:rPr>
            </w:pPr>
            <w:r>
              <w:rPr>
                <w:rFonts w:hint="default" w:ascii="Times New Roman" w:hAnsi="Times New Roman" w:eastAsia="宋体" w:cs="Times New Roman"/>
              </w:rPr>
              <w:t>0.848</w:t>
            </w:r>
          </w:p>
        </w:tc>
        <w:tc>
          <w:tcPr>
            <w:tcW w:w="1659" w:type="dxa"/>
            <w:vAlign w:val="center"/>
          </w:tcPr>
          <w:p w14:paraId="7F837209">
            <w:pPr>
              <w:jc w:val="center"/>
              <w:rPr>
                <w:rFonts w:hint="default" w:ascii="Times New Roman" w:hAnsi="Times New Roman" w:eastAsia="宋体" w:cs="Times New Roman"/>
              </w:rPr>
            </w:pPr>
            <w:r>
              <w:rPr>
                <w:rFonts w:hint="default" w:ascii="Times New Roman" w:hAnsi="Times New Roman" w:eastAsia="宋体" w:cs="Times New Roman"/>
              </w:rPr>
              <w:t>0.858</w:t>
            </w:r>
          </w:p>
        </w:tc>
        <w:tc>
          <w:tcPr>
            <w:tcW w:w="1660" w:type="dxa"/>
            <w:vAlign w:val="center"/>
          </w:tcPr>
          <w:p w14:paraId="33BE7EBE">
            <w:pPr>
              <w:jc w:val="center"/>
              <w:rPr>
                <w:rFonts w:hint="default" w:ascii="Times New Roman" w:hAnsi="Times New Roman" w:eastAsia="宋体" w:cs="Times New Roman"/>
              </w:rPr>
            </w:pPr>
            <w:r>
              <w:rPr>
                <w:rFonts w:hint="default" w:ascii="Times New Roman" w:hAnsi="Times New Roman" w:eastAsia="宋体" w:cs="Times New Roman"/>
              </w:rPr>
              <w:t>0.904</w:t>
            </w:r>
          </w:p>
        </w:tc>
      </w:tr>
      <w:tr w14:paraId="293F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60F74A12">
            <w:pPr>
              <w:jc w:val="center"/>
              <w:rPr>
                <w:rFonts w:hint="eastAsia" w:ascii="宋体" w:hAnsi="宋体" w:eastAsia="宋体" w:cs="宋体"/>
              </w:rPr>
            </w:pPr>
            <w:r>
              <w:rPr>
                <w:rFonts w:hint="eastAsia" w:ascii="宋体" w:hAnsi="宋体" w:eastAsia="宋体" w:cs="宋体"/>
              </w:rPr>
              <w:t>外部电能综合效率</w:t>
            </w:r>
            <w:r>
              <w:rPr>
                <w:rFonts w:hint="default" w:ascii="Times New Roman" w:hAnsi="Times New Roman" w:cs="Times New Roman"/>
              </w:rPr>
              <w:t>η</w:t>
            </w:r>
            <w:r>
              <w:rPr>
                <w:rFonts w:hint="default" w:ascii="Times New Roman" w:hAnsi="Times New Roman" w:cs="Times New Roman"/>
                <w:vertAlign w:val="subscript"/>
              </w:rPr>
              <w:t>w</w:t>
            </w:r>
            <w:r>
              <w:rPr>
                <w:rFonts w:hint="eastAsia" w:ascii="宋体" w:hAnsi="宋体" w:eastAsia="宋体" w:cs="宋体"/>
              </w:rPr>
              <w:t>限值</w:t>
            </w:r>
          </w:p>
        </w:tc>
        <w:tc>
          <w:tcPr>
            <w:tcW w:w="1659" w:type="dxa"/>
            <w:vAlign w:val="center"/>
          </w:tcPr>
          <w:p w14:paraId="64AB0DB6">
            <w:pPr>
              <w:jc w:val="center"/>
              <w:rPr>
                <w:rFonts w:hint="default" w:ascii="Times New Roman" w:hAnsi="Times New Roman" w:eastAsia="宋体" w:cs="Times New Roman"/>
              </w:rPr>
            </w:pPr>
            <w:r>
              <w:rPr>
                <w:rFonts w:hint="default" w:ascii="Times New Roman" w:hAnsi="Times New Roman" w:cs="Times New Roman"/>
              </w:rPr>
              <w:t>≥</w:t>
            </w:r>
            <w:r>
              <w:rPr>
                <w:rFonts w:hint="default" w:ascii="Times New Roman" w:hAnsi="Times New Roman" w:eastAsia="宋体" w:cs="Times New Roman"/>
              </w:rPr>
              <w:t>0.80</w:t>
            </w:r>
          </w:p>
        </w:tc>
        <w:tc>
          <w:tcPr>
            <w:tcW w:w="1659" w:type="dxa"/>
            <w:vAlign w:val="center"/>
          </w:tcPr>
          <w:p w14:paraId="74B962EC">
            <w:pPr>
              <w:jc w:val="center"/>
              <w:rPr>
                <w:rFonts w:hint="default" w:ascii="Times New Roman" w:hAnsi="Times New Roman" w:eastAsia="宋体" w:cs="Times New Roman"/>
              </w:rPr>
            </w:pPr>
            <w:r>
              <w:rPr>
                <w:rFonts w:hint="default" w:ascii="Times New Roman" w:hAnsi="Times New Roman" w:cs="Times New Roman"/>
              </w:rPr>
              <w:t>≥</w:t>
            </w:r>
            <w:r>
              <w:rPr>
                <w:rFonts w:hint="default" w:ascii="Times New Roman" w:hAnsi="Times New Roman" w:eastAsia="宋体" w:cs="Times New Roman"/>
              </w:rPr>
              <w:t>0.84</w:t>
            </w:r>
          </w:p>
        </w:tc>
        <w:tc>
          <w:tcPr>
            <w:tcW w:w="1659" w:type="dxa"/>
            <w:vAlign w:val="center"/>
          </w:tcPr>
          <w:p w14:paraId="517BDE3E">
            <w:pPr>
              <w:jc w:val="center"/>
              <w:rPr>
                <w:rFonts w:hint="default" w:ascii="Times New Roman" w:hAnsi="Times New Roman" w:eastAsia="宋体" w:cs="Times New Roman"/>
              </w:rPr>
            </w:pPr>
            <w:r>
              <w:rPr>
                <w:rFonts w:hint="default" w:ascii="Times New Roman" w:hAnsi="Times New Roman" w:cs="Times New Roman"/>
              </w:rPr>
              <w:t>≥</w:t>
            </w:r>
            <w:r>
              <w:rPr>
                <w:rFonts w:hint="default" w:ascii="Times New Roman" w:hAnsi="Times New Roman" w:eastAsia="宋体" w:cs="Times New Roman"/>
              </w:rPr>
              <w:t>0.88</w:t>
            </w:r>
          </w:p>
        </w:tc>
        <w:tc>
          <w:tcPr>
            <w:tcW w:w="1660" w:type="dxa"/>
            <w:vAlign w:val="center"/>
          </w:tcPr>
          <w:p w14:paraId="5D4AB98A">
            <w:pPr>
              <w:jc w:val="center"/>
              <w:rPr>
                <w:rFonts w:hint="default" w:ascii="Times New Roman" w:hAnsi="Times New Roman" w:eastAsia="宋体" w:cs="Times New Roman"/>
              </w:rPr>
            </w:pPr>
            <w:r>
              <w:rPr>
                <w:rFonts w:hint="default" w:ascii="Times New Roman" w:hAnsi="Times New Roman" w:cs="Times New Roman"/>
              </w:rPr>
              <w:t>≥</w:t>
            </w:r>
            <w:r>
              <w:rPr>
                <w:rFonts w:hint="default" w:ascii="Times New Roman" w:hAnsi="Times New Roman" w:eastAsia="宋体" w:cs="Times New Roman"/>
              </w:rPr>
              <w:t>0.90</w:t>
            </w:r>
          </w:p>
        </w:tc>
      </w:tr>
    </w:tbl>
    <w:p w14:paraId="022FA3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变电效率</w:t>
      </w: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1</w:t>
      </w:r>
      <w:r>
        <w:rPr>
          <w:rFonts w:hint="eastAsia" w:ascii="宋体" w:hAnsi="宋体" w:eastAsia="宋体" w:cs="宋体"/>
          <w:sz w:val="24"/>
          <w:szCs w:val="24"/>
        </w:rPr>
        <w:t xml:space="preserve">——向充电基础设施供电的 </w:t>
      </w:r>
      <w:r>
        <w:rPr>
          <w:rFonts w:hint="default" w:ascii="Times New Roman" w:hAnsi="Times New Roman" w:eastAsia="宋体" w:cs="Times New Roman"/>
          <w:sz w:val="24"/>
          <w:szCs w:val="24"/>
        </w:rPr>
        <w:t>10/0.4kV</w:t>
      </w:r>
      <w:r>
        <w:rPr>
          <w:rFonts w:hint="eastAsia" w:ascii="宋体" w:hAnsi="宋体" w:eastAsia="宋体" w:cs="宋体"/>
          <w:sz w:val="24"/>
          <w:szCs w:val="24"/>
        </w:rPr>
        <w:t xml:space="preserve"> 变压器运行效率。 </w:t>
      </w:r>
    </w:p>
    <w:p w14:paraId="20DC05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输电效率</w:t>
      </w: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2</w:t>
      </w:r>
      <w:r>
        <w:rPr>
          <w:rFonts w:hint="eastAsia" w:ascii="宋体" w:hAnsi="宋体" w:eastAsia="宋体" w:cs="宋体"/>
          <w:sz w:val="24"/>
          <w:szCs w:val="24"/>
        </w:rPr>
        <w:t xml:space="preserve">——变压器 </w:t>
      </w:r>
      <w:r>
        <w:rPr>
          <w:rFonts w:hint="default" w:ascii="Times New Roman" w:hAnsi="Times New Roman" w:eastAsia="宋体" w:cs="Times New Roman"/>
          <w:sz w:val="24"/>
          <w:szCs w:val="24"/>
        </w:rPr>
        <w:t>0.4kV</w:t>
      </w:r>
      <w:r>
        <w:rPr>
          <w:rFonts w:hint="eastAsia" w:ascii="宋体" w:hAnsi="宋体" w:eastAsia="宋体" w:cs="宋体"/>
          <w:sz w:val="24"/>
          <w:szCs w:val="24"/>
        </w:rPr>
        <w:t xml:space="preserve"> 低压侧至充电桩供电计费端之间的电能传输效率（末端充电设备上连接充电枪的局部软电缆相对前端供电电缆的长度比例很小，可以忽略不计）。 </w:t>
      </w:r>
    </w:p>
    <w:p w14:paraId="733FC55B">
      <w:pPr>
        <w:spacing w:line="360" w:lineRule="auto"/>
        <w:ind w:firstLine="480" w:firstLineChars="200"/>
        <w:rPr>
          <w:rFonts w:ascii="仿宋" w:hAnsi="仿宋" w:eastAsia="仿宋" w:cs="仿宋"/>
        </w:rPr>
      </w:pPr>
      <w:r>
        <w:rPr>
          <w:rFonts w:hint="eastAsia" w:ascii="宋体" w:hAnsi="宋体" w:eastAsia="宋体" w:cs="宋体"/>
          <w:sz w:val="24"/>
          <w:szCs w:val="24"/>
        </w:rPr>
        <w:t>充电场所设施效率</w:t>
      </w: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E7</w:t>
      </w:r>
      <w:r>
        <w:rPr>
          <w:rFonts w:hint="eastAsia" w:ascii="宋体" w:hAnsi="宋体" w:eastAsia="宋体" w:cs="宋体"/>
          <w:sz w:val="24"/>
          <w:szCs w:val="24"/>
        </w:rPr>
        <w:t>——为充电场所服务的各种设施对输入能源的利用效率，当非电能耗很小而忽略时，充电场所设施效率可以近似采用充电场所设施电能利用效率</w:t>
      </w: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E7</w:t>
      </w:r>
      <w:r>
        <w:rPr>
          <w:rFonts w:hint="eastAsia" w:ascii="宋体" w:hAnsi="宋体" w:eastAsia="宋体" w:cs="宋体"/>
          <w:sz w:val="24"/>
          <w:szCs w:val="24"/>
        </w:rPr>
        <w:t>，其数据来源构成见表</w:t>
      </w:r>
      <w:r>
        <w:rPr>
          <w:rFonts w:hint="eastAsia" w:cs="Times New Roman"/>
          <w:sz w:val="24"/>
          <w:szCs w:val="24"/>
          <w:lang w:eastAsia="zh-CN"/>
        </w:rPr>
        <w:t>3</w:t>
      </w:r>
      <w:r>
        <w:rPr>
          <w:rFonts w:hint="eastAsia" w:ascii="宋体" w:hAnsi="宋体" w:eastAsia="宋体" w:cs="宋体"/>
          <w:sz w:val="24"/>
          <w:szCs w:val="24"/>
        </w:rPr>
        <w:t>“充电基础设施分项计量项目和编码”。</w:t>
      </w:r>
      <w:r>
        <w:rPr>
          <w:rFonts w:hint="eastAsia" w:ascii="宋体" w:hAnsi="宋体" w:eastAsia="宋体" w:cs="宋体"/>
          <w:sz w:val="24"/>
          <w:szCs w:val="24"/>
        </w:rPr>
        <w:cr/>
      </w:r>
    </w:p>
    <w:p w14:paraId="4C4FC3AF">
      <w:pPr>
        <w:widowControl/>
        <w:spacing w:line="360" w:lineRule="auto"/>
        <w:ind w:firstLine="0" w:firstLineChars="0"/>
        <w:jc w:val="center"/>
        <w:rPr>
          <w:rFonts w:hint="eastAsia" w:ascii="Times New Roman" w:hAnsi="Times New Roman" w:eastAsia="宋体" w:cs="Times New Roman"/>
          <w:b/>
          <w:bCs/>
          <w:kern w:val="0"/>
          <w:szCs w:val="20"/>
        </w:rPr>
      </w:pPr>
      <w:r>
        <w:rPr>
          <w:rFonts w:hint="eastAsia" w:ascii="Times New Roman" w:hAnsi="Times New Roman" w:eastAsia="宋体" w:cs="Times New Roman"/>
          <w:b/>
          <w:bCs/>
          <w:kern w:val="0"/>
          <w:szCs w:val="20"/>
        </w:rPr>
        <w:t>表3 充电基础设施分项计量项目和编码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2D64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gridSpan w:val="2"/>
            <w:vAlign w:val="center"/>
          </w:tcPr>
          <w:p w14:paraId="4D388B7E">
            <w:pPr>
              <w:jc w:val="center"/>
              <w:rPr>
                <w:rFonts w:ascii="仿宋" w:hAnsi="仿宋" w:eastAsia="仿宋" w:cs="仿宋"/>
              </w:rPr>
            </w:pPr>
            <w:r>
              <w:rPr>
                <w:rFonts w:hint="eastAsia" w:ascii="仿宋" w:hAnsi="仿宋" w:eastAsia="仿宋" w:cs="仿宋"/>
              </w:rPr>
              <w:t>项目</w:t>
            </w:r>
          </w:p>
        </w:tc>
        <w:tc>
          <w:tcPr>
            <w:tcW w:w="2766" w:type="dxa"/>
            <w:gridSpan w:val="2"/>
            <w:vAlign w:val="center"/>
          </w:tcPr>
          <w:p w14:paraId="24F1D55B">
            <w:pPr>
              <w:jc w:val="center"/>
              <w:rPr>
                <w:rFonts w:ascii="仿宋" w:hAnsi="仿宋" w:eastAsia="仿宋" w:cs="仿宋"/>
              </w:rPr>
            </w:pPr>
            <w:r>
              <w:rPr>
                <w:rFonts w:hint="eastAsia" w:ascii="仿宋" w:hAnsi="仿宋" w:eastAsia="仿宋" w:cs="仿宋"/>
              </w:rPr>
              <w:t>一级子项</w:t>
            </w:r>
          </w:p>
        </w:tc>
        <w:tc>
          <w:tcPr>
            <w:tcW w:w="2766" w:type="dxa"/>
            <w:gridSpan w:val="2"/>
            <w:vAlign w:val="center"/>
          </w:tcPr>
          <w:p w14:paraId="01E11332">
            <w:pPr>
              <w:jc w:val="center"/>
              <w:rPr>
                <w:rFonts w:ascii="仿宋" w:hAnsi="仿宋" w:eastAsia="仿宋" w:cs="仿宋"/>
              </w:rPr>
            </w:pPr>
            <w:r>
              <w:rPr>
                <w:rFonts w:hint="eastAsia" w:ascii="仿宋" w:hAnsi="仿宋" w:eastAsia="仿宋" w:cs="仿宋"/>
              </w:rPr>
              <w:t>二级子项</w:t>
            </w:r>
          </w:p>
        </w:tc>
      </w:tr>
      <w:tr w14:paraId="655D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7A9DD652">
            <w:pPr>
              <w:jc w:val="center"/>
              <w:rPr>
                <w:rFonts w:ascii="仿宋" w:hAnsi="仿宋" w:eastAsia="仿宋" w:cs="仿宋"/>
              </w:rPr>
            </w:pPr>
            <w:r>
              <w:rPr>
                <w:rFonts w:hint="eastAsia" w:ascii="仿宋" w:hAnsi="仿宋" w:eastAsia="仿宋" w:cs="仿宋"/>
              </w:rPr>
              <w:t>名称</w:t>
            </w:r>
          </w:p>
        </w:tc>
        <w:tc>
          <w:tcPr>
            <w:tcW w:w="1382" w:type="dxa"/>
            <w:vAlign w:val="center"/>
          </w:tcPr>
          <w:p w14:paraId="0560E51F">
            <w:pPr>
              <w:jc w:val="center"/>
              <w:rPr>
                <w:rFonts w:ascii="仿宋" w:hAnsi="仿宋" w:eastAsia="仿宋" w:cs="仿宋"/>
              </w:rPr>
            </w:pPr>
            <w:r>
              <w:rPr>
                <w:rFonts w:hint="eastAsia" w:ascii="仿宋" w:hAnsi="仿宋" w:eastAsia="仿宋" w:cs="仿宋"/>
              </w:rPr>
              <w:t>编码</w:t>
            </w:r>
          </w:p>
        </w:tc>
        <w:tc>
          <w:tcPr>
            <w:tcW w:w="1383" w:type="dxa"/>
            <w:vAlign w:val="center"/>
          </w:tcPr>
          <w:p w14:paraId="7D99E110">
            <w:pPr>
              <w:jc w:val="center"/>
              <w:rPr>
                <w:rFonts w:ascii="仿宋" w:hAnsi="仿宋" w:eastAsia="仿宋" w:cs="仿宋"/>
              </w:rPr>
            </w:pPr>
            <w:r>
              <w:rPr>
                <w:rFonts w:hint="eastAsia" w:ascii="仿宋" w:hAnsi="仿宋" w:eastAsia="仿宋" w:cs="仿宋"/>
              </w:rPr>
              <w:t>名称</w:t>
            </w:r>
          </w:p>
        </w:tc>
        <w:tc>
          <w:tcPr>
            <w:tcW w:w="1383" w:type="dxa"/>
            <w:vAlign w:val="center"/>
          </w:tcPr>
          <w:p w14:paraId="2F128A89">
            <w:pPr>
              <w:jc w:val="center"/>
              <w:rPr>
                <w:rFonts w:ascii="仿宋" w:hAnsi="仿宋" w:eastAsia="仿宋" w:cs="仿宋"/>
              </w:rPr>
            </w:pPr>
            <w:r>
              <w:rPr>
                <w:rFonts w:hint="eastAsia" w:ascii="仿宋" w:hAnsi="仿宋" w:eastAsia="仿宋" w:cs="仿宋"/>
              </w:rPr>
              <w:t>编码</w:t>
            </w:r>
          </w:p>
        </w:tc>
        <w:tc>
          <w:tcPr>
            <w:tcW w:w="1383" w:type="dxa"/>
            <w:vAlign w:val="center"/>
          </w:tcPr>
          <w:p w14:paraId="36E71704">
            <w:pPr>
              <w:jc w:val="center"/>
              <w:rPr>
                <w:rFonts w:ascii="仿宋" w:hAnsi="仿宋" w:eastAsia="仿宋" w:cs="仿宋"/>
              </w:rPr>
            </w:pPr>
            <w:r>
              <w:rPr>
                <w:rFonts w:hint="eastAsia" w:ascii="仿宋" w:hAnsi="仿宋" w:eastAsia="仿宋" w:cs="仿宋"/>
              </w:rPr>
              <w:t>名称</w:t>
            </w:r>
          </w:p>
        </w:tc>
        <w:tc>
          <w:tcPr>
            <w:tcW w:w="1383" w:type="dxa"/>
            <w:vAlign w:val="center"/>
          </w:tcPr>
          <w:p w14:paraId="0BEDAA18">
            <w:pPr>
              <w:jc w:val="center"/>
              <w:rPr>
                <w:rFonts w:ascii="仿宋" w:hAnsi="仿宋" w:eastAsia="仿宋" w:cs="仿宋"/>
              </w:rPr>
            </w:pPr>
            <w:r>
              <w:rPr>
                <w:rFonts w:hint="eastAsia" w:ascii="仿宋" w:hAnsi="仿宋" w:eastAsia="仿宋" w:cs="仿宋"/>
              </w:rPr>
              <w:t>编码</w:t>
            </w:r>
          </w:p>
        </w:tc>
      </w:tr>
      <w:tr w14:paraId="51C3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14:paraId="41C80C7F">
            <w:pPr>
              <w:jc w:val="center"/>
              <w:rPr>
                <w:rFonts w:ascii="仿宋" w:hAnsi="仿宋" w:eastAsia="仿宋" w:cs="仿宋"/>
              </w:rPr>
            </w:pPr>
            <w:r>
              <w:rPr>
                <w:rFonts w:hint="eastAsia" w:ascii="仿宋" w:hAnsi="仿宋" w:eastAsia="仿宋" w:cs="仿宋"/>
              </w:rPr>
              <w:t>特殊场所用电</w:t>
            </w:r>
          </w:p>
        </w:tc>
        <w:tc>
          <w:tcPr>
            <w:tcW w:w="1382" w:type="dxa"/>
            <w:vMerge w:val="restart"/>
            <w:vAlign w:val="center"/>
          </w:tcPr>
          <w:p w14:paraId="13E77278">
            <w:pPr>
              <w:jc w:val="center"/>
              <w:rPr>
                <w:rFonts w:ascii="仿宋" w:hAnsi="仿宋" w:eastAsia="仿宋" w:cs="仿宋"/>
              </w:rPr>
            </w:pPr>
            <w:r>
              <w:rPr>
                <w:rFonts w:hint="eastAsia" w:ascii="仿宋" w:hAnsi="仿宋" w:eastAsia="仿宋" w:cs="仿宋"/>
              </w:rPr>
              <w:t>E</w:t>
            </w:r>
          </w:p>
        </w:tc>
        <w:tc>
          <w:tcPr>
            <w:tcW w:w="1383" w:type="dxa"/>
            <w:vMerge w:val="restart"/>
            <w:vAlign w:val="center"/>
          </w:tcPr>
          <w:p w14:paraId="60B7EB25">
            <w:pPr>
              <w:jc w:val="center"/>
              <w:rPr>
                <w:rFonts w:ascii="仿宋" w:hAnsi="仿宋" w:eastAsia="仿宋" w:cs="仿宋"/>
              </w:rPr>
            </w:pPr>
            <w:r>
              <w:rPr>
                <w:rFonts w:hint="eastAsia" w:ascii="仿宋" w:hAnsi="仿宋" w:eastAsia="仿宋" w:cs="仿宋"/>
              </w:rPr>
              <w:t>电动汽车充电区域</w:t>
            </w:r>
          </w:p>
        </w:tc>
        <w:tc>
          <w:tcPr>
            <w:tcW w:w="1383" w:type="dxa"/>
            <w:vMerge w:val="restart"/>
            <w:vAlign w:val="center"/>
          </w:tcPr>
          <w:p w14:paraId="741F63D2">
            <w:pPr>
              <w:jc w:val="center"/>
              <w:rPr>
                <w:rFonts w:ascii="仿宋" w:hAnsi="仿宋" w:eastAsia="仿宋" w:cs="仿宋"/>
              </w:rPr>
            </w:pPr>
            <w:r>
              <w:rPr>
                <w:rFonts w:hint="eastAsia" w:ascii="仿宋" w:hAnsi="仿宋" w:eastAsia="仿宋" w:cs="仿宋"/>
              </w:rPr>
              <w:t>7</w:t>
            </w:r>
          </w:p>
        </w:tc>
        <w:tc>
          <w:tcPr>
            <w:tcW w:w="1383" w:type="dxa"/>
            <w:vAlign w:val="center"/>
          </w:tcPr>
          <w:p w14:paraId="0EA24D79">
            <w:pPr>
              <w:jc w:val="center"/>
              <w:rPr>
                <w:rFonts w:ascii="仿宋" w:hAnsi="仿宋" w:eastAsia="仿宋" w:cs="仿宋"/>
              </w:rPr>
            </w:pPr>
            <w:r>
              <w:rPr>
                <w:rFonts w:hint="eastAsia" w:ascii="仿宋" w:hAnsi="仿宋" w:eastAsia="仿宋" w:cs="仿宋"/>
              </w:rPr>
              <w:t>充电区照明</w:t>
            </w:r>
          </w:p>
        </w:tc>
        <w:tc>
          <w:tcPr>
            <w:tcW w:w="1383" w:type="dxa"/>
            <w:vAlign w:val="center"/>
          </w:tcPr>
          <w:p w14:paraId="73EE732E">
            <w:pPr>
              <w:jc w:val="center"/>
              <w:rPr>
                <w:rFonts w:ascii="仿宋" w:hAnsi="仿宋" w:eastAsia="仿宋" w:cs="仿宋"/>
              </w:rPr>
            </w:pPr>
            <w:r>
              <w:rPr>
                <w:rFonts w:hint="eastAsia" w:ascii="仿宋" w:hAnsi="仿宋" w:eastAsia="仿宋" w:cs="仿宋"/>
              </w:rPr>
              <w:t>A</w:t>
            </w:r>
          </w:p>
        </w:tc>
      </w:tr>
      <w:tr w14:paraId="3454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14:paraId="64D96ED1">
            <w:pPr>
              <w:jc w:val="center"/>
              <w:rPr>
                <w:rFonts w:ascii="仿宋" w:hAnsi="仿宋" w:eastAsia="仿宋" w:cs="仿宋"/>
              </w:rPr>
            </w:pPr>
          </w:p>
        </w:tc>
        <w:tc>
          <w:tcPr>
            <w:tcW w:w="1382" w:type="dxa"/>
            <w:vMerge w:val="continue"/>
            <w:vAlign w:val="center"/>
          </w:tcPr>
          <w:p w14:paraId="42B1C1C0">
            <w:pPr>
              <w:jc w:val="center"/>
              <w:rPr>
                <w:rFonts w:ascii="仿宋" w:hAnsi="仿宋" w:eastAsia="仿宋" w:cs="仿宋"/>
              </w:rPr>
            </w:pPr>
          </w:p>
        </w:tc>
        <w:tc>
          <w:tcPr>
            <w:tcW w:w="1383" w:type="dxa"/>
            <w:vMerge w:val="continue"/>
            <w:vAlign w:val="center"/>
          </w:tcPr>
          <w:p w14:paraId="4831ECA1">
            <w:pPr>
              <w:jc w:val="center"/>
              <w:rPr>
                <w:rFonts w:ascii="仿宋" w:hAnsi="仿宋" w:eastAsia="仿宋" w:cs="仿宋"/>
              </w:rPr>
            </w:pPr>
          </w:p>
        </w:tc>
        <w:tc>
          <w:tcPr>
            <w:tcW w:w="1383" w:type="dxa"/>
            <w:vMerge w:val="continue"/>
            <w:vAlign w:val="center"/>
          </w:tcPr>
          <w:p w14:paraId="0E1B3A4D">
            <w:pPr>
              <w:jc w:val="center"/>
              <w:rPr>
                <w:rFonts w:ascii="仿宋" w:hAnsi="仿宋" w:eastAsia="仿宋" w:cs="仿宋"/>
              </w:rPr>
            </w:pPr>
          </w:p>
        </w:tc>
        <w:tc>
          <w:tcPr>
            <w:tcW w:w="1383" w:type="dxa"/>
            <w:vAlign w:val="center"/>
          </w:tcPr>
          <w:p w14:paraId="2A369AA6">
            <w:pPr>
              <w:jc w:val="center"/>
              <w:rPr>
                <w:rFonts w:ascii="仿宋" w:hAnsi="仿宋" w:eastAsia="仿宋" w:cs="仿宋"/>
              </w:rPr>
            </w:pPr>
            <w:r>
              <w:rPr>
                <w:rFonts w:hint="eastAsia" w:ascii="仿宋" w:hAnsi="仿宋" w:eastAsia="仿宋" w:cs="仿宋"/>
              </w:rPr>
              <w:t>充电区插座</w:t>
            </w:r>
          </w:p>
        </w:tc>
        <w:tc>
          <w:tcPr>
            <w:tcW w:w="1383" w:type="dxa"/>
            <w:vAlign w:val="center"/>
          </w:tcPr>
          <w:p w14:paraId="7AD47322">
            <w:pPr>
              <w:jc w:val="center"/>
              <w:rPr>
                <w:rFonts w:ascii="仿宋" w:hAnsi="仿宋" w:eastAsia="仿宋" w:cs="仿宋"/>
              </w:rPr>
            </w:pPr>
            <w:r>
              <w:rPr>
                <w:rFonts w:hint="eastAsia" w:ascii="仿宋" w:hAnsi="仿宋" w:eastAsia="仿宋" w:cs="仿宋"/>
              </w:rPr>
              <w:t>B</w:t>
            </w:r>
          </w:p>
        </w:tc>
      </w:tr>
      <w:tr w14:paraId="55A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14:paraId="18B54468">
            <w:pPr>
              <w:jc w:val="center"/>
              <w:rPr>
                <w:rFonts w:ascii="仿宋" w:hAnsi="仿宋" w:eastAsia="仿宋" w:cs="仿宋"/>
              </w:rPr>
            </w:pPr>
          </w:p>
        </w:tc>
        <w:tc>
          <w:tcPr>
            <w:tcW w:w="1382" w:type="dxa"/>
            <w:vMerge w:val="continue"/>
            <w:vAlign w:val="center"/>
          </w:tcPr>
          <w:p w14:paraId="101B739E">
            <w:pPr>
              <w:jc w:val="center"/>
              <w:rPr>
                <w:rFonts w:ascii="仿宋" w:hAnsi="仿宋" w:eastAsia="仿宋" w:cs="仿宋"/>
              </w:rPr>
            </w:pPr>
          </w:p>
        </w:tc>
        <w:tc>
          <w:tcPr>
            <w:tcW w:w="1383" w:type="dxa"/>
            <w:vMerge w:val="continue"/>
            <w:vAlign w:val="center"/>
          </w:tcPr>
          <w:p w14:paraId="50167D07">
            <w:pPr>
              <w:jc w:val="center"/>
              <w:rPr>
                <w:rFonts w:ascii="仿宋" w:hAnsi="仿宋" w:eastAsia="仿宋" w:cs="仿宋"/>
              </w:rPr>
            </w:pPr>
          </w:p>
        </w:tc>
        <w:tc>
          <w:tcPr>
            <w:tcW w:w="1383" w:type="dxa"/>
            <w:vMerge w:val="continue"/>
            <w:vAlign w:val="center"/>
          </w:tcPr>
          <w:p w14:paraId="1214487A">
            <w:pPr>
              <w:jc w:val="center"/>
              <w:rPr>
                <w:rFonts w:ascii="仿宋" w:hAnsi="仿宋" w:eastAsia="仿宋" w:cs="仿宋"/>
              </w:rPr>
            </w:pPr>
          </w:p>
        </w:tc>
        <w:tc>
          <w:tcPr>
            <w:tcW w:w="1383" w:type="dxa"/>
            <w:vAlign w:val="center"/>
          </w:tcPr>
          <w:p w14:paraId="3019BA83">
            <w:pPr>
              <w:jc w:val="center"/>
              <w:rPr>
                <w:rFonts w:ascii="仿宋" w:hAnsi="仿宋" w:eastAsia="仿宋" w:cs="仿宋"/>
              </w:rPr>
            </w:pPr>
            <w:r>
              <w:rPr>
                <w:rFonts w:hint="eastAsia" w:ascii="仿宋" w:hAnsi="仿宋" w:eastAsia="仿宋" w:cs="仿宋"/>
              </w:rPr>
              <w:t>充电区空调通风</w:t>
            </w:r>
          </w:p>
        </w:tc>
        <w:tc>
          <w:tcPr>
            <w:tcW w:w="1383" w:type="dxa"/>
            <w:vAlign w:val="center"/>
          </w:tcPr>
          <w:p w14:paraId="16449F2A">
            <w:pPr>
              <w:jc w:val="center"/>
              <w:rPr>
                <w:rFonts w:ascii="仿宋" w:hAnsi="仿宋" w:eastAsia="仿宋" w:cs="仿宋"/>
              </w:rPr>
            </w:pPr>
            <w:r>
              <w:rPr>
                <w:rFonts w:hint="eastAsia" w:ascii="仿宋" w:hAnsi="仿宋" w:eastAsia="仿宋" w:cs="仿宋"/>
              </w:rPr>
              <w:t>C</w:t>
            </w:r>
          </w:p>
        </w:tc>
      </w:tr>
      <w:tr w14:paraId="06DF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14:paraId="6F167C9B">
            <w:pPr>
              <w:jc w:val="center"/>
              <w:rPr>
                <w:rFonts w:ascii="仿宋" w:hAnsi="仿宋" w:eastAsia="仿宋" w:cs="仿宋"/>
              </w:rPr>
            </w:pPr>
          </w:p>
        </w:tc>
        <w:tc>
          <w:tcPr>
            <w:tcW w:w="1382" w:type="dxa"/>
            <w:vMerge w:val="continue"/>
            <w:vAlign w:val="center"/>
          </w:tcPr>
          <w:p w14:paraId="5A4B6B52">
            <w:pPr>
              <w:jc w:val="center"/>
              <w:rPr>
                <w:rFonts w:ascii="仿宋" w:hAnsi="仿宋" w:eastAsia="仿宋" w:cs="仿宋"/>
              </w:rPr>
            </w:pPr>
          </w:p>
        </w:tc>
        <w:tc>
          <w:tcPr>
            <w:tcW w:w="1383" w:type="dxa"/>
            <w:vMerge w:val="continue"/>
            <w:vAlign w:val="center"/>
          </w:tcPr>
          <w:p w14:paraId="059A00B1">
            <w:pPr>
              <w:jc w:val="center"/>
              <w:rPr>
                <w:rFonts w:ascii="仿宋" w:hAnsi="仿宋" w:eastAsia="仿宋" w:cs="仿宋"/>
              </w:rPr>
            </w:pPr>
          </w:p>
        </w:tc>
        <w:tc>
          <w:tcPr>
            <w:tcW w:w="1383" w:type="dxa"/>
            <w:vMerge w:val="continue"/>
            <w:vAlign w:val="center"/>
          </w:tcPr>
          <w:p w14:paraId="1072CC12">
            <w:pPr>
              <w:jc w:val="center"/>
              <w:rPr>
                <w:rFonts w:ascii="仿宋" w:hAnsi="仿宋" w:eastAsia="仿宋" w:cs="仿宋"/>
              </w:rPr>
            </w:pPr>
          </w:p>
        </w:tc>
        <w:tc>
          <w:tcPr>
            <w:tcW w:w="1383" w:type="dxa"/>
            <w:vAlign w:val="center"/>
          </w:tcPr>
          <w:p w14:paraId="37F10868">
            <w:pPr>
              <w:jc w:val="center"/>
              <w:rPr>
                <w:rFonts w:ascii="仿宋" w:hAnsi="仿宋" w:eastAsia="仿宋" w:cs="仿宋"/>
              </w:rPr>
            </w:pPr>
            <w:r>
              <w:rPr>
                <w:rFonts w:hint="eastAsia" w:ascii="仿宋" w:hAnsi="仿宋" w:eastAsia="仿宋" w:cs="仿宋"/>
              </w:rPr>
              <w:t>充电桩群</w:t>
            </w:r>
          </w:p>
        </w:tc>
        <w:tc>
          <w:tcPr>
            <w:tcW w:w="1383" w:type="dxa"/>
            <w:vAlign w:val="center"/>
          </w:tcPr>
          <w:p w14:paraId="2EB03E39">
            <w:pPr>
              <w:jc w:val="center"/>
              <w:rPr>
                <w:rFonts w:ascii="仿宋" w:hAnsi="仿宋" w:eastAsia="仿宋" w:cs="仿宋"/>
              </w:rPr>
            </w:pPr>
            <w:r>
              <w:rPr>
                <w:rFonts w:hint="eastAsia" w:ascii="仿宋" w:hAnsi="仿宋" w:eastAsia="仿宋" w:cs="仿宋"/>
              </w:rPr>
              <w:t>D</w:t>
            </w:r>
          </w:p>
        </w:tc>
      </w:tr>
      <w:tr w14:paraId="0005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14:paraId="50F2CF9F">
            <w:pPr>
              <w:jc w:val="center"/>
              <w:rPr>
                <w:rFonts w:ascii="仿宋" w:hAnsi="仿宋" w:eastAsia="仿宋" w:cs="仿宋"/>
              </w:rPr>
            </w:pPr>
          </w:p>
        </w:tc>
        <w:tc>
          <w:tcPr>
            <w:tcW w:w="1382" w:type="dxa"/>
            <w:vMerge w:val="continue"/>
            <w:vAlign w:val="center"/>
          </w:tcPr>
          <w:p w14:paraId="0CEA7800">
            <w:pPr>
              <w:jc w:val="center"/>
              <w:rPr>
                <w:rFonts w:ascii="仿宋" w:hAnsi="仿宋" w:eastAsia="仿宋" w:cs="仿宋"/>
              </w:rPr>
            </w:pPr>
          </w:p>
        </w:tc>
        <w:tc>
          <w:tcPr>
            <w:tcW w:w="1383" w:type="dxa"/>
            <w:vMerge w:val="continue"/>
            <w:vAlign w:val="center"/>
          </w:tcPr>
          <w:p w14:paraId="5835C83E">
            <w:pPr>
              <w:jc w:val="center"/>
              <w:rPr>
                <w:rFonts w:ascii="仿宋" w:hAnsi="仿宋" w:eastAsia="仿宋" w:cs="仿宋"/>
              </w:rPr>
            </w:pPr>
          </w:p>
        </w:tc>
        <w:tc>
          <w:tcPr>
            <w:tcW w:w="1383" w:type="dxa"/>
            <w:vMerge w:val="continue"/>
            <w:vAlign w:val="center"/>
          </w:tcPr>
          <w:p w14:paraId="20D30540">
            <w:pPr>
              <w:jc w:val="center"/>
              <w:rPr>
                <w:rFonts w:ascii="仿宋" w:hAnsi="仿宋" w:eastAsia="仿宋" w:cs="仿宋"/>
              </w:rPr>
            </w:pPr>
          </w:p>
        </w:tc>
        <w:tc>
          <w:tcPr>
            <w:tcW w:w="1383" w:type="dxa"/>
            <w:vAlign w:val="center"/>
          </w:tcPr>
          <w:p w14:paraId="43D87059">
            <w:pPr>
              <w:jc w:val="center"/>
              <w:rPr>
                <w:rFonts w:ascii="仿宋" w:hAnsi="仿宋" w:eastAsia="仿宋" w:cs="仿宋"/>
              </w:rPr>
            </w:pPr>
            <w:r>
              <w:rPr>
                <w:rFonts w:hint="eastAsia" w:ascii="仿宋" w:hAnsi="仿宋" w:eastAsia="仿宋" w:cs="仿宋"/>
                <w:lang w:eastAsia="zh-CN"/>
              </w:rPr>
              <w:t>其他</w:t>
            </w:r>
          </w:p>
        </w:tc>
        <w:tc>
          <w:tcPr>
            <w:tcW w:w="1383" w:type="dxa"/>
            <w:vAlign w:val="center"/>
          </w:tcPr>
          <w:p w14:paraId="11EDE073">
            <w:pPr>
              <w:jc w:val="center"/>
              <w:rPr>
                <w:rFonts w:ascii="仿宋" w:hAnsi="仿宋" w:eastAsia="仿宋" w:cs="仿宋"/>
              </w:rPr>
            </w:pPr>
            <w:r>
              <w:rPr>
                <w:rFonts w:hint="eastAsia" w:ascii="仿宋" w:hAnsi="仿宋" w:eastAsia="仿宋" w:cs="仿宋"/>
              </w:rPr>
              <w:t>E</w:t>
            </w:r>
          </w:p>
        </w:tc>
      </w:tr>
    </w:tbl>
    <w:p w14:paraId="07146A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当充电区域规模很小、仅有少量充电桩，二级子项没有</w:t>
      </w:r>
      <w:r>
        <w:rPr>
          <w:rFonts w:hint="default" w:ascii="Times New Roman" w:hAnsi="Times New Roman" w:eastAsia="宋体" w:cs="Times New Roman"/>
          <w:sz w:val="24"/>
          <w:szCs w:val="24"/>
        </w:rPr>
        <w:t>E7A、E7B、E7C</w:t>
      </w:r>
      <w:r>
        <w:rPr>
          <w:rFonts w:hint="eastAsia" w:ascii="宋体" w:hAnsi="宋体" w:eastAsia="宋体" w:cs="宋体"/>
          <w:sz w:val="24"/>
          <w:szCs w:val="24"/>
        </w:rPr>
        <w:t>项时，其供电干线</w:t>
      </w:r>
      <w:r>
        <w:rPr>
          <w:rFonts w:hint="default" w:ascii="Times New Roman" w:hAnsi="Times New Roman" w:eastAsia="宋体" w:cs="Times New Roman"/>
          <w:sz w:val="24"/>
          <w:szCs w:val="24"/>
        </w:rPr>
        <w:t>E7</w:t>
      </w:r>
      <w:r>
        <w:rPr>
          <w:rFonts w:hint="eastAsia" w:ascii="宋体" w:hAnsi="宋体" w:eastAsia="宋体" w:cs="宋体"/>
          <w:sz w:val="24"/>
          <w:szCs w:val="24"/>
        </w:rPr>
        <w:t>回路在低压柜内装设的前端总表与后端充电桩群</w:t>
      </w:r>
      <w:r>
        <w:rPr>
          <w:rFonts w:hint="default" w:ascii="Times New Roman" w:hAnsi="Times New Roman" w:eastAsia="宋体" w:cs="Times New Roman"/>
          <w:sz w:val="24"/>
          <w:szCs w:val="24"/>
        </w:rPr>
        <w:t>E7D</w:t>
      </w:r>
      <w:r>
        <w:rPr>
          <w:rFonts w:hint="eastAsia" w:ascii="宋体" w:hAnsi="宋体" w:eastAsia="宋体" w:cs="宋体"/>
          <w:sz w:val="24"/>
          <w:szCs w:val="24"/>
        </w:rPr>
        <w:t>能耗之差，计为</w:t>
      </w:r>
      <w:r>
        <w:rPr>
          <w:rFonts w:hint="default" w:ascii="Times New Roman" w:hAnsi="Times New Roman" w:eastAsia="宋体" w:cs="Times New Roman"/>
          <w:sz w:val="24"/>
          <w:szCs w:val="24"/>
        </w:rPr>
        <w:t>E7E</w:t>
      </w:r>
      <w:r>
        <w:rPr>
          <w:rFonts w:hint="eastAsia" w:ascii="宋体" w:hAnsi="宋体" w:eastAsia="宋体" w:cs="宋体"/>
          <w:sz w:val="24"/>
          <w:szCs w:val="24"/>
        </w:rPr>
        <w:t xml:space="preserve">； </w:t>
      </w:r>
    </w:p>
    <w:p w14:paraId="6B0A23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当充电区域具有</w:t>
      </w:r>
      <w:r>
        <w:rPr>
          <w:rFonts w:hint="default" w:ascii="Times New Roman" w:hAnsi="Times New Roman" w:eastAsia="宋体" w:cs="Times New Roman"/>
          <w:sz w:val="24"/>
          <w:szCs w:val="24"/>
        </w:rPr>
        <w:t>E7A、E7B、E7C</w:t>
      </w:r>
      <w:r>
        <w:rPr>
          <w:rFonts w:hint="eastAsia" w:ascii="宋体" w:hAnsi="宋体" w:eastAsia="宋体" w:cs="宋体"/>
          <w:sz w:val="24"/>
          <w:szCs w:val="24"/>
        </w:rPr>
        <w:t>项时，</w:t>
      </w:r>
      <w:r>
        <w:rPr>
          <w:rFonts w:hint="default" w:ascii="Times New Roman" w:hAnsi="Times New Roman" w:eastAsia="宋体" w:cs="Times New Roman"/>
          <w:sz w:val="24"/>
          <w:szCs w:val="24"/>
        </w:rPr>
        <w:t>E7</w:t>
      </w:r>
      <w:r>
        <w:rPr>
          <w:rFonts w:hint="eastAsia" w:ascii="宋体" w:hAnsi="宋体" w:eastAsia="宋体" w:cs="宋体"/>
          <w:sz w:val="24"/>
          <w:szCs w:val="24"/>
        </w:rPr>
        <w:t>回路前端总表与后端</w:t>
      </w:r>
      <w:r>
        <w:rPr>
          <w:rFonts w:hint="default" w:ascii="Times New Roman" w:hAnsi="Times New Roman" w:eastAsia="宋体" w:cs="Times New Roman"/>
          <w:sz w:val="24"/>
          <w:szCs w:val="24"/>
        </w:rPr>
        <w:t>（E7A+E7B+E7C+E7D）</w:t>
      </w:r>
      <w:r>
        <w:rPr>
          <w:rFonts w:hint="eastAsia" w:ascii="宋体" w:hAnsi="宋体" w:eastAsia="宋体" w:cs="宋体"/>
          <w:sz w:val="24"/>
          <w:szCs w:val="24"/>
        </w:rPr>
        <w:t>的能耗之差，计为</w:t>
      </w:r>
      <w:r>
        <w:rPr>
          <w:rFonts w:hint="default" w:ascii="Times New Roman" w:hAnsi="Times New Roman" w:eastAsia="宋体" w:cs="Times New Roman"/>
          <w:sz w:val="24"/>
          <w:szCs w:val="24"/>
        </w:rPr>
        <w:t>E7E。E7E</w:t>
      </w:r>
      <w:r>
        <w:rPr>
          <w:rFonts w:hint="eastAsia" w:ascii="宋体" w:hAnsi="宋体" w:eastAsia="宋体" w:cs="宋体"/>
          <w:sz w:val="24"/>
          <w:szCs w:val="24"/>
        </w:rPr>
        <w:t>子项表示的是：电动汽车充电区域的非充电能耗不易单独计量的部分。</w:t>
      </w:r>
    </w:p>
    <w:p w14:paraId="5C805E73">
      <w:pPr>
        <w:spacing w:line="360" w:lineRule="auto"/>
        <w:ind w:firstLine="480" w:firstLineChars="200"/>
        <w:rPr>
          <w:rFonts w:hint="default" w:ascii="Times New Roman" w:hAnsi="Times New Roman" w:cs="Times New Roman"/>
          <w:sz w:val="24"/>
          <w:szCs w:val="24"/>
          <w:vertAlign w:val="subscript"/>
        </w:rPr>
      </w:pPr>
      <w:r>
        <w:rPr>
          <w:rFonts w:hint="default" w:ascii="Times New Roman" w:hAnsi="Times New Roman" w:eastAsia="宋体" w:cs="Times New Roman"/>
          <w:sz w:val="24"/>
          <w:szCs w:val="24"/>
        </w:rPr>
        <w:t>E7D</w:t>
      </w:r>
      <w:r>
        <w:rPr>
          <w:rFonts w:hint="eastAsia" w:ascii="宋体" w:hAnsi="宋体" w:eastAsia="宋体" w:cs="宋体"/>
          <w:sz w:val="24"/>
          <w:szCs w:val="24"/>
        </w:rPr>
        <w:t>是由系统向电动汽车馈送的电能，</w:t>
      </w:r>
      <w:r>
        <w:rPr>
          <w:rFonts w:hint="default" w:ascii="Times New Roman" w:hAnsi="Times New Roman" w:eastAsia="宋体" w:cs="Times New Roman"/>
          <w:sz w:val="24"/>
          <w:szCs w:val="24"/>
        </w:rPr>
        <w:t>E7</w:t>
      </w:r>
      <w:r>
        <w:rPr>
          <w:rFonts w:hint="eastAsia" w:ascii="宋体" w:hAnsi="宋体" w:eastAsia="宋体" w:cs="宋体"/>
          <w:sz w:val="24"/>
          <w:szCs w:val="24"/>
        </w:rPr>
        <w:t>回路前端总表能耗是充电区域消耗的电能，将二者之比</w:t>
      </w:r>
      <w:r>
        <w:rPr>
          <w:rFonts w:hint="default" w:ascii="Times New Roman" w:hAnsi="Times New Roman" w:eastAsia="宋体" w:cs="Times New Roman"/>
          <w:sz w:val="24"/>
          <w:szCs w:val="24"/>
        </w:rPr>
        <w:t>E7D/E7</w:t>
      </w:r>
      <w:r>
        <w:rPr>
          <w:rFonts w:hint="eastAsia" w:ascii="宋体" w:hAnsi="宋体" w:eastAsia="宋体" w:cs="宋体"/>
          <w:sz w:val="24"/>
          <w:szCs w:val="24"/>
        </w:rPr>
        <w:t>定义为“充电设施电能利用效率”</w:t>
      </w: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E7</w:t>
      </w:r>
      <w:r>
        <w:rPr>
          <w:rFonts w:hint="eastAsia" w:ascii="宋体" w:hAnsi="宋体" w:eastAsia="宋体" w:cs="宋体"/>
          <w:sz w:val="24"/>
          <w:szCs w:val="24"/>
        </w:rPr>
        <w:t>，当非电能耗很小而忽略时，充电设施效率可以近似采用充电设施电能利用效率</w:t>
      </w: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E7</w:t>
      </w:r>
      <w:r>
        <w:rPr>
          <w:rFonts w:hint="eastAsia" w:ascii="宋体" w:hAnsi="宋体" w:eastAsia="宋体" w:cs="宋体"/>
          <w:sz w:val="24"/>
          <w:szCs w:val="24"/>
        </w:rPr>
        <w:t>。</w:t>
      </w:r>
    </w:p>
    <w:p w14:paraId="7439B604">
      <w:pPr>
        <w:spacing w:line="360" w:lineRule="auto"/>
        <w:ind w:firstLine="480" w:firstLineChars="200"/>
        <w:rPr>
          <w:rFonts w:hint="eastAsia" w:ascii="宋体" w:hAnsi="宋体" w:eastAsia="宋体" w:cs="宋体"/>
          <w:sz w:val="24"/>
          <w:szCs w:val="24"/>
        </w:rPr>
      </w:pPr>
      <w:r>
        <w:rPr>
          <w:rFonts w:hint="default" w:ascii="Times New Roman" w:hAnsi="Times New Roman" w:cs="Times New Roman"/>
          <w:sz w:val="24"/>
          <w:szCs w:val="24"/>
        </w:rPr>
        <w:t>η</w:t>
      </w:r>
      <w:r>
        <w:rPr>
          <w:rFonts w:hint="default" w:ascii="Times New Roman" w:hAnsi="Times New Roman" w:cs="Times New Roman"/>
          <w:sz w:val="24"/>
          <w:szCs w:val="24"/>
          <w:vertAlign w:val="subscript"/>
        </w:rPr>
        <w:t>E7</w:t>
      </w:r>
      <w:r>
        <w:rPr>
          <w:rFonts w:hint="default" w:ascii="Times New Roman" w:hAnsi="Times New Roman" w:eastAsia="宋体" w:cs="Times New Roman"/>
          <w:sz w:val="24"/>
          <w:szCs w:val="24"/>
        </w:rPr>
        <w:t>=E7D/E7</w:t>
      </w:r>
      <w:r>
        <w:rPr>
          <w:rFonts w:hint="eastAsia" w:ascii="宋体" w:hAnsi="宋体" w:eastAsia="宋体" w:cs="宋体"/>
          <w:sz w:val="24"/>
          <w:szCs w:val="24"/>
        </w:rPr>
        <w:t>，其中，</w:t>
      </w:r>
      <w:r>
        <w:rPr>
          <w:rFonts w:hint="default" w:ascii="Times New Roman" w:hAnsi="Times New Roman" w:eastAsia="宋体" w:cs="Times New Roman"/>
          <w:sz w:val="24"/>
          <w:szCs w:val="24"/>
        </w:rPr>
        <w:t>E7D</w:t>
      </w:r>
      <w:r>
        <w:rPr>
          <w:rFonts w:hint="eastAsia" w:ascii="宋体" w:hAnsi="宋体" w:eastAsia="宋体" w:cs="宋体"/>
          <w:sz w:val="24"/>
          <w:szCs w:val="24"/>
        </w:rPr>
        <w:t>是由外部系统从充电枪端口向电动汽车馈送的电能，也就是电动汽车通过充电枪端口得到的电能（车载充电机效率及电池能源转换效率不在</w:t>
      </w:r>
      <w:r>
        <w:rPr>
          <w:rFonts w:hint="default" w:ascii="Times New Roman" w:hAnsi="Times New Roman" w:eastAsia="宋体" w:cs="Times New Roman"/>
          <w:sz w:val="24"/>
          <w:szCs w:val="24"/>
        </w:rPr>
        <w:t>E7D</w:t>
      </w:r>
      <w:r>
        <w:rPr>
          <w:rFonts w:hint="eastAsia" w:ascii="宋体" w:hAnsi="宋体" w:eastAsia="宋体" w:cs="宋体"/>
          <w:sz w:val="24"/>
          <w:szCs w:val="24"/>
        </w:rPr>
        <w:t>考核范围之内），而</w:t>
      </w:r>
      <w:r>
        <w:rPr>
          <w:rFonts w:hint="default" w:ascii="Times New Roman" w:hAnsi="Times New Roman" w:eastAsia="宋体" w:cs="Times New Roman"/>
          <w:sz w:val="24"/>
          <w:szCs w:val="24"/>
        </w:rPr>
        <w:t>E7</w:t>
      </w:r>
      <w:r>
        <w:rPr>
          <w:rFonts w:hint="eastAsia" w:ascii="宋体" w:hAnsi="宋体" w:eastAsia="宋体" w:cs="宋体"/>
          <w:sz w:val="24"/>
          <w:szCs w:val="24"/>
        </w:rPr>
        <w:t>是外部系统向充电场所边界内供入的总电能，</w:t>
      </w:r>
      <w:r>
        <w:rPr>
          <w:rFonts w:hint="default" w:ascii="Times New Roman" w:hAnsi="Times New Roman" w:eastAsia="宋体" w:cs="Times New Roman"/>
          <w:sz w:val="24"/>
          <w:szCs w:val="24"/>
        </w:rPr>
        <w:t>E7D＜E7</w:t>
      </w:r>
      <w:r>
        <w:rPr>
          <w:rFonts w:hint="eastAsia" w:ascii="宋体" w:hAnsi="宋体" w:eastAsia="宋体" w:cs="宋体"/>
          <w:sz w:val="24"/>
          <w:szCs w:val="24"/>
        </w:rPr>
        <w:t>。</w:t>
      </w:r>
    </w:p>
    <w:p w14:paraId="02C983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外部充电效率</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C</w:t>
      </w:r>
      <w:r>
        <w:rPr>
          <w:rFonts w:hint="eastAsia" w:ascii="宋体" w:hAnsi="宋体" w:eastAsia="宋体" w:cs="宋体"/>
          <w:sz w:val="24"/>
          <w:szCs w:val="24"/>
        </w:rPr>
        <w:t>——非车载充电机的效率。</w:t>
      </w:r>
    </w:p>
    <w:p w14:paraId="562850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外部电能综合效率</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w</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w</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1</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E7</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C</w:t>
      </w:r>
      <w:r>
        <w:rPr>
          <w:rFonts w:hint="eastAsia" w:ascii="宋体" w:hAnsi="宋体" w:eastAsia="宋体" w:cs="宋体"/>
          <w:sz w:val="24"/>
          <w:szCs w:val="24"/>
        </w:rPr>
        <w:t>，是充电基础设施的</w:t>
      </w:r>
      <w:r>
        <w:rPr>
          <w:rFonts w:hint="default" w:ascii="Times New Roman" w:hAnsi="Times New Roman" w:eastAsia="宋体" w:cs="Times New Roman"/>
          <w:sz w:val="24"/>
          <w:szCs w:val="24"/>
        </w:rPr>
        <w:t>10/0.4kV</w:t>
      </w:r>
      <w:r>
        <w:rPr>
          <w:rFonts w:hint="eastAsia" w:ascii="宋体" w:hAnsi="宋体" w:eastAsia="宋体" w:cs="宋体"/>
          <w:sz w:val="24"/>
          <w:szCs w:val="24"/>
        </w:rPr>
        <w:t>变电效率、</w:t>
      </w:r>
      <w:r>
        <w:rPr>
          <w:rFonts w:hint="default" w:ascii="Times New Roman" w:hAnsi="Times New Roman" w:eastAsia="宋体" w:cs="Times New Roman"/>
          <w:sz w:val="24"/>
          <w:szCs w:val="24"/>
        </w:rPr>
        <w:t>0.4kV</w:t>
      </w:r>
      <w:r>
        <w:rPr>
          <w:rFonts w:hint="eastAsia" w:ascii="宋体" w:hAnsi="宋体" w:eastAsia="宋体" w:cs="宋体"/>
          <w:sz w:val="24"/>
          <w:szCs w:val="24"/>
        </w:rPr>
        <w:t>输电效率、充电基础设施用电效率、充电枪端口外部的充电桩效率（考核</w:t>
      </w:r>
      <w:r>
        <w:rPr>
          <w:rFonts w:hint="default" w:ascii="Times New Roman" w:hAnsi="Times New Roman" w:eastAsia="宋体" w:cs="Times New Roman"/>
          <w:sz w:val="24"/>
          <w:szCs w:val="24"/>
        </w:rPr>
        <w:t>AC380V/DC300—750V</w:t>
      </w:r>
      <w:r>
        <w:rPr>
          <w:rFonts w:hint="eastAsia" w:ascii="宋体" w:hAnsi="宋体" w:eastAsia="宋体" w:cs="宋体"/>
          <w:sz w:val="24"/>
          <w:szCs w:val="24"/>
        </w:rPr>
        <w:t>非车载充电桩效率）四者之乘积。</w:t>
      </w:r>
    </w:p>
    <w:p w14:paraId="482E082B">
      <w:pPr>
        <w:spacing w:line="360" w:lineRule="auto"/>
        <w:ind w:firstLine="480" w:firstLineChars="200"/>
        <w:rPr>
          <w:rFonts w:hint="eastAsia" w:ascii="宋体" w:hAnsi="宋体" w:cs="宋体"/>
          <w:sz w:val="24"/>
          <w:szCs w:val="24"/>
          <w:highlight w:val="yellow"/>
          <w:lang w:val="en-US" w:eastAsia="zh-CN"/>
        </w:rPr>
      </w:pPr>
      <w:r>
        <w:rPr>
          <w:rFonts w:hint="eastAsia" w:ascii="宋体" w:hAnsi="宋体" w:eastAsia="宋体" w:cs="宋体"/>
          <w:sz w:val="24"/>
          <w:szCs w:val="24"/>
        </w:rPr>
        <w:t>充电基础设施的计量系统可以计量充电桩的电耗。从电能利用的角度看，车载电池蓄电与放电环节不在建筑工程项目规划建设和运营的可控范围，在其之前，充电枪端口的外部，变电、输电、设施用电、外部充电机效率应满足本条的要求。在设计中要因地制宜采用优化方案和适宜的技术路线，努力提高综合效率</w:t>
      </w:r>
      <w:r>
        <w:rPr>
          <w:rFonts w:hint="default" w:ascii="Times New Roman" w:hAnsi="Times New Roman" w:eastAsia="宋体" w:cs="Times New Roman"/>
          <w:sz w:val="24"/>
          <w:szCs w:val="24"/>
        </w:rPr>
        <w:t>η</w:t>
      </w:r>
      <w:r>
        <w:rPr>
          <w:rFonts w:hint="default" w:ascii="Times New Roman" w:hAnsi="Times New Roman" w:eastAsia="宋体" w:cs="Times New Roman"/>
          <w:sz w:val="24"/>
          <w:szCs w:val="24"/>
          <w:vertAlign w:val="subscript"/>
        </w:rPr>
        <w:t>w</w:t>
      </w:r>
      <w:r>
        <w:rPr>
          <w:rFonts w:hint="eastAsia" w:ascii="宋体" w:hAnsi="宋体" w:eastAsia="宋体" w:cs="宋体"/>
          <w:sz w:val="24"/>
          <w:szCs w:val="24"/>
        </w:rPr>
        <w:t>，为充电区域运营的经济效益与社会效益提供可靠的基础。</w:t>
      </w:r>
    </w:p>
    <w:p w14:paraId="70A4D4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6</w:t>
      </w:r>
      <w:r>
        <w:rPr>
          <w:rFonts w:hint="eastAsia" w:ascii="宋体" w:hAnsi="宋体" w:eastAsia="宋体" w:cs="宋体"/>
          <w:sz w:val="24"/>
          <w:szCs w:val="24"/>
        </w:rPr>
        <w:t>款，配套商业网点的敏感负荷，包括银行、商店等场所的金融业务相关的</w:t>
      </w:r>
      <w:r>
        <w:rPr>
          <w:rFonts w:hint="default" w:ascii="Times New Roman" w:hAnsi="Times New Roman" w:eastAsia="宋体" w:cs="Times New Roman"/>
          <w:sz w:val="24"/>
          <w:szCs w:val="24"/>
        </w:rPr>
        <w:t>IT</w:t>
      </w:r>
      <w:r>
        <w:rPr>
          <w:rFonts w:hint="eastAsia" w:ascii="宋体" w:hAnsi="宋体" w:eastAsia="宋体" w:cs="宋体"/>
          <w:sz w:val="24"/>
          <w:szCs w:val="24"/>
        </w:rPr>
        <w:t>类电子设备，应配置适用的</w:t>
      </w:r>
      <w:r>
        <w:rPr>
          <w:rFonts w:hint="default" w:ascii="Times New Roman" w:hAnsi="Times New Roman" w:eastAsia="宋体" w:cs="Times New Roman"/>
          <w:sz w:val="24"/>
          <w:szCs w:val="24"/>
        </w:rPr>
        <w:t>UPS</w:t>
      </w:r>
      <w:r>
        <w:rPr>
          <w:rFonts w:hint="eastAsia" w:ascii="宋体" w:hAnsi="宋体" w:eastAsia="宋体" w:cs="宋体"/>
          <w:sz w:val="24"/>
          <w:szCs w:val="24"/>
        </w:rPr>
        <w:t>。</w:t>
      </w:r>
    </w:p>
    <w:p w14:paraId="793FB0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本条的评价方法为：预评价查阅相关专业的设计说明、系统图；评价查阅相关竣工图，并现场核查。</w:t>
      </w:r>
    </w:p>
    <w:p w14:paraId="29126109">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6.2.12</w:t>
      </w:r>
      <w:r>
        <w:rPr>
          <w:rFonts w:hint="eastAsia" w:ascii="宋体" w:hAnsi="宋体" w:cs="宋体"/>
          <w:sz w:val="24"/>
          <w:szCs w:val="24"/>
        </w:rPr>
        <w:t>　</w:t>
      </w:r>
      <w:r>
        <w:rPr>
          <w:rFonts w:hint="eastAsia" w:ascii="宋体" w:hAnsi="宋体" w:eastAsia="宋体" w:cs="宋体"/>
          <w:sz w:val="24"/>
          <w:szCs w:val="24"/>
        </w:rPr>
        <w:t>本条适用于预评价和评价。</w:t>
      </w:r>
    </w:p>
    <w:p w14:paraId="2E2DFB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建筑设备监控系统的设计内容应符合《智能建筑设计标准》</w:t>
      </w:r>
      <w:r>
        <w:rPr>
          <w:rFonts w:hint="default" w:ascii="Times New Roman" w:hAnsi="Times New Roman" w:eastAsia="宋体" w:cs="Times New Roman"/>
          <w:sz w:val="24"/>
          <w:szCs w:val="24"/>
        </w:rPr>
        <w:t>GB 50314</w:t>
      </w:r>
      <w:r>
        <w:rPr>
          <w:rFonts w:hint="eastAsia" w:ascii="宋体" w:hAnsi="宋体" w:eastAsia="宋体" w:cs="宋体"/>
          <w:sz w:val="24"/>
          <w:szCs w:val="24"/>
        </w:rPr>
        <w:t>对各种类型建筑列出的系统配置表中应配置项的规定，当建筑设备监控系统的监控主机设于评价建筑以外的其他建筑中时，还应将监控主机所在建筑与本建筑相关的监控系统配置与功能设置情况纳入评价范围。评价的设计内容包括：主机、网络传输、监控点相关硬件设备配置，监测、计量、控制等系统软件功能要求，各评价项对应的传感器、执行器和受监控设备是否通过传输网络与现场控制器或上级控制器构成完整的控制系统，各评价项的软件界面是否包含了《智能建筑设计标准》</w:t>
      </w:r>
      <w:r>
        <w:rPr>
          <w:rFonts w:hint="default" w:ascii="Times New Roman" w:hAnsi="Times New Roman" w:eastAsia="宋体" w:cs="Times New Roman"/>
          <w:sz w:val="24"/>
          <w:szCs w:val="24"/>
        </w:rPr>
        <w:t>GB 50314</w:t>
      </w:r>
      <w:r>
        <w:rPr>
          <w:rFonts w:hint="eastAsia" w:ascii="宋体" w:hAnsi="宋体" w:eastAsia="宋体" w:cs="宋体"/>
          <w:sz w:val="24"/>
          <w:szCs w:val="24"/>
        </w:rPr>
        <w:t>规定的应做内容，是否与评价建筑的系统功能、场所名称、监控点位等具体情况一致，各评价项的监控数据格式是否符合对应标准的规定。</w:t>
      </w:r>
    </w:p>
    <w:p w14:paraId="5C6B19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本条的评价方法为：预评价查阅电气设计说明、强弱电对应内容的平面图和系统图、弱电控制点表等；评价查阅相关竣工图，现场核查各系统机房的设备、传感器、控制功能是否运行正常。</w:t>
      </w:r>
    </w:p>
    <w:p w14:paraId="5ACE2E65">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6.2.13</w:t>
      </w:r>
      <w:r>
        <w:rPr>
          <w:rFonts w:hint="eastAsia" w:ascii="宋体" w:hAnsi="宋体" w:cs="宋体"/>
          <w:sz w:val="24"/>
          <w:szCs w:val="24"/>
        </w:rPr>
        <w:t>　</w:t>
      </w:r>
      <w:r>
        <w:rPr>
          <w:rFonts w:hint="eastAsia" w:ascii="宋体" w:hAnsi="宋体" w:eastAsia="宋体" w:cs="宋体"/>
          <w:sz w:val="24"/>
          <w:szCs w:val="24"/>
        </w:rPr>
        <w:t xml:space="preserve">本条适用于预评价和评价。本条鼓励在绿色改造时综合应用多种智能技术。设计时应结合低碳改造的使用需求选择。 </w:t>
      </w:r>
    </w:p>
    <w:p w14:paraId="1E70D5B9">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款，电能监测与计量采用数字式智能仪表并能实现通过网络传输。</w:t>
      </w:r>
    </w:p>
    <w:p w14:paraId="3EDE5A69">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款，建筑中的有线网络为各种功能场所提供了通信基础设施，</w:t>
      </w:r>
      <w:r>
        <w:rPr>
          <w:rFonts w:hint="default" w:ascii="Times New Roman" w:hAnsi="Times New Roman" w:eastAsia="宋体" w:cs="Times New Roman"/>
          <w:sz w:val="24"/>
          <w:szCs w:val="24"/>
        </w:rPr>
        <w:t>6</w:t>
      </w:r>
      <w:r>
        <w:rPr>
          <w:rFonts w:hint="eastAsia" w:ascii="宋体" w:hAnsi="宋体" w:eastAsia="宋体" w:cs="宋体"/>
          <w:sz w:val="24"/>
          <w:szCs w:val="24"/>
        </w:rPr>
        <w:t>类综合布线的带宽可以满足当前绝大多数公共建筑末端用户网络通信的使用需求，需要更高带宽的特殊末端信息点可按具体的委托要求设计采用光纤布线。结合综合布线采用</w:t>
      </w:r>
      <w:r>
        <w:rPr>
          <w:rFonts w:hint="default" w:ascii="Times New Roman" w:hAnsi="Times New Roman" w:eastAsia="宋体" w:cs="Times New Roman"/>
          <w:sz w:val="24"/>
          <w:szCs w:val="24"/>
        </w:rPr>
        <w:t>POE</w:t>
      </w:r>
      <w:r>
        <w:rPr>
          <w:rFonts w:hint="eastAsia" w:ascii="宋体" w:hAnsi="宋体" w:eastAsia="宋体" w:cs="宋体"/>
          <w:sz w:val="24"/>
          <w:szCs w:val="24"/>
        </w:rPr>
        <w:t>供电组成直流微网系统，并采用</w:t>
      </w:r>
      <w:r>
        <w:rPr>
          <w:rFonts w:hint="default" w:ascii="Times New Roman" w:hAnsi="Times New Roman" w:eastAsia="宋体" w:cs="Times New Roman"/>
          <w:sz w:val="24"/>
          <w:szCs w:val="24"/>
        </w:rPr>
        <w:t>IPV6</w:t>
      </w:r>
      <w:r>
        <w:rPr>
          <w:rFonts w:hint="eastAsia" w:ascii="宋体" w:hAnsi="宋体" w:eastAsia="宋体" w:cs="宋体"/>
          <w:sz w:val="24"/>
          <w:szCs w:val="24"/>
        </w:rPr>
        <w:t>地址编码等新技术，不仅提高系统性能和效率，而且对网络安全具有重要意义。采用</w:t>
      </w:r>
      <w:r>
        <w:rPr>
          <w:rFonts w:hint="default" w:ascii="Times New Roman" w:hAnsi="Times New Roman" w:eastAsia="宋体" w:cs="Times New Roman"/>
          <w:sz w:val="24"/>
          <w:szCs w:val="24"/>
        </w:rPr>
        <w:t>POE</w:t>
      </w:r>
      <w:r>
        <w:rPr>
          <w:rFonts w:hint="eastAsia" w:ascii="宋体" w:hAnsi="宋体" w:eastAsia="宋体" w:cs="宋体"/>
          <w:sz w:val="24"/>
          <w:szCs w:val="24"/>
        </w:rPr>
        <w:t>供电的电子设备，通过同一个布线点位获得可靠的直流电源与宽带网络，布线的标准化程度高、安全性高，相对过去的电子设备敷设电源线与信号线更节约管线、便于施工安装，更适应灵活调整融入互联网与物联网，而且</w:t>
      </w:r>
      <w:r>
        <w:rPr>
          <w:rFonts w:hint="default" w:ascii="Times New Roman" w:hAnsi="Times New Roman" w:eastAsia="宋体" w:cs="Times New Roman"/>
          <w:sz w:val="24"/>
          <w:szCs w:val="24"/>
        </w:rPr>
        <w:t>POE</w:t>
      </w:r>
      <w:r>
        <w:rPr>
          <w:rFonts w:hint="eastAsia" w:ascii="宋体" w:hAnsi="宋体" w:eastAsia="宋体" w:cs="宋体"/>
          <w:sz w:val="24"/>
          <w:szCs w:val="24"/>
        </w:rPr>
        <w:t>供电也为建筑采用光伏直流直供等新能源绿色电力提供了用武之地</w:t>
      </w:r>
      <w:r>
        <w:rPr>
          <w:rFonts w:hint="eastAsia" w:ascii="宋体" w:hAnsi="宋体" w:cs="宋体"/>
          <w:sz w:val="24"/>
          <w:szCs w:val="24"/>
          <w:lang w:eastAsia="zh-CN"/>
        </w:rPr>
        <w:t>，</w:t>
      </w:r>
      <w:r>
        <w:rPr>
          <w:rFonts w:hint="eastAsia" w:ascii="宋体" w:hAnsi="宋体" w:eastAsia="宋体" w:cs="宋体"/>
          <w:sz w:val="24"/>
          <w:szCs w:val="24"/>
        </w:rPr>
        <w:t>是效果较为明显的减碳手段。</w:t>
      </w:r>
    </w:p>
    <w:p w14:paraId="5D7A5ED1">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本条的评价方法为：预评价查阅电气设计说明、相关系统图等设计文件；评价查阅相关竣工图，现场核查申报项对应的场所和设备的运行情况。</w:t>
      </w:r>
    </w:p>
    <w:p w14:paraId="72C4FFB6">
      <w:pPr>
        <w:numPr>
          <w:ilvl w:val="255"/>
          <w:numId w:val="0"/>
        </w:numPr>
        <w:ind w:firstLine="420" w:firstLineChars="200"/>
        <w:rPr>
          <w:rFonts w:ascii="仿宋" w:hAnsi="仿宋" w:eastAsia="仿宋" w:cs="仿宋"/>
        </w:rPr>
      </w:pPr>
    </w:p>
    <w:p w14:paraId="0DC14C17">
      <w:pPr>
        <w:numPr>
          <w:ilvl w:val="255"/>
          <w:numId w:val="0"/>
        </w:numPr>
        <w:ind w:firstLine="420" w:firstLineChars="200"/>
        <w:rPr>
          <w:rFonts w:ascii="仿宋" w:hAnsi="仿宋" w:eastAsia="仿宋" w:cs="仿宋"/>
        </w:rPr>
        <w:sectPr>
          <w:footerReference r:id="rId16" w:type="default"/>
          <w:pgSz w:w="11906" w:h="16838"/>
          <w:pgMar w:top="1440" w:right="1800" w:bottom="1440" w:left="1800" w:header="851" w:footer="992" w:gutter="0"/>
          <w:cols w:space="425" w:num="1"/>
          <w:docGrid w:type="lines" w:linePitch="312" w:charSpace="0"/>
        </w:sectPr>
      </w:pPr>
    </w:p>
    <w:p w14:paraId="022F6557">
      <w:pPr>
        <w:widowControl/>
        <w:snapToGrid w:val="0"/>
        <w:spacing w:line="360" w:lineRule="auto"/>
        <w:jc w:val="both"/>
        <w:outlineLvl w:val="9"/>
        <w:rPr>
          <w:rFonts w:hint="default" w:ascii="Times New Roman" w:hAnsi="Times New Roman" w:cs="Times New Roman"/>
          <w:b/>
          <w:bCs w:val="0"/>
          <w:kern w:val="2"/>
          <w:sz w:val="30"/>
          <w:szCs w:val="30"/>
        </w:rPr>
      </w:pPr>
    </w:p>
    <w:p w14:paraId="463E138A">
      <w:pPr>
        <w:widowControl/>
        <w:snapToGrid w:val="0"/>
        <w:spacing w:line="360" w:lineRule="auto"/>
        <w:jc w:val="center"/>
        <w:outlineLvl w:val="0"/>
        <w:rPr>
          <w:rFonts w:hint="default" w:ascii="Times New Roman" w:hAnsi="Times New Roman" w:eastAsia="宋体" w:cs="Times New Roman"/>
          <w:b/>
          <w:bCs w:val="0"/>
          <w:kern w:val="2"/>
          <w:sz w:val="30"/>
          <w:szCs w:val="30"/>
          <w:lang w:eastAsia="zh-CN"/>
        </w:rPr>
      </w:pPr>
      <w:bookmarkStart w:id="285" w:name="_Toc9691"/>
      <w:bookmarkStart w:id="286" w:name="_Toc2855"/>
      <w:r>
        <w:rPr>
          <w:rFonts w:hint="default" w:ascii="Times New Roman" w:hAnsi="Times New Roman" w:cs="Times New Roman"/>
          <w:b/>
          <w:bCs w:val="0"/>
          <w:kern w:val="2"/>
          <w:sz w:val="30"/>
          <w:szCs w:val="30"/>
        </w:rPr>
        <w:t>7　建材与建造</w:t>
      </w:r>
      <w:bookmarkEnd w:id="285"/>
      <w:bookmarkEnd w:id="286"/>
    </w:p>
    <w:p w14:paraId="5B4F1147">
      <w:pPr>
        <w:numPr>
          <w:ilvl w:val="0"/>
          <w:numId w:val="0"/>
        </w:numPr>
        <w:tabs>
          <w:tab w:val="left" w:pos="0"/>
        </w:tabs>
        <w:spacing w:before="0" w:beforeLines="0" w:after="0" w:afterLines="0" w:line="360" w:lineRule="auto"/>
        <w:jc w:val="center"/>
        <w:outlineLvl w:val="1"/>
        <w:rPr>
          <w:rFonts w:hint="eastAsia" w:ascii="黑体" w:hAnsi="黑体" w:eastAsia="黑体" w:cs="黑体"/>
          <w:b/>
          <w:bCs/>
          <w:sz w:val="28"/>
          <w:szCs w:val="28"/>
        </w:rPr>
      </w:pPr>
      <w:bookmarkStart w:id="287" w:name="_Toc961"/>
      <w:bookmarkStart w:id="288" w:name="_Toc9653"/>
      <w:r>
        <w:rPr>
          <w:rFonts w:hint="default" w:ascii="Times New Roman" w:hAnsi="Times New Roman" w:eastAsia="黑体" w:cs="Times New Roman"/>
          <w:b/>
          <w:bCs/>
          <w:sz w:val="28"/>
          <w:szCs w:val="28"/>
        </w:rPr>
        <w:t>7.1</w:t>
      </w:r>
      <w:r>
        <w:rPr>
          <w:rFonts w:hint="eastAsia" w:ascii="黑体" w:hAnsi="黑体" w:eastAsia="黑体" w:cs="黑体"/>
          <w:b/>
          <w:bCs/>
          <w:sz w:val="28"/>
          <w:szCs w:val="28"/>
        </w:rPr>
        <w:t>　控制项</w:t>
      </w:r>
      <w:bookmarkEnd w:id="287"/>
      <w:bookmarkEnd w:id="288"/>
    </w:p>
    <w:p w14:paraId="43C015E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7.1.1</w:t>
      </w:r>
      <w:r>
        <w:rPr>
          <w:rFonts w:hint="eastAsia" w:ascii="宋体" w:hAnsi="宋体" w:cs="宋体"/>
          <w:sz w:val="24"/>
          <w:szCs w:val="24"/>
        </w:rPr>
        <w:t>　</w:t>
      </w:r>
      <w:r>
        <w:rPr>
          <w:rFonts w:hint="eastAsia" w:ascii="宋体" w:hAnsi="宋体" w:eastAsia="宋体" w:cs="宋体"/>
          <w:sz w:val="24"/>
          <w:szCs w:val="24"/>
        </w:rPr>
        <w:t>本条适用于预评价和评价。</w:t>
      </w:r>
    </w:p>
    <w:p w14:paraId="3A616B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有工业建筑民用化低碳改造前的检测、评估鉴定工作是制定改造方案的重要依据，也是确保安全改造的必要手段。由于工业建筑民用化改造的特殊性，既有工业建筑改造前需依据民用建筑的相关技术要求进行检测及鉴定，包括结构、附属设施等。</w:t>
      </w:r>
    </w:p>
    <w:p w14:paraId="364E1D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本条的评价方法为：预评价和评价查阅相关检测和鉴定文件。</w:t>
      </w:r>
    </w:p>
    <w:p w14:paraId="272953C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7.1.2</w:t>
      </w:r>
      <w:r>
        <w:rPr>
          <w:rFonts w:hint="eastAsia" w:ascii="宋体" w:hAnsi="宋体" w:cs="宋体"/>
          <w:sz w:val="24"/>
          <w:szCs w:val="24"/>
        </w:rPr>
        <w:t>　</w:t>
      </w:r>
      <w:r>
        <w:rPr>
          <w:rFonts w:hint="eastAsia" w:ascii="宋体" w:hAnsi="宋体" w:eastAsia="宋体" w:cs="宋体"/>
          <w:sz w:val="24"/>
          <w:szCs w:val="24"/>
        </w:rPr>
        <w:t>本条适用于预评价和评价。</w:t>
      </w:r>
    </w:p>
    <w:p w14:paraId="7DDEAC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一些建筑材料及制品在使用过程中不断暴露出问题，已被证明不适宜在建筑工程中使用。工业建筑民用化低碳改造中不应采用国家和地方有关主管部门向社会公布禁止和限制使用的建筑材料及制品。</w:t>
      </w:r>
    </w:p>
    <w:p w14:paraId="441D82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本条的评价方法为：预评价查阅相关设计文件；评价查阅相关竣工图、材料结算清单。</w:t>
      </w:r>
    </w:p>
    <w:p w14:paraId="38519825">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7.1.3</w:t>
      </w:r>
      <w:r>
        <w:rPr>
          <w:rFonts w:hint="eastAsia" w:ascii="宋体" w:hAnsi="宋体" w:cs="宋体"/>
          <w:sz w:val="24"/>
          <w:szCs w:val="24"/>
        </w:rPr>
        <w:t>　</w:t>
      </w:r>
      <w:r>
        <w:rPr>
          <w:rFonts w:hint="eastAsia" w:ascii="宋体" w:hAnsi="宋体" w:eastAsia="宋体" w:cs="宋体"/>
          <w:sz w:val="24"/>
          <w:szCs w:val="24"/>
        </w:rPr>
        <w:t>本条适用于预评价和评价。</w:t>
      </w:r>
    </w:p>
    <w:p w14:paraId="2E2EBC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拌混凝土与现场搅拌混凝土相比，预拌混凝土产品性能稳定，易于保证工程质量，且采用预拌混凝土能够减少施工现场噪声和粉尘污染，节约能源、资源，减少材料损耗。现场拌制砂浆施工后经常出现空鼓、龟裂等质量问题，工程返修率高。预拌砂浆是由专业化工厂规模化生产的，可以很好地满足砂浆保水性、和易性、强度和耐久性需求，减少环境污染、材料损耗小、施工效率高、工程返修率低。</w:t>
      </w:r>
    </w:p>
    <w:p w14:paraId="36D649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本条的评价方法为：预评价查阅相关设计文件；评价查阅相关竣工图、材料结算清单。</w:t>
      </w:r>
    </w:p>
    <w:p w14:paraId="39EE9C1A">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7.1.4</w:t>
      </w:r>
      <w:r>
        <w:rPr>
          <w:rFonts w:hint="eastAsia" w:ascii="宋体" w:hAnsi="宋体" w:cs="宋体"/>
          <w:sz w:val="24"/>
          <w:szCs w:val="24"/>
        </w:rPr>
        <w:t>　</w:t>
      </w:r>
      <w:r>
        <w:rPr>
          <w:rFonts w:hint="eastAsia" w:ascii="宋体" w:hAnsi="宋体" w:eastAsia="宋体" w:cs="宋体"/>
          <w:sz w:val="24"/>
          <w:szCs w:val="24"/>
        </w:rPr>
        <w:t>本条适用于预评价和评价。</w:t>
      </w:r>
    </w:p>
    <w:p w14:paraId="61AD44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有工业建筑民用化低碳改造时，可充分发挥原有构件的承载能力，尽可能保留原有结构构件，减少不必要的拆除，以减少资源的浪费；对于保留部分，应通过计算确保结构安全，并有针对性的安全措施。连接的可靠性是加固后结构整体工作的关键，设计时应予以足够的重视，主要构件的连接规定可参考现行行业标准《建筑抗震加固技术规程》</w:t>
      </w:r>
      <w:r>
        <w:rPr>
          <w:rFonts w:hint="default" w:ascii="Times New Roman" w:hAnsi="Times New Roman" w:eastAsia="宋体" w:cs="Times New Roman"/>
          <w:sz w:val="24"/>
          <w:szCs w:val="24"/>
        </w:rPr>
        <w:t>JGJ 116</w:t>
      </w:r>
      <w:r>
        <w:rPr>
          <w:rFonts w:hint="eastAsia" w:ascii="宋体" w:hAnsi="宋体" w:eastAsia="宋体" w:cs="宋体"/>
          <w:sz w:val="24"/>
          <w:szCs w:val="24"/>
        </w:rPr>
        <w:t>的相关规定。新增设的抗震墙、柱等竖向构件，不仅要传递竖向荷载，而且是直接抵抗水平地震作用的主要构件，因此，这类构件自上向下连续落到基础上，不允许直接支撑在楼层梁板上。</w:t>
      </w:r>
    </w:p>
    <w:p w14:paraId="779FFE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本条的评价方法为：预评价查阅相关设计文件；评价查阅相关竣工图、结构鉴定报告和结构相关规范。</w:t>
      </w:r>
    </w:p>
    <w:p w14:paraId="0767B42C">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7.1.5</w:t>
      </w:r>
      <w:r>
        <w:rPr>
          <w:rFonts w:hint="eastAsia" w:ascii="宋体" w:hAnsi="宋体" w:cs="宋体"/>
          <w:sz w:val="24"/>
          <w:szCs w:val="24"/>
        </w:rPr>
        <w:t>　</w:t>
      </w:r>
      <w:r>
        <w:rPr>
          <w:rFonts w:hint="eastAsia" w:ascii="宋体" w:hAnsi="宋体" w:eastAsia="宋体" w:cs="宋体"/>
          <w:sz w:val="24"/>
          <w:szCs w:val="24"/>
        </w:rPr>
        <w:t>本条适用于评价。</w:t>
      </w:r>
    </w:p>
    <w:p w14:paraId="3356A5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既有工业建筑民用化低碳改造施工前，需编制施工组织设计方案。编制时，应进行整体策划，协同建筑、结构、机电、装饰装修等专业要求；并对特殊情况下的施工情况编制专项施工方案，并通过专家评审。</w:t>
      </w:r>
    </w:p>
    <w:p w14:paraId="593EAE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属于“四新”即新技术、新材料、新工艺、新设备的，应进行专家论证，论证通过后才能进行施工。</w:t>
      </w:r>
    </w:p>
    <w:p w14:paraId="1713FD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工组织设计方案编制时，还应结合既有建筑特点，配置与改造施工技术匹配的项目部机构和施工人员，对施工作业人员进行相关知识和技能培训，并向管理人员进行方案交底、对施工作业人员进行安全技术交底。</w:t>
      </w:r>
    </w:p>
    <w:p w14:paraId="2426F1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施工组织设计的内容应符合现行国家标准、法律法规的规定。</w:t>
      </w:r>
    </w:p>
    <w:p w14:paraId="2415FC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本条的评价方法为：评价查阅施工组织设计文件。</w:t>
      </w:r>
    </w:p>
    <w:p w14:paraId="69935AD5">
      <w:pPr>
        <w:numPr>
          <w:ilvl w:val="0"/>
          <w:numId w:val="0"/>
        </w:numPr>
        <w:tabs>
          <w:tab w:val="left" w:pos="0"/>
        </w:tabs>
        <w:spacing w:before="0" w:beforeLines="0" w:after="0" w:afterLines="0" w:line="360" w:lineRule="auto"/>
        <w:jc w:val="center"/>
        <w:outlineLvl w:val="1"/>
        <w:rPr>
          <w:rFonts w:hint="eastAsia" w:ascii="黑体" w:hAnsi="黑体" w:eastAsia="黑体" w:cs="黑体"/>
          <w:b/>
          <w:bCs/>
          <w:sz w:val="28"/>
          <w:szCs w:val="28"/>
        </w:rPr>
      </w:pPr>
      <w:bookmarkStart w:id="289" w:name="_Toc8861"/>
      <w:bookmarkStart w:id="290" w:name="_Toc20089"/>
      <w:r>
        <w:rPr>
          <w:rFonts w:hint="default" w:ascii="Times New Roman" w:hAnsi="Times New Roman" w:eastAsia="黑体" w:cs="Times New Roman"/>
          <w:b/>
          <w:bCs/>
          <w:sz w:val="28"/>
          <w:szCs w:val="28"/>
        </w:rPr>
        <w:t>7.2</w:t>
      </w:r>
      <w:r>
        <w:rPr>
          <w:rFonts w:hint="eastAsia" w:ascii="黑体" w:hAnsi="黑体" w:eastAsia="黑体" w:cs="黑体"/>
          <w:b/>
          <w:bCs/>
          <w:sz w:val="28"/>
          <w:szCs w:val="28"/>
        </w:rPr>
        <w:t>　评分项</w:t>
      </w:r>
      <w:bookmarkEnd w:id="289"/>
      <w:bookmarkEnd w:id="290"/>
    </w:p>
    <w:p w14:paraId="538178B1">
      <w:pPr>
        <w:pStyle w:val="28"/>
        <w:spacing w:before="0" w:beforeLines="0" w:after="0" w:afterLines="0" w:line="360" w:lineRule="auto"/>
        <w:ind w:firstLine="0" w:firstLineChars="0"/>
        <w:jc w:val="center"/>
        <w:outlineLvl w:val="2"/>
        <w:rPr>
          <w:rFonts w:eastAsia="仿宋" w:cs="Times New Roman"/>
          <w:b/>
          <w:bCs/>
          <w:sz w:val="28"/>
          <w:szCs w:val="28"/>
        </w:rPr>
      </w:pPr>
      <w:r>
        <w:rPr>
          <w:rFonts w:hint="eastAsia" w:cs="Times New Roman"/>
          <w:b/>
          <w:sz w:val="28"/>
          <w:szCs w:val="28"/>
        </w:rPr>
        <w:t>Ⅰ</w:t>
      </w:r>
      <w:r>
        <w:rPr>
          <w:rFonts w:cs="Times New Roman"/>
          <w:b/>
          <w:sz w:val="28"/>
          <w:szCs w:val="28"/>
        </w:rPr>
        <w:t xml:space="preserve"> </w:t>
      </w:r>
      <w:r>
        <w:rPr>
          <w:rFonts w:hint="eastAsia" w:ascii="仿宋" w:hAnsi="仿宋" w:eastAsia="仿宋" w:cs="仿宋"/>
          <w:b/>
          <w:bCs/>
          <w:sz w:val="28"/>
          <w:szCs w:val="28"/>
        </w:rPr>
        <w:t>低碳建材</w:t>
      </w:r>
    </w:p>
    <w:p w14:paraId="1A5C8694">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7.2.1</w:t>
      </w:r>
      <w:r>
        <w:rPr>
          <w:rFonts w:hint="eastAsia" w:ascii="宋体" w:hAnsi="宋体" w:cs="宋体"/>
          <w:sz w:val="24"/>
          <w:szCs w:val="24"/>
        </w:rPr>
        <w:t>　</w:t>
      </w:r>
      <w:r>
        <w:rPr>
          <w:rFonts w:hint="eastAsia" w:ascii="宋体" w:hAnsi="宋体" w:eastAsia="宋体" w:cs="宋体"/>
          <w:sz w:val="24"/>
          <w:szCs w:val="24"/>
        </w:rPr>
        <w:t>本条适用于预评价和评价。</w:t>
      </w:r>
    </w:p>
    <w:p w14:paraId="4F7C5E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理选用建筑结构材料，可减小构件的截面尺寸及材料用量，同时也可减轻结构自重，减小地震作用及地基基础的材料消耗，低碳效果显著优于同类建材。本条中建筑结构材料主要指高强度钢筋、高强度混凝土、高强钢材。高强度钢筋包括</w:t>
      </w:r>
      <w:r>
        <w:rPr>
          <w:rFonts w:hint="default" w:ascii="Times New Roman" w:hAnsi="Times New Roman" w:eastAsia="宋体" w:cs="Times New Roman"/>
          <w:sz w:val="24"/>
          <w:szCs w:val="24"/>
        </w:rPr>
        <w:t>400MPa</w:t>
      </w:r>
      <w:r>
        <w:rPr>
          <w:rFonts w:hint="eastAsia" w:ascii="宋体" w:hAnsi="宋体" w:eastAsia="宋体" w:cs="宋体"/>
          <w:sz w:val="24"/>
          <w:szCs w:val="24"/>
        </w:rPr>
        <w:t>级及以上受力普通钢筋，高强度钢材包括现行国家标准《钢结构设计标准》</w:t>
      </w:r>
      <w:r>
        <w:rPr>
          <w:rFonts w:hint="default" w:ascii="Times New Roman" w:hAnsi="Times New Roman" w:eastAsia="宋体" w:cs="Times New Roman"/>
          <w:sz w:val="24"/>
          <w:szCs w:val="24"/>
        </w:rPr>
        <w:t>GB 50017</w:t>
      </w:r>
      <w:r>
        <w:rPr>
          <w:rFonts w:hint="eastAsia" w:ascii="宋体" w:hAnsi="宋体" w:eastAsia="宋体" w:cs="宋体"/>
          <w:sz w:val="24"/>
          <w:szCs w:val="24"/>
        </w:rPr>
        <w:t>规定的</w:t>
      </w:r>
      <w:r>
        <w:rPr>
          <w:rFonts w:hint="default" w:ascii="Times New Roman" w:hAnsi="Times New Roman" w:eastAsia="宋体" w:cs="Times New Roman"/>
          <w:sz w:val="24"/>
          <w:szCs w:val="24"/>
        </w:rPr>
        <w:t>Q355</w:t>
      </w:r>
      <w:r>
        <w:rPr>
          <w:rFonts w:hint="eastAsia" w:ascii="宋体" w:hAnsi="宋体" w:eastAsia="宋体" w:cs="宋体"/>
          <w:sz w:val="24"/>
          <w:szCs w:val="24"/>
        </w:rPr>
        <w:t>级以上高强钢材。</w:t>
      </w:r>
    </w:p>
    <w:p w14:paraId="0FC00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材料用量比例应按以下规则进行计算：</w:t>
      </w:r>
    </w:p>
    <w:p w14:paraId="7B0FF5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款，对于混凝土结构，需计算高强度钢筋比例、成型钢筋用量比例。</w:t>
      </w:r>
    </w:p>
    <w:p w14:paraId="413BC2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款，对于钢结构，需计算高强钢材比例、螺栓连接节点数量比例、热轧型钢的数量比例。</w:t>
      </w:r>
    </w:p>
    <w:p w14:paraId="3E13E9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对于混合结构，除计算以上材料之外，还需计算建筑结构比例，并取平均值。</w:t>
      </w:r>
    </w:p>
    <w:p w14:paraId="05B535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28FC54D9">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7.2.2</w:t>
      </w:r>
      <w:r>
        <w:rPr>
          <w:rFonts w:hint="eastAsia" w:ascii="宋体" w:hAnsi="宋体" w:cs="宋体"/>
          <w:sz w:val="24"/>
          <w:szCs w:val="24"/>
        </w:rPr>
        <w:t>　</w:t>
      </w:r>
      <w:r>
        <w:rPr>
          <w:rFonts w:hint="eastAsia" w:ascii="宋体" w:hAnsi="宋体" w:eastAsia="宋体" w:cs="宋体"/>
          <w:sz w:val="24"/>
          <w:szCs w:val="24"/>
        </w:rPr>
        <w:t>本条适用于预评价和评价。</w:t>
      </w:r>
    </w:p>
    <w:p w14:paraId="49F1CE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采用高耐久性材料可有效延长建筑使用寿命，减少运营期间的维护维修，对材料节约及环境保护具有重要意义。</w:t>
      </w:r>
    </w:p>
    <w:p w14:paraId="7D6D7C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高耐久性混凝土指满足设计要求下，结合具体使用环境，对抗渗性能、抗硫酸盐侵蚀性能、抗氯离子渗透性能、抗碳化性能及早期抗裂性能等耐久性指标提出合理要求的混凝土，并需满足《混凝土耐久性检验评定标准》</w:t>
      </w:r>
      <w:r>
        <w:rPr>
          <w:rFonts w:hint="default" w:ascii="Times New Roman" w:hAnsi="Times New Roman" w:eastAsia="宋体" w:cs="Times New Roman"/>
          <w:sz w:val="24"/>
          <w:szCs w:val="24"/>
        </w:rPr>
        <w:t>JGJ/T 193</w:t>
      </w:r>
      <w:r>
        <w:rPr>
          <w:rFonts w:hint="eastAsia" w:ascii="宋体" w:hAnsi="宋体" w:eastAsia="宋体" w:cs="宋体"/>
          <w:sz w:val="24"/>
          <w:szCs w:val="24"/>
        </w:rPr>
        <w:t>规定的相关要求；耐候结构钢是指符合现行国家标准《耐候结构钢》</w:t>
      </w:r>
      <w:r>
        <w:rPr>
          <w:rFonts w:hint="default" w:ascii="Times New Roman" w:hAnsi="Times New Roman" w:eastAsia="宋体" w:cs="Times New Roman"/>
          <w:sz w:val="24"/>
          <w:szCs w:val="24"/>
        </w:rPr>
        <w:t>GB/T 4171</w:t>
      </w:r>
      <w:r>
        <w:rPr>
          <w:rFonts w:hint="eastAsia" w:ascii="宋体" w:hAnsi="宋体" w:eastAsia="宋体" w:cs="宋体"/>
          <w:sz w:val="24"/>
          <w:szCs w:val="24"/>
        </w:rPr>
        <w:t>要求的钢材；耐候性防腐涂料是指符合现行行业标准《建筑用钢结构防腐涂料》</w:t>
      </w:r>
      <w:r>
        <w:rPr>
          <w:rFonts w:hint="default" w:ascii="Times New Roman" w:hAnsi="Times New Roman" w:eastAsia="宋体" w:cs="Times New Roman"/>
          <w:sz w:val="24"/>
          <w:szCs w:val="24"/>
        </w:rPr>
        <w:t>JG/T 224</w:t>
      </w:r>
      <w:r>
        <w:rPr>
          <w:rFonts w:hint="eastAsia" w:ascii="宋体" w:hAnsi="宋体" w:eastAsia="宋体" w:cs="宋体"/>
          <w:sz w:val="24"/>
          <w:szCs w:val="24"/>
        </w:rPr>
        <w:t>的</w:t>
      </w:r>
      <w:r>
        <w:rPr>
          <w:rFonts w:hint="default" w:ascii="Times New Roman" w:hAnsi="Times New Roman" w:eastAsia="宋体" w:cs="Times New Roman"/>
          <w:sz w:val="24"/>
          <w:szCs w:val="24"/>
        </w:rPr>
        <w:t>Ⅱ</w:t>
      </w:r>
      <w:r>
        <w:rPr>
          <w:rFonts w:hint="eastAsia" w:ascii="宋体" w:hAnsi="宋体" w:eastAsia="宋体" w:cs="宋体"/>
          <w:sz w:val="24"/>
          <w:szCs w:val="24"/>
        </w:rPr>
        <w:t>型面漆和长效型底漆；防腐木材、耐久木材及耐久木制品应符合现行国家标准《木材耐久性能》</w:t>
      </w:r>
      <w:r>
        <w:rPr>
          <w:rFonts w:hint="default" w:ascii="Times New Roman" w:hAnsi="Times New Roman" w:eastAsia="宋体" w:cs="Times New Roman"/>
          <w:sz w:val="24"/>
          <w:szCs w:val="24"/>
        </w:rPr>
        <w:t>GB/T 13942</w:t>
      </w:r>
      <w:r>
        <w:rPr>
          <w:rFonts w:hint="eastAsia" w:ascii="宋体" w:hAnsi="宋体" w:eastAsia="宋体" w:cs="宋体"/>
          <w:sz w:val="24"/>
          <w:szCs w:val="24"/>
        </w:rPr>
        <w:t>及《木结构设计标准》</w:t>
      </w:r>
      <w:r>
        <w:rPr>
          <w:rFonts w:hint="default" w:ascii="Times New Roman" w:hAnsi="Times New Roman" w:eastAsia="宋体" w:cs="Times New Roman"/>
          <w:sz w:val="24"/>
          <w:szCs w:val="24"/>
        </w:rPr>
        <w:t>GB 50005</w:t>
      </w:r>
      <w:r>
        <w:rPr>
          <w:rFonts w:hint="eastAsia" w:ascii="宋体" w:hAnsi="宋体" w:eastAsia="宋体" w:cs="宋体"/>
          <w:sz w:val="24"/>
          <w:szCs w:val="24"/>
        </w:rPr>
        <w:t>等相关要求。</w:t>
      </w:r>
    </w:p>
    <w:p w14:paraId="044C65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粘接材料在一定使用年限后需替换更新，如果使用污染大、难维护及耐久性差的材料，则会在一定程度上增加建筑物的维护难度，同时也会在施工中带来有毒有害物质的排放等问题。对于防水和密封材料的耐久性指标应符合现行国家标准的相关规定。</w:t>
      </w:r>
    </w:p>
    <w:p w14:paraId="4C00AD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3</w:t>
      </w:r>
      <w:r>
        <w:rPr>
          <w:rFonts w:hint="eastAsia" w:ascii="宋体" w:hAnsi="宋体" w:eastAsia="宋体" w:cs="宋体"/>
          <w:sz w:val="24"/>
          <w:szCs w:val="24"/>
        </w:rPr>
        <w:t>款，外围护系统除应满足使用要求外，尚应与主体结构使用年限相协调，以确保建筑在正常使用和维护下，尽量降低维修及更换频率。</w:t>
      </w:r>
    </w:p>
    <w:p w14:paraId="0F6BA0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1F409BC8">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7.2.3</w:t>
      </w:r>
      <w:r>
        <w:rPr>
          <w:rFonts w:hint="eastAsia" w:ascii="宋体" w:hAnsi="宋体" w:cs="宋体"/>
          <w:sz w:val="24"/>
          <w:szCs w:val="24"/>
        </w:rPr>
        <w:t>　</w:t>
      </w:r>
      <w:r>
        <w:rPr>
          <w:rFonts w:hint="eastAsia" w:ascii="宋体" w:hAnsi="宋体" w:eastAsia="宋体" w:cs="宋体"/>
          <w:sz w:val="24"/>
          <w:szCs w:val="24"/>
        </w:rPr>
        <w:t>本条适用于预评价和评价。</w:t>
      </w:r>
    </w:p>
    <w:p w14:paraId="0DA469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可再利用材料主要包括拆除后不易损坏变形的制品、部品或型材形式等建筑材料。可再循环材料主要包括金属材料（钢材、铜等）、玻璃、铝合金型材、石膏制品、木材等。利废建材即“以废弃物为原料生产的建筑材料”，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w:t>
      </w:r>
    </w:p>
    <w:p w14:paraId="769CB7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6E86470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7.2.4</w:t>
      </w:r>
      <w:r>
        <w:rPr>
          <w:rFonts w:hint="eastAsia" w:ascii="宋体" w:hAnsi="宋体" w:cs="宋体"/>
          <w:sz w:val="24"/>
          <w:szCs w:val="24"/>
        </w:rPr>
        <w:t>　</w:t>
      </w:r>
      <w:r>
        <w:rPr>
          <w:rFonts w:hint="eastAsia" w:ascii="宋体" w:hAnsi="宋体" w:eastAsia="宋体" w:cs="宋体"/>
          <w:sz w:val="24"/>
          <w:szCs w:val="24"/>
        </w:rPr>
        <w:t>本条适用于预评价和评价。</w:t>
      </w:r>
    </w:p>
    <w:p w14:paraId="0D5AC5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绿色建材产品是指在全生命周期内，资源能源消耗少，生态环境影响小，具有“节能、减排、低碳、安全、便利和可循环”特征的高品质建材产品。发展绿色建材是建材工业转型升级的主要方向和供给侧结构性改革的必然选择，是城乡建设绿色发展和美丽乡村建设的重要支撑。</w:t>
      </w:r>
    </w:p>
    <w:p w14:paraId="52E329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2CFC9F63">
      <w:pPr>
        <w:pStyle w:val="28"/>
        <w:spacing w:before="0" w:beforeLines="0" w:after="0" w:afterLines="0" w:line="360" w:lineRule="auto"/>
        <w:ind w:firstLine="0" w:firstLineChars="0"/>
        <w:jc w:val="center"/>
        <w:outlineLvl w:val="2"/>
        <w:rPr>
          <w:rFonts w:hint="eastAsia" w:ascii="仿宋" w:hAnsi="仿宋" w:eastAsia="仿宋" w:cs="仿宋"/>
          <w:bCs/>
          <w:sz w:val="28"/>
          <w:szCs w:val="28"/>
        </w:rPr>
      </w:pPr>
      <w:r>
        <w:rPr>
          <w:rFonts w:hint="eastAsia" w:cs="Times New Roman"/>
          <w:b/>
          <w:bCs/>
          <w:sz w:val="28"/>
          <w:szCs w:val="28"/>
        </w:rPr>
        <w:t xml:space="preserve">Ⅱ </w:t>
      </w:r>
      <w:r>
        <w:rPr>
          <w:rFonts w:hint="eastAsia" w:ascii="仿宋" w:hAnsi="仿宋" w:eastAsia="仿宋" w:cs="仿宋"/>
          <w:b/>
          <w:sz w:val="28"/>
          <w:szCs w:val="28"/>
        </w:rPr>
        <w:t>低碳结构设计</w:t>
      </w:r>
    </w:p>
    <w:p w14:paraId="47FA6D06">
      <w:pPr>
        <w:pStyle w:val="28"/>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7.2.5</w:t>
      </w:r>
      <w:r>
        <w:rPr>
          <w:rFonts w:hint="eastAsia" w:ascii="宋体" w:hAnsi="宋体" w:cs="宋体"/>
          <w:sz w:val="24"/>
          <w:szCs w:val="24"/>
        </w:rPr>
        <w:t>　</w:t>
      </w:r>
      <w:r>
        <w:rPr>
          <w:rFonts w:hint="eastAsia" w:ascii="宋体" w:hAnsi="宋体" w:eastAsia="宋体" w:cs="宋体"/>
          <w:szCs w:val="24"/>
        </w:rPr>
        <w:t>本条适用于预评价和评价。</w:t>
      </w:r>
    </w:p>
    <w:p w14:paraId="2B0AA7AF">
      <w:pPr>
        <w:pStyle w:val="28"/>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本条中的原结构构件利用率按构件数量计算，原结构构件利用率为改造影响范围内得到利用的构件数量与构件总数量的比例。</w:t>
      </w:r>
    </w:p>
    <w:p w14:paraId="27548B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6372FE44">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7.2.6</w:t>
      </w:r>
      <w:r>
        <w:rPr>
          <w:rFonts w:hint="eastAsia" w:ascii="宋体" w:hAnsi="宋体" w:cs="宋体"/>
          <w:sz w:val="24"/>
          <w:szCs w:val="24"/>
        </w:rPr>
        <w:t>　</w:t>
      </w:r>
      <w:r>
        <w:rPr>
          <w:rFonts w:hint="eastAsia" w:ascii="宋体" w:hAnsi="宋体" w:eastAsia="宋体" w:cs="宋体"/>
          <w:sz w:val="24"/>
          <w:szCs w:val="24"/>
        </w:rPr>
        <w:t>本条适用于预评价和评价。</w:t>
      </w:r>
    </w:p>
    <w:p w14:paraId="46B76F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过大量分析研究，竹结构是低碳甚至是负碳材料，木结构是低碳材料，钢结构虽然碳排放较高，但在全寿命期内较混凝土结构低。因此结构低碳设计应优先选用木、竹结构，其次为钢结构。本条未对木、竹构件的用量提出定量要求，意在其使用还在初级阶段。为鼓励木、竹构件推广使用，部分采用即可得分。</w:t>
      </w:r>
    </w:p>
    <w:p w14:paraId="012D92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5EB00D25">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7.2.7</w:t>
      </w:r>
      <w:r>
        <w:rPr>
          <w:rFonts w:hint="eastAsia" w:ascii="宋体" w:hAnsi="宋体" w:cs="宋体"/>
          <w:sz w:val="24"/>
          <w:szCs w:val="24"/>
        </w:rPr>
        <w:t>　</w:t>
      </w:r>
      <w:r>
        <w:rPr>
          <w:rFonts w:hint="eastAsia" w:ascii="宋体" w:hAnsi="宋体" w:eastAsia="宋体" w:cs="宋体"/>
          <w:sz w:val="24"/>
          <w:szCs w:val="24"/>
        </w:rPr>
        <w:t>本条适用于预评价和评价。</w:t>
      </w:r>
    </w:p>
    <w:p w14:paraId="17E0B7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纤维复合材料是指以树脂为基材，以纤维为增强材料，并掺加辅助剂，经过一定工艺复合形成的材料。纤维复合材料包括但不限于碳纤维复合材料、玻璃纤维复合材料、芳纶纤维复合材料等。</w:t>
      </w:r>
    </w:p>
    <w:p w14:paraId="1C54786A">
      <w:pPr>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外包钢材加固及纤维复合材料加固均为工艺较为成熟的干作业施工加固方法，在极大程度上减少了施工作业，操作简便且可靠性较强。纤维复合材料加固还同时具有高强、轻质、耐腐蚀等特点。</w:t>
      </w:r>
    </w:p>
    <w:p w14:paraId="1A1588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2AC3338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7.2.8</w:t>
      </w:r>
      <w:r>
        <w:rPr>
          <w:rFonts w:hint="eastAsia" w:ascii="宋体" w:hAnsi="宋体" w:cs="宋体"/>
          <w:sz w:val="24"/>
          <w:szCs w:val="24"/>
        </w:rPr>
        <w:t>　</w:t>
      </w:r>
      <w:r>
        <w:rPr>
          <w:rFonts w:hint="eastAsia" w:ascii="宋体" w:hAnsi="宋体" w:eastAsia="宋体" w:cs="宋体"/>
          <w:sz w:val="24"/>
          <w:szCs w:val="24"/>
        </w:rPr>
        <w:t>本条适用于预评价和评价。</w:t>
      </w:r>
    </w:p>
    <w:p w14:paraId="0EC4EB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节点易于拆卸结构形式指可拆装木结构、全螺栓连接钢结构、可拆装混凝土框架结构、可拆装剪力墙结构等。以上结构形式在拆除过程中能极大</w:t>
      </w:r>
      <w:r>
        <w:rPr>
          <w:rFonts w:hint="eastAsia" w:ascii="宋体" w:hAnsi="宋体" w:cs="宋体"/>
          <w:sz w:val="24"/>
          <w:szCs w:val="24"/>
          <w:lang w:eastAsia="zh-CN"/>
        </w:rPr>
        <w:t>地</w:t>
      </w:r>
      <w:r>
        <w:rPr>
          <w:rFonts w:hint="eastAsia" w:ascii="宋体" w:hAnsi="宋体" w:eastAsia="宋体" w:cs="宋体"/>
          <w:sz w:val="24"/>
          <w:szCs w:val="24"/>
        </w:rPr>
        <w:t>节省能源消耗，并提升建筑废弃物再利用层级，通过低碳理念促进固废资源化高效进行。本条未给出定量要求，意在其应用较少，但为鼓励推广使用，故部分采用即可得分。</w:t>
      </w:r>
    </w:p>
    <w:p w14:paraId="2F25AC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本条的评价方法为：预评价查阅施工图设计资料；评价查阅施工图竣工资料。</w:t>
      </w:r>
    </w:p>
    <w:p w14:paraId="22D0A151">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7.2.9</w:t>
      </w:r>
      <w:r>
        <w:rPr>
          <w:rFonts w:hint="eastAsia" w:ascii="宋体" w:hAnsi="宋体" w:cs="宋体"/>
          <w:sz w:val="24"/>
          <w:szCs w:val="24"/>
        </w:rPr>
        <w:t>　</w:t>
      </w:r>
      <w:r>
        <w:rPr>
          <w:rFonts w:hint="eastAsia" w:ascii="宋体" w:hAnsi="宋体" w:eastAsia="宋体" w:cs="宋体"/>
          <w:sz w:val="24"/>
          <w:szCs w:val="24"/>
        </w:rPr>
        <w:t>本条适用于预评价和评价。</w:t>
      </w:r>
    </w:p>
    <w:p w14:paraId="302FAEA1">
      <w:pPr>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隔震托换和消能减震技术可以有效地减轻结构和非结构的地震损坏，提高既有工业建筑及其内部设施和人员的地震安全性，增加震后既有工业建筑继续使用的功能，并降低碳排放。</w:t>
      </w:r>
    </w:p>
    <w:p w14:paraId="6C176A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本条的评价方法为：预评价查阅施工图设计资料及相关计算书；评价查阅施工图竣工资料及相关计算书。</w:t>
      </w:r>
    </w:p>
    <w:p w14:paraId="35DAB1BA">
      <w:pPr>
        <w:pStyle w:val="28"/>
        <w:spacing w:before="0" w:beforeLines="0" w:after="0" w:afterLines="0" w:line="360" w:lineRule="auto"/>
        <w:ind w:firstLine="0" w:firstLineChars="0"/>
        <w:jc w:val="center"/>
        <w:outlineLvl w:val="2"/>
        <w:rPr>
          <w:rFonts w:eastAsia="仿宋" w:cs="Times New Roman"/>
          <w:b/>
          <w:bCs/>
          <w:sz w:val="28"/>
          <w:szCs w:val="28"/>
        </w:rPr>
      </w:pPr>
      <w:r>
        <w:rPr>
          <w:rFonts w:hint="eastAsia" w:cs="Times New Roman"/>
          <w:b/>
          <w:bCs/>
          <w:sz w:val="28"/>
          <w:szCs w:val="28"/>
        </w:rPr>
        <w:t>Ⅲ</w:t>
      </w:r>
      <w:r>
        <w:rPr>
          <w:rFonts w:cs="Times New Roman"/>
          <w:b/>
          <w:bCs/>
          <w:sz w:val="28"/>
          <w:szCs w:val="28"/>
        </w:rPr>
        <w:t xml:space="preserve"> </w:t>
      </w:r>
      <w:r>
        <w:rPr>
          <w:rFonts w:hint="eastAsia" w:ascii="仿宋" w:hAnsi="仿宋" w:eastAsia="仿宋" w:cs="仿宋"/>
          <w:b/>
          <w:bCs/>
          <w:sz w:val="28"/>
          <w:szCs w:val="28"/>
        </w:rPr>
        <w:t>低碳施工</w:t>
      </w:r>
    </w:p>
    <w:p w14:paraId="7CA8BD13">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7.2.10</w:t>
      </w:r>
      <w:r>
        <w:rPr>
          <w:rFonts w:hint="eastAsia" w:ascii="宋体" w:hAnsi="宋体" w:cs="宋体"/>
          <w:sz w:val="24"/>
          <w:szCs w:val="24"/>
        </w:rPr>
        <w:t>　</w:t>
      </w:r>
      <w:r>
        <w:rPr>
          <w:rFonts w:hint="eastAsia" w:ascii="宋体" w:hAnsi="宋体" w:eastAsia="宋体" w:cs="宋体"/>
          <w:sz w:val="24"/>
          <w:szCs w:val="24"/>
        </w:rPr>
        <w:t>本条适用于评价。</w:t>
      </w:r>
    </w:p>
    <w:p w14:paraId="1B7EEE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鼓励选用本地化建材或就近生产的建材，是减少运输过程资源和能源消耗、降低环境污染的重要手段之一。本条要求就近取材生产的建材所占的比例应大于</w:t>
      </w:r>
      <w:r>
        <w:rPr>
          <w:rFonts w:hint="default" w:ascii="Times New Roman" w:hAnsi="Times New Roman" w:eastAsia="宋体" w:cs="Times New Roman"/>
          <w:sz w:val="24"/>
          <w:szCs w:val="24"/>
        </w:rPr>
        <w:t>60%</w:t>
      </w:r>
      <w:r>
        <w:rPr>
          <w:rFonts w:hint="eastAsia" w:ascii="宋体" w:hAnsi="宋体" w:eastAsia="宋体" w:cs="宋体"/>
          <w:sz w:val="24"/>
          <w:szCs w:val="24"/>
        </w:rPr>
        <w:t>。</w:t>
      </w:r>
      <w:r>
        <w:rPr>
          <w:rFonts w:hint="default" w:ascii="Times New Roman" w:hAnsi="Times New Roman" w:eastAsia="宋体" w:cs="Times New Roman"/>
          <w:sz w:val="24"/>
          <w:szCs w:val="24"/>
        </w:rPr>
        <w:t>500km</w:t>
      </w:r>
      <w:r>
        <w:rPr>
          <w:rFonts w:hint="eastAsia" w:ascii="宋体" w:hAnsi="宋体" w:eastAsia="宋体" w:cs="宋体"/>
          <w:sz w:val="24"/>
          <w:szCs w:val="24"/>
        </w:rPr>
        <w:t>是指建筑材料的最后一个生产工厂或场地到施工现场的运输距离。</w:t>
      </w:r>
    </w:p>
    <w:p w14:paraId="699CCF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本条的评价方法为：评价查阅施工图竣工资料及相关计算书。</w:t>
      </w:r>
    </w:p>
    <w:p w14:paraId="405E4D77">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7.2.11</w:t>
      </w:r>
      <w:r>
        <w:rPr>
          <w:rFonts w:hint="eastAsia" w:ascii="宋体" w:hAnsi="宋体" w:cs="宋体"/>
          <w:sz w:val="24"/>
          <w:szCs w:val="24"/>
        </w:rPr>
        <w:t>　</w:t>
      </w:r>
      <w:r>
        <w:rPr>
          <w:rFonts w:hint="eastAsia" w:ascii="宋体" w:hAnsi="宋体" w:eastAsia="宋体" w:cs="宋体"/>
          <w:sz w:val="24"/>
          <w:szCs w:val="24"/>
        </w:rPr>
        <w:t>本条适用于评价。</w:t>
      </w:r>
    </w:p>
    <w:p w14:paraId="01A316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使用用途、付费或管理单元情况，对不同的单元分别设置用水计量装置，统计用水量，并据此实行计量收费，以实现“用者付费”，达到鼓励行为节水的目的，同时还可统计各种用途的用水量和分析渗漏水量，达到持续改进的目的。各管理单元通常是分别付费，或即使是不分别付费，也可以根据用水计量情况，对不同管理单元进行节水绩效考核，促进行为节水。</w:t>
      </w:r>
    </w:p>
    <w:p w14:paraId="4DB3A5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款，各用水系统均设置计量装置，并统计出用水量。</w:t>
      </w:r>
    </w:p>
    <w:p w14:paraId="3A20AB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款，能够按要求统计出用水量得满分。</w:t>
      </w:r>
    </w:p>
    <w:p w14:paraId="70FEEF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本条的评价方法为：评价查阅施工图竣工资料。</w:t>
      </w:r>
    </w:p>
    <w:p w14:paraId="31B82348">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7.2.12</w:t>
      </w:r>
      <w:r>
        <w:rPr>
          <w:rFonts w:hint="eastAsia" w:ascii="宋体" w:hAnsi="宋体" w:cs="宋体"/>
          <w:sz w:val="24"/>
          <w:szCs w:val="24"/>
        </w:rPr>
        <w:t>　</w:t>
      </w:r>
      <w:r>
        <w:rPr>
          <w:rFonts w:hint="eastAsia" w:ascii="宋体" w:hAnsi="宋体" w:eastAsia="宋体" w:cs="宋体"/>
          <w:sz w:val="24"/>
          <w:szCs w:val="24"/>
        </w:rPr>
        <w:t>本条适用于评价。</w:t>
      </w:r>
    </w:p>
    <w:p w14:paraId="312C80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能耗监测系统是一种基于物联网技术的智能化管理系统，用于实时监测和记录建筑物内的能源消耗情况。该系统通过安装在不同区域和设备上的传感器，收集能源消耗数据，并对这些数据进行分析和比较，以提供有关能耗使用情况的有价值信息，提高施工现场能源利用效率和管理水平，优化能源管理策略，实现节能减排的目标。</w:t>
      </w:r>
    </w:p>
    <w:p w14:paraId="2C4644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本条的评价方法为：评价查阅施工图竣工资料。</w:t>
      </w:r>
    </w:p>
    <w:p w14:paraId="53D0DF7E">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7.2.13</w:t>
      </w:r>
      <w:r>
        <w:rPr>
          <w:rFonts w:hint="eastAsia" w:ascii="宋体" w:hAnsi="宋体" w:cs="宋体"/>
          <w:sz w:val="24"/>
          <w:szCs w:val="24"/>
        </w:rPr>
        <w:t>　</w:t>
      </w:r>
      <w:r>
        <w:rPr>
          <w:rFonts w:hint="eastAsia" w:ascii="宋体" w:hAnsi="宋体" w:eastAsia="宋体" w:cs="宋体"/>
          <w:sz w:val="24"/>
          <w:szCs w:val="24"/>
        </w:rPr>
        <w:t>本条适用于评价。</w:t>
      </w:r>
    </w:p>
    <w:p w14:paraId="3EA4DE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建筑垃圾的利用方式有现场利用和回收再利用等形式。建筑垃圾中的废纸、废金属、废玻璃、废包装物、废石膏、废塑料等均可在一定程度上作为可再生材料进行回收和利用。</w:t>
      </w:r>
    </w:p>
    <w:p w14:paraId="1FC1DC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3</w:t>
      </w:r>
      <w:r>
        <w:rPr>
          <w:rFonts w:hint="eastAsia" w:ascii="宋体" w:hAnsi="宋体" w:eastAsia="宋体" w:cs="宋体"/>
          <w:sz w:val="24"/>
          <w:szCs w:val="24"/>
        </w:rPr>
        <w:t>款，建筑垃圾综合利用率=（建筑垃圾直接利用量+回填利用量+回收利用量+资源化利用量）/同期建筑总排放产生量，其中建筑垃圾资源化利用量=建筑垃圾就地利用转化为资源化利用产品量+分散或集中处理转化为资源化利用产品量。</w:t>
      </w:r>
    </w:p>
    <w:p w14:paraId="3B62C4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本条的评价方法为：评价查阅施工图竣工资料及相关计算书。</w:t>
      </w:r>
    </w:p>
    <w:p w14:paraId="3C737896">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7.2.14</w:t>
      </w:r>
      <w:r>
        <w:rPr>
          <w:rFonts w:hint="eastAsia" w:ascii="宋体" w:hAnsi="宋体" w:cs="宋体"/>
          <w:sz w:val="24"/>
          <w:szCs w:val="24"/>
        </w:rPr>
        <w:t>　</w:t>
      </w:r>
      <w:r>
        <w:rPr>
          <w:rFonts w:hint="eastAsia" w:ascii="宋体" w:hAnsi="宋体" w:eastAsia="宋体" w:cs="宋体"/>
          <w:sz w:val="24"/>
          <w:szCs w:val="24"/>
        </w:rPr>
        <w:t>本条适用于评价和评价。</w:t>
      </w:r>
    </w:p>
    <w:p w14:paraId="4B9C65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统的拆除方法大多采用爆破拆除，但该方法将产生较大的噪音、振动及扬尘，且对场地施工条件较高。同时，考虑到建筑拆除后固废资源化处理的需求及装配式建筑标准化模块化产品化属性特点，鼓励选用先进的拆除施工技术，可以减少由于拆除施工导致的</w:t>
      </w:r>
      <w:r>
        <w:rPr>
          <w:rFonts w:hint="default" w:ascii="Times New Roman" w:hAnsi="Times New Roman" w:eastAsia="宋体" w:cs="Times New Roman"/>
          <w:sz w:val="24"/>
          <w:szCs w:val="24"/>
        </w:rPr>
        <w:t>CO</w:t>
      </w:r>
      <w:r>
        <w:rPr>
          <w:rFonts w:hint="default" w:ascii="Times New Roman" w:hAnsi="Times New Roman" w:eastAsia="宋体" w:cs="Times New Roman"/>
          <w:sz w:val="24"/>
          <w:szCs w:val="24"/>
          <w:vertAlign w:val="subscript"/>
        </w:rPr>
        <w:t>2</w:t>
      </w:r>
      <w:r>
        <w:rPr>
          <w:rFonts w:hint="eastAsia" w:ascii="宋体" w:hAnsi="宋体" w:eastAsia="宋体" w:cs="宋体"/>
          <w:sz w:val="24"/>
          <w:szCs w:val="24"/>
        </w:rPr>
        <w:t>排放与环境污染，如水压拆除法、液压拆除法、静力切割法等，并发挥人工机械协同等不同设备与拆除方法的组合优势，确保建筑结构高回收性。</w:t>
      </w:r>
    </w:p>
    <w:p w14:paraId="15E468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本条的评价方法为：评价查阅施工图竣工资料。</w:t>
      </w:r>
    </w:p>
    <w:p w14:paraId="65C7F880">
      <w:pPr>
        <w:widowControl/>
        <w:snapToGrid w:val="0"/>
        <w:spacing w:line="360" w:lineRule="auto"/>
        <w:jc w:val="both"/>
        <w:rPr>
          <w:rFonts w:hint="eastAsia" w:ascii="宋体" w:hAnsi="宋体" w:cs="宋体"/>
          <w:b/>
          <w:bCs/>
          <w:kern w:val="44"/>
          <w:sz w:val="24"/>
          <w:szCs w:val="24"/>
        </w:rPr>
        <w:sectPr>
          <w:footerReference r:id="rId17" w:type="default"/>
          <w:pgSz w:w="11906" w:h="16838"/>
          <w:pgMar w:top="1440" w:right="1800" w:bottom="1440" w:left="1800" w:header="851" w:footer="992" w:gutter="0"/>
          <w:cols w:space="425" w:num="1"/>
          <w:docGrid w:type="lines" w:linePitch="312" w:charSpace="0"/>
        </w:sectPr>
      </w:pPr>
    </w:p>
    <w:p w14:paraId="3D2AA3B1">
      <w:pPr>
        <w:widowControl/>
        <w:snapToGrid w:val="0"/>
        <w:spacing w:line="360" w:lineRule="auto"/>
        <w:jc w:val="both"/>
        <w:outlineLvl w:val="9"/>
        <w:rPr>
          <w:rFonts w:ascii="Times New Roman" w:hAnsi="Times New Roman" w:cs="Times New Roman"/>
          <w:b/>
          <w:bCs w:val="0"/>
          <w:kern w:val="2"/>
          <w:sz w:val="30"/>
          <w:szCs w:val="30"/>
        </w:rPr>
      </w:pPr>
    </w:p>
    <w:p w14:paraId="4A714D9B">
      <w:pPr>
        <w:widowControl/>
        <w:snapToGrid w:val="0"/>
        <w:spacing w:line="360" w:lineRule="auto"/>
        <w:jc w:val="center"/>
        <w:outlineLvl w:val="0"/>
        <w:rPr>
          <w:rFonts w:ascii="Times New Roman" w:hAnsi="Times New Roman" w:cs="Times New Roman"/>
          <w:b/>
          <w:bCs w:val="0"/>
          <w:kern w:val="2"/>
          <w:sz w:val="30"/>
          <w:szCs w:val="30"/>
        </w:rPr>
      </w:pPr>
      <w:bookmarkStart w:id="291" w:name="_Toc2893"/>
      <w:bookmarkStart w:id="292" w:name="_Toc15578"/>
      <w:r>
        <w:rPr>
          <w:rFonts w:ascii="Times New Roman" w:hAnsi="Times New Roman" w:cs="Times New Roman"/>
          <w:b/>
          <w:bCs w:val="0"/>
          <w:kern w:val="2"/>
          <w:sz w:val="30"/>
          <w:szCs w:val="30"/>
        </w:rPr>
        <w:t>8</w:t>
      </w:r>
      <w:r>
        <w:rPr>
          <w:rFonts w:hint="default" w:ascii="Times New Roman" w:hAnsi="Times New Roman" w:cs="Times New Roman"/>
          <w:b/>
          <w:bCs w:val="0"/>
          <w:kern w:val="2"/>
          <w:sz w:val="30"/>
          <w:szCs w:val="30"/>
        </w:rPr>
        <w:t>　提高与创新</w:t>
      </w:r>
      <w:bookmarkEnd w:id="291"/>
      <w:bookmarkEnd w:id="292"/>
    </w:p>
    <w:p w14:paraId="23A956B8">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8.0.1</w:t>
      </w:r>
      <w:r>
        <w:rPr>
          <w:rFonts w:hint="eastAsia" w:ascii="宋体" w:hAnsi="宋体" w:eastAsia="宋体" w:cs="宋体"/>
          <w:b/>
          <w:bCs/>
          <w:sz w:val="24"/>
          <w:szCs w:val="24"/>
        </w:rPr>
        <w:t>　</w:t>
      </w:r>
      <w:r>
        <w:rPr>
          <w:rFonts w:hint="eastAsia" w:ascii="宋体" w:hAnsi="宋体" w:eastAsia="宋体" w:cs="宋体"/>
          <w:sz w:val="24"/>
          <w:szCs w:val="24"/>
        </w:rPr>
        <w:t>本条适用于预评价和评价。</w:t>
      </w:r>
    </w:p>
    <w:p w14:paraId="1E38C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鼓励项目根据所在地的气候、资源特点，在本标准前面条文基础上，通过进一步提升建筑围护结构热工性能、提高供暖空调设备系统能效，以最少的供暖空调能源消耗提供舒适室内环境。</w:t>
      </w:r>
    </w:p>
    <w:p w14:paraId="28ADBA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实际建筑供暖空调系统的能耗应与现行强制性工程建设规范《建筑节能与可再生能源利用通用规范》</w:t>
      </w:r>
      <w:r>
        <w:rPr>
          <w:rFonts w:hint="default" w:ascii="Times New Roman" w:hAnsi="Times New Roman" w:eastAsia="宋体" w:cs="Times New Roman"/>
          <w:sz w:val="24"/>
          <w:szCs w:val="24"/>
        </w:rPr>
        <w:t>GB</w:t>
      </w:r>
      <w:r>
        <w:rPr>
          <w:rFonts w:hint="eastAsia" w:cs="Times New Roman"/>
          <w:sz w:val="24"/>
          <w:szCs w:val="24"/>
          <w:lang w:val="en-US" w:eastAsia="zh-CN"/>
        </w:rPr>
        <w:t xml:space="preserve"> </w:t>
      </w:r>
      <w:r>
        <w:rPr>
          <w:rFonts w:hint="default" w:ascii="Times New Roman" w:hAnsi="Times New Roman" w:eastAsia="宋体" w:cs="Times New Roman"/>
          <w:sz w:val="24"/>
          <w:szCs w:val="24"/>
        </w:rPr>
        <w:t>55015</w:t>
      </w:r>
      <w:r>
        <w:rPr>
          <w:rFonts w:hint="eastAsia" w:ascii="宋体" w:hAnsi="宋体" w:eastAsia="宋体" w:cs="宋体"/>
          <w:sz w:val="24"/>
          <w:szCs w:val="24"/>
        </w:rPr>
        <w:t>的规定进行比较。对于住宅，可对比强制性工程建设规范《建筑节能与可再生能源利用通用规范》</w:t>
      </w:r>
      <w:r>
        <w:rPr>
          <w:rFonts w:hint="default" w:ascii="Times New Roman" w:hAnsi="Times New Roman" w:eastAsia="宋体" w:cs="Times New Roman"/>
          <w:sz w:val="24"/>
          <w:szCs w:val="24"/>
        </w:rPr>
        <w:t>GB 55015-2021</w:t>
      </w:r>
      <w:r>
        <w:rPr>
          <w:rFonts w:hint="eastAsia" w:ascii="宋体" w:hAnsi="宋体" w:eastAsia="宋体" w:cs="宋体"/>
          <w:sz w:val="24"/>
          <w:szCs w:val="24"/>
        </w:rPr>
        <w:t>附录</w:t>
      </w:r>
      <w:r>
        <w:rPr>
          <w:rFonts w:hint="default" w:ascii="Times New Roman" w:hAnsi="Times New Roman" w:eastAsia="宋体" w:cs="Times New Roman"/>
          <w:sz w:val="24"/>
          <w:szCs w:val="24"/>
        </w:rPr>
        <w:t>A.0.1</w:t>
      </w:r>
      <w:r>
        <w:rPr>
          <w:rFonts w:hint="eastAsia" w:ascii="宋体" w:hAnsi="宋体" w:eastAsia="宋体" w:cs="宋体"/>
          <w:sz w:val="24"/>
          <w:szCs w:val="24"/>
        </w:rPr>
        <w:t>的供暖供冷平均能耗指标；对于类型功能复杂、系统形式差别较大的公共建筑，则既可对比按强制性工程建设规范《建筑节能与可再生能源利用通用规范》</w:t>
      </w:r>
      <w:r>
        <w:rPr>
          <w:rFonts w:hint="default" w:ascii="Times New Roman" w:hAnsi="Times New Roman" w:eastAsia="宋体" w:cs="Times New Roman"/>
          <w:sz w:val="24"/>
          <w:szCs w:val="24"/>
        </w:rPr>
        <w:t>GB 55015-2021</w:t>
      </w:r>
      <w:r>
        <w:rPr>
          <w:rFonts w:hint="eastAsia" w:ascii="宋体" w:hAnsi="宋体" w:eastAsia="宋体" w:cs="宋体"/>
          <w:sz w:val="24"/>
          <w:szCs w:val="24"/>
        </w:rPr>
        <w:t>附录</w:t>
      </w:r>
      <w:r>
        <w:rPr>
          <w:rFonts w:hint="default" w:ascii="Times New Roman" w:hAnsi="Times New Roman" w:eastAsia="宋体" w:cs="Times New Roman"/>
          <w:sz w:val="24"/>
          <w:szCs w:val="24"/>
        </w:rPr>
        <w:t>C</w:t>
      </w:r>
      <w:r>
        <w:rPr>
          <w:rFonts w:hint="eastAsia" w:ascii="宋体" w:hAnsi="宋体" w:eastAsia="宋体" w:cs="宋体"/>
          <w:sz w:val="24"/>
          <w:szCs w:val="24"/>
        </w:rPr>
        <w:t>规定的标准工况下计算的参照建筑供暖供冷能耗，也可对比按现行行业标准《民用建筑绿色性能计算标准》</w:t>
      </w:r>
      <w:r>
        <w:rPr>
          <w:rFonts w:hint="default" w:ascii="Times New Roman" w:hAnsi="Times New Roman" w:eastAsia="宋体" w:cs="Times New Roman"/>
          <w:sz w:val="24"/>
          <w:szCs w:val="24"/>
        </w:rPr>
        <w:t>JGJ/T 449</w:t>
      </w:r>
      <w:r>
        <w:rPr>
          <w:rFonts w:hint="eastAsia" w:ascii="宋体" w:hAnsi="宋体" w:eastAsia="宋体" w:cs="宋体"/>
          <w:sz w:val="24"/>
          <w:szCs w:val="24"/>
        </w:rPr>
        <w:t>计算的参照建筑供暖空调能耗。</w:t>
      </w:r>
    </w:p>
    <w:p w14:paraId="3F0812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围护结构施工详图、暖通空调等专业施工图及相关设计说明）、节能计算书、建筑暖通空调系统能耗节能率分析报告；评价查阅相关竣工图（围护结构施工详图、暖通空调等专业施工图及相关设计说明）、节能计算书、建筑暖通空调系统能耗节能率分析报告。</w:t>
      </w:r>
    </w:p>
    <w:p w14:paraId="2DBB2196">
      <w:pPr>
        <w:spacing w:line="360" w:lineRule="auto"/>
        <w:ind w:firstLine="0" w:firstLineChars="0"/>
        <w:rPr>
          <w:rFonts w:hint="eastAsia" w:ascii="宋体" w:hAnsi="宋体" w:eastAsia="宋体" w:cs="宋体"/>
          <w:sz w:val="24"/>
          <w:szCs w:val="24"/>
          <w:highlight w:val="yellow"/>
        </w:rPr>
      </w:pPr>
      <w:r>
        <w:rPr>
          <w:rFonts w:hint="default" w:ascii="Times New Roman" w:hAnsi="Times New Roman" w:eastAsia="宋体" w:cs="Times New Roman"/>
          <w:b/>
          <w:bCs/>
          <w:sz w:val="24"/>
          <w:szCs w:val="24"/>
        </w:rPr>
        <w:t>8.0.2</w:t>
      </w:r>
      <w:r>
        <w:rPr>
          <w:rFonts w:hint="eastAsia" w:ascii="宋体" w:hAnsi="宋体" w:eastAsia="宋体" w:cs="宋体"/>
          <w:b/>
          <w:bCs/>
          <w:sz w:val="24"/>
          <w:szCs w:val="24"/>
        </w:rPr>
        <w:t>　</w:t>
      </w:r>
      <w:r>
        <w:rPr>
          <w:rFonts w:hint="eastAsia" w:ascii="宋体" w:hAnsi="宋体" w:eastAsia="宋体" w:cs="宋体"/>
          <w:sz w:val="24"/>
          <w:szCs w:val="24"/>
        </w:rPr>
        <w:t>本条适用于预评价和评价。</w:t>
      </w:r>
    </w:p>
    <w:p w14:paraId="25E6A5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建筑信息模型（</w:t>
      </w:r>
      <w:r>
        <w:rPr>
          <w:rFonts w:hint="default" w:ascii="Times New Roman" w:hAnsi="Times New Roman" w:eastAsia="宋体" w:cs="Times New Roman"/>
          <w:sz w:val="24"/>
          <w:szCs w:val="24"/>
        </w:rPr>
        <w:t>BIM</w:t>
      </w:r>
      <w:r>
        <w:rPr>
          <w:rFonts w:hint="eastAsia" w:ascii="宋体" w:hAnsi="宋体" w:eastAsia="宋体" w:cs="宋体"/>
          <w:sz w:val="24"/>
          <w:szCs w:val="24"/>
        </w:rPr>
        <w:t>）是建筑业信息化的重要支撑技术。</w:t>
      </w:r>
      <w:r>
        <w:rPr>
          <w:rFonts w:hint="default" w:ascii="Times New Roman" w:hAnsi="Times New Roman" w:eastAsia="宋体" w:cs="Times New Roman"/>
          <w:sz w:val="24"/>
          <w:szCs w:val="24"/>
        </w:rPr>
        <w:t>BIM</w:t>
      </w:r>
      <w:r>
        <w:rPr>
          <w:rFonts w:hint="eastAsia" w:ascii="宋体" w:hAnsi="宋体" w:eastAsia="宋体" w:cs="宋体"/>
          <w:sz w:val="24"/>
          <w:szCs w:val="24"/>
        </w:rPr>
        <w:t>是在</w:t>
      </w:r>
      <w:r>
        <w:rPr>
          <w:rFonts w:hint="default" w:ascii="Times New Roman" w:hAnsi="Times New Roman" w:eastAsia="宋体" w:cs="Times New Roman"/>
          <w:sz w:val="24"/>
          <w:szCs w:val="24"/>
        </w:rPr>
        <w:t>CAD</w:t>
      </w:r>
      <w:r>
        <w:rPr>
          <w:rFonts w:hint="eastAsia" w:ascii="宋体" w:hAnsi="宋体" w:eastAsia="宋体" w:cs="宋体"/>
          <w:sz w:val="24"/>
          <w:szCs w:val="24"/>
        </w:rPr>
        <w:t>技术基础上发展起来的多维模型信息集成技术。</w:t>
      </w:r>
      <w:r>
        <w:rPr>
          <w:rFonts w:hint="default" w:ascii="Times New Roman" w:hAnsi="Times New Roman" w:eastAsia="宋体" w:cs="Times New Roman"/>
          <w:sz w:val="24"/>
          <w:szCs w:val="24"/>
        </w:rPr>
        <w:t>BIM</w:t>
      </w:r>
      <w:r>
        <w:rPr>
          <w:rFonts w:hint="eastAsia" w:ascii="宋体" w:hAnsi="宋体" w:eastAsia="宋体" w:cs="宋体"/>
          <w:sz w:val="24"/>
          <w:szCs w:val="24"/>
        </w:rPr>
        <w:t>是集成了建筑工程项目各种相关信息的工程数据模型，能使设计人员和工程人员能够对各种建筑信息做出正确的应对，实现数据共享并协同工作。</w:t>
      </w:r>
    </w:p>
    <w:p w14:paraId="3CC0958E">
      <w:pPr>
        <w:spacing w:line="360" w:lineRule="auto"/>
        <w:ind w:firstLine="480" w:firstLineChars="200"/>
        <w:rPr>
          <w:rFonts w:hint="eastAsia" w:ascii="宋体" w:hAnsi="宋体" w:eastAsia="宋体" w:cs="宋体"/>
          <w:sz w:val="24"/>
          <w:szCs w:val="24"/>
        </w:rPr>
      </w:pPr>
      <w:r>
        <w:rPr>
          <w:rFonts w:hint="default" w:ascii="Times New Roman" w:hAnsi="Times New Roman" w:eastAsia="宋体" w:cs="Times New Roman"/>
          <w:sz w:val="24"/>
          <w:szCs w:val="24"/>
        </w:rPr>
        <w:t>BIM</w:t>
      </w:r>
      <w:r>
        <w:rPr>
          <w:rFonts w:hint="eastAsia" w:ascii="宋体" w:hAnsi="宋体" w:eastAsia="宋体" w:cs="宋体"/>
          <w:sz w:val="24"/>
          <w:szCs w:val="24"/>
        </w:rPr>
        <w:t>技术支持建筑工程全寿命期的信息管理和应用。在建筑工程建设的各阶段支持基于</w:t>
      </w:r>
      <w:r>
        <w:rPr>
          <w:rFonts w:hint="default" w:ascii="Times New Roman" w:hAnsi="Times New Roman" w:eastAsia="宋体" w:cs="Times New Roman"/>
          <w:sz w:val="24"/>
          <w:szCs w:val="24"/>
        </w:rPr>
        <w:t>BIM</w:t>
      </w:r>
      <w:r>
        <w:rPr>
          <w:rFonts w:hint="eastAsia" w:ascii="宋体" w:hAnsi="宋体" w:eastAsia="宋体" w:cs="宋体"/>
          <w:sz w:val="24"/>
          <w:szCs w:val="24"/>
        </w:rPr>
        <w:t>的数据交换和共享，可以极大地提升建筑工程信息化整体水平，工程建设各阶段、各专业之间的协作配合可以在更高层次上充分利用各自资源，有效地避免由于数据不通畅带来的重复性劳动，大大提高整个工程的质量和效率，并显著降低成本。因此，</w:t>
      </w:r>
      <w:r>
        <w:rPr>
          <w:rFonts w:hint="default" w:ascii="Times New Roman" w:hAnsi="Times New Roman" w:eastAsia="宋体" w:cs="Times New Roman"/>
          <w:sz w:val="24"/>
          <w:szCs w:val="24"/>
        </w:rPr>
        <w:t>BIM</w:t>
      </w:r>
      <w:r>
        <w:rPr>
          <w:rFonts w:hint="eastAsia" w:ascii="宋体" w:hAnsi="宋体" w:eastAsia="宋体" w:cs="宋体"/>
          <w:sz w:val="24"/>
          <w:szCs w:val="24"/>
        </w:rPr>
        <w:t>中至少应包含规划、建筑、结构、给水排水、暖通、电气等</w:t>
      </w:r>
      <w:r>
        <w:rPr>
          <w:rFonts w:hint="default" w:ascii="Times New Roman" w:hAnsi="Times New Roman" w:eastAsia="宋体" w:cs="Times New Roman"/>
          <w:sz w:val="24"/>
          <w:szCs w:val="24"/>
        </w:rPr>
        <w:t>6</w:t>
      </w:r>
      <w:r>
        <w:rPr>
          <w:rFonts w:hint="eastAsia" w:ascii="宋体" w:hAnsi="宋体" w:eastAsia="宋体" w:cs="宋体"/>
          <w:sz w:val="24"/>
          <w:szCs w:val="24"/>
        </w:rPr>
        <w:t>大专业相关信息。</w:t>
      </w:r>
    </w:p>
    <w:p w14:paraId="06ADB2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评价时，规划设计阶段和运营维护阶段</w:t>
      </w:r>
      <w:r>
        <w:rPr>
          <w:rFonts w:hint="default" w:ascii="Times New Roman" w:hAnsi="Times New Roman" w:eastAsia="宋体" w:cs="Times New Roman"/>
          <w:sz w:val="24"/>
          <w:szCs w:val="24"/>
        </w:rPr>
        <w:t>BIM</w:t>
      </w:r>
      <w:r>
        <w:rPr>
          <w:rFonts w:hint="eastAsia" w:ascii="宋体" w:hAnsi="宋体" w:eastAsia="宋体" w:cs="宋体"/>
          <w:sz w:val="24"/>
          <w:szCs w:val="24"/>
        </w:rPr>
        <w:t>分别至少应涉及</w:t>
      </w:r>
      <w:r>
        <w:rPr>
          <w:rFonts w:hint="default" w:ascii="Times New Roman" w:hAnsi="Times New Roman" w:eastAsia="宋体" w:cs="Times New Roman"/>
          <w:sz w:val="24"/>
          <w:szCs w:val="24"/>
        </w:rPr>
        <w:t>2</w:t>
      </w:r>
      <w:r>
        <w:rPr>
          <w:rFonts w:hint="eastAsia" w:ascii="宋体" w:hAnsi="宋体" w:eastAsia="宋体" w:cs="宋体"/>
          <w:sz w:val="24"/>
          <w:szCs w:val="24"/>
        </w:rPr>
        <w:t>项重点内容应用，施工阶段</w:t>
      </w:r>
      <w:r>
        <w:rPr>
          <w:rFonts w:hint="default" w:ascii="Times New Roman" w:hAnsi="Times New Roman" w:eastAsia="宋体" w:cs="Times New Roman"/>
          <w:sz w:val="24"/>
          <w:szCs w:val="24"/>
        </w:rPr>
        <w:t>BIM</w:t>
      </w:r>
      <w:r>
        <w:rPr>
          <w:rFonts w:hint="eastAsia" w:ascii="宋体" w:hAnsi="宋体" w:eastAsia="宋体" w:cs="宋体"/>
          <w:sz w:val="24"/>
          <w:szCs w:val="24"/>
        </w:rPr>
        <w:t>至少应涉及</w:t>
      </w:r>
      <w:r>
        <w:rPr>
          <w:rFonts w:hint="default" w:ascii="Times New Roman" w:hAnsi="Times New Roman" w:eastAsia="宋体" w:cs="Times New Roman"/>
          <w:sz w:val="24"/>
          <w:szCs w:val="24"/>
        </w:rPr>
        <w:t>3</w:t>
      </w:r>
      <w:r>
        <w:rPr>
          <w:rFonts w:hint="eastAsia" w:ascii="宋体" w:hAnsi="宋体" w:eastAsia="宋体" w:cs="宋体"/>
          <w:sz w:val="24"/>
          <w:szCs w:val="24"/>
        </w:rPr>
        <w:t>项重点内容应用，方可得分。</w:t>
      </w:r>
    </w:p>
    <w:p w14:paraId="013F5C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一个项目不同阶段出现多个</w:t>
      </w:r>
      <w:r>
        <w:rPr>
          <w:rFonts w:hint="default" w:ascii="Times New Roman" w:hAnsi="Times New Roman" w:eastAsia="宋体" w:cs="Times New Roman"/>
          <w:sz w:val="24"/>
          <w:szCs w:val="24"/>
        </w:rPr>
        <w:t>BIM</w:t>
      </w:r>
      <w:r>
        <w:rPr>
          <w:rFonts w:hint="eastAsia" w:ascii="宋体" w:hAnsi="宋体" w:eastAsia="宋体" w:cs="宋体"/>
          <w:sz w:val="24"/>
          <w:szCs w:val="24"/>
        </w:rPr>
        <w:t>模型，无法有效解决数据信息资源共享问题，因此当在两个及以上阶段应用</w:t>
      </w:r>
      <w:r>
        <w:rPr>
          <w:rFonts w:hint="default" w:ascii="Times New Roman" w:hAnsi="Times New Roman" w:eastAsia="宋体" w:cs="Times New Roman"/>
          <w:sz w:val="24"/>
          <w:szCs w:val="24"/>
        </w:rPr>
        <w:t>BIM</w:t>
      </w:r>
      <w:r>
        <w:rPr>
          <w:rFonts w:hint="eastAsia" w:ascii="宋体" w:hAnsi="宋体" w:eastAsia="宋体" w:cs="宋体"/>
          <w:sz w:val="24"/>
          <w:szCs w:val="24"/>
        </w:rPr>
        <w:t>时，应基于同一</w:t>
      </w:r>
      <w:r>
        <w:rPr>
          <w:rFonts w:hint="default" w:ascii="Times New Roman" w:hAnsi="Times New Roman" w:eastAsia="宋体" w:cs="Times New Roman"/>
          <w:sz w:val="24"/>
          <w:szCs w:val="24"/>
        </w:rPr>
        <w:t>BIM</w:t>
      </w:r>
      <w:r>
        <w:rPr>
          <w:rFonts w:hint="eastAsia" w:ascii="宋体" w:hAnsi="宋体" w:eastAsia="宋体" w:cs="宋体"/>
          <w:sz w:val="24"/>
          <w:szCs w:val="24"/>
        </w:rPr>
        <w:t>模型开展，否则不认为在两个阶段应用了</w:t>
      </w:r>
      <w:r>
        <w:rPr>
          <w:rFonts w:hint="default" w:ascii="Times New Roman" w:hAnsi="Times New Roman" w:eastAsia="宋体" w:cs="Times New Roman"/>
          <w:sz w:val="24"/>
          <w:szCs w:val="24"/>
        </w:rPr>
        <w:t>BIM</w:t>
      </w:r>
      <w:r>
        <w:rPr>
          <w:rFonts w:hint="eastAsia" w:ascii="宋体" w:hAnsi="宋体" w:eastAsia="宋体" w:cs="宋体"/>
          <w:sz w:val="24"/>
          <w:szCs w:val="24"/>
        </w:rPr>
        <w:t>技术。</w:t>
      </w:r>
    </w:p>
    <w:p w14:paraId="1312E150">
      <w:pPr>
        <w:spacing w:line="360" w:lineRule="auto"/>
        <w:ind w:firstLine="480" w:firstLineChars="200"/>
        <w:rPr>
          <w:rFonts w:hint="eastAsia" w:ascii="宋体" w:hAnsi="宋体" w:cs="宋体"/>
          <w:kern w:val="0"/>
          <w:sz w:val="24"/>
          <w:szCs w:val="24"/>
        </w:rPr>
      </w:pPr>
      <w:r>
        <w:rPr>
          <w:rFonts w:hint="eastAsia" w:ascii="宋体" w:hAnsi="宋体" w:eastAsia="宋体" w:cs="宋体"/>
          <w:sz w:val="24"/>
          <w:szCs w:val="24"/>
        </w:rPr>
        <w:t>本条的评价方法为：预评价查阅相关设计文件、</w:t>
      </w:r>
      <w:r>
        <w:rPr>
          <w:rFonts w:hint="default" w:ascii="Times New Roman" w:hAnsi="Times New Roman" w:eastAsia="宋体" w:cs="Times New Roman"/>
          <w:sz w:val="24"/>
          <w:szCs w:val="24"/>
        </w:rPr>
        <w:t>BIM</w:t>
      </w:r>
      <w:r>
        <w:rPr>
          <w:rFonts w:hint="eastAsia" w:ascii="宋体" w:hAnsi="宋体" w:eastAsia="宋体" w:cs="宋体"/>
          <w:sz w:val="24"/>
          <w:szCs w:val="24"/>
        </w:rPr>
        <w:t>技术应用报告；评价查阅相关竣工图、</w:t>
      </w:r>
      <w:r>
        <w:rPr>
          <w:rFonts w:hint="default" w:ascii="Times New Roman" w:hAnsi="Times New Roman" w:eastAsia="宋体" w:cs="Times New Roman"/>
          <w:sz w:val="24"/>
          <w:szCs w:val="24"/>
        </w:rPr>
        <w:t>BIM</w:t>
      </w:r>
      <w:r>
        <w:rPr>
          <w:rFonts w:hint="eastAsia" w:ascii="宋体" w:hAnsi="宋体" w:eastAsia="宋体" w:cs="宋体"/>
          <w:sz w:val="24"/>
          <w:szCs w:val="24"/>
        </w:rPr>
        <w:t>技术成果报告。</w:t>
      </w:r>
    </w:p>
    <w:p w14:paraId="6620DF45">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8.0.3</w:t>
      </w:r>
      <w:r>
        <w:rPr>
          <w:rFonts w:hint="eastAsia" w:ascii="宋体" w:hAnsi="宋体" w:cs="宋体"/>
          <w:sz w:val="24"/>
          <w:szCs w:val="24"/>
        </w:rPr>
        <w:t>　</w:t>
      </w:r>
      <w:r>
        <w:rPr>
          <w:rFonts w:hint="eastAsia" w:ascii="宋体" w:hAnsi="宋体" w:eastAsia="宋体" w:cs="宋体"/>
          <w:sz w:val="24"/>
          <w:szCs w:val="24"/>
        </w:rPr>
        <w:t>本条适用于预评价和评价。</w:t>
      </w:r>
    </w:p>
    <w:p w14:paraId="0237FF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光储直柔是指配置建筑光伏和建筑储能，采用直流配电系统，且用电设备具备功率主动响应功能的新型建筑能源系统。采用光储直柔技术，能够提高建筑光伏的就地消纳能力，实现建筑领域高效利用可再生能源，解决需求侧的随机性，实现与城市电网的友好交互，帮助城市电网“削峰填谷”，在全社会层面取得更显著的节能效益。《国务院关于印发</w:t>
      </w:r>
      <w:r>
        <w:rPr>
          <w:rFonts w:hint="default" w:ascii="Times New Roman" w:hAnsi="Times New Roman" w:eastAsia="宋体" w:cs="Times New Roman"/>
          <w:sz w:val="24"/>
          <w:szCs w:val="24"/>
        </w:rPr>
        <w:t>2030</w:t>
      </w:r>
      <w:r>
        <w:rPr>
          <w:rFonts w:hint="eastAsia" w:ascii="宋体" w:hAnsi="宋体" w:eastAsia="宋体" w:cs="宋体"/>
          <w:sz w:val="24"/>
          <w:szCs w:val="24"/>
        </w:rPr>
        <w:t>年前碳达峰行动方案的通知》明确提出，“加快优化建筑用能结构”，提高建筑终端电气化水平，建设集光伏发电、储能、直流配电、柔性用电于一体的“光储直柔”建筑。因此，为了鼓励更多的建筑应用光储直柔技术，将其列为加分项。</w:t>
      </w:r>
    </w:p>
    <w:p w14:paraId="738F0E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建筑光伏和储能输出的通常为直流电。直接利用直流电既可以减少交直流转换带来的损失，也是实现光储柔的必需保障。因此要求建筑的全部空间或部分空间采用直流配电系统。当仅部分空间采取直流配电时，这部分空间的直流用电负荷设计值不能低于光伏最大发电能力。建筑内的用电设备很多，本款要求直流负载至少包括照明、空调和插座，或直流配电容量不少于建筑总配电的</w:t>
      </w:r>
      <w:r>
        <w:rPr>
          <w:rFonts w:hint="default" w:ascii="Times New Roman" w:hAnsi="Times New Roman" w:eastAsia="宋体" w:cs="Times New Roman"/>
          <w:sz w:val="24"/>
          <w:szCs w:val="24"/>
        </w:rPr>
        <w:t>30%</w:t>
      </w:r>
      <w:r>
        <w:rPr>
          <w:rFonts w:hint="eastAsia" w:ascii="宋体" w:hAnsi="宋体" w:eastAsia="宋体" w:cs="宋体"/>
          <w:sz w:val="24"/>
          <w:szCs w:val="24"/>
        </w:rPr>
        <w:t>，是因为只有更多类型和数量的负载采用直流配电，才有利于实现建筑用电的柔性调节。</w:t>
      </w:r>
    </w:p>
    <w:p w14:paraId="5D8598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时，查阅光储直柔设计文件以及光伏、储能、市电和用电负荷的全年逐时计算书；评价时，除了查阅预评价时的文件资料外，还查阅竣工图、实景照片、光伏发电量记录以及建筑电力交互能力的检测报告等，并现场核查。</w:t>
      </w:r>
    </w:p>
    <w:p w14:paraId="5D513FDF">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8.0.4</w:t>
      </w:r>
      <w:r>
        <w:rPr>
          <w:rFonts w:hint="eastAsia" w:ascii="宋体" w:hAnsi="宋体" w:cs="宋体"/>
          <w:sz w:val="24"/>
          <w:szCs w:val="24"/>
        </w:rPr>
        <w:t>　</w:t>
      </w:r>
      <w:r>
        <w:rPr>
          <w:rFonts w:hint="eastAsia" w:ascii="宋体" w:hAnsi="宋体" w:eastAsia="宋体" w:cs="宋体"/>
          <w:sz w:val="24"/>
          <w:szCs w:val="24"/>
        </w:rPr>
        <w:t>本条适用于预评价和评价。</w:t>
      </w:r>
    </w:p>
    <w:p w14:paraId="5D2186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取相关节能减排措施量化降低改造后建筑运行碳排放，做到有的放矢。本条评价时，既有建筑碳排放基准可包括两种方式：1）与改造前既有建筑的运行碳排放进行对比，鼓励改造前运行碳排放较大、条件较差的建筑通过系列减碳措施，大幅降低建筑运行碳排放，达到节能减排的目的；2）参照新建建筑碳排放，即与现行国家标准《建筑节能与可再生能源利用通用规范》</w:t>
      </w:r>
      <w:r>
        <w:rPr>
          <w:rFonts w:hint="default" w:ascii="Times New Roman" w:hAnsi="Times New Roman" w:eastAsia="宋体" w:cs="Times New Roman"/>
          <w:sz w:val="24"/>
          <w:szCs w:val="24"/>
        </w:rPr>
        <w:t>GB 55015</w:t>
      </w:r>
      <w:r>
        <w:rPr>
          <w:rFonts w:hint="eastAsia" w:ascii="宋体" w:hAnsi="宋体" w:eastAsia="宋体" w:cs="宋体"/>
          <w:sz w:val="24"/>
          <w:szCs w:val="24"/>
        </w:rPr>
        <w:t>进行对比，鼓励改造前运行碳排放不大、条件较好的建筑通过小范围的减碳改造，合理优化建筑运行碳排放。</w:t>
      </w:r>
    </w:p>
    <w:p w14:paraId="4E73F1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既有建筑低碳改造时，可根据自身条件合理选择对比基准，上述二者即可满足其一即可得分。</w:t>
      </w:r>
    </w:p>
    <w:p w14:paraId="24C26B4F">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8.0.5</w:t>
      </w:r>
      <w:r>
        <w:rPr>
          <w:rFonts w:hint="eastAsia" w:ascii="宋体" w:hAnsi="宋体" w:cs="宋体"/>
          <w:sz w:val="24"/>
          <w:szCs w:val="24"/>
        </w:rPr>
        <w:t>　</w:t>
      </w:r>
      <w:r>
        <w:rPr>
          <w:rFonts w:hint="eastAsia" w:ascii="宋体" w:hAnsi="宋体" w:eastAsia="宋体" w:cs="宋体"/>
          <w:sz w:val="24"/>
          <w:szCs w:val="24"/>
        </w:rPr>
        <w:t>本条适用于预评价和评价。</w:t>
      </w:r>
    </w:p>
    <w:p w14:paraId="331589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绿色电力交易与碳排放权交易的产品应为中国国内相关交易机制签发或在中国境内开发的减排项目。</w:t>
      </w:r>
    </w:p>
    <w:p w14:paraId="717CC95C">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color w:val="000000" w:themeColor="text1"/>
          <w:sz w:val="24"/>
          <w:szCs w:val="24"/>
          <w14:textFill>
            <w14:solidFill>
              <w14:schemeClr w14:val="tx1"/>
            </w14:solidFill>
          </w14:textFill>
        </w:rPr>
        <w:t>8.0.6</w:t>
      </w:r>
      <w:r>
        <w:rPr>
          <w:rFonts w:hint="eastAsia" w:ascii="宋体" w:hAnsi="宋体" w:cs="宋体"/>
          <w:sz w:val="24"/>
          <w:szCs w:val="24"/>
        </w:rPr>
        <w:t>　</w:t>
      </w:r>
      <w:r>
        <w:rPr>
          <w:rFonts w:hint="eastAsia" w:ascii="宋体" w:hAnsi="宋体" w:eastAsia="宋体" w:cs="宋体"/>
          <w:sz w:val="24"/>
          <w:szCs w:val="24"/>
        </w:rPr>
        <w:t>本条适用于预评价和评价。</w:t>
      </w:r>
    </w:p>
    <w:p w14:paraId="25CC0F16">
      <w:pPr>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检测设计施工总承包（</w:t>
      </w:r>
      <w:r>
        <w:rPr>
          <w:rFonts w:hint="default" w:ascii="Times New Roman" w:hAnsi="Times New Roman" w:eastAsia="宋体" w:cs="Times New Roman"/>
          <w:sz w:val="24"/>
          <w:szCs w:val="24"/>
        </w:rPr>
        <w:t>Test, Design and Built</w:t>
      </w:r>
      <w:r>
        <w:rPr>
          <w:rFonts w:hint="eastAsia" w:ascii="宋体" w:hAnsi="宋体" w:eastAsia="宋体" w:cs="宋体"/>
          <w:sz w:val="24"/>
          <w:szCs w:val="24"/>
        </w:rPr>
        <w:t>）模式是指从事工程总承包的企业按照与建设单位签订的合同，对工程项目的检测、设计、采购、施工等实行全过程或若干阶段的承包，并对工程的质量、安全、工期和造价等全面负责。</w:t>
      </w:r>
    </w:p>
    <w:p w14:paraId="438E7609">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color w:val="000000" w:themeColor="text1"/>
          <w:sz w:val="24"/>
          <w:szCs w:val="24"/>
          <w14:textFill>
            <w14:solidFill>
              <w14:schemeClr w14:val="tx1"/>
            </w14:solidFill>
          </w14:textFill>
        </w:rPr>
        <w:t>8.0.7</w:t>
      </w:r>
      <w:r>
        <w:rPr>
          <w:rFonts w:hint="eastAsia" w:ascii="宋体" w:hAnsi="宋体" w:cs="宋体"/>
          <w:sz w:val="24"/>
          <w:szCs w:val="24"/>
        </w:rPr>
        <w:t>　</w:t>
      </w:r>
      <w:r>
        <w:rPr>
          <w:rFonts w:hint="eastAsia" w:ascii="宋体" w:hAnsi="宋体" w:eastAsia="宋体" w:cs="宋体"/>
          <w:sz w:val="24"/>
          <w:szCs w:val="24"/>
        </w:rPr>
        <w:t>建筑垃圾再利用率=（建筑垃圾直接利用量+回填利用量+回收利用量+资源化利用产品量）/同期建筑总排放产生量；资源化利用产品量即为建筑垃圾生产为再生建材利用量，再生建材主要包括但不限于再生材料(如再生粉料、再生骨料、路基材料等)和再生制品(如再生骨料混凝土及其构件、再生骨料砂浆、再生混合料、再生混凝土砖、再生混凝土砌块、再生混凝土墙板、再生装配式建材、环保砖、烧结砖和烧结砌块等)。</w:t>
      </w:r>
    </w:p>
    <w:p w14:paraId="2D47177C">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sz w:val="24"/>
          <w:szCs w:val="24"/>
        </w:rPr>
        <w:t>8.0.8</w:t>
      </w:r>
      <w:r>
        <w:rPr>
          <w:rFonts w:hint="eastAsia" w:ascii="宋体" w:hAnsi="宋体" w:eastAsia="宋体" w:cs="宋体"/>
          <w:b/>
          <w:bCs/>
          <w:sz w:val="24"/>
          <w:szCs w:val="24"/>
        </w:rPr>
        <w:t>　</w:t>
      </w:r>
      <w:r>
        <w:rPr>
          <w:rFonts w:hint="eastAsia" w:ascii="宋体" w:hAnsi="宋体" w:eastAsia="宋体" w:cs="宋体"/>
          <w:sz w:val="24"/>
          <w:szCs w:val="24"/>
        </w:rPr>
        <w:t>本条适用于改造为住宅、宿舍和办公建筑的预评价和评价。</w:t>
      </w:r>
    </w:p>
    <w:p w14:paraId="7DFE76CB">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模块化集成建筑是将建筑拆分为模块化“单元”</w:t>
      </w:r>
      <w:r>
        <w:rPr>
          <w:rFonts w:hint="eastAsia" w:ascii="宋体" w:hAnsi="宋体" w:cs="宋体"/>
          <w:sz w:val="24"/>
          <w:szCs w:val="24"/>
          <w:lang w:eastAsia="zh-CN"/>
        </w:rPr>
        <w:t>，在</w:t>
      </w:r>
      <w:r>
        <w:rPr>
          <w:rFonts w:hint="eastAsia" w:ascii="宋体" w:hAnsi="宋体" w:eastAsia="宋体" w:cs="宋体"/>
          <w:sz w:val="24"/>
          <w:szCs w:val="24"/>
        </w:rPr>
        <w:t>工厂内高效完成模块的结构、</w:t>
      </w: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"https://baike.baidu.com/item/%E8%A3%85%E4%BF%AE/3421693?fromModule=lemma_inlink" \t "https://baike.baidu.com/item/%E6%A8%A1%E5%9D%97%E5%8C%96%E9%9B%86%E6%88%90%E5%BB%BA%E7%AD%91/_blank" </w:instrText>
      </w:r>
      <w:r>
        <w:rPr>
          <w:rFonts w:hint="eastAsia" w:ascii="宋体" w:hAnsi="宋体" w:cs="宋体"/>
          <w:sz w:val="24"/>
          <w:szCs w:val="24"/>
        </w:rPr>
        <w:fldChar w:fldCharType="separate"/>
      </w:r>
      <w:r>
        <w:rPr>
          <w:rFonts w:hint="eastAsia" w:ascii="宋体" w:hAnsi="宋体" w:eastAsia="宋体" w:cs="宋体"/>
          <w:sz w:val="24"/>
          <w:szCs w:val="24"/>
        </w:rPr>
        <w:t>装修</w:t>
      </w:r>
      <w:r>
        <w:rPr>
          <w:rFonts w:hint="eastAsia" w:ascii="宋体" w:hAnsi="宋体" w:eastAsia="宋体" w:cs="宋体"/>
          <w:sz w:val="24"/>
          <w:szCs w:val="24"/>
        </w:rPr>
        <w:fldChar w:fldCharType="end"/>
      </w:r>
      <w:r>
        <w:rPr>
          <w:rFonts w:hint="eastAsia" w:ascii="宋体" w:hAnsi="宋体" w:eastAsia="宋体" w:cs="宋体"/>
          <w:sz w:val="24"/>
          <w:szCs w:val="24"/>
        </w:rPr>
        <w:t>、水电、设备管线、卫浴设施等施工工序，在现场通过可靠连接技术快速组合拼装成建筑整体，这种技术把建筑从工地搬进工厂，大幅缩短工期，减少施工难度，实现了“像造汽车一样造房子”。</w:t>
      </w:r>
    </w:p>
    <w:p w14:paraId="3F7C85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本条的评价方法为：预评价查阅施工图设计资料；评价查阅施工图竣工资料。</w:t>
      </w:r>
    </w:p>
    <w:p w14:paraId="2CDA4030">
      <w:pPr>
        <w:pStyle w:val="43"/>
        <w:spacing w:line="360" w:lineRule="auto"/>
        <w:ind w:firstLine="0" w:firstLineChars="0"/>
        <w:rPr>
          <w:rFonts w:hint="eastAsia" w:ascii="宋体" w:hAnsi="宋体" w:eastAsia="宋体" w:cs="宋体"/>
          <w:b w:val="0"/>
          <w:bCs w:val="0"/>
          <w:color w:val="auto"/>
          <w:sz w:val="24"/>
          <w:szCs w:val="24"/>
        </w:rPr>
      </w:pPr>
      <w:r>
        <w:rPr>
          <w:rFonts w:hint="default" w:ascii="Times New Roman" w:hAnsi="Times New Roman" w:eastAsia="宋体" w:cs="Times New Roman"/>
          <w:b/>
          <w:bCs/>
          <w:color w:val="000000" w:themeColor="text1"/>
          <w:sz w:val="24"/>
          <w:szCs w:val="24"/>
          <w14:textFill>
            <w14:solidFill>
              <w14:schemeClr w14:val="tx1"/>
            </w14:solidFill>
          </w14:textFill>
        </w:rPr>
        <w:t>8.0.9</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val="0"/>
          <w:bCs w:val="0"/>
          <w:color w:val="auto"/>
          <w:sz w:val="24"/>
          <w:szCs w:val="24"/>
        </w:rPr>
        <w:t>本条适用于预评价和评价。</w:t>
      </w:r>
    </w:p>
    <w:p w14:paraId="131758E9">
      <w:pPr>
        <w:pStyle w:val="45"/>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1</w:t>
      </w:r>
      <w:r>
        <w:rPr>
          <w:rFonts w:hint="eastAsia" w:ascii="宋体" w:hAnsi="宋体" w:eastAsia="宋体" w:cs="宋体"/>
          <w:sz w:val="24"/>
          <w:szCs w:val="24"/>
        </w:rPr>
        <w:t>款，智能化服务系统包括智能环境设备监控系统、智能工作生活服务系统等，具体包括安全报警、环境监测、建筑设备控制、工作生活服务（如会议预约）等系统与平台。</w:t>
      </w:r>
    </w:p>
    <w:p w14:paraId="36E08F06">
      <w:pPr>
        <w:pStyle w:val="45"/>
        <w:spacing w:line="360" w:lineRule="auto"/>
        <w:ind w:firstLine="420"/>
        <w:rPr>
          <w:rFonts w:hint="eastAsia" w:ascii="宋体" w:hAnsi="宋体" w:eastAsia="宋体" w:cs="宋体"/>
          <w:sz w:val="24"/>
          <w:szCs w:val="24"/>
        </w:rPr>
      </w:pPr>
      <w:r>
        <w:rPr>
          <w:rFonts w:hint="eastAsia" w:ascii="宋体" w:hAnsi="宋体" w:eastAsia="宋体" w:cs="宋体"/>
          <w:sz w:val="24"/>
          <w:szCs w:val="24"/>
        </w:rPr>
        <w:t>智能化服务系统可将生活或工作事务有关的设施进行集成，构建高效的建筑设施与日常事务的管理系统，提升生活和工作的安全性、便利性、舒适性、艺术性，实现更加便捷适用的生活和工作环境，提高用户对低碳建筑的感知度。为保障人员安全，可在主要车道、人行道、楼梯间、休闲活动场所等设有完善的监测系统。为体现建筑使用便利性，本款要求建筑内各部分均应设置智能化服务系统终端设备。对于项目改造交付时未设置而在运行使用后由用户自行购买安装的情况，本条评价时不予认定。</w:t>
      </w:r>
    </w:p>
    <w:p w14:paraId="3B70D691">
      <w:pPr>
        <w:pStyle w:val="45"/>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default" w:ascii="Times New Roman" w:hAnsi="Times New Roman" w:eastAsia="宋体" w:cs="Times New Roman"/>
          <w:sz w:val="24"/>
          <w:szCs w:val="24"/>
        </w:rPr>
        <w:t>2</w:t>
      </w:r>
      <w:r>
        <w:rPr>
          <w:rFonts w:hint="eastAsia" w:ascii="宋体" w:hAnsi="宋体" w:eastAsia="宋体" w:cs="宋体"/>
          <w:sz w:val="24"/>
          <w:szCs w:val="24"/>
        </w:rPr>
        <w:t>款，智能化服务系统如果仅由物业管理单位来管理和维护的话，其信息更新与扩充的速度和范围一般会受到局限，如果智能化服务系统平台能够与所在的智慧城市（城区、社区）平台对接，则可有效实现信息和数据的共享与互通，大大提高信息更新与扩充的速度和范围，实现相关各方的互惠互利。智慧城市（城区、社区）的智能化服务系统的基本项目一般包括智慧物业管理、电子商务服务等，能够为建筑层面的智能化服务系统提供有力支撑。本款要求至少1个系统项目实现与智慧城市（城区、社区）平台对接。</w:t>
      </w:r>
    </w:p>
    <w:p w14:paraId="3F666032">
      <w:pPr>
        <w:pStyle w:val="45"/>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条的评价方法为：预评价查阅相关设计文件（环境设备监控系统设计方案、智能化服务平台方案、相关智能化设计图纸、装修图纸）；评价查阅相关竣工图、产品型式检验报告，投入使用的项目尚应查阅管理制度、历史监测数据、运行记录。</w:t>
      </w:r>
    </w:p>
    <w:p w14:paraId="6E380598">
      <w:pPr>
        <w:spacing w:line="360" w:lineRule="auto"/>
        <w:ind w:firstLine="0" w:firstLineChars="0"/>
        <w:rPr>
          <w:rFonts w:hint="eastAsia" w:ascii="宋体" w:hAnsi="宋体" w:eastAsia="宋体" w:cs="宋体"/>
          <w:sz w:val="24"/>
          <w:szCs w:val="24"/>
        </w:rPr>
      </w:pPr>
      <w:r>
        <w:rPr>
          <w:rFonts w:hint="default" w:ascii="Times New Roman" w:hAnsi="Times New Roman" w:eastAsia="宋体" w:cs="Times New Roman"/>
          <w:b/>
          <w:bCs/>
          <w:color w:val="000000" w:themeColor="text1"/>
          <w:sz w:val="24"/>
          <w:szCs w:val="24"/>
          <w14:textFill>
            <w14:solidFill>
              <w14:schemeClr w14:val="tx1"/>
            </w14:solidFill>
          </w14:textFill>
        </w:rPr>
        <w:t>8.0.10</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sz w:val="24"/>
          <w:szCs w:val="24"/>
        </w:rPr>
        <w:t>本条适用于预评价和评价。</w:t>
      </w:r>
    </w:p>
    <w:p w14:paraId="5D35B0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条主要是对前文未提及的其他技术和管理创新予以鼓励。目的是鼓励和引导项目采用不在本标准所列的低碳建筑评价指标范围内，但可在节约资源、降低碳排放、减少环境污染等方面实现良好性能提升的创新技术和措施，以此降低碳排放水平。</w:t>
      </w:r>
    </w:p>
    <w:p w14:paraId="3FF244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当某项目采取了创新的技术措施，并提供了足够证据表明该技术措施可有效提高环境友好性，提高资源与能源利用效率，实现可持续发展或具有较大的社会效益时，可参与评审。项目的创新点</w:t>
      </w:r>
      <w:r>
        <w:rPr>
          <w:rFonts w:hint="eastAsia" w:ascii="宋体" w:hAnsi="宋体" w:cs="宋体"/>
          <w:sz w:val="24"/>
          <w:szCs w:val="24"/>
          <w:lang w:val="en-US" w:eastAsia="zh-CN"/>
        </w:rPr>
        <w:t>需</w:t>
      </w:r>
      <w:r>
        <w:rPr>
          <w:rFonts w:hint="eastAsia" w:ascii="宋体" w:hAnsi="宋体" w:cs="宋体"/>
          <w:sz w:val="24"/>
          <w:szCs w:val="24"/>
          <w:lang w:eastAsia="zh-CN"/>
        </w:rPr>
        <w:t>较大的</w:t>
      </w:r>
      <w:r>
        <w:rPr>
          <w:rFonts w:hint="eastAsia" w:ascii="宋体" w:hAnsi="宋体" w:eastAsia="宋体" w:cs="宋体"/>
          <w:sz w:val="24"/>
          <w:szCs w:val="24"/>
        </w:rPr>
        <w:t>超过相应指标的要求，或达到合理指标但具备显著降低成本或提高工效等优点。本条未列出所有的创新项内容，只要申请方能够提供足够相关证明，并通过专家组的评审即可认为满足要求。</w:t>
      </w:r>
    </w:p>
    <w:p w14:paraId="724AB754">
      <w:pPr>
        <w:spacing w:line="360" w:lineRule="auto"/>
        <w:ind w:firstLine="480" w:firstLineChars="200"/>
        <w:rPr>
          <w:rFonts w:hint="eastAsia" w:ascii="宋体" w:hAnsi="宋体" w:eastAsia="宋体" w:cs="宋体"/>
          <w:sz w:val="24"/>
          <w:szCs w:val="24"/>
        </w:rPr>
        <w:sectPr>
          <w:footerReference r:id="rId18"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本条的评价方法为：预评价查阅相关设计文件、分析论证报告及相关证明材料；评价查阅相关设计文件、分析论证报告及相关证明材料。</w:t>
      </w:r>
    </w:p>
    <w:p w14:paraId="7D965E00">
      <w:pPr>
        <w:spacing w:line="360" w:lineRule="auto"/>
        <w:ind w:firstLine="0" w:firstLineChars="0"/>
        <w:rPr>
          <w:rFonts w:hint="eastAsia"/>
          <w:b/>
          <w:sz w:val="28"/>
        </w:rPr>
      </w:pPr>
    </w:p>
    <w:sectPr>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D666">
    <w:pPr>
      <w:snapToGrid w:val="0"/>
      <w:jc w:val="center"/>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421D">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F852C">
                          <w:pPr>
                            <w:pStyle w:val="9"/>
                            <w:ind w:firstLine="36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FF852C">
                    <w:pPr>
                      <w:pStyle w:val="9"/>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9A10">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8AF88">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628AF88">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43DD">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3B966">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6233B966">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84A3">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51DF9">
                          <w:pPr>
                            <w:pStyle w:val="9"/>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4C051DF9">
                    <w:pPr>
                      <w:pStyle w:val="9"/>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221B">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23B00">
                          <w:pPr>
                            <w:pStyle w:val="9"/>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45C23B00">
                    <w:pPr>
                      <w:pStyle w:val="9"/>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A521">
    <w:pPr>
      <w:pStyle w:val="9"/>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B349B">
                          <w:pPr>
                            <w:pStyle w:val="9"/>
                            <w:ind w:firstLine="360"/>
                            <w:rPr>
                              <w:rFonts w:hint="eastAsia"/>
                            </w:rPr>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041B349B">
                    <w:pPr>
                      <w:pStyle w:val="9"/>
                      <w:ind w:firstLine="360"/>
                      <w:rPr>
                        <w:rFonts w:hint="eastAsia"/>
                      </w:rPr>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0D08">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4423A">
                          <w:pPr>
                            <w:pStyle w:val="9"/>
                            <w:ind w:firstLine="36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F44423A">
                    <w:pPr>
                      <w:pStyle w:val="9"/>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3E04">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20FBB">
                          <w:pPr>
                            <w:pStyle w:val="9"/>
                            <w:ind w:firstLine="36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420FBB">
                    <w:pPr>
                      <w:pStyle w:val="9"/>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D2D5">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5D43">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EB8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95A6">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DCF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6FD8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C6FD8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252F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06ABD">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5606ABD">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8DCE">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21F5B">
                          <w:pPr>
                            <w:pStyle w:val="9"/>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5421F5B">
                    <w:pPr>
                      <w:pStyle w:val="9"/>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B0DD">
    <w:pPr>
      <w:pStyle w:val="9"/>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03BC0">
                          <w:pPr>
                            <w:pStyle w:val="9"/>
                            <w:ind w:firstLine="360"/>
                            <w:rPr>
                              <w:rFonts w:hint="eastAsia"/>
                            </w:rPr>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3E03BC0">
                    <w:pPr>
                      <w:pStyle w:val="9"/>
                      <w:ind w:firstLine="360"/>
                      <w:rPr>
                        <w:rFonts w:hint="eastAsia"/>
                      </w:rPr>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5ADF"/>
    <w:multiLevelType w:val="multilevel"/>
    <w:tmpl w:val="AD335ADF"/>
    <w:lvl w:ilvl="0" w:tentative="0">
      <w:start w:val="1"/>
      <w:numFmt w:val="decimal"/>
      <w:pStyle w:val="2"/>
      <w:lvlText w:val="%1"/>
      <w:lvlJc w:val="left"/>
      <w:pPr>
        <w:tabs>
          <w:tab w:val="left" w:pos="-376"/>
        </w:tabs>
        <w:ind w:left="50" w:firstLine="0"/>
      </w:pPr>
      <w:rPr>
        <w:rFonts w:hint="eastAsia"/>
      </w:rPr>
    </w:lvl>
    <w:lvl w:ilvl="1" w:tentative="0">
      <w:start w:val="1"/>
      <w:numFmt w:val="decimal"/>
      <w:pStyle w:val="3"/>
      <w:lvlText w:val="%1.%2"/>
      <w:lvlJc w:val="left"/>
      <w:pPr>
        <w:tabs>
          <w:tab w:val="left" w:pos="0"/>
        </w:tabs>
        <w:ind w:left="0" w:firstLine="0"/>
      </w:pPr>
      <w:rPr>
        <w:rFonts w:hint="eastAsia"/>
      </w:rPr>
    </w:lvl>
    <w:lvl w:ilvl="2" w:tentative="0">
      <w:start w:val="1"/>
      <w:numFmt w:val="decimal"/>
      <w:lvlText w:val="%1.%2.%3"/>
      <w:lvlJc w:val="left"/>
      <w:pPr>
        <w:tabs>
          <w:tab w:val="left" w:pos="1037"/>
        </w:tabs>
        <w:ind w:left="1036" w:firstLine="404"/>
      </w:pPr>
      <w:rPr>
        <w:rFonts w:hint="eastAsia"/>
      </w:rPr>
    </w:lvl>
    <w:lvl w:ilvl="3" w:tentative="0">
      <w:start w:val="1"/>
      <w:numFmt w:val="decimal"/>
      <w:lvlText w:val="%1.%2.%3.%4"/>
      <w:lvlJc w:val="left"/>
      <w:pPr>
        <w:tabs>
          <w:tab w:val="left" w:pos="2688"/>
        </w:tabs>
        <w:ind w:left="2688" w:hanging="708"/>
      </w:pPr>
      <w:rPr>
        <w:rFonts w:hint="eastAsia"/>
      </w:rPr>
    </w:lvl>
    <w:lvl w:ilvl="4" w:tentative="0">
      <w:start w:val="1"/>
      <w:numFmt w:val="decimal"/>
      <w:lvlText w:val="%1.%2.%3.%4.%5"/>
      <w:lvlJc w:val="left"/>
      <w:pPr>
        <w:tabs>
          <w:tab w:val="left" w:pos="1750"/>
        </w:tabs>
        <w:ind w:left="1750" w:hanging="850"/>
      </w:pPr>
      <w:rPr>
        <w:rFonts w:hint="eastAsia"/>
      </w:rPr>
    </w:lvl>
    <w:lvl w:ilvl="5" w:tentative="0">
      <w:start w:val="1"/>
      <w:numFmt w:val="decimal"/>
      <w:lvlText w:val="%1.%2.%3.%4.%5.%6"/>
      <w:lvlJc w:val="left"/>
      <w:pPr>
        <w:tabs>
          <w:tab w:val="left" w:pos="2459"/>
        </w:tabs>
        <w:ind w:left="2459" w:hanging="1134"/>
      </w:pPr>
      <w:rPr>
        <w:rFonts w:hint="eastAsia"/>
      </w:rPr>
    </w:lvl>
    <w:lvl w:ilvl="6" w:tentative="0">
      <w:start w:val="1"/>
      <w:numFmt w:val="decimal"/>
      <w:lvlText w:val="%1.%2.%3.%4.%5.%6.%7"/>
      <w:lvlJc w:val="left"/>
      <w:pPr>
        <w:tabs>
          <w:tab w:val="left" w:pos="3026"/>
        </w:tabs>
        <w:ind w:left="3026" w:hanging="1276"/>
      </w:pPr>
      <w:rPr>
        <w:rFonts w:hint="eastAsia"/>
      </w:rPr>
    </w:lvl>
    <w:lvl w:ilvl="7" w:tentative="0">
      <w:start w:val="1"/>
      <w:numFmt w:val="decimal"/>
      <w:lvlText w:val="%1.%2.%3.%4.%5.%6.%7.%8"/>
      <w:lvlJc w:val="left"/>
      <w:pPr>
        <w:tabs>
          <w:tab w:val="left" w:pos="3593"/>
        </w:tabs>
        <w:ind w:left="3593" w:hanging="1418"/>
      </w:pPr>
      <w:rPr>
        <w:rFonts w:hint="eastAsia"/>
      </w:rPr>
    </w:lvl>
    <w:lvl w:ilvl="8" w:tentative="0">
      <w:start w:val="1"/>
      <w:numFmt w:val="decimal"/>
      <w:lvlText w:val="%1.%2.%3.%4.%5.%6.%7.%8.%9"/>
      <w:lvlJc w:val="left"/>
      <w:pPr>
        <w:tabs>
          <w:tab w:val="left" w:pos="4301"/>
        </w:tabs>
        <w:ind w:left="4301" w:hanging="1700"/>
      </w:pPr>
      <w:rPr>
        <w:rFonts w:hint="eastAsia"/>
      </w:rPr>
    </w:lvl>
  </w:abstractNum>
  <w:abstractNum w:abstractNumId="1">
    <w:nsid w:val="05762E3F"/>
    <w:multiLevelType w:val="multilevel"/>
    <w:tmpl w:val="05762E3F"/>
    <w:lvl w:ilvl="0" w:tentative="0">
      <w:start w:val="1"/>
      <w:numFmt w:val="decimal"/>
      <w:lvlText w:val="%1"/>
      <w:lvlJc w:val="left"/>
      <w:pPr>
        <w:ind w:left="420" w:hanging="420"/>
      </w:pPr>
      <w:rPr>
        <w:rFonts w:ascii="Calibri" w:hAnsi="Calibri"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ascii="Calibri" w:hAnsi="Calibri"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WNmNTE5NzM0NmI1MWRiMDQ4NDNkZjg0OWM0MTEifQ=="/>
  </w:docVars>
  <w:rsids>
    <w:rsidRoot w:val="76BB7A02"/>
    <w:rsid w:val="000F0002"/>
    <w:rsid w:val="00256352"/>
    <w:rsid w:val="00264E69"/>
    <w:rsid w:val="014001AC"/>
    <w:rsid w:val="01514167"/>
    <w:rsid w:val="01CE57B8"/>
    <w:rsid w:val="024A0BB7"/>
    <w:rsid w:val="025A529E"/>
    <w:rsid w:val="02ED6112"/>
    <w:rsid w:val="03D472D2"/>
    <w:rsid w:val="05FC5F60"/>
    <w:rsid w:val="060A0D89"/>
    <w:rsid w:val="07464042"/>
    <w:rsid w:val="077E37DC"/>
    <w:rsid w:val="079B438E"/>
    <w:rsid w:val="07DD49A7"/>
    <w:rsid w:val="086329D2"/>
    <w:rsid w:val="08793FA4"/>
    <w:rsid w:val="08F85810"/>
    <w:rsid w:val="094C3466"/>
    <w:rsid w:val="09ED69F7"/>
    <w:rsid w:val="0A851326"/>
    <w:rsid w:val="0A8A06EA"/>
    <w:rsid w:val="0B09160F"/>
    <w:rsid w:val="0B362493"/>
    <w:rsid w:val="0C3441FF"/>
    <w:rsid w:val="0C7927C4"/>
    <w:rsid w:val="0E4B0190"/>
    <w:rsid w:val="0E8A2779"/>
    <w:rsid w:val="0EB86D51"/>
    <w:rsid w:val="0F0A004B"/>
    <w:rsid w:val="0F933B71"/>
    <w:rsid w:val="0FB104C7"/>
    <w:rsid w:val="10FE773C"/>
    <w:rsid w:val="11BB73DB"/>
    <w:rsid w:val="12BC340B"/>
    <w:rsid w:val="130235ED"/>
    <w:rsid w:val="13331E1A"/>
    <w:rsid w:val="133B4C77"/>
    <w:rsid w:val="13893B01"/>
    <w:rsid w:val="13A20852"/>
    <w:rsid w:val="13D33102"/>
    <w:rsid w:val="1494463F"/>
    <w:rsid w:val="16C84A74"/>
    <w:rsid w:val="17562080"/>
    <w:rsid w:val="17B84AE8"/>
    <w:rsid w:val="17BC1970"/>
    <w:rsid w:val="183A72AB"/>
    <w:rsid w:val="19121FD6"/>
    <w:rsid w:val="1A4E0334"/>
    <w:rsid w:val="1A5A2585"/>
    <w:rsid w:val="1AB71087"/>
    <w:rsid w:val="1B9118D8"/>
    <w:rsid w:val="1BB750B7"/>
    <w:rsid w:val="1CAD289B"/>
    <w:rsid w:val="1D41732E"/>
    <w:rsid w:val="1DA17DCD"/>
    <w:rsid w:val="1E3B1FCF"/>
    <w:rsid w:val="1E890F8D"/>
    <w:rsid w:val="1EBA2EF4"/>
    <w:rsid w:val="1F100D66"/>
    <w:rsid w:val="1F7B1B7E"/>
    <w:rsid w:val="1FC40328"/>
    <w:rsid w:val="20F52909"/>
    <w:rsid w:val="21012503"/>
    <w:rsid w:val="21380A48"/>
    <w:rsid w:val="21505D92"/>
    <w:rsid w:val="21747CD2"/>
    <w:rsid w:val="22C02AA3"/>
    <w:rsid w:val="22CE3157"/>
    <w:rsid w:val="23056708"/>
    <w:rsid w:val="234A4691"/>
    <w:rsid w:val="23E26CFD"/>
    <w:rsid w:val="24B461DD"/>
    <w:rsid w:val="24E24F53"/>
    <w:rsid w:val="25096983"/>
    <w:rsid w:val="25B14925"/>
    <w:rsid w:val="268A3AF4"/>
    <w:rsid w:val="27441EF5"/>
    <w:rsid w:val="28245882"/>
    <w:rsid w:val="28E868B0"/>
    <w:rsid w:val="29310257"/>
    <w:rsid w:val="297D349C"/>
    <w:rsid w:val="2B25203D"/>
    <w:rsid w:val="2B9B40AD"/>
    <w:rsid w:val="2CA451E4"/>
    <w:rsid w:val="2D3C541C"/>
    <w:rsid w:val="2E0B3243"/>
    <w:rsid w:val="2F8C268B"/>
    <w:rsid w:val="30314FE0"/>
    <w:rsid w:val="30360848"/>
    <w:rsid w:val="31807FCD"/>
    <w:rsid w:val="31AA329C"/>
    <w:rsid w:val="3255145A"/>
    <w:rsid w:val="327B2543"/>
    <w:rsid w:val="32FD73FC"/>
    <w:rsid w:val="33134E71"/>
    <w:rsid w:val="33571C4D"/>
    <w:rsid w:val="341861DB"/>
    <w:rsid w:val="3474543C"/>
    <w:rsid w:val="34C208FD"/>
    <w:rsid w:val="34E00D83"/>
    <w:rsid w:val="350C7DCA"/>
    <w:rsid w:val="35536BC4"/>
    <w:rsid w:val="358B0CEF"/>
    <w:rsid w:val="368F0CB2"/>
    <w:rsid w:val="36FD3E6E"/>
    <w:rsid w:val="36FD79CA"/>
    <w:rsid w:val="38A20F3E"/>
    <w:rsid w:val="3A451DB4"/>
    <w:rsid w:val="3B3360B0"/>
    <w:rsid w:val="3B9F54F4"/>
    <w:rsid w:val="3C2F4ACA"/>
    <w:rsid w:val="3C4936B2"/>
    <w:rsid w:val="3C4B11D8"/>
    <w:rsid w:val="3CB74C32"/>
    <w:rsid w:val="3CE37662"/>
    <w:rsid w:val="3D4C104E"/>
    <w:rsid w:val="3DBC05DF"/>
    <w:rsid w:val="3E720C9E"/>
    <w:rsid w:val="3E9C5D1B"/>
    <w:rsid w:val="3EE37DED"/>
    <w:rsid w:val="3EFC2C5D"/>
    <w:rsid w:val="40BE466E"/>
    <w:rsid w:val="41006A35"/>
    <w:rsid w:val="414508EB"/>
    <w:rsid w:val="416F5968"/>
    <w:rsid w:val="42394194"/>
    <w:rsid w:val="424B1F31"/>
    <w:rsid w:val="42644DA1"/>
    <w:rsid w:val="42876CE2"/>
    <w:rsid w:val="438356FB"/>
    <w:rsid w:val="43A35D9D"/>
    <w:rsid w:val="43CD4BC8"/>
    <w:rsid w:val="45AF0A29"/>
    <w:rsid w:val="4734568A"/>
    <w:rsid w:val="47562DFD"/>
    <w:rsid w:val="482F19AD"/>
    <w:rsid w:val="48457423"/>
    <w:rsid w:val="493E459E"/>
    <w:rsid w:val="4A5B2F2E"/>
    <w:rsid w:val="4A69564B"/>
    <w:rsid w:val="4B8D35BB"/>
    <w:rsid w:val="4BC0573E"/>
    <w:rsid w:val="4C3457E4"/>
    <w:rsid w:val="4D447CA9"/>
    <w:rsid w:val="4FC60E49"/>
    <w:rsid w:val="50CE565A"/>
    <w:rsid w:val="51D535C6"/>
    <w:rsid w:val="525C5A95"/>
    <w:rsid w:val="52946FDD"/>
    <w:rsid w:val="535D7D17"/>
    <w:rsid w:val="539A4AC7"/>
    <w:rsid w:val="53A616BE"/>
    <w:rsid w:val="53BC2C8F"/>
    <w:rsid w:val="55230AEC"/>
    <w:rsid w:val="556E620B"/>
    <w:rsid w:val="56CD51B3"/>
    <w:rsid w:val="570D55B0"/>
    <w:rsid w:val="58201313"/>
    <w:rsid w:val="594C6863"/>
    <w:rsid w:val="5A20384C"/>
    <w:rsid w:val="5AF251E8"/>
    <w:rsid w:val="5B1C4013"/>
    <w:rsid w:val="5C441A74"/>
    <w:rsid w:val="5C696877"/>
    <w:rsid w:val="5C930305"/>
    <w:rsid w:val="5D543F38"/>
    <w:rsid w:val="5E570BE4"/>
    <w:rsid w:val="5EE70DDC"/>
    <w:rsid w:val="5F7C1524"/>
    <w:rsid w:val="5FF20E1A"/>
    <w:rsid w:val="627E3BDD"/>
    <w:rsid w:val="62B334AF"/>
    <w:rsid w:val="62D022B3"/>
    <w:rsid w:val="62D33B51"/>
    <w:rsid w:val="63166371"/>
    <w:rsid w:val="631F28F3"/>
    <w:rsid w:val="633A3BD0"/>
    <w:rsid w:val="63626C83"/>
    <w:rsid w:val="646A5DEF"/>
    <w:rsid w:val="647B7FFD"/>
    <w:rsid w:val="65624D19"/>
    <w:rsid w:val="6598698C"/>
    <w:rsid w:val="65BA6903"/>
    <w:rsid w:val="660B3602"/>
    <w:rsid w:val="67140294"/>
    <w:rsid w:val="675B2367"/>
    <w:rsid w:val="6779459B"/>
    <w:rsid w:val="682B5818"/>
    <w:rsid w:val="68CA3301"/>
    <w:rsid w:val="69054339"/>
    <w:rsid w:val="692C5146"/>
    <w:rsid w:val="695928D6"/>
    <w:rsid w:val="6A876FCF"/>
    <w:rsid w:val="6CA36342"/>
    <w:rsid w:val="6CB95B66"/>
    <w:rsid w:val="6CE54BAD"/>
    <w:rsid w:val="6CF070AE"/>
    <w:rsid w:val="6EB776BC"/>
    <w:rsid w:val="70161521"/>
    <w:rsid w:val="70335C2F"/>
    <w:rsid w:val="703D6AAE"/>
    <w:rsid w:val="72200435"/>
    <w:rsid w:val="730438B3"/>
    <w:rsid w:val="73F97C11"/>
    <w:rsid w:val="76A07D97"/>
    <w:rsid w:val="76B4739E"/>
    <w:rsid w:val="76BB7A02"/>
    <w:rsid w:val="781400F4"/>
    <w:rsid w:val="78F9553C"/>
    <w:rsid w:val="79E93803"/>
    <w:rsid w:val="79F53F55"/>
    <w:rsid w:val="7A884DCA"/>
    <w:rsid w:val="7C370855"/>
    <w:rsid w:val="7C5C02BC"/>
    <w:rsid w:val="7C887303"/>
    <w:rsid w:val="7C8C10D8"/>
    <w:rsid w:val="7D051240"/>
    <w:rsid w:val="7E221091"/>
    <w:rsid w:val="7F1C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numPr>
        <w:ilvl w:val="0"/>
        <w:numId w:val="1"/>
      </w:numPr>
      <w:outlineLvl w:val="0"/>
    </w:pPr>
    <w:rPr>
      <w:rFonts w:eastAsia="黑体" w:asciiTheme="minorHAnsi" w:hAnsiTheme="minorHAnsi"/>
      <w:b/>
      <w:kern w:val="44"/>
    </w:rPr>
  </w:style>
  <w:style w:type="paragraph" w:styleId="3">
    <w:name w:val="heading 2"/>
    <w:basedOn w:val="1"/>
    <w:next w:val="1"/>
    <w:unhideWhenUsed/>
    <w:qFormat/>
    <w:uiPriority w:val="0"/>
    <w:pPr>
      <w:keepNext/>
      <w:keepLines/>
      <w:numPr>
        <w:ilvl w:val="1"/>
        <w:numId w:val="1"/>
      </w:numPr>
      <w:tabs>
        <w:tab w:val="left" w:pos="-376"/>
      </w:tabs>
      <w:spacing w:before="200" w:after="200" w:line="360" w:lineRule="auto"/>
      <w:outlineLvl w:val="1"/>
    </w:pPr>
    <w:rPr>
      <w:rFonts w:ascii="Arial" w:hAnsi="Arial" w:eastAsia="黑体"/>
      <w:sz w:val="30"/>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7" w:lineRule="auto"/>
      <w:jc w:val="center"/>
      <w:outlineLvl w:val="3"/>
    </w:pPr>
    <w:rPr>
      <w:bCs/>
      <w:sz w:val="24"/>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link w:val="48"/>
    <w:unhideWhenUsed/>
    <w:qFormat/>
    <w:uiPriority w:val="99"/>
    <w:pPr>
      <w:jc w:val="left"/>
    </w:pPr>
  </w:style>
  <w:style w:type="paragraph" w:styleId="8">
    <w:name w:val="Balloon Text"/>
    <w:basedOn w:val="1"/>
    <w:link w:val="50"/>
    <w:semiHidden/>
    <w:unhideWhenUsed/>
    <w:qFormat/>
    <w:uiPriority w:val="99"/>
    <w:rPr>
      <w:sz w:val="18"/>
      <w:szCs w:val="18"/>
    </w:rPr>
  </w:style>
  <w:style w:type="paragraph" w:styleId="9">
    <w:name w:val="footer"/>
    <w:basedOn w:val="1"/>
    <w:link w:val="47"/>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10">
    <w:name w:val="header"/>
    <w:basedOn w:val="1"/>
    <w:link w:val="46"/>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11">
    <w:name w:val="toc 1"/>
    <w:basedOn w:val="1"/>
    <w:next w:val="1"/>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qFormat/>
    <w:uiPriority w:val="0"/>
    <w:pPr>
      <w:spacing w:beforeAutospacing="1" w:afterAutospacing="1"/>
    </w:pPr>
    <w:rPr>
      <w:sz w:val="24"/>
    </w:rPr>
  </w:style>
  <w:style w:type="paragraph" w:styleId="14">
    <w:name w:val="annotation subject"/>
    <w:basedOn w:val="7"/>
    <w:next w:val="7"/>
    <w:link w:val="49"/>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rFonts w:ascii="Times New Roman" w:hAnsi="Times New Roman" w:eastAsia="宋体" w:cs="Times New Roman"/>
      <w:b/>
    </w:rPr>
  </w:style>
  <w:style w:type="character" w:styleId="19">
    <w:name w:val="Hyperlink"/>
    <w:basedOn w:val="17"/>
    <w:unhideWhenUsed/>
    <w:qFormat/>
    <w:uiPriority w:val="99"/>
    <w:rPr>
      <w:rFonts w:ascii="Times New Roman" w:hAnsi="Times New Roman" w:eastAsia="宋体" w:cs="Times New Roman"/>
      <w:color w:val="0026E5" w:themeColor="hyperlink"/>
      <w:u w:val="single"/>
      <w14:textFill>
        <w14:solidFill>
          <w14:schemeClr w14:val="hlink"/>
        </w14:solidFill>
      </w14:textFill>
    </w:rPr>
  </w:style>
  <w:style w:type="character" w:styleId="20">
    <w:name w:val="annotation reference"/>
    <w:basedOn w:val="17"/>
    <w:semiHidden/>
    <w:unhideWhenUsed/>
    <w:qFormat/>
    <w:uiPriority w:val="99"/>
    <w:rPr>
      <w:rFonts w:ascii="Times New Roman" w:hAnsi="Times New Roman" w:eastAsia="宋体" w:cs="Times New Roman"/>
      <w:sz w:val="21"/>
      <w:szCs w:val="21"/>
    </w:rPr>
  </w:style>
  <w:style w:type="paragraph" w:customStyle="1" w:styleId="21">
    <w:name w:val="0 正文内容"/>
    <w:qFormat/>
    <w:uiPriority w:val="0"/>
    <w:pPr>
      <w:widowControl w:val="0"/>
      <w:overflowPunct w:val="0"/>
      <w:spacing w:line="269" w:lineRule="auto"/>
      <w:ind w:firstLine="200" w:firstLineChars="200"/>
      <w:jc w:val="both"/>
    </w:pPr>
    <w:rPr>
      <w:rFonts w:ascii="Times New Roman" w:hAnsi="Times New Roman" w:eastAsia="宋体" w:cs="华文细黑"/>
      <w:color w:val="000000"/>
      <w:sz w:val="21"/>
      <w:szCs w:val="24"/>
      <w:lang w:val="en-US" w:eastAsia="zh-CN" w:bidi="ar-SA"/>
    </w:rPr>
  </w:style>
  <w:style w:type="character" w:customStyle="1" w:styleId="22">
    <w:name w:val="页眉 Char"/>
    <w:basedOn w:val="17"/>
    <w:link w:val="10"/>
    <w:autoRedefine/>
    <w:qFormat/>
    <w:uiPriority w:val="99"/>
    <w:rPr>
      <w:rFonts w:asciiTheme="minorHAnsi" w:hAnsiTheme="minorHAnsi" w:eastAsiaTheme="minorEastAsia" w:cstheme="minorBidi"/>
      <w:sz w:val="18"/>
      <w:szCs w:val="18"/>
      <w14:ligatures w14:val="standardContextual"/>
    </w:rPr>
  </w:style>
  <w:style w:type="character" w:customStyle="1" w:styleId="23">
    <w:name w:val="页脚 Char"/>
    <w:basedOn w:val="17"/>
    <w:link w:val="9"/>
    <w:autoRedefine/>
    <w:qFormat/>
    <w:uiPriority w:val="99"/>
    <w:rPr>
      <w:rFonts w:asciiTheme="minorHAnsi" w:hAnsiTheme="minorHAnsi" w:eastAsiaTheme="minorEastAsia" w:cstheme="minorBidi"/>
      <w:sz w:val="18"/>
      <w:szCs w:val="18"/>
      <w14:ligatures w14:val="standardContextual"/>
    </w:rPr>
  </w:style>
  <w:style w:type="character" w:customStyle="1" w:styleId="24">
    <w:name w:val="标题 3 字符"/>
    <w:basedOn w:val="17"/>
    <w:autoRedefine/>
    <w:semiHidden/>
    <w:qFormat/>
    <w:uiPriority w:val="9"/>
    <w:rPr>
      <w:rFonts w:ascii="Times New Roman" w:hAnsi="Times New Roman" w:eastAsia="宋体" w:cs="Times New Roman"/>
      <w:b/>
      <w:bCs/>
      <w:sz w:val="32"/>
      <w:szCs w:val="32"/>
      <w14:ligatures w14:val="none"/>
    </w:rPr>
  </w:style>
  <w:style w:type="character" w:customStyle="1" w:styleId="25">
    <w:name w:val="标题 3 字符1"/>
    <w:basedOn w:val="17"/>
    <w:autoRedefine/>
    <w:qFormat/>
    <w:locked/>
    <w:uiPriority w:val="9"/>
    <w:rPr>
      <w:rFonts w:ascii="Times New Roman" w:hAnsi="Times New Roman" w:eastAsia="宋体" w:cs="Times New Roman"/>
      <w:b/>
      <w:bCs/>
      <w:sz w:val="32"/>
      <w:szCs w:val="32"/>
      <w14:ligatures w14:val="none"/>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修订1"/>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28">
    <w:name w:val="条文说明"/>
    <w:basedOn w:val="1"/>
    <w:link w:val="40"/>
    <w:autoRedefine/>
    <w:qFormat/>
    <w:uiPriority w:val="0"/>
    <w:pPr>
      <w:overflowPunct w:val="0"/>
      <w:spacing w:line="300" w:lineRule="auto"/>
      <w:ind w:firstLine="200" w:firstLineChars="200"/>
    </w:pPr>
    <w:rPr>
      <w:rFonts w:cstheme="minorBidi"/>
      <w:sz w:val="24"/>
      <w:szCs w:val="22"/>
    </w:rPr>
  </w:style>
  <w:style w:type="character" w:customStyle="1" w:styleId="29">
    <w:name w:val="批注文字 Char"/>
    <w:basedOn w:val="17"/>
    <w:link w:val="7"/>
    <w:autoRedefine/>
    <w:qFormat/>
    <w:uiPriority w:val="99"/>
    <w:rPr>
      <w:rFonts w:ascii="Times New Roman" w:hAnsi="Times New Roman" w:eastAsia="宋体" w:cs="Times New Roman"/>
    </w:rPr>
  </w:style>
  <w:style w:type="character" w:customStyle="1" w:styleId="30">
    <w:name w:val="批注主题 Char"/>
    <w:basedOn w:val="29"/>
    <w:link w:val="14"/>
    <w:autoRedefine/>
    <w:semiHidden/>
    <w:qFormat/>
    <w:uiPriority w:val="99"/>
    <w:rPr>
      <w:b/>
      <w:bCs/>
    </w:rPr>
  </w:style>
  <w:style w:type="character" w:customStyle="1" w:styleId="31">
    <w:name w:val="批注框文本 Char"/>
    <w:basedOn w:val="17"/>
    <w:link w:val="8"/>
    <w:autoRedefine/>
    <w:semiHidden/>
    <w:qFormat/>
    <w:uiPriority w:val="99"/>
    <w:rPr>
      <w:rFonts w:ascii="Times New Roman" w:hAnsi="Times New Roman" w:eastAsia="宋体" w:cs="Times New Roman"/>
      <w:sz w:val="18"/>
      <w:szCs w:val="18"/>
    </w:rPr>
  </w:style>
  <w:style w:type="paragraph" w:customStyle="1" w:styleId="32">
    <w:name w:val="正文正正"/>
    <w:basedOn w:val="1"/>
    <w:autoRedefine/>
    <w:qFormat/>
    <w:uiPriority w:val="0"/>
    <w:pPr>
      <w:spacing w:line="400" w:lineRule="exact"/>
      <w:ind w:firstLine="884" w:firstLineChars="200"/>
    </w:pPr>
    <w:rPr>
      <w:sz w:val="24"/>
    </w:rPr>
  </w:style>
  <w:style w:type="paragraph" w:customStyle="1" w:styleId="33">
    <w:name w:val="条文"/>
    <w:basedOn w:val="1"/>
    <w:autoRedefine/>
    <w:qFormat/>
    <w:uiPriority w:val="0"/>
    <w:pPr>
      <w:adjustRightInd w:val="0"/>
      <w:spacing w:line="360" w:lineRule="auto"/>
    </w:pPr>
    <w:rPr>
      <w:bCs/>
      <w:sz w:val="24"/>
      <w:szCs w:val="24"/>
    </w:rPr>
  </w:style>
  <w:style w:type="paragraph" w:customStyle="1" w:styleId="34">
    <w:name w:val="修订2"/>
    <w:autoRedefine/>
    <w:hidden/>
    <w:unhideWhenUsed/>
    <w:qFormat/>
    <w:uiPriority w:val="99"/>
    <w:rPr>
      <w:rFonts w:ascii="Times New Roman" w:hAnsi="Times New Roman" w:eastAsia="宋体" w:cs="Times New Roman"/>
      <w:kern w:val="2"/>
      <w:sz w:val="21"/>
      <w:szCs w:val="21"/>
      <w:lang w:val="en-US" w:eastAsia="zh-CN" w:bidi="ar-SA"/>
    </w:rPr>
  </w:style>
  <w:style w:type="paragraph" w:styleId="35">
    <w:name w:val="List Paragraph"/>
    <w:basedOn w:val="1"/>
    <w:link w:val="53"/>
    <w:autoRedefine/>
    <w:qFormat/>
    <w:uiPriority w:val="34"/>
    <w:pPr>
      <w:spacing w:line="300" w:lineRule="auto"/>
    </w:pPr>
    <w:rPr>
      <w:sz w:val="24"/>
      <w:szCs w:val="22"/>
    </w:rPr>
  </w:style>
  <w:style w:type="character" w:customStyle="1" w:styleId="36">
    <w:name w:val="标题 3 Char"/>
    <w:link w:val="4"/>
    <w:autoRedefine/>
    <w:qFormat/>
    <w:uiPriority w:val="0"/>
    <w:rPr>
      <w:rFonts w:ascii="Times New Roman" w:hAnsi="Times New Roman" w:eastAsia="宋体" w:cs="Times New Roman"/>
      <w:b/>
      <w:bCs/>
      <w:sz w:val="32"/>
      <w:szCs w:val="32"/>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8">
    <w:name w:val="修订3"/>
    <w:hidden/>
    <w:unhideWhenUsed/>
    <w:qFormat/>
    <w:uiPriority w:val="99"/>
    <w:rPr>
      <w:rFonts w:ascii="Times New Roman" w:hAnsi="Times New Roman" w:eastAsia="宋体" w:cs="Times New Roman"/>
      <w:kern w:val="2"/>
      <w:sz w:val="21"/>
      <w:szCs w:val="21"/>
      <w:lang w:val="en-US" w:eastAsia="zh-CN" w:bidi="ar-SA"/>
    </w:rPr>
  </w:style>
  <w:style w:type="character" w:customStyle="1" w:styleId="39">
    <w:name w:val="列出段落 Char"/>
    <w:link w:val="35"/>
    <w:qFormat/>
    <w:uiPriority w:val="34"/>
    <w:rPr>
      <w:rFonts w:ascii="Times New Roman" w:hAnsi="Times New Roman" w:eastAsia="宋体" w:cs="Times New Roman"/>
      <w:sz w:val="24"/>
      <w:szCs w:val="22"/>
    </w:rPr>
  </w:style>
  <w:style w:type="character" w:customStyle="1" w:styleId="40">
    <w:name w:val="条文说明 Char"/>
    <w:basedOn w:val="17"/>
    <w:link w:val="28"/>
    <w:autoRedefine/>
    <w:qFormat/>
    <w:uiPriority w:val="0"/>
    <w:rPr>
      <w:rFonts w:ascii="Times New Roman" w:hAnsi="Times New Roman" w:eastAsia="宋体" w:cstheme="minorBidi"/>
      <w:sz w:val="24"/>
      <w:szCs w:val="22"/>
    </w:rPr>
  </w:style>
  <w:style w:type="paragraph" w:customStyle="1" w:styleId="41">
    <w:name w:val="修订4"/>
    <w:hidden/>
    <w:unhideWhenUsed/>
    <w:qFormat/>
    <w:uiPriority w:val="99"/>
    <w:rPr>
      <w:rFonts w:ascii="Times New Roman" w:hAnsi="Times New Roman" w:eastAsia="宋体" w:cs="Times New Roman"/>
      <w:kern w:val="2"/>
      <w:sz w:val="21"/>
      <w:szCs w:val="21"/>
      <w:lang w:val="en-US" w:eastAsia="zh-CN" w:bidi="ar-SA"/>
    </w:rPr>
  </w:style>
  <w:style w:type="paragraph" w:customStyle="1" w:styleId="42">
    <w:name w:val="修订5"/>
    <w:hidden/>
    <w:unhideWhenUsed/>
    <w:qFormat/>
    <w:uiPriority w:val="99"/>
    <w:rPr>
      <w:rFonts w:ascii="Times New Roman" w:hAnsi="Times New Roman" w:eastAsia="宋体" w:cs="Times New Roman"/>
      <w:kern w:val="2"/>
      <w:sz w:val="21"/>
      <w:szCs w:val="21"/>
      <w:lang w:val="en-US" w:eastAsia="zh-CN" w:bidi="ar-SA"/>
    </w:rPr>
  </w:style>
  <w:style w:type="paragraph" w:customStyle="1" w:styleId="43">
    <w:name w:val="0-1条"/>
    <w:qFormat/>
    <w:uiPriority w:val="0"/>
    <w:pPr>
      <w:widowControl w:val="0"/>
      <w:overflowPunct w:val="0"/>
      <w:spacing w:line="269" w:lineRule="auto"/>
      <w:jc w:val="both"/>
    </w:pPr>
    <w:rPr>
      <w:rFonts w:ascii="Times New Roman" w:hAnsi="Times New Roman" w:eastAsia="宋体" w:cs="Times New Roman"/>
      <w:b/>
      <w:bCs/>
      <w:color w:val="000000" w:themeColor="text1"/>
      <w:kern w:val="2"/>
      <w:sz w:val="21"/>
      <w:szCs w:val="24"/>
      <w:lang w:val="en-US" w:eastAsia="zh-CN" w:bidi="ar-SA"/>
      <w14:textFill>
        <w14:solidFill>
          <w14:schemeClr w14:val="tx1"/>
        </w14:solidFill>
      </w14:textFill>
    </w:rPr>
  </w:style>
  <w:style w:type="paragraph" w:customStyle="1" w:styleId="44">
    <w:name w:val="0-2款"/>
    <w:basedOn w:val="1"/>
    <w:qFormat/>
    <w:uiPriority w:val="0"/>
    <w:pPr>
      <w:overflowPunct w:val="0"/>
      <w:spacing w:line="269" w:lineRule="auto"/>
      <w:ind w:firstLine="150" w:firstLineChars="150"/>
    </w:pPr>
    <w:rPr>
      <w:rFonts w:cs="宋体"/>
      <w:szCs w:val="24"/>
    </w:rPr>
  </w:style>
  <w:style w:type="paragraph" w:customStyle="1" w:styleId="45">
    <w:name w:val="3 条文说明"/>
    <w:basedOn w:val="1"/>
    <w:qFormat/>
    <w:uiPriority w:val="99"/>
    <w:pPr>
      <w:overflowPunct w:val="0"/>
      <w:spacing w:line="269" w:lineRule="auto"/>
      <w:ind w:firstLine="200" w:firstLineChars="200"/>
    </w:pPr>
    <w:rPr>
      <w:rFonts w:cs="Calibri"/>
    </w:rPr>
  </w:style>
  <w:style w:type="character" w:customStyle="1" w:styleId="46">
    <w:name w:val="页眉 字符"/>
    <w:basedOn w:val="17"/>
    <w:link w:val="10"/>
    <w:autoRedefine/>
    <w:qFormat/>
    <w:uiPriority w:val="99"/>
    <w:rPr>
      <w:rFonts w:ascii="Times New Roman" w:hAnsi="Times New Roman" w:eastAsia="宋体" w:cs="Times New Roman"/>
      <w:sz w:val="18"/>
      <w:szCs w:val="18"/>
    </w:rPr>
  </w:style>
  <w:style w:type="character" w:customStyle="1" w:styleId="47">
    <w:name w:val="页脚 字符"/>
    <w:basedOn w:val="17"/>
    <w:link w:val="9"/>
    <w:autoRedefine/>
    <w:qFormat/>
    <w:uiPriority w:val="99"/>
    <w:rPr>
      <w:rFonts w:ascii="Times New Roman" w:hAnsi="Times New Roman" w:eastAsia="宋体" w:cs="Times New Roman"/>
      <w:sz w:val="18"/>
      <w:szCs w:val="18"/>
    </w:rPr>
  </w:style>
  <w:style w:type="character" w:customStyle="1" w:styleId="48">
    <w:name w:val="批注文字 字符"/>
    <w:basedOn w:val="17"/>
    <w:link w:val="7"/>
    <w:autoRedefine/>
    <w:qFormat/>
    <w:uiPriority w:val="99"/>
    <w:rPr>
      <w:rFonts w:ascii="Times New Roman" w:hAnsi="Times New Roman" w:eastAsia="宋体" w:cs="Times New Roman"/>
      <w:kern w:val="2"/>
      <w:sz w:val="21"/>
      <w:szCs w:val="21"/>
    </w:rPr>
  </w:style>
  <w:style w:type="character" w:customStyle="1" w:styleId="49">
    <w:name w:val="批注主题 字符"/>
    <w:basedOn w:val="48"/>
    <w:link w:val="14"/>
    <w:autoRedefine/>
    <w:semiHidden/>
    <w:qFormat/>
    <w:uiPriority w:val="99"/>
    <w:rPr>
      <w:b/>
      <w:bCs/>
      <w:kern w:val="2"/>
      <w:sz w:val="21"/>
      <w:szCs w:val="21"/>
    </w:rPr>
  </w:style>
  <w:style w:type="character" w:customStyle="1" w:styleId="50">
    <w:name w:val="批注框文本 字符"/>
    <w:basedOn w:val="17"/>
    <w:link w:val="8"/>
    <w:autoRedefine/>
    <w:semiHidden/>
    <w:qFormat/>
    <w:uiPriority w:val="99"/>
    <w:rPr>
      <w:rFonts w:ascii="Times New Roman" w:hAnsi="Times New Roman" w:eastAsia="宋体" w:cs="Times New Roman"/>
      <w:kern w:val="2"/>
      <w:sz w:val="18"/>
      <w:szCs w:val="18"/>
    </w:rPr>
  </w:style>
  <w:style w:type="character" w:customStyle="1" w:styleId="51">
    <w:name w:val="标题 3 字符2"/>
    <w:link w:val="4"/>
    <w:autoRedefine/>
    <w:qFormat/>
    <w:uiPriority w:val="0"/>
    <w:rPr>
      <w:rFonts w:ascii="Times New Roman" w:hAnsi="Times New Roman" w:eastAsia="宋体" w:cs="宋体"/>
      <w:kern w:val="2"/>
      <w:sz w:val="22"/>
      <w:szCs w:val="21"/>
      <w:lang w:val="zh-CN" w:bidi="zh-CN"/>
    </w:rPr>
  </w:style>
  <w:style w:type="character" w:customStyle="1" w:styleId="52">
    <w:name w:val="列出段落 字符"/>
    <w:link w:val="35"/>
    <w:qFormat/>
    <w:uiPriority w:val="34"/>
    <w:rPr>
      <w:rFonts w:ascii="Times New Roman" w:hAnsi="Times New Roman" w:eastAsia="宋体" w:cs="Times New Roman"/>
      <w:kern w:val="2"/>
      <w:sz w:val="24"/>
      <w:szCs w:val="22"/>
    </w:rPr>
  </w:style>
  <w:style w:type="character" w:customStyle="1" w:styleId="53">
    <w:name w:val="列表段落 字符"/>
    <w:link w:val="35"/>
    <w:qFormat/>
    <w:uiPriority w:val="34"/>
    <w:rPr>
      <w:rFonts w:ascii="Times New Roman" w:hAnsi="Times New Roman" w:eastAsia="宋体" w:cs="Times New Roman"/>
      <w:kern w:val="2"/>
      <w:sz w:val="24"/>
      <w:szCs w:val="22"/>
    </w:rPr>
  </w:style>
  <w:style w:type="paragraph" w:customStyle="1" w:styleId="54">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11683</Words>
  <Characters>13949</Characters>
  <Lines>0</Lines>
  <Paragraphs>0</Paragraphs>
  <TotalTime>3</TotalTime>
  <ScaleCrop>false</ScaleCrop>
  <LinksUpToDate>false</LinksUpToDate>
  <CharactersWithSpaces>14729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2024-11-06T03:15:00Z</dcterms:created>
  <dc:creator>Bimix阿秀</dc:creator>
  <cp:lastModifiedBy>初夏</cp:lastModifiedBy>
  <dcterms:modified xsi:type="dcterms:W3CDTF">2024-11-27T06:06:26Z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E2197E303B954155A8D72636434263E6_13</vt:lpwstr>
  </property>
</Properties>
</file>