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true" noChangeArrowheads="true"/>
                                </pic:cNvPicPr>
                              </pic:nvPicPr>
                              <pic:blipFill>
                                <a:blip r:embed="rId15" cstate="print">
                                  <a:extLst>
                                    <a:ext uri="{28A0092B-C50C-407E-A947-70E740481C1C}">
                                      <a14:useLocalDpi xmlns:a14="http://schemas.microsoft.com/office/drawing/2010/main" val="false"/>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true" noChangeArrowheads="true"/>
                                </pic:cNvPicPr>
                              </pic:nvPicPr>
                              <pic:blipFill>
                                <a:blip r:embed="rId16" cstate="print">
                                  <a:extLst>
                                    <a:ext uri="{28A0092B-C50C-407E-A947-70E740481C1C}">
                                      <a14:useLocalDpi xmlns:a14="http://schemas.microsoft.com/office/drawing/2010/main" val="false"/>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2"/>
          </w:p>
        </w:tc>
      </w:tr>
    </w:tbl>
    <w:p>
      <w:pPr>
        <w:pStyle w:val="51"/>
        <w:framePr w:w="9639" w:h="624" w:hRule="exact" w:hSpace="181" w:vSpace="181"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绿色建材评价  纳米微球</w:t>
      </w:r>
      <w:r>
        <w:rPr>
          <w:rFonts w:hint="eastAsia"/>
          <w:lang w:eastAsia="zh-CN"/>
        </w:rPr>
        <w:t>水性浆</w:t>
      </w:r>
      <w:r>
        <w:rPr>
          <w:rFonts w:hint="eastAsia"/>
        </w:rPr>
        <w:t>料</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green building material assessment</w:t>
      </w:r>
      <w:r>
        <w:rPr>
          <w:rFonts w:hint="eastAsia" w:eastAsia="黑体"/>
          <w:szCs w:val="28"/>
        </w:rPr>
        <w:t xml:space="preserve">  </w:t>
      </w:r>
      <w:r>
        <w:rPr>
          <w:rFonts w:eastAsia="黑体"/>
          <w:szCs w:val="28"/>
        </w:rPr>
        <w:t>nano microsphere water-based material</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4"/>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2"/>
        <w:framePr w:h="584" w:hRule="exact" w:hSpace="181" w:vSpace="181"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0"/>
        <w:spacing w:before="560" w:after="360"/>
      </w:pPr>
      <w:bookmarkStart w:id="21" w:name="BookMark2"/>
      <w:r>
        <w:rPr>
          <w:spacing w:val="320"/>
        </w:rPr>
        <w:t>前</w:t>
      </w:r>
      <w:r>
        <w:t>言</w:t>
      </w:r>
    </w:p>
    <w:p>
      <w:pPr>
        <w:pStyle w:val="57"/>
        <w:ind w:firstLine="420"/>
      </w:pPr>
      <w:r>
        <w:rPr>
          <w:rFonts w:hint="eastAsia"/>
        </w:rPr>
        <w:t>本文件按照</w:t>
      </w:r>
      <w:r>
        <w:rPr>
          <w:rFonts w:hint="eastAsia" w:ascii="Times New Roman"/>
        </w:rPr>
        <w:t>GB/T 1.1—2020</w:t>
      </w:r>
      <w:r>
        <w:rPr>
          <w:rFonts w:hint="eastAsia"/>
        </w:rPr>
        <w:t>《标准化工作导则  第</w:t>
      </w:r>
      <w:r>
        <w:rPr>
          <w:rFonts w:hint="eastAsia" w:ascii="Times New Roman"/>
        </w:rPr>
        <w:t>1</w:t>
      </w:r>
      <w:r>
        <w:rPr>
          <w:rFonts w:hint="eastAsia"/>
        </w:rPr>
        <w:t>部分：标准化文件的结构和起草规则》的规定起草。</w:t>
      </w:r>
    </w:p>
    <w:p>
      <w:pPr>
        <w:pStyle w:val="57"/>
        <w:ind w:firstLine="420"/>
      </w:pPr>
      <w:r>
        <w:rPr>
          <w:rFonts w:hint="eastAsia"/>
        </w:rPr>
        <w:t>本文件按中国工程建设标准化协会印发《</w:t>
      </w:r>
      <w:r>
        <w:rPr>
          <w:rFonts w:hint="eastAsia" w:ascii="Times New Roman"/>
        </w:rPr>
        <w:t>2024</w:t>
      </w:r>
      <w:r>
        <w:rPr>
          <w:rFonts w:hint="eastAsia"/>
        </w:rPr>
        <w:t>年第一批协会标准制订、修订计划》的通知（建标协字[</w:t>
      </w:r>
      <w:r>
        <w:rPr>
          <w:rFonts w:hint="eastAsia" w:ascii="Times New Roman"/>
        </w:rPr>
        <w:t>2024</w:t>
      </w:r>
      <w:r>
        <w:rPr>
          <w:rFonts w:hint="eastAsia"/>
        </w:rPr>
        <w:t>]</w:t>
      </w:r>
      <w:r>
        <w:rPr>
          <w:rFonts w:hint="eastAsia" w:ascii="Times New Roman"/>
        </w:rPr>
        <w:t>15</w:t>
      </w:r>
      <w:r>
        <w:rPr>
          <w:rFonts w:hint="eastAsia"/>
        </w:rPr>
        <w:t>号）的要求制定。</w:t>
      </w:r>
    </w:p>
    <w:p>
      <w:pPr>
        <w:pStyle w:val="57"/>
        <w:ind w:firstLine="420"/>
      </w:pPr>
      <w:r>
        <w:rPr>
          <w:rFonts w:hint="eastAsia"/>
        </w:rPr>
        <w:t>请注意本文件的某些内容可能直接或间接涉及专利，本文件的发布机构不承担识别这些专利的责任。</w:t>
      </w:r>
    </w:p>
    <w:p>
      <w:pPr>
        <w:pStyle w:val="57"/>
        <w:ind w:firstLine="420"/>
      </w:pPr>
      <w:r>
        <w:rPr>
          <w:rFonts w:hint="eastAsia"/>
        </w:rPr>
        <w:t>本文件由中国工程建设标准化协会提出。</w:t>
      </w:r>
    </w:p>
    <w:p>
      <w:pPr>
        <w:pStyle w:val="57"/>
        <w:ind w:firstLine="420"/>
      </w:pPr>
      <w:r>
        <w:rPr>
          <w:rFonts w:hint="eastAsia"/>
        </w:rPr>
        <w:t>本文件由中国工程建设标准化协会建筑材料分会归口管理。</w:t>
      </w:r>
    </w:p>
    <w:p>
      <w:pPr>
        <w:pStyle w:val="57"/>
        <w:ind w:firstLine="420"/>
      </w:pPr>
      <w:r>
        <w:rPr>
          <w:rFonts w:hint="eastAsia"/>
        </w:rPr>
        <w:t>本文件负责起草单位：住房和城乡建设部科技与产业化发展中心。</w:t>
      </w:r>
    </w:p>
    <w:p>
      <w:pPr>
        <w:pStyle w:val="57"/>
        <w:ind w:firstLine="420"/>
      </w:pPr>
      <w:r>
        <w:rPr>
          <w:rFonts w:hint="eastAsia"/>
        </w:rPr>
        <w:t>本文件参加起草单位：江苏菲华至宁高新材料科技有限公司、南京绿色建筑与绿色建材发展中心、江苏省建筑材料研究设计院有限公司、江苏省建工建材质量检测中心有限公司、济南天空湛蓝节能环保服务有限公司、</w:t>
      </w:r>
      <w:r>
        <w:rPr>
          <w:rFonts w:hint="eastAsia"/>
          <w:lang w:val="en-US" w:eastAsia="zh-CN"/>
        </w:rPr>
        <w:t>北京标碳标准化技术有限公司、</w:t>
      </w:r>
      <w:r>
        <w:rPr>
          <w:rFonts w:hint="eastAsia"/>
        </w:rPr>
        <w:t>中科绿标（北京）认证中心有限公司、江苏省建科工程材料质量检测有限公司。</w:t>
      </w:r>
    </w:p>
    <w:p>
      <w:pPr>
        <w:pStyle w:val="57"/>
        <w:ind w:firstLine="420"/>
        <w:rPr>
          <w:rFonts w:hint="eastAsia"/>
        </w:rPr>
      </w:pPr>
      <w:r>
        <w:rPr>
          <w:rFonts w:hint="eastAsia"/>
        </w:rPr>
        <w:t>本文件主要起草人：</w:t>
      </w:r>
    </w:p>
    <w:p>
      <w:pPr>
        <w:pStyle w:val="57"/>
        <w:ind w:firstLine="420"/>
      </w:pPr>
      <w:bookmarkStart w:id="46" w:name="_GoBack"/>
      <w:bookmarkEnd w:id="46"/>
      <w:r>
        <w:rPr>
          <w:rFonts w:hint="eastAsia"/>
        </w:rPr>
        <w:t>本文件主要审查人：</w:t>
      </w:r>
    </w:p>
    <w:p>
      <w:pPr>
        <w:pStyle w:val="57"/>
        <w:ind w:firstLine="420"/>
      </w:pPr>
    </w:p>
    <w:p>
      <w:pPr>
        <w:pStyle w:val="57"/>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C35CD1C517C54C088A41242842D0EE29"/>
        </w:placeholder>
      </w:sdtPr>
      <w:sdtContent>
        <w:p>
          <w:pPr>
            <w:pStyle w:val="178"/>
            <w:spacing w:before="240" w:beforeLines="100" w:after="528" w:afterLines="220"/>
          </w:pPr>
          <w:bookmarkStart w:id="23" w:name="NEW_STAND_NAME"/>
          <w:r>
            <w:rPr>
              <w:rFonts w:hint="eastAsia"/>
            </w:rPr>
            <w:t>绿色建材评价</w:t>
          </w:r>
          <w:r>
            <w:t xml:space="preserve">  纳米微球</w:t>
          </w:r>
          <w:r>
            <w:rPr>
              <w:rFonts w:hint="eastAsia"/>
              <w:lang w:val="en-US" w:eastAsia="zh-CN"/>
            </w:rPr>
            <w:t>水</w:t>
          </w:r>
          <w:r>
            <w:t>性</w:t>
          </w:r>
          <w:r>
            <w:rPr>
              <w:rFonts w:hint="eastAsia"/>
              <w:lang w:val="en-US" w:eastAsia="zh-CN"/>
            </w:rPr>
            <w:t>浆</w:t>
          </w:r>
          <w:r>
            <w:t>料</w:t>
          </w:r>
        </w:p>
      </w:sdtContent>
    </w:sdt>
    <w:bookmarkEnd w:id="23"/>
    <w:p>
      <w:pPr>
        <w:pStyle w:val="105"/>
        <w:spacing w:before="240" w:after="240"/>
      </w:pPr>
      <w:bookmarkStart w:id="24" w:name="_Toc26718930"/>
      <w:bookmarkStart w:id="25" w:name="_Toc24884218"/>
      <w:bookmarkStart w:id="26" w:name="_Toc26648465"/>
      <w:bookmarkStart w:id="27" w:name="_Toc26986530"/>
      <w:bookmarkStart w:id="28" w:name="_Toc17233325"/>
      <w:bookmarkStart w:id="29" w:name="_Toc17233333"/>
      <w:bookmarkStart w:id="30" w:name="_Toc97192964"/>
      <w:bookmarkStart w:id="31" w:name="_Toc26986771"/>
      <w:bookmarkStart w:id="32" w:name="_Toc24884211"/>
      <w:r>
        <w:rPr>
          <w:rFonts w:hint="eastAsia"/>
        </w:rPr>
        <w:t>范围</w:t>
      </w:r>
      <w:bookmarkEnd w:id="24"/>
      <w:bookmarkEnd w:id="25"/>
      <w:bookmarkEnd w:id="26"/>
      <w:bookmarkEnd w:id="27"/>
      <w:bookmarkEnd w:id="28"/>
      <w:bookmarkEnd w:id="29"/>
      <w:bookmarkEnd w:id="30"/>
      <w:bookmarkEnd w:id="31"/>
      <w:bookmarkEnd w:id="32"/>
    </w:p>
    <w:p>
      <w:pPr>
        <w:pStyle w:val="57"/>
        <w:ind w:firstLine="420"/>
      </w:pPr>
      <w:bookmarkStart w:id="33" w:name="_Toc17233326"/>
      <w:bookmarkStart w:id="34" w:name="_Toc24884212"/>
      <w:bookmarkStart w:id="35" w:name="_Toc17233334"/>
      <w:bookmarkStart w:id="36" w:name="_Toc24884219"/>
      <w:bookmarkStart w:id="37" w:name="_Toc26648466"/>
      <w:r>
        <w:rPr>
          <w:rFonts w:hint="eastAsia"/>
        </w:rPr>
        <w:t>本标准规定了纳米微球水性</w:t>
      </w:r>
      <w:r>
        <w:rPr>
          <w:rFonts w:hint="eastAsia"/>
          <w:lang w:val="en-US" w:eastAsia="zh-CN"/>
        </w:rPr>
        <w:t>浆</w:t>
      </w:r>
      <w:r>
        <w:rPr>
          <w:rFonts w:hint="eastAsia"/>
        </w:rPr>
        <w:t>料绿色建材评价的术语和定义、评价要求和评价方法。</w:t>
      </w:r>
    </w:p>
    <w:p>
      <w:pPr>
        <w:pStyle w:val="57"/>
        <w:ind w:firstLine="420"/>
      </w:pPr>
      <w:r>
        <w:rPr>
          <w:rFonts w:hint="eastAsia"/>
        </w:rPr>
        <w:t>本标准适用于以纳米微球为功能填料，以水为分散介质，用于建筑物内外墙、屋顶等部位的涂料的绿色建材评价。</w:t>
      </w:r>
    </w:p>
    <w:p>
      <w:pPr>
        <w:pStyle w:val="105"/>
        <w:spacing w:before="240" w:after="240"/>
      </w:pPr>
      <w:bookmarkStart w:id="38" w:name="_Toc26986531"/>
      <w:bookmarkStart w:id="39" w:name="_Toc26718931"/>
      <w:bookmarkStart w:id="40" w:name="_Toc26986772"/>
      <w:bookmarkStart w:id="41" w:name="_Toc97192965"/>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C3D6775475E741BD8AF11FA1ACF3C96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ascii="Times New Roman"/>
        </w:rPr>
        <w:t>GB/T 1725</w:t>
      </w:r>
      <w:r>
        <w:rPr>
          <w:rFonts w:hint="eastAsia"/>
        </w:rPr>
        <w:t xml:space="preserve"> 色漆、清漆和塑料 不挥发物含量的测定</w:t>
      </w:r>
    </w:p>
    <w:p>
      <w:pPr>
        <w:pStyle w:val="57"/>
        <w:ind w:firstLine="420"/>
      </w:pPr>
      <w:r>
        <w:rPr>
          <w:rFonts w:hint="eastAsia" w:ascii="Times New Roman"/>
        </w:rPr>
        <w:t>GB/T 1728</w:t>
      </w:r>
      <w:r>
        <w:rPr>
          <w:rFonts w:hint="eastAsia"/>
        </w:rPr>
        <w:t xml:space="preserve"> 漆膜、腻子膜干燥时间测定法</w:t>
      </w:r>
    </w:p>
    <w:p>
      <w:pPr>
        <w:pStyle w:val="57"/>
        <w:ind w:firstLine="420"/>
      </w:pPr>
      <w:r>
        <w:rPr>
          <w:rFonts w:hint="eastAsia" w:ascii="Times New Roman"/>
        </w:rPr>
        <w:t>GB/T 1865</w:t>
      </w:r>
      <w:r>
        <w:rPr>
          <w:rFonts w:hint="eastAsia"/>
        </w:rPr>
        <w:t xml:space="preserve"> 色漆和清漆 人工气候老化和人工辐射曝露 滤过的氙弧辐射</w:t>
      </w:r>
    </w:p>
    <w:p>
      <w:pPr>
        <w:pStyle w:val="57"/>
        <w:ind w:firstLine="420"/>
      </w:pPr>
      <w:r>
        <w:rPr>
          <w:rFonts w:hint="eastAsia" w:ascii="Times New Roman"/>
        </w:rPr>
        <w:t>GB/T 9268</w:t>
      </w:r>
      <w:r>
        <w:rPr>
          <w:rFonts w:hint="eastAsia"/>
        </w:rPr>
        <w:t xml:space="preserve"> 乳胶漆耐冻融性的测定</w:t>
      </w:r>
    </w:p>
    <w:p>
      <w:pPr>
        <w:pStyle w:val="57"/>
        <w:ind w:firstLine="420"/>
      </w:pPr>
      <w:r>
        <w:rPr>
          <w:rFonts w:hint="eastAsia" w:ascii="Times New Roman"/>
        </w:rPr>
        <w:t>GB/T 9274</w:t>
      </w:r>
      <w:r>
        <w:rPr>
          <w:rFonts w:hint="eastAsia"/>
        </w:rPr>
        <w:t xml:space="preserve"> 色漆和清漆 耐液体介质的测定</w:t>
      </w:r>
    </w:p>
    <w:p>
      <w:pPr>
        <w:pStyle w:val="57"/>
        <w:ind w:firstLine="420"/>
      </w:pPr>
      <w:r>
        <w:rPr>
          <w:rFonts w:hint="eastAsia" w:ascii="Times New Roman"/>
        </w:rPr>
        <w:t>GB/T 9724</w:t>
      </w:r>
      <w:r>
        <w:rPr>
          <w:rFonts w:hint="eastAsia"/>
        </w:rPr>
        <w:t xml:space="preserve"> 化学试剂 </w:t>
      </w:r>
      <w:r>
        <w:rPr>
          <w:rFonts w:hint="eastAsia" w:ascii="Times New Roman"/>
        </w:rPr>
        <w:t>pH</w:t>
      </w:r>
      <w:r>
        <w:rPr>
          <w:rFonts w:hint="eastAsia"/>
        </w:rPr>
        <w:t>值测定通则</w:t>
      </w:r>
    </w:p>
    <w:p>
      <w:pPr>
        <w:pStyle w:val="57"/>
        <w:ind w:firstLine="420"/>
      </w:pPr>
      <w:r>
        <w:rPr>
          <w:rFonts w:hint="eastAsia" w:ascii="Times New Roman"/>
        </w:rPr>
        <w:t>GB/T 9755</w:t>
      </w:r>
      <w:r>
        <w:rPr>
          <w:rFonts w:hint="eastAsia"/>
        </w:rPr>
        <w:t xml:space="preserve"> 合成树脂乳液外墙涂料</w:t>
      </w:r>
    </w:p>
    <w:p>
      <w:pPr>
        <w:pStyle w:val="57"/>
        <w:ind w:firstLine="420"/>
      </w:pPr>
      <w:r>
        <w:rPr>
          <w:rFonts w:hint="eastAsia" w:ascii="Times New Roman"/>
        </w:rPr>
        <w:t>GB/T 9779</w:t>
      </w:r>
      <w:r>
        <w:rPr>
          <w:rFonts w:hint="eastAsia"/>
        </w:rPr>
        <w:t xml:space="preserve"> 复层建筑涂料</w:t>
      </w:r>
    </w:p>
    <w:p>
      <w:pPr>
        <w:pStyle w:val="57"/>
        <w:ind w:firstLine="420"/>
      </w:pPr>
      <w:r>
        <w:rPr>
          <w:rFonts w:hint="eastAsia" w:ascii="Times New Roman"/>
        </w:rPr>
        <w:t>GB/T 13491</w:t>
      </w:r>
      <w:r>
        <w:rPr>
          <w:rFonts w:hint="eastAsia"/>
        </w:rPr>
        <w:t xml:space="preserve"> 涂料产品包装通则</w:t>
      </w:r>
    </w:p>
    <w:p>
      <w:pPr>
        <w:pStyle w:val="57"/>
        <w:ind w:firstLine="420"/>
      </w:pPr>
      <w:r>
        <w:rPr>
          <w:rFonts w:hint="eastAsia" w:ascii="Times New Roman"/>
        </w:rPr>
        <w:t>GB 18582</w:t>
      </w:r>
      <w:r>
        <w:rPr>
          <w:rFonts w:hint="eastAsia"/>
        </w:rPr>
        <w:t xml:space="preserve"> 建筑用墙面涂料中有害物质限量</w:t>
      </w:r>
    </w:p>
    <w:p>
      <w:pPr>
        <w:pStyle w:val="57"/>
        <w:ind w:firstLine="420"/>
      </w:pPr>
      <w:r>
        <w:rPr>
          <w:rFonts w:hint="eastAsia" w:ascii="Times New Roman"/>
        </w:rPr>
        <w:t>GB/T 42208</w:t>
      </w:r>
      <w:r>
        <w:rPr>
          <w:rFonts w:hint="eastAsia"/>
        </w:rPr>
        <w:t xml:space="preserve"> 纳米技术 多相体系中纳米颗粒粒径测量 透射电镜图像法</w:t>
      </w:r>
    </w:p>
    <w:p>
      <w:pPr>
        <w:pStyle w:val="57"/>
        <w:ind w:firstLine="420"/>
      </w:pPr>
      <w:r>
        <w:rPr>
          <w:rFonts w:hint="eastAsia" w:ascii="Times New Roman"/>
        </w:rPr>
        <w:t>JG/T 24</w:t>
      </w:r>
      <w:r>
        <w:rPr>
          <w:rFonts w:hint="eastAsia"/>
        </w:rPr>
        <w:t xml:space="preserve"> 合成树脂乳液砂壁状建筑涂料</w:t>
      </w:r>
    </w:p>
    <w:p>
      <w:pPr>
        <w:pStyle w:val="57"/>
        <w:ind w:firstLine="420"/>
      </w:pPr>
      <w:r>
        <w:rPr>
          <w:rFonts w:hint="eastAsia" w:ascii="Times New Roman"/>
        </w:rPr>
        <w:t>JG/T 157</w:t>
      </w:r>
      <w:r>
        <w:rPr>
          <w:rFonts w:hint="eastAsia"/>
        </w:rPr>
        <w:t xml:space="preserve"> 建筑外墙用腻子</w:t>
      </w:r>
    </w:p>
    <w:p>
      <w:pPr>
        <w:pStyle w:val="57"/>
        <w:ind w:firstLine="420"/>
      </w:pPr>
      <w:r>
        <w:rPr>
          <w:rFonts w:hint="eastAsia" w:ascii="Times New Roman"/>
        </w:rPr>
        <w:t>JG/T 210</w:t>
      </w:r>
      <w:r>
        <w:rPr>
          <w:rFonts w:hint="eastAsia"/>
        </w:rPr>
        <w:t xml:space="preserve"> 建筑内外墙用底漆</w:t>
      </w:r>
    </w:p>
    <w:p>
      <w:pPr>
        <w:pStyle w:val="57"/>
        <w:ind w:firstLine="420"/>
      </w:pPr>
      <w:r>
        <w:rPr>
          <w:rFonts w:hint="eastAsia" w:ascii="Times New Roman"/>
        </w:rPr>
        <w:t>JG/T 235</w:t>
      </w:r>
      <w:r>
        <w:rPr>
          <w:rFonts w:hint="eastAsia"/>
        </w:rPr>
        <w:t xml:space="preserve"> 建筑反射隔热涂料</w:t>
      </w:r>
    </w:p>
    <w:p>
      <w:pPr>
        <w:pStyle w:val="57"/>
        <w:ind w:firstLine="420"/>
      </w:pPr>
      <w:r>
        <w:rPr>
          <w:rFonts w:hint="eastAsia" w:ascii="Times New Roman"/>
        </w:rPr>
        <w:t>JG/T 517</w:t>
      </w:r>
      <w:r>
        <w:rPr>
          <w:rFonts w:hint="eastAsia"/>
        </w:rPr>
        <w:t xml:space="preserve"> 工程用中空玻璃微珠保温隔热材料</w:t>
      </w:r>
    </w:p>
    <w:p>
      <w:pPr>
        <w:pStyle w:val="57"/>
        <w:ind w:firstLine="420"/>
      </w:pPr>
      <w:r>
        <w:rPr>
          <w:rFonts w:hint="eastAsia" w:ascii="Times New Roman"/>
        </w:rPr>
        <w:t>JGJ/T 70</w:t>
      </w:r>
      <w:r>
        <w:rPr>
          <w:rFonts w:hint="eastAsia"/>
        </w:rPr>
        <w:t xml:space="preserve"> 建筑砂浆基本性能试验方法标准</w:t>
      </w:r>
    </w:p>
    <w:p>
      <w:pPr>
        <w:pStyle w:val="57"/>
        <w:ind w:firstLine="420"/>
      </w:pPr>
      <w:r>
        <w:rPr>
          <w:rFonts w:hint="eastAsia" w:ascii="Times New Roman"/>
        </w:rPr>
        <w:t>JJF 1070</w:t>
      </w:r>
      <w:r>
        <w:rPr>
          <w:rFonts w:hint="eastAsia"/>
        </w:rPr>
        <w:t xml:space="preserve"> 定量包装商品净含量计量检验规则</w:t>
      </w:r>
    </w:p>
    <w:p>
      <w:pPr>
        <w:pStyle w:val="57"/>
        <w:ind w:firstLine="420"/>
      </w:pPr>
      <w:r>
        <w:rPr>
          <w:rFonts w:hint="eastAsia"/>
        </w:rPr>
        <w:t xml:space="preserve">国家市场监督管理总局令第 </w:t>
      </w:r>
      <w:r>
        <w:rPr>
          <w:rFonts w:hint="eastAsia" w:ascii="Times New Roman"/>
        </w:rPr>
        <w:t>70</w:t>
      </w:r>
      <w:r>
        <w:rPr>
          <w:rFonts w:hint="eastAsia"/>
        </w:rPr>
        <w:t xml:space="preserve"> 号《定量包装商品计量监督管理办法》</w:t>
      </w:r>
    </w:p>
    <w:p>
      <w:pPr>
        <w:pStyle w:val="105"/>
        <w:spacing w:before="240" w:after="240"/>
      </w:pPr>
      <w:bookmarkStart w:id="42" w:name="_Toc97192966"/>
      <w:r>
        <w:rPr>
          <w:rFonts w:hint="eastAsia"/>
          <w:szCs w:val="21"/>
        </w:rPr>
        <w:t>术语和定义</w:t>
      </w:r>
      <w:bookmarkEnd w:id="42"/>
    </w:p>
    <w:sdt>
      <w:sdtPr>
        <w:id w:val="-1909835108"/>
        <w:placeholder>
          <w:docPart w:val="56E61D1C871B4DB2A43FAE7C8AC9E4A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3" w:name="_Toc26986532"/>
          <w:bookmarkEnd w:id="43"/>
          <w:r>
            <w:t>下列术语和定义适用于本文件。</w:t>
          </w:r>
        </w:p>
      </w:sdtContent>
    </w:sdt>
    <w:p>
      <w:pPr>
        <w:pStyle w:val="106"/>
        <w:spacing w:before="120" w:after="120"/>
      </w:pPr>
      <w:r>
        <w:rPr>
          <w:rFonts w:hint="eastAsia"/>
        </w:rPr>
        <w:t xml:space="preserve">绿色建材  </w:t>
      </w:r>
      <w:r>
        <w:t>green building material</w:t>
      </w:r>
    </w:p>
    <w:p>
      <w:pPr>
        <w:pStyle w:val="57"/>
        <w:ind w:firstLine="420"/>
      </w:pPr>
      <w:r>
        <w:rPr>
          <w:rFonts w:hint="eastAsia"/>
        </w:rPr>
        <w:t>在全生命周期内可减少对天然资源消耗和减轻对生态环境影响，具有“节能、减排、安全、便利和可循环”特征的建材产品。</w:t>
      </w:r>
    </w:p>
    <w:p>
      <w:pPr>
        <w:pStyle w:val="57"/>
        <w:ind w:firstLine="420"/>
      </w:pPr>
      <w:r>
        <w:rPr>
          <w:rFonts w:hint="eastAsia"/>
        </w:rPr>
        <w:t>[来源：T/CECS 10039—2019，3.1]</w:t>
      </w:r>
    </w:p>
    <w:p>
      <w:pPr>
        <w:pStyle w:val="106"/>
        <w:spacing w:before="120" w:after="120"/>
      </w:pPr>
      <w:r>
        <w:rPr>
          <w:rFonts w:hint="eastAsia"/>
        </w:rPr>
        <w:t xml:space="preserve">绿色建材评价  </w:t>
      </w:r>
      <w:r>
        <w:t>green building material</w:t>
      </w:r>
      <w:r>
        <w:rPr>
          <w:rFonts w:hint="eastAsia"/>
        </w:rPr>
        <w:t xml:space="preserve"> assessment</w:t>
      </w:r>
    </w:p>
    <w:p>
      <w:pPr>
        <w:pStyle w:val="57"/>
        <w:ind w:firstLine="420"/>
      </w:pPr>
      <w:r>
        <w:rPr>
          <w:rFonts w:hint="eastAsia"/>
        </w:rPr>
        <w:t>依据绿色建材评价技术标准，按照程序和要求对申请开展评价的建材产品进行评价，确认其等级的活动。</w:t>
      </w:r>
    </w:p>
    <w:p>
      <w:pPr>
        <w:pStyle w:val="57"/>
        <w:ind w:firstLine="420"/>
      </w:pPr>
      <w:r>
        <w:rPr>
          <w:rFonts w:hint="eastAsia"/>
        </w:rPr>
        <w:t>[来源：T/CECS 10039—2019，3.2]</w:t>
      </w:r>
    </w:p>
    <w:p>
      <w:pPr>
        <w:pStyle w:val="106"/>
        <w:spacing w:before="120" w:after="120"/>
      </w:pPr>
      <w:r>
        <w:rPr>
          <w:rFonts w:hint="eastAsia"/>
        </w:rPr>
        <w:t xml:space="preserve">评价等级  </w:t>
      </w:r>
      <w:r>
        <w:t>assessmen</w:t>
      </w:r>
      <w:r>
        <w:rPr>
          <w:rFonts w:hint="eastAsia"/>
        </w:rPr>
        <w:t xml:space="preserve"> level</w:t>
      </w:r>
    </w:p>
    <w:p>
      <w:pPr>
        <w:pStyle w:val="57"/>
        <w:ind w:firstLine="420"/>
      </w:pPr>
      <w:r>
        <w:rPr>
          <w:rFonts w:hint="eastAsia"/>
        </w:rPr>
        <w:t>产品评价结果所达到的绿色建材级别，由低到高分为一星级、二星级、三星级。</w:t>
      </w:r>
    </w:p>
    <w:p>
      <w:pPr>
        <w:pStyle w:val="57"/>
        <w:ind w:firstLine="420"/>
      </w:pPr>
      <w:r>
        <w:rPr>
          <w:rFonts w:hint="eastAsia"/>
        </w:rPr>
        <w:t>[来源：T/CECS 10039—2019，3.3]</w:t>
      </w:r>
    </w:p>
    <w:p>
      <w:pPr>
        <w:pStyle w:val="106"/>
        <w:spacing w:before="120" w:after="120"/>
      </w:pPr>
      <w:r>
        <w:rPr>
          <w:rFonts w:hint="eastAsia"/>
        </w:rPr>
        <w:t>环境产品声明  environmental produce declaration</w:t>
      </w:r>
    </w:p>
    <w:p>
      <w:pPr>
        <w:pStyle w:val="57"/>
        <w:ind w:firstLine="420"/>
      </w:pPr>
      <w:r>
        <w:rPr>
          <w:rFonts w:hint="eastAsia"/>
        </w:rPr>
        <w:t>提供基于预设参数的量化环境数据的环境声明,必要时包括附加环境信息。</w:t>
      </w:r>
    </w:p>
    <w:p>
      <w:pPr>
        <w:pStyle w:val="57"/>
        <w:ind w:firstLine="420"/>
      </w:pPr>
      <w:r>
        <w:rPr>
          <w:rFonts w:hint="eastAsia"/>
        </w:rPr>
        <w:t>[来源：T/CECS 10039—2019，3.7]</w:t>
      </w:r>
    </w:p>
    <w:p>
      <w:pPr>
        <w:pStyle w:val="106"/>
        <w:spacing w:before="120" w:after="120"/>
      </w:pPr>
      <w:r>
        <w:rPr>
          <w:rFonts w:hint="eastAsia"/>
        </w:rPr>
        <w:t>碳足迹  carbon footprint</w:t>
      </w:r>
    </w:p>
    <w:p>
      <w:pPr>
        <w:pStyle w:val="57"/>
        <w:ind w:firstLine="420"/>
      </w:pPr>
      <w:r>
        <w:rPr>
          <w:rFonts w:hint="eastAsia"/>
        </w:rPr>
        <w:t>用以量化过程、过程系统或产品系统温室气体排放的参数,以表现它们对气候变化的贡献。</w:t>
      </w:r>
    </w:p>
    <w:p>
      <w:pPr>
        <w:pStyle w:val="57"/>
        <w:ind w:firstLine="420"/>
      </w:pPr>
      <w:r>
        <w:rPr>
          <w:rFonts w:hint="eastAsia"/>
        </w:rPr>
        <w:t>[来源：T/CECS 10039—2019，3.8]</w:t>
      </w:r>
    </w:p>
    <w:p>
      <w:pPr>
        <w:pStyle w:val="106"/>
        <w:spacing w:before="120" w:after="120"/>
      </w:pPr>
      <w:r>
        <w:rPr>
          <w:rFonts w:hint="eastAsia"/>
        </w:rPr>
        <w:t>纳米微球水性</w:t>
      </w:r>
      <w:r>
        <w:rPr>
          <w:rFonts w:hint="eastAsia"/>
          <w:lang w:val="en-US" w:eastAsia="zh-CN"/>
        </w:rPr>
        <w:t>浆</w:t>
      </w:r>
      <w:r>
        <w:rPr>
          <w:rFonts w:hint="eastAsia"/>
        </w:rPr>
        <w:t>料  n</w:t>
      </w:r>
      <w:r>
        <w:t>ano microsphere water-based material</w:t>
      </w:r>
    </w:p>
    <w:p>
      <w:pPr>
        <w:pStyle w:val="57"/>
        <w:ind w:firstLine="420"/>
      </w:pPr>
      <w:r>
        <w:rPr>
          <w:rFonts w:hint="eastAsia"/>
        </w:rPr>
        <w:t>以纳米微球为功能填料，以水为分散介质，用于建筑物内外墙、屋顶等部位的涂料。</w:t>
      </w:r>
    </w:p>
    <w:p>
      <w:pPr>
        <w:pStyle w:val="105"/>
        <w:spacing w:before="240" w:after="240"/>
      </w:pPr>
      <w:r>
        <w:rPr>
          <w:rFonts w:hint="eastAsia"/>
        </w:rPr>
        <w:t>评价要求</w:t>
      </w:r>
    </w:p>
    <w:p>
      <w:pPr>
        <w:pStyle w:val="106"/>
        <w:spacing w:before="120" w:after="120"/>
      </w:pPr>
      <w:r>
        <w:rPr>
          <w:rFonts w:hint="eastAsia"/>
        </w:rPr>
        <w:t>一般要求</w:t>
      </w:r>
    </w:p>
    <w:p>
      <w:pPr>
        <w:pStyle w:val="66"/>
        <w:spacing w:before="120" w:after="120"/>
        <w:rPr>
          <w:rFonts w:ascii="宋体" w:hAnsi="宋体" w:eastAsia="宋体"/>
          <w:kern w:val="2"/>
          <w:szCs w:val="24"/>
        </w:rPr>
      </w:pPr>
      <w:r>
        <w:rPr>
          <w:rFonts w:hint="eastAsia" w:ascii="宋体" w:hAnsi="宋体" w:eastAsia="宋体"/>
          <w:kern w:val="2"/>
          <w:szCs w:val="24"/>
        </w:rPr>
        <w:t>生产企业近</w:t>
      </w:r>
      <w:r>
        <w:rPr>
          <w:rFonts w:hint="eastAsia" w:ascii="Times New Roman" w:eastAsia="宋体"/>
        </w:rPr>
        <w:t>3</w:t>
      </w:r>
      <w:r>
        <w:rPr>
          <w:rFonts w:hint="eastAsia" w:ascii="宋体" w:hAnsi="宋体" w:eastAsia="宋体"/>
          <w:kern w:val="2"/>
          <w:szCs w:val="24"/>
        </w:rPr>
        <w:t>年无重大环境污染事件和重大安全事故。</w:t>
      </w:r>
    </w:p>
    <w:p>
      <w:pPr>
        <w:pStyle w:val="66"/>
        <w:spacing w:before="120" w:after="120"/>
        <w:rPr>
          <w:rFonts w:ascii="宋体" w:hAnsi="宋体" w:eastAsia="宋体"/>
        </w:rPr>
      </w:pPr>
      <w:r>
        <w:rPr>
          <w:rFonts w:hint="eastAsia" w:ascii="宋体" w:hAnsi="宋体" w:eastAsia="宋体"/>
        </w:rPr>
        <w:t>一般固体废弃物的收集、贮存、处置应符合</w:t>
      </w:r>
      <w:r>
        <w:rPr>
          <w:rFonts w:hint="eastAsia" w:ascii="Times New Roman" w:eastAsia="宋体"/>
        </w:rPr>
        <w:t>GB 18599</w:t>
      </w:r>
      <w:r>
        <w:rPr>
          <w:rFonts w:hint="eastAsia" w:ascii="宋体" w:hAnsi="宋体" w:eastAsia="宋体"/>
        </w:rPr>
        <w:t>的相关规定。危险废物的贮存应符合</w:t>
      </w:r>
      <w:r>
        <w:rPr>
          <w:rFonts w:hint="eastAsia" w:ascii="Times New Roman" w:eastAsia="宋体"/>
        </w:rPr>
        <w:t>GB</w:t>
      </w:r>
      <w:r>
        <w:rPr>
          <w:rFonts w:hint="eastAsia" w:ascii="宋体" w:hAnsi="宋体" w:eastAsia="宋体"/>
        </w:rPr>
        <w:t xml:space="preserve"> </w:t>
      </w:r>
      <w:r>
        <w:rPr>
          <w:rFonts w:hint="eastAsia" w:ascii="Times New Roman" w:eastAsia="宋体"/>
        </w:rPr>
        <w:t>18597</w:t>
      </w:r>
      <w:r>
        <w:rPr>
          <w:rFonts w:hint="eastAsia" w:ascii="宋体" w:hAnsi="宋体" w:eastAsia="宋体"/>
        </w:rPr>
        <w:t>的相关规定，后续应交付给持有危险废物经营许可证的单位处置。</w:t>
      </w:r>
    </w:p>
    <w:p>
      <w:pPr>
        <w:pStyle w:val="66"/>
        <w:spacing w:before="120" w:after="120"/>
        <w:rPr>
          <w:rFonts w:ascii="宋体" w:hAnsi="宋体" w:eastAsia="宋体"/>
        </w:rPr>
      </w:pPr>
      <w:r>
        <w:rPr>
          <w:rFonts w:hint="eastAsia" w:ascii="宋体" w:hAnsi="宋体" w:eastAsia="宋体"/>
        </w:rPr>
        <w:t xml:space="preserve">生产企业应按照 </w:t>
      </w:r>
      <w:r>
        <w:rPr>
          <w:rFonts w:hint="eastAsia" w:ascii="Times New Roman" w:eastAsia="宋体"/>
        </w:rPr>
        <w:t>GB/T 19001</w:t>
      </w:r>
      <w:r>
        <w:rPr>
          <w:rFonts w:hint="eastAsia" w:ascii="宋体" w:hAnsi="宋体" w:eastAsia="宋体"/>
        </w:rPr>
        <w:t>和</w:t>
      </w:r>
      <w:r>
        <w:rPr>
          <w:rFonts w:hint="eastAsia" w:ascii="Times New Roman" w:eastAsia="宋体"/>
        </w:rPr>
        <w:t>GB/T 24001</w:t>
      </w:r>
      <w:r>
        <w:rPr>
          <w:rFonts w:hint="eastAsia" w:ascii="宋体" w:hAnsi="宋体" w:eastAsia="宋体"/>
        </w:rPr>
        <w:t>要求分别建立并运行质量管理体系和环境管理</w:t>
      </w:r>
    </w:p>
    <w:p>
      <w:pPr>
        <w:pStyle w:val="66"/>
        <w:numPr>
          <w:ilvl w:val="0"/>
          <w:numId w:val="0"/>
        </w:numPr>
        <w:spacing w:before="120" w:after="120"/>
        <w:rPr>
          <w:rFonts w:ascii="宋体" w:hAnsi="宋体" w:eastAsia="宋体"/>
        </w:rPr>
      </w:pPr>
      <w:r>
        <w:rPr>
          <w:rFonts w:hint="eastAsia" w:ascii="宋体" w:hAnsi="宋体" w:eastAsia="宋体"/>
        </w:rPr>
        <w:t>体系。</w:t>
      </w:r>
    </w:p>
    <w:p>
      <w:pPr>
        <w:pStyle w:val="66"/>
        <w:spacing w:before="120" w:after="120"/>
        <w:rPr>
          <w:rFonts w:ascii="宋体" w:hAnsi="宋体" w:eastAsia="宋体"/>
        </w:rPr>
      </w:pPr>
      <w:r>
        <w:rPr>
          <w:rFonts w:hint="eastAsia" w:ascii="宋体" w:hAnsi="宋体" w:eastAsia="宋体"/>
        </w:rPr>
        <w:t>生产企业应采用国家鼓励的先进技术工艺，不应使用国家或有关部门发布的淘汰或禁止的技</w:t>
      </w:r>
    </w:p>
    <w:p>
      <w:pPr>
        <w:pStyle w:val="66"/>
        <w:numPr>
          <w:ilvl w:val="0"/>
          <w:numId w:val="0"/>
        </w:numPr>
        <w:spacing w:before="120" w:after="120"/>
        <w:rPr>
          <w:rFonts w:ascii="宋体" w:hAnsi="宋体" w:eastAsia="宋体"/>
        </w:rPr>
      </w:pPr>
      <w:r>
        <w:rPr>
          <w:rFonts w:hint="eastAsia" w:ascii="宋体" w:hAnsi="宋体" w:eastAsia="宋体"/>
        </w:rPr>
        <w:t>术,工艺、装备及相关物质。</w:t>
      </w:r>
    </w:p>
    <w:p>
      <w:pPr>
        <w:pStyle w:val="66"/>
        <w:spacing w:before="120" w:after="120"/>
        <w:rPr>
          <w:rFonts w:ascii="宋体" w:hAnsi="宋体" w:eastAsia="宋体"/>
        </w:rPr>
      </w:pPr>
      <w:r>
        <w:rPr>
          <w:rFonts w:hint="eastAsia" w:ascii="宋体" w:hAnsi="宋体" w:eastAsia="宋体"/>
        </w:rPr>
        <w:t>生产企业应安装有效的颗粒物回收装置和有效的局部或整休密闭排气收集系统，收集后进人密闭式负压废气处理系统,并正常运转。</w:t>
      </w:r>
    </w:p>
    <w:p>
      <w:pPr>
        <w:pStyle w:val="66"/>
        <w:spacing w:before="120" w:after="120"/>
      </w:pPr>
      <w:r>
        <w:rPr>
          <w:rFonts w:hint="eastAsia" w:ascii="宋体" w:hAnsi="宋体" w:eastAsia="宋体"/>
        </w:rPr>
        <w:t>生产企业在生产制造过程中不应添加国家、地区和行业命令禁用的有害物质，种类见附录</w:t>
      </w:r>
      <w:r>
        <w:rPr>
          <w:rFonts w:hint="eastAsia" w:ascii="Times New Roman" w:eastAsia="宋体"/>
        </w:rPr>
        <w:t>A</w:t>
      </w:r>
      <w:r>
        <w:rPr>
          <w:rFonts w:hint="eastAsia"/>
        </w:rPr>
        <w:t>。</w:t>
      </w:r>
    </w:p>
    <w:p>
      <w:pPr>
        <w:pStyle w:val="66"/>
        <w:spacing w:before="120" w:after="120"/>
        <w:rPr>
          <w:rFonts w:ascii="宋体" w:hAnsi="宋体" w:eastAsia="宋体"/>
        </w:rPr>
      </w:pPr>
      <w:r>
        <w:rPr>
          <w:rFonts w:hint="eastAsia" w:ascii="宋体" w:hAnsi="宋体" w:eastAsia="宋体"/>
        </w:rPr>
        <w:t>生产企业应向下游用户或其他相关方提供符合</w:t>
      </w:r>
      <w:r>
        <w:rPr>
          <w:rFonts w:hint="eastAsia" w:ascii="Times New Roman" w:eastAsia="宋体"/>
        </w:rPr>
        <w:t>GB/T 16483</w:t>
      </w:r>
      <w:r>
        <w:rPr>
          <w:rFonts w:hint="eastAsia" w:ascii="宋体" w:hAnsi="宋体" w:eastAsia="宋体"/>
        </w:rPr>
        <w:t>要求的产品安全技术说明书(</w:t>
      </w:r>
      <w:r>
        <w:rPr>
          <w:rFonts w:hint="eastAsia" w:ascii="Times New Roman" w:eastAsia="宋体"/>
        </w:rPr>
        <w:t>SDS</w:t>
      </w:r>
      <w:r>
        <w:rPr>
          <w:rFonts w:hint="eastAsia" w:ascii="宋体" w:hAnsi="宋体" w:eastAsia="宋体"/>
        </w:rPr>
        <w:t>)，以及满足</w:t>
      </w:r>
      <w:r>
        <w:rPr>
          <w:rFonts w:hint="eastAsia" w:ascii="Times New Roman" w:eastAsia="宋体"/>
        </w:rPr>
        <w:t>GB 13690</w:t>
      </w:r>
      <w:r>
        <w:rPr>
          <w:rFonts w:hint="eastAsia" w:ascii="宋体" w:hAnsi="宋体" w:eastAsia="宋体"/>
        </w:rPr>
        <w:t>要求的适用化学品的安全标签符合</w:t>
      </w:r>
      <w:r>
        <w:rPr>
          <w:rFonts w:hint="eastAsia" w:ascii="Times New Roman" w:eastAsia="宋体"/>
        </w:rPr>
        <w:t>GB 15258</w:t>
      </w:r>
      <w:r>
        <w:rPr>
          <w:rFonts w:hint="eastAsia" w:ascii="宋体" w:hAnsi="宋体" w:eastAsia="宋体"/>
        </w:rPr>
        <w:t>要求的产品安全标签。</w:t>
      </w:r>
    </w:p>
    <w:p>
      <w:pPr>
        <w:pStyle w:val="66"/>
        <w:spacing w:before="120" w:after="120"/>
        <w:rPr>
          <w:rFonts w:ascii="宋体" w:hAnsi="宋体" w:eastAsia="宋体"/>
        </w:rPr>
      </w:pPr>
      <w:r>
        <w:rPr>
          <w:rFonts w:hint="eastAsia" w:ascii="宋体" w:hAnsi="宋体" w:eastAsia="宋体"/>
        </w:rPr>
        <w:t>企业产品包装符合</w:t>
      </w:r>
      <w:r>
        <w:rPr>
          <w:rFonts w:hint="eastAsia" w:ascii="Times New Roman" w:eastAsia="宋体"/>
        </w:rPr>
        <w:t>GB/T 13491</w:t>
      </w:r>
      <w:r>
        <w:rPr>
          <w:rFonts w:hint="eastAsia" w:ascii="宋体" w:hAnsi="宋体" w:eastAsia="宋体"/>
        </w:rPr>
        <w:t>和</w:t>
      </w:r>
      <w:r>
        <w:rPr>
          <w:rFonts w:hint="eastAsia" w:ascii="Times New Roman" w:eastAsia="宋体"/>
        </w:rPr>
        <w:t>GB/T 16716.1</w:t>
      </w:r>
      <w:r>
        <w:rPr>
          <w:rFonts w:hint="eastAsia" w:ascii="宋体" w:hAnsi="宋体" w:eastAsia="宋体"/>
        </w:rPr>
        <w:t>要求，材质不得含有聚氯乙烯或其他附录</w:t>
      </w:r>
      <w:r>
        <w:rPr>
          <w:rFonts w:hint="eastAsia" w:ascii="Times New Roman" w:eastAsia="宋体"/>
        </w:rPr>
        <w:t>A</w:t>
      </w:r>
      <w:r>
        <w:rPr>
          <w:rFonts w:hint="eastAsia" w:ascii="宋体" w:hAnsi="宋体" w:eastAsia="宋体"/>
        </w:rPr>
        <w:t>中列出的有害物质的塑料。</w:t>
      </w:r>
    </w:p>
    <w:p>
      <w:pPr>
        <w:pStyle w:val="106"/>
        <w:spacing w:before="120" w:after="120"/>
      </w:pPr>
      <w:r>
        <w:rPr>
          <w:rFonts w:hint="eastAsia"/>
        </w:rPr>
        <w:t>评价指标要求</w:t>
      </w:r>
    </w:p>
    <w:p>
      <w:pPr>
        <w:pStyle w:val="106"/>
        <w:numPr>
          <w:ilvl w:val="0"/>
          <w:numId w:val="0"/>
        </w:numPr>
        <w:spacing w:before="120" w:after="120"/>
        <w:ind w:firstLine="420" w:firstLineChars="200"/>
        <w:rPr>
          <w:rFonts w:hint="eastAsia" w:ascii="宋体" w:hAnsi="宋体" w:eastAsia="宋体" w:cs="Times New Roman"/>
          <w:szCs w:val="22"/>
        </w:rPr>
      </w:pPr>
      <w:r>
        <w:rPr>
          <w:rFonts w:hint="eastAsia"/>
        </w:rPr>
        <w:t>纳米微球水性</w:t>
      </w:r>
      <w:r>
        <w:rPr>
          <w:rFonts w:hint="eastAsia"/>
          <w:lang w:val="en-US" w:eastAsia="zh-CN"/>
        </w:rPr>
        <w:t>浆</w:t>
      </w:r>
      <w:r>
        <w:rPr>
          <w:rFonts w:hint="eastAsia"/>
        </w:rPr>
        <w:t>料</w:t>
      </w:r>
      <w:r>
        <w:rPr>
          <w:rFonts w:hint="eastAsia" w:ascii="宋体" w:hAnsi="宋体" w:eastAsia="宋体"/>
        </w:rPr>
        <w:t>评价指标包括资源属性指标、能源属性指标、环境属性指标和</w:t>
      </w:r>
      <w:r>
        <w:rPr>
          <w:rFonts w:hint="eastAsia" w:ascii="宋体" w:hAnsi="宋体" w:eastAsia="宋体" w:cs="Times New Roman"/>
          <w:szCs w:val="22"/>
        </w:rPr>
        <w:t>品质属性指标</w:t>
      </w:r>
      <w:r>
        <w:rPr>
          <w:rFonts w:hint="eastAsia" w:ascii="宋体" w:hAnsi="宋体" w:eastAsia="宋体" w:cs="Times New Roman"/>
          <w:szCs w:val="22"/>
          <w:lang w:eastAsia="zh-CN"/>
        </w:rPr>
        <w:t>、</w:t>
      </w:r>
      <w:r>
        <w:rPr>
          <w:rFonts w:hint="eastAsia" w:ascii="宋体" w:hAnsi="宋体" w:eastAsia="宋体" w:cs="Times New Roman"/>
          <w:szCs w:val="22"/>
        </w:rPr>
        <w:t>低碳属性指标,其评价指标要求见表1。</w:t>
      </w:r>
    </w:p>
    <w:p>
      <w:pPr>
        <w:pStyle w:val="113"/>
        <w:spacing w:before="120" w:after="120"/>
      </w:pPr>
      <w:r>
        <w:rPr>
          <w:rFonts w:hint="eastAsia"/>
        </w:rPr>
        <w:t>纳米微球水性</w:t>
      </w:r>
      <w:r>
        <w:rPr>
          <w:rFonts w:hint="eastAsia"/>
          <w:lang w:val="en-US" w:eastAsia="zh-CN"/>
        </w:rPr>
        <w:t>浆</w:t>
      </w:r>
      <w:r>
        <w:rPr>
          <w:rFonts w:hint="eastAsia"/>
        </w:rPr>
        <w:t>料性能指标</w:t>
      </w:r>
    </w:p>
    <w:tbl>
      <w:tblPr>
        <w:tblStyle w:val="237"/>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0"/>
        <w:gridCol w:w="992"/>
        <w:gridCol w:w="1228"/>
        <w:gridCol w:w="118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Merge w:val="restart"/>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一级指标</w:t>
            </w:r>
          </w:p>
        </w:tc>
        <w:tc>
          <w:tcPr>
            <w:tcW w:w="3260" w:type="dxa"/>
            <w:vMerge w:val="restart"/>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二级指标</w:t>
            </w:r>
          </w:p>
        </w:tc>
        <w:tc>
          <w:tcPr>
            <w:tcW w:w="992" w:type="dxa"/>
            <w:vMerge w:val="restart"/>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单位</w:t>
            </w:r>
          </w:p>
        </w:tc>
        <w:tc>
          <w:tcPr>
            <w:tcW w:w="3686" w:type="dxa"/>
            <w:gridSpan w:val="3"/>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Merge w:val="continue"/>
            <w:vAlign w:val="center"/>
          </w:tcPr>
          <w:p>
            <w:pPr>
              <w:numPr>
                <w:ilvl w:val="0"/>
                <w:numId w:val="32"/>
              </w:numPr>
              <w:adjustRightInd/>
              <w:spacing w:line="240" w:lineRule="auto"/>
              <w:jc w:val="center"/>
              <w:rPr>
                <w:rFonts w:ascii="Times New Roman" w:hAnsi="Times New Roman"/>
                <w:sz w:val="18"/>
                <w:szCs w:val="18"/>
              </w:rPr>
            </w:pPr>
          </w:p>
        </w:tc>
        <w:tc>
          <w:tcPr>
            <w:tcW w:w="3260" w:type="dxa"/>
            <w:vMerge w:val="continue"/>
            <w:vAlign w:val="center"/>
          </w:tcPr>
          <w:p>
            <w:pPr>
              <w:numPr>
                <w:ilvl w:val="0"/>
                <w:numId w:val="32"/>
              </w:numPr>
              <w:adjustRightInd/>
              <w:spacing w:line="240" w:lineRule="auto"/>
              <w:jc w:val="center"/>
              <w:rPr>
                <w:rFonts w:ascii="Times New Roman" w:hAnsi="Times New Roman"/>
                <w:sz w:val="18"/>
                <w:szCs w:val="18"/>
              </w:rPr>
            </w:pPr>
          </w:p>
        </w:tc>
        <w:tc>
          <w:tcPr>
            <w:tcW w:w="992" w:type="dxa"/>
            <w:vMerge w:val="continue"/>
            <w:vAlign w:val="center"/>
          </w:tcPr>
          <w:p>
            <w:pPr>
              <w:numPr>
                <w:ilvl w:val="0"/>
                <w:numId w:val="32"/>
              </w:numPr>
              <w:adjustRightInd/>
              <w:spacing w:line="240" w:lineRule="auto"/>
              <w:jc w:val="center"/>
              <w:rPr>
                <w:rFonts w:ascii="Times New Roman" w:hAnsi="Times New Roman"/>
                <w:sz w:val="18"/>
                <w:szCs w:val="18"/>
              </w:rPr>
            </w:pPr>
          </w:p>
        </w:tc>
        <w:tc>
          <w:tcPr>
            <w:tcW w:w="1228" w:type="dxa"/>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一星级</w:t>
            </w:r>
          </w:p>
        </w:tc>
        <w:tc>
          <w:tcPr>
            <w:tcW w:w="1182" w:type="dxa"/>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二星级</w:t>
            </w:r>
          </w:p>
        </w:tc>
        <w:tc>
          <w:tcPr>
            <w:tcW w:w="1276" w:type="dxa"/>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Merge w:val="restart"/>
            <w:vAlign w:val="center"/>
          </w:tcPr>
          <w:p>
            <w:pPr>
              <w:adjustRightInd/>
              <w:spacing w:line="240" w:lineRule="auto"/>
              <w:jc w:val="center"/>
              <w:rPr>
                <w:rFonts w:ascii="Times New Roman" w:hAnsi="Times New Roman"/>
                <w:sz w:val="18"/>
                <w:szCs w:val="18"/>
              </w:rPr>
            </w:pPr>
            <w:r>
              <w:rPr>
                <w:rFonts w:ascii="Times New Roman" w:hAnsi="Times New Roman"/>
                <w:sz w:val="18"/>
                <w:szCs w:val="18"/>
              </w:rPr>
              <w:t>资源属性</w:t>
            </w:r>
          </w:p>
        </w:tc>
        <w:tc>
          <w:tcPr>
            <w:tcW w:w="3260" w:type="dxa"/>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主要原材料生产企业要求</w:t>
            </w:r>
          </w:p>
        </w:tc>
        <w:tc>
          <w:tcPr>
            <w:tcW w:w="992" w:type="dxa"/>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w:t>
            </w:r>
          </w:p>
        </w:tc>
        <w:tc>
          <w:tcPr>
            <w:tcW w:w="3686" w:type="dxa"/>
            <w:gridSpan w:val="3"/>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 xml:space="preserve">   符合清洁生产要求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Merge w:val="continue"/>
            <w:vAlign w:val="center"/>
          </w:tcPr>
          <w:p>
            <w:pPr>
              <w:numPr>
                <w:ilvl w:val="0"/>
                <w:numId w:val="32"/>
              </w:numPr>
              <w:adjustRightInd/>
              <w:spacing w:line="240" w:lineRule="auto"/>
              <w:jc w:val="center"/>
              <w:rPr>
                <w:rFonts w:ascii="Times New Roman" w:hAnsi="Times New Roman"/>
                <w:sz w:val="18"/>
                <w:szCs w:val="18"/>
              </w:rPr>
            </w:pPr>
          </w:p>
        </w:tc>
        <w:tc>
          <w:tcPr>
            <w:tcW w:w="3260" w:type="dxa"/>
            <w:vAlign w:val="center"/>
          </w:tcPr>
          <w:p>
            <w:pPr>
              <w:adjustRightInd/>
              <w:spacing w:line="240" w:lineRule="auto"/>
              <w:jc w:val="center"/>
              <w:rPr>
                <w:rFonts w:ascii="Times New Roman" w:hAnsi="Times New Roman"/>
                <w:sz w:val="18"/>
                <w:szCs w:val="18"/>
              </w:rPr>
            </w:pPr>
            <w:r>
              <w:rPr>
                <w:rFonts w:ascii="Times New Roman" w:hAnsi="Times New Roman"/>
                <w:sz w:val="18"/>
                <w:szCs w:val="18"/>
              </w:rPr>
              <w:t>单位产品</w:t>
            </w:r>
            <w:r>
              <w:rPr>
                <w:rFonts w:hint="eastAsia" w:ascii="Times New Roman" w:hAnsi="Times New Roman"/>
                <w:sz w:val="18"/>
                <w:szCs w:val="18"/>
              </w:rPr>
              <w:t>原材料</w:t>
            </w:r>
            <w:r>
              <w:rPr>
                <w:rFonts w:ascii="Times New Roman" w:hAnsi="Times New Roman"/>
                <w:sz w:val="18"/>
                <w:szCs w:val="18"/>
              </w:rPr>
              <w:t>能耗</w:t>
            </w:r>
          </w:p>
        </w:tc>
        <w:tc>
          <w:tcPr>
            <w:tcW w:w="992" w:type="dxa"/>
            <w:vAlign w:val="center"/>
          </w:tcPr>
          <w:p>
            <w:pPr>
              <w:adjustRightInd/>
              <w:spacing w:line="240" w:lineRule="auto"/>
              <w:jc w:val="center"/>
              <w:rPr>
                <w:rFonts w:ascii="Times New Roman" w:hAnsi="Times New Roman"/>
                <w:sz w:val="18"/>
                <w:szCs w:val="18"/>
              </w:rPr>
            </w:pPr>
            <w:r>
              <w:rPr>
                <w:rFonts w:ascii="Times New Roman" w:hAnsi="Times New Roman"/>
                <w:sz w:val="18"/>
                <w:szCs w:val="18"/>
              </w:rPr>
              <w:t>t</w:t>
            </w:r>
            <w:r>
              <w:rPr>
                <w:rFonts w:hint="eastAsia" w:ascii="Times New Roman" w:hAnsi="Times New Roman"/>
                <w:sz w:val="18"/>
                <w:szCs w:val="18"/>
              </w:rPr>
              <w:t>/t</w:t>
            </w:r>
          </w:p>
        </w:tc>
        <w:tc>
          <w:tcPr>
            <w:tcW w:w="1228" w:type="dxa"/>
            <w:vAlign w:val="center"/>
          </w:tcPr>
          <w:p>
            <w:pPr>
              <w:adjustRightInd/>
              <w:spacing w:line="240" w:lineRule="auto"/>
              <w:jc w:val="center"/>
              <w:rPr>
                <w:rFonts w:ascii="Times New Roman" w:hAnsi="Times New Roman"/>
                <w:sz w:val="18"/>
                <w:szCs w:val="18"/>
              </w:rPr>
            </w:pPr>
            <w:r>
              <w:rPr>
                <w:rFonts w:hint="eastAsia" w:ascii="Times New Roman" w:hAnsi="Times New Roman" w:cs="Arial"/>
                <w:sz w:val="18"/>
                <w:szCs w:val="18"/>
              </w:rPr>
              <w:t>≤</w:t>
            </w:r>
            <w:r>
              <w:rPr>
                <w:rFonts w:hint="eastAsia" w:ascii="Times New Roman" w:hAnsi="Times New Roman"/>
                <w:sz w:val="18"/>
                <w:szCs w:val="18"/>
              </w:rPr>
              <w:t>1</w:t>
            </w:r>
            <w:r>
              <w:rPr>
                <w:rFonts w:ascii="Times New Roman" w:hAnsi="Times New Roman"/>
                <w:sz w:val="18"/>
                <w:szCs w:val="18"/>
              </w:rPr>
              <w:t>.</w:t>
            </w:r>
            <w:r>
              <w:rPr>
                <w:rFonts w:hint="eastAsia" w:ascii="Times New Roman" w:hAnsi="Times New Roman"/>
                <w:sz w:val="18"/>
                <w:szCs w:val="18"/>
              </w:rPr>
              <w:t>030</w:t>
            </w:r>
          </w:p>
        </w:tc>
        <w:tc>
          <w:tcPr>
            <w:tcW w:w="1182" w:type="dxa"/>
            <w:vAlign w:val="center"/>
          </w:tcPr>
          <w:p>
            <w:pPr>
              <w:adjustRightInd/>
              <w:spacing w:line="240" w:lineRule="auto"/>
              <w:jc w:val="center"/>
              <w:rPr>
                <w:rFonts w:ascii="Times New Roman" w:hAnsi="Times New Roman"/>
                <w:sz w:val="18"/>
                <w:szCs w:val="18"/>
              </w:rPr>
            </w:pPr>
            <w:r>
              <w:rPr>
                <w:rFonts w:hint="eastAsia" w:ascii="Times New Roman" w:hAnsi="Times New Roman" w:cs="Arial"/>
                <w:sz w:val="18"/>
                <w:szCs w:val="18"/>
              </w:rPr>
              <w:t>≤</w:t>
            </w:r>
            <w:r>
              <w:rPr>
                <w:rFonts w:ascii="Times New Roman" w:hAnsi="Times New Roman"/>
                <w:sz w:val="18"/>
                <w:szCs w:val="18"/>
              </w:rPr>
              <w:t>1.025</w:t>
            </w:r>
          </w:p>
        </w:tc>
        <w:tc>
          <w:tcPr>
            <w:tcW w:w="1276" w:type="dxa"/>
            <w:vAlign w:val="center"/>
          </w:tcPr>
          <w:p>
            <w:pPr>
              <w:adjustRightInd/>
              <w:spacing w:line="240" w:lineRule="auto"/>
              <w:jc w:val="center"/>
              <w:rPr>
                <w:rFonts w:ascii="Times New Roman" w:hAnsi="Times New Roman"/>
                <w:sz w:val="18"/>
                <w:szCs w:val="18"/>
              </w:rPr>
            </w:pPr>
            <w:r>
              <w:rPr>
                <w:rFonts w:hint="eastAsia" w:ascii="Times New Roman" w:hAnsi="Times New Roman" w:cs="Arial"/>
                <w:sz w:val="18"/>
                <w:szCs w:val="18"/>
              </w:rPr>
              <w:t>≤</w:t>
            </w:r>
            <w:r>
              <w:rPr>
                <w:rFonts w:ascii="Times New Roman" w:hAnsi="Times New Roman"/>
                <w:sz w:val="18"/>
                <w:szCs w:val="18"/>
              </w:rPr>
              <w:t>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Merge w:val="continue"/>
            <w:vAlign w:val="center"/>
          </w:tcPr>
          <w:p>
            <w:pPr>
              <w:numPr>
                <w:ilvl w:val="0"/>
                <w:numId w:val="32"/>
              </w:numPr>
              <w:adjustRightInd/>
              <w:spacing w:line="240" w:lineRule="auto"/>
              <w:jc w:val="center"/>
              <w:rPr>
                <w:rFonts w:ascii="Times New Roman" w:hAnsi="Times New Roman"/>
                <w:sz w:val="18"/>
                <w:szCs w:val="18"/>
              </w:rPr>
            </w:pPr>
          </w:p>
        </w:tc>
        <w:tc>
          <w:tcPr>
            <w:tcW w:w="3260" w:type="dxa"/>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单位产品新鲜水消耗</w:t>
            </w:r>
          </w:p>
        </w:tc>
        <w:tc>
          <w:tcPr>
            <w:tcW w:w="992" w:type="dxa"/>
            <w:vAlign w:val="center"/>
          </w:tcPr>
          <w:p>
            <w:pPr>
              <w:adjustRightInd/>
              <w:spacing w:line="240" w:lineRule="auto"/>
              <w:jc w:val="center"/>
              <w:rPr>
                <w:rFonts w:ascii="Times New Roman" w:hAnsi="Times New Roman"/>
                <w:sz w:val="18"/>
                <w:szCs w:val="18"/>
              </w:rPr>
            </w:pPr>
            <w:r>
              <w:rPr>
                <w:rFonts w:ascii="Times New Roman" w:hAnsi="Times New Roman"/>
                <w:sz w:val="18"/>
                <w:szCs w:val="18"/>
              </w:rPr>
              <w:t>t/t</w:t>
            </w:r>
          </w:p>
        </w:tc>
        <w:tc>
          <w:tcPr>
            <w:tcW w:w="2410" w:type="dxa"/>
            <w:gridSpan w:val="2"/>
            <w:vAlign w:val="center"/>
          </w:tcPr>
          <w:p>
            <w:pPr>
              <w:adjustRightInd/>
              <w:spacing w:line="240" w:lineRule="auto"/>
              <w:jc w:val="center"/>
              <w:rPr>
                <w:rFonts w:ascii="Times New Roman" w:hAnsi="Times New Roman"/>
                <w:sz w:val="18"/>
                <w:szCs w:val="18"/>
              </w:rPr>
            </w:pPr>
            <w:r>
              <w:rPr>
                <w:rFonts w:hint="eastAsia" w:ascii="Times New Roman" w:hAnsi="Times New Roman" w:cs="Arial"/>
                <w:sz w:val="18"/>
                <w:szCs w:val="18"/>
              </w:rPr>
              <w:t>≤</w:t>
            </w:r>
            <w:r>
              <w:rPr>
                <w:rFonts w:ascii="Times New Roman" w:hAnsi="Times New Roman" w:cs="Arial"/>
                <w:sz w:val="18"/>
                <w:szCs w:val="18"/>
              </w:rPr>
              <w:t>0.15</w:t>
            </w:r>
          </w:p>
        </w:tc>
        <w:tc>
          <w:tcPr>
            <w:tcW w:w="1276" w:type="dxa"/>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Align w:val="center"/>
          </w:tcPr>
          <w:p>
            <w:pPr>
              <w:adjustRightInd/>
              <w:spacing w:line="240" w:lineRule="auto"/>
              <w:jc w:val="center"/>
              <w:rPr>
                <w:rFonts w:ascii="Times New Roman" w:hAnsi="Times New Roman"/>
                <w:sz w:val="18"/>
                <w:szCs w:val="18"/>
              </w:rPr>
            </w:pPr>
            <w:r>
              <w:rPr>
                <w:rFonts w:ascii="Times New Roman" w:hAnsi="Times New Roman"/>
                <w:sz w:val="18"/>
                <w:szCs w:val="18"/>
              </w:rPr>
              <w:t>能源属性</w:t>
            </w:r>
          </w:p>
        </w:tc>
        <w:tc>
          <w:tcPr>
            <w:tcW w:w="3260" w:type="dxa"/>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单位产品综合能耗</w:t>
            </w:r>
          </w:p>
        </w:tc>
        <w:tc>
          <w:tcPr>
            <w:tcW w:w="992" w:type="dxa"/>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kgce/t</w:t>
            </w:r>
          </w:p>
        </w:tc>
        <w:tc>
          <w:tcPr>
            <w:tcW w:w="3686" w:type="dxa"/>
            <w:gridSpan w:val="3"/>
            <w:vAlign w:val="center"/>
          </w:tcPr>
          <w:p>
            <w:pPr>
              <w:adjustRightInd/>
              <w:spacing w:line="240" w:lineRule="auto"/>
              <w:jc w:val="center"/>
              <w:rPr>
                <w:rFonts w:ascii="Times New Roman" w:hAnsi="Times New Roman"/>
                <w:sz w:val="18"/>
                <w:szCs w:val="18"/>
              </w:rPr>
            </w:pPr>
            <w:r>
              <w:rPr>
                <w:rFonts w:hint="eastAsia" w:ascii="Times New Roman" w:hAnsi="Times New Roman" w:cs="Arial"/>
                <w:sz w:val="18"/>
                <w:szCs w:val="18"/>
              </w:rPr>
              <w:t>≤</w:t>
            </w:r>
            <w:r>
              <w:rPr>
                <w:rFonts w:ascii="Times New Roman" w:hAnsi="Times New Roman" w:cs="Arial"/>
                <w:sz w:val="18"/>
                <w:szCs w:val="18"/>
              </w:rPr>
              <w:t>12.0</w:t>
            </w:r>
          </w:p>
        </w:tc>
      </w:tr>
    </w:tbl>
    <w:p>
      <w:pPr>
        <w:pStyle w:val="113"/>
        <w:numPr>
          <w:ilvl w:val="0"/>
          <w:numId w:val="0"/>
        </w:numPr>
        <w:spacing w:before="120" w:after="120"/>
      </w:pPr>
      <w:r>
        <w:rPr>
          <w:rFonts w:hint="eastAsia"/>
        </w:rPr>
        <w:t>表</w:t>
      </w:r>
      <w:r>
        <w:rPr>
          <w:rFonts w:ascii="Times New Roman"/>
        </w:rPr>
        <w:t>1</w:t>
      </w:r>
      <w:r>
        <w:rPr>
          <w:rFonts w:hint="eastAsia"/>
        </w:rPr>
        <w:t>续</w:t>
      </w:r>
    </w:p>
    <w:tbl>
      <w:tblPr>
        <w:tblStyle w:val="239"/>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59"/>
        <w:gridCol w:w="2126"/>
        <w:gridCol w:w="993"/>
        <w:gridCol w:w="1086"/>
        <w:gridCol w:w="1087"/>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Merge w:val="restart"/>
            <w:vAlign w:val="center"/>
          </w:tcPr>
          <w:p>
            <w:pPr>
              <w:adjustRightInd/>
              <w:spacing w:line="240" w:lineRule="auto"/>
              <w:jc w:val="center"/>
              <w:rPr>
                <w:rFonts w:ascii="Calibri" w:hAnsi="Calibri"/>
                <w:sz w:val="18"/>
                <w:szCs w:val="18"/>
              </w:rPr>
            </w:pPr>
            <w:r>
              <w:rPr>
                <w:rFonts w:hint="eastAsia" w:ascii="Calibri" w:hAnsi="Calibri"/>
                <w:sz w:val="18"/>
                <w:szCs w:val="18"/>
              </w:rPr>
              <w:t>一级指标</w:t>
            </w:r>
          </w:p>
        </w:tc>
        <w:tc>
          <w:tcPr>
            <w:tcW w:w="3685" w:type="dxa"/>
            <w:gridSpan w:val="2"/>
            <w:vMerge w:val="restart"/>
            <w:vAlign w:val="center"/>
          </w:tcPr>
          <w:p>
            <w:pPr>
              <w:adjustRightInd/>
              <w:spacing w:line="240" w:lineRule="auto"/>
              <w:jc w:val="center"/>
              <w:rPr>
                <w:rFonts w:ascii="Calibri" w:hAnsi="Calibri"/>
                <w:sz w:val="18"/>
                <w:szCs w:val="18"/>
              </w:rPr>
            </w:pPr>
            <w:r>
              <w:rPr>
                <w:rFonts w:hint="eastAsia" w:ascii="Calibri" w:hAnsi="Calibri"/>
                <w:sz w:val="18"/>
                <w:szCs w:val="18"/>
              </w:rPr>
              <w:t>二级指标</w:t>
            </w:r>
          </w:p>
        </w:tc>
        <w:tc>
          <w:tcPr>
            <w:tcW w:w="993" w:type="dxa"/>
            <w:vMerge w:val="restart"/>
            <w:vAlign w:val="center"/>
          </w:tcPr>
          <w:p>
            <w:pPr>
              <w:adjustRightInd/>
              <w:spacing w:line="240" w:lineRule="auto"/>
              <w:jc w:val="center"/>
              <w:rPr>
                <w:rFonts w:ascii="Calibri" w:hAnsi="Calibri"/>
                <w:sz w:val="18"/>
                <w:szCs w:val="18"/>
              </w:rPr>
            </w:pPr>
            <w:r>
              <w:rPr>
                <w:rFonts w:hint="eastAsia" w:ascii="Calibri" w:hAnsi="Calibri"/>
                <w:sz w:val="18"/>
                <w:szCs w:val="18"/>
              </w:rPr>
              <w:t>单位</w:t>
            </w:r>
          </w:p>
        </w:tc>
        <w:tc>
          <w:tcPr>
            <w:tcW w:w="3260" w:type="dxa"/>
            <w:gridSpan w:val="3"/>
            <w:vAlign w:val="center"/>
          </w:tcPr>
          <w:p>
            <w:pPr>
              <w:adjustRightInd/>
              <w:spacing w:line="240" w:lineRule="auto"/>
              <w:jc w:val="center"/>
              <w:rPr>
                <w:rFonts w:ascii="Calibri" w:hAnsi="Calibri"/>
                <w:sz w:val="18"/>
                <w:szCs w:val="18"/>
              </w:rPr>
            </w:pPr>
            <w:r>
              <w:rPr>
                <w:rFonts w:hint="eastAsia" w:ascii="Calibri" w:hAnsi="Calibri"/>
                <w:sz w:val="18"/>
                <w:szCs w:val="18"/>
              </w:rPr>
              <w:t>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Merge w:val="continue"/>
            <w:vAlign w:val="center"/>
          </w:tcPr>
          <w:p>
            <w:pPr>
              <w:numPr>
                <w:ilvl w:val="0"/>
                <w:numId w:val="32"/>
              </w:numPr>
              <w:adjustRightInd/>
              <w:spacing w:line="240" w:lineRule="auto"/>
              <w:jc w:val="center"/>
              <w:rPr>
                <w:rFonts w:ascii="Calibri" w:hAnsi="Calibri"/>
                <w:sz w:val="18"/>
                <w:szCs w:val="18"/>
              </w:rPr>
            </w:pPr>
          </w:p>
        </w:tc>
        <w:tc>
          <w:tcPr>
            <w:tcW w:w="3685" w:type="dxa"/>
            <w:gridSpan w:val="2"/>
            <w:vMerge w:val="continue"/>
            <w:vAlign w:val="center"/>
          </w:tcPr>
          <w:p>
            <w:pPr>
              <w:numPr>
                <w:ilvl w:val="0"/>
                <w:numId w:val="32"/>
              </w:numPr>
              <w:adjustRightInd/>
              <w:spacing w:line="240" w:lineRule="auto"/>
              <w:jc w:val="center"/>
              <w:rPr>
                <w:rFonts w:ascii="Calibri" w:hAnsi="Calibri"/>
                <w:sz w:val="18"/>
                <w:szCs w:val="18"/>
              </w:rPr>
            </w:pPr>
          </w:p>
        </w:tc>
        <w:tc>
          <w:tcPr>
            <w:tcW w:w="993" w:type="dxa"/>
            <w:vMerge w:val="continue"/>
            <w:vAlign w:val="center"/>
          </w:tcPr>
          <w:p>
            <w:pPr>
              <w:numPr>
                <w:ilvl w:val="0"/>
                <w:numId w:val="32"/>
              </w:numPr>
              <w:adjustRightInd/>
              <w:spacing w:line="240" w:lineRule="auto"/>
              <w:jc w:val="center"/>
              <w:rPr>
                <w:rFonts w:ascii="Calibri" w:hAnsi="Calibri"/>
                <w:sz w:val="18"/>
                <w:szCs w:val="18"/>
              </w:rPr>
            </w:pPr>
          </w:p>
        </w:tc>
        <w:tc>
          <w:tcPr>
            <w:tcW w:w="1086" w:type="dxa"/>
            <w:vAlign w:val="center"/>
          </w:tcPr>
          <w:p>
            <w:pPr>
              <w:adjustRightInd/>
              <w:spacing w:line="240" w:lineRule="auto"/>
              <w:jc w:val="center"/>
              <w:rPr>
                <w:rFonts w:ascii="Times New Roman" w:hAnsi="Times New Roman"/>
                <w:sz w:val="18"/>
                <w:szCs w:val="18"/>
              </w:rPr>
            </w:pPr>
            <w:r>
              <w:rPr>
                <w:rFonts w:hint="eastAsia" w:ascii="Calibri" w:hAnsi="Calibri"/>
                <w:sz w:val="18"/>
                <w:szCs w:val="18"/>
              </w:rPr>
              <w:t>一星级</w:t>
            </w:r>
          </w:p>
        </w:tc>
        <w:tc>
          <w:tcPr>
            <w:tcW w:w="1087" w:type="dxa"/>
            <w:vAlign w:val="center"/>
          </w:tcPr>
          <w:p>
            <w:pPr>
              <w:adjustRightInd/>
              <w:spacing w:line="240" w:lineRule="auto"/>
              <w:jc w:val="center"/>
              <w:rPr>
                <w:rFonts w:ascii="Times New Roman" w:hAnsi="Times New Roman"/>
                <w:sz w:val="18"/>
                <w:szCs w:val="18"/>
              </w:rPr>
            </w:pPr>
            <w:r>
              <w:rPr>
                <w:rFonts w:hint="eastAsia" w:ascii="Calibri" w:hAnsi="Calibri"/>
                <w:sz w:val="18"/>
                <w:szCs w:val="18"/>
              </w:rPr>
              <w:t>二星级</w:t>
            </w:r>
          </w:p>
        </w:tc>
        <w:tc>
          <w:tcPr>
            <w:tcW w:w="1087" w:type="dxa"/>
            <w:vAlign w:val="center"/>
          </w:tcPr>
          <w:p>
            <w:pPr>
              <w:adjustRightInd/>
              <w:spacing w:line="240" w:lineRule="auto"/>
              <w:jc w:val="center"/>
              <w:rPr>
                <w:rFonts w:ascii="Calibri" w:hAnsi="Calibri"/>
                <w:sz w:val="18"/>
                <w:szCs w:val="18"/>
              </w:rPr>
            </w:pPr>
            <w:r>
              <w:rPr>
                <w:rFonts w:hint="eastAsia" w:ascii="Calibri" w:hAnsi="Calibri"/>
                <w:sz w:val="18"/>
                <w:szCs w:val="18"/>
              </w:rPr>
              <w:t>三星级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Merge w:val="restart"/>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环境属性</w:t>
            </w:r>
          </w:p>
        </w:tc>
        <w:tc>
          <w:tcPr>
            <w:tcW w:w="3685" w:type="dxa"/>
            <w:gridSpan w:val="2"/>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挥发性有机化合物含量</w:t>
            </w:r>
          </w:p>
        </w:tc>
        <w:tc>
          <w:tcPr>
            <w:tcW w:w="993" w:type="dxa"/>
            <w:vAlign w:val="center"/>
          </w:tcPr>
          <w:p>
            <w:pPr>
              <w:adjustRightInd/>
              <w:spacing w:line="240" w:lineRule="auto"/>
              <w:jc w:val="center"/>
              <w:rPr>
                <w:rFonts w:ascii="Times New Roman" w:hAnsi="Times New Roman"/>
                <w:sz w:val="18"/>
                <w:szCs w:val="18"/>
              </w:rPr>
            </w:pPr>
            <w:r>
              <w:rPr>
                <w:rFonts w:ascii="Times New Roman" w:hAnsi="Times New Roman"/>
                <w:sz w:val="18"/>
                <w:szCs w:val="18"/>
              </w:rPr>
              <w:t>g/</w:t>
            </w:r>
            <w:r>
              <w:rPr>
                <w:rFonts w:hint="eastAsia" w:ascii="Times New Roman" w:hAnsi="Times New Roman"/>
                <w:sz w:val="18"/>
                <w:szCs w:val="18"/>
              </w:rPr>
              <w:t>L</w:t>
            </w:r>
          </w:p>
        </w:tc>
        <w:tc>
          <w:tcPr>
            <w:tcW w:w="1086" w:type="dxa"/>
            <w:vAlign w:val="center"/>
          </w:tcPr>
          <w:p>
            <w:pPr>
              <w:adjustRightInd/>
              <w:spacing w:line="240" w:lineRule="auto"/>
              <w:jc w:val="center"/>
              <w:rPr>
                <w:rFonts w:ascii="Times New Roman" w:hAnsi="Times New Roman"/>
                <w:sz w:val="18"/>
                <w:szCs w:val="18"/>
              </w:rPr>
            </w:pPr>
            <w:r>
              <w:rPr>
                <w:rFonts w:hint="eastAsia" w:ascii="Times New Roman" w:hAnsi="Times New Roman" w:cs="Arial"/>
                <w:sz w:val="18"/>
                <w:szCs w:val="18"/>
              </w:rPr>
              <w:t>≤100</w:t>
            </w:r>
          </w:p>
        </w:tc>
        <w:tc>
          <w:tcPr>
            <w:tcW w:w="1087" w:type="dxa"/>
            <w:vAlign w:val="center"/>
          </w:tcPr>
          <w:p>
            <w:pPr>
              <w:adjustRightInd/>
              <w:spacing w:line="240" w:lineRule="auto"/>
              <w:jc w:val="center"/>
              <w:rPr>
                <w:rFonts w:ascii="Times New Roman" w:hAnsi="Times New Roman"/>
                <w:sz w:val="18"/>
                <w:szCs w:val="18"/>
              </w:rPr>
            </w:pPr>
            <w:r>
              <w:rPr>
                <w:rFonts w:hint="eastAsia" w:ascii="Times New Roman" w:hAnsi="Times New Roman" w:cs="Arial"/>
                <w:sz w:val="18"/>
                <w:szCs w:val="18"/>
              </w:rPr>
              <w:t>≤80</w:t>
            </w:r>
          </w:p>
        </w:tc>
        <w:tc>
          <w:tcPr>
            <w:tcW w:w="1087" w:type="dxa"/>
            <w:vAlign w:val="center"/>
          </w:tcPr>
          <w:p>
            <w:pPr>
              <w:adjustRightInd/>
              <w:spacing w:line="240" w:lineRule="auto"/>
              <w:jc w:val="center"/>
              <w:rPr>
                <w:rFonts w:ascii="Times New Roman" w:hAnsi="Times New Roman"/>
                <w:sz w:val="18"/>
                <w:szCs w:val="18"/>
              </w:rPr>
            </w:pPr>
            <w:r>
              <w:rPr>
                <w:rFonts w:hint="eastAsia" w:ascii="Times New Roman" w:hAnsi="Times New Roman" w:cs="Arial"/>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Merge w:val="continue"/>
            <w:vAlign w:val="center"/>
          </w:tcPr>
          <w:p>
            <w:pPr>
              <w:adjustRightInd/>
              <w:spacing w:line="240" w:lineRule="auto"/>
              <w:jc w:val="center"/>
              <w:rPr>
                <w:rFonts w:ascii="Times New Roman" w:hAnsi="Times New Roman"/>
                <w:sz w:val="18"/>
                <w:szCs w:val="18"/>
              </w:rPr>
            </w:pPr>
          </w:p>
        </w:tc>
        <w:tc>
          <w:tcPr>
            <w:tcW w:w="1559" w:type="dxa"/>
            <w:vAlign w:val="center"/>
          </w:tcPr>
          <w:p>
            <w:pPr>
              <w:adjustRightInd/>
              <w:spacing w:line="240" w:lineRule="auto"/>
              <w:rPr>
                <w:rFonts w:ascii="Times New Roman" w:hAnsi="Times New Roman" w:cs="Arial"/>
                <w:sz w:val="18"/>
                <w:szCs w:val="18"/>
              </w:rPr>
            </w:pPr>
            <w:r>
              <w:rPr>
                <w:rFonts w:hint="eastAsia" w:ascii="Times New Roman" w:hAnsi="Times New Roman" w:cs="Arial"/>
                <w:sz w:val="18"/>
                <w:szCs w:val="18"/>
              </w:rPr>
              <w:t>生物杀伤剂含量</w:t>
            </w:r>
          </w:p>
        </w:tc>
        <w:tc>
          <w:tcPr>
            <w:tcW w:w="2126" w:type="dxa"/>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二(3-氨丙基)十二烷基胺</w:t>
            </w:r>
          </w:p>
        </w:tc>
        <w:tc>
          <w:tcPr>
            <w:tcW w:w="993" w:type="dxa"/>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mg/kg</w:t>
            </w:r>
          </w:p>
        </w:tc>
        <w:tc>
          <w:tcPr>
            <w:tcW w:w="2173" w:type="dxa"/>
            <w:gridSpan w:val="2"/>
            <w:vAlign w:val="center"/>
          </w:tcPr>
          <w:p>
            <w:pPr>
              <w:adjustRightInd/>
              <w:spacing w:line="240" w:lineRule="auto"/>
              <w:jc w:val="center"/>
              <w:rPr>
                <w:rFonts w:ascii="Times New Roman" w:hAnsi="Times New Roman" w:cs="Arial"/>
                <w:sz w:val="18"/>
                <w:szCs w:val="18"/>
              </w:rPr>
            </w:pPr>
            <w:r>
              <w:rPr>
                <w:rFonts w:hint="eastAsia" w:ascii="Times New Roman" w:hAnsi="Times New Roman" w:cs="Arial"/>
                <w:sz w:val="18"/>
                <w:szCs w:val="18"/>
              </w:rPr>
              <w:t>—</w:t>
            </w:r>
          </w:p>
        </w:tc>
        <w:tc>
          <w:tcPr>
            <w:tcW w:w="1087" w:type="dxa"/>
            <w:vAlign w:val="center"/>
          </w:tcPr>
          <w:p>
            <w:pPr>
              <w:adjustRightInd/>
              <w:spacing w:line="240" w:lineRule="auto"/>
              <w:jc w:val="center"/>
              <w:rPr>
                <w:rFonts w:ascii="Times New Roman" w:hAnsi="Times New Roman" w:cs="Arial"/>
                <w:color w:val="FF0000"/>
                <w:sz w:val="18"/>
                <w:szCs w:val="18"/>
              </w:rPr>
            </w:pPr>
            <w:r>
              <w:rPr>
                <w:rFonts w:hint="eastAsia" w:ascii="Times New Roman" w:hAnsi="Times New Roman" w:cs="Arial"/>
                <w:color w:val="000000" w:themeColor="text1"/>
                <w:sz w:val="18"/>
                <w:szCs w:val="18"/>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Merge w:val="restart"/>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品质属性</w:t>
            </w:r>
          </w:p>
        </w:tc>
        <w:tc>
          <w:tcPr>
            <w:tcW w:w="3685" w:type="dxa"/>
            <w:gridSpan w:val="2"/>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半球发射率</w:t>
            </w:r>
          </w:p>
        </w:tc>
        <w:tc>
          <w:tcPr>
            <w:tcW w:w="993" w:type="dxa"/>
            <w:vAlign w:val="center"/>
          </w:tcPr>
          <w:p>
            <w:pPr>
              <w:adjustRightInd/>
              <w:spacing w:line="240" w:lineRule="auto"/>
              <w:jc w:val="center"/>
              <w:rPr>
                <w:rFonts w:ascii="Times New Roman" w:hAnsi="Times New Roman"/>
                <w:sz w:val="18"/>
                <w:szCs w:val="18"/>
              </w:rPr>
            </w:pPr>
            <w:r>
              <w:rPr>
                <w:rFonts w:hint="eastAsia" w:ascii="Times New Roman" w:hAnsi="Times New Roman"/>
                <w:sz w:val="18"/>
                <w:szCs w:val="18"/>
              </w:rPr>
              <w:t>—</w:t>
            </w:r>
          </w:p>
        </w:tc>
        <w:tc>
          <w:tcPr>
            <w:tcW w:w="1086" w:type="dxa"/>
            <w:vAlign w:val="center"/>
          </w:tcPr>
          <w:p>
            <w:pPr>
              <w:adjustRightInd/>
              <w:spacing w:line="240" w:lineRule="auto"/>
              <w:jc w:val="center"/>
              <w:rPr>
                <w:rFonts w:ascii="Times New Roman" w:hAnsi="Times New Roman" w:cs="Arial"/>
                <w:color w:val="auto"/>
                <w:sz w:val="18"/>
                <w:szCs w:val="18"/>
              </w:rPr>
            </w:pPr>
            <w:r>
              <w:rPr>
                <w:rFonts w:hint="eastAsia" w:ascii="Times New Roman" w:hAnsi="Times New Roman" w:cs="Arial"/>
                <w:color w:val="auto"/>
                <w:sz w:val="18"/>
                <w:szCs w:val="18"/>
              </w:rPr>
              <w:t>≥0.85</w:t>
            </w:r>
          </w:p>
        </w:tc>
        <w:tc>
          <w:tcPr>
            <w:tcW w:w="1087" w:type="dxa"/>
            <w:vAlign w:val="center"/>
          </w:tcPr>
          <w:p>
            <w:pPr>
              <w:adjustRightInd/>
              <w:spacing w:line="240" w:lineRule="auto"/>
              <w:jc w:val="center"/>
              <w:rPr>
                <w:rFonts w:ascii="Times New Roman" w:hAnsi="Times New Roman" w:cs="Arial"/>
                <w:color w:val="auto"/>
                <w:sz w:val="18"/>
                <w:szCs w:val="18"/>
              </w:rPr>
            </w:pPr>
            <w:r>
              <w:rPr>
                <w:rFonts w:hint="eastAsia" w:ascii="Times New Roman" w:hAnsi="Times New Roman" w:cs="Arial"/>
                <w:color w:val="auto"/>
                <w:sz w:val="18"/>
                <w:szCs w:val="18"/>
              </w:rPr>
              <w:t>≥0.95</w:t>
            </w:r>
          </w:p>
        </w:tc>
        <w:tc>
          <w:tcPr>
            <w:tcW w:w="1087" w:type="dxa"/>
            <w:vAlign w:val="center"/>
          </w:tcPr>
          <w:p>
            <w:pPr>
              <w:adjustRightInd/>
              <w:spacing w:line="240" w:lineRule="auto"/>
              <w:jc w:val="center"/>
              <w:rPr>
                <w:rFonts w:ascii="Times New Roman" w:hAnsi="Times New Roman" w:cs="Arial"/>
                <w:color w:val="auto"/>
                <w:sz w:val="18"/>
                <w:szCs w:val="18"/>
              </w:rPr>
            </w:pPr>
            <w:r>
              <w:rPr>
                <w:rFonts w:hint="eastAsia" w:ascii="Times New Roman" w:hAnsi="Times New Roman" w:cs="Arial"/>
                <w:color w:val="auto"/>
                <w:sz w:val="18"/>
                <w:szCs w:val="18"/>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Merge w:val="continue"/>
            <w:vAlign w:val="center"/>
          </w:tcPr>
          <w:p>
            <w:pPr>
              <w:adjustRightInd/>
              <w:spacing w:line="240" w:lineRule="auto"/>
              <w:jc w:val="center"/>
              <w:rPr>
                <w:rFonts w:ascii="Times New Roman" w:hAnsi="Times New Roman"/>
                <w:sz w:val="18"/>
                <w:szCs w:val="18"/>
              </w:rPr>
            </w:pPr>
          </w:p>
        </w:tc>
        <w:tc>
          <w:tcPr>
            <w:tcW w:w="3685" w:type="dxa"/>
            <w:gridSpan w:val="2"/>
            <w:vAlign w:val="center"/>
          </w:tcPr>
          <w:p>
            <w:pPr>
              <w:jc w:val="center"/>
              <w:rPr>
                <w:rFonts w:ascii="Times New Roman" w:hAnsi="Times New Roman"/>
                <w:sz w:val="18"/>
                <w:szCs w:val="18"/>
              </w:rPr>
            </w:pPr>
            <w:r>
              <w:rPr>
                <w:rFonts w:hint="eastAsia" w:ascii="Times New Roman" w:hAnsi="Times New Roman" w:eastAsia="宋体" w:cs="Times New Roman"/>
                <w:sz w:val="18"/>
                <w:szCs w:val="18"/>
              </w:rPr>
              <w:t>隔热温差</w:t>
            </w:r>
          </w:p>
        </w:tc>
        <w:tc>
          <w:tcPr>
            <w:tcW w:w="993" w:type="dxa"/>
            <w:vAlign w:val="center"/>
          </w:tcPr>
          <w:p>
            <w:pPr>
              <w:jc w:val="center"/>
              <w:rPr>
                <w:rFonts w:ascii="Times New Roman" w:hAnsi="Times New Roman"/>
                <w:sz w:val="18"/>
                <w:szCs w:val="18"/>
              </w:rPr>
            </w:pPr>
            <w:r>
              <w:rPr>
                <w:rFonts w:hint="eastAsia" w:ascii="宋体" w:hAnsi="Times New Roman"/>
                <w:color w:val="000000" w:themeColor="text1"/>
                <w:kern w:val="0"/>
                <w:sz w:val="18"/>
                <w:szCs w:val="18"/>
                <w14:textFill>
                  <w14:solidFill>
                    <w14:schemeClr w14:val="tx1"/>
                  </w14:solidFill>
                </w14:textFill>
              </w:rPr>
              <w:t>℃</w:t>
            </w:r>
          </w:p>
        </w:tc>
        <w:tc>
          <w:tcPr>
            <w:tcW w:w="3260" w:type="dxa"/>
            <w:gridSpan w:val="3"/>
            <w:vAlign w:val="center"/>
          </w:tcPr>
          <w:p>
            <w:pPr>
              <w:adjustRightInd/>
              <w:spacing w:line="240" w:lineRule="auto"/>
              <w:jc w:val="center"/>
              <w:rPr>
                <w:rFonts w:ascii="Times New Roman" w:hAnsi="Times New Roman" w:cs="Arial"/>
                <w:color w:val="auto"/>
                <w:sz w:val="18"/>
                <w:szCs w:val="18"/>
              </w:rPr>
            </w:pPr>
            <w:r>
              <w:rPr>
                <w:rFonts w:hint="eastAsia" w:ascii="Times New Roman" w:hAnsi="Times New Roman" w:eastAsia="宋体" w:cs="Arial"/>
                <w:color w:val="auto"/>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Merge w:val="continue"/>
            <w:vAlign w:val="center"/>
          </w:tcPr>
          <w:p>
            <w:pPr>
              <w:numPr>
                <w:ilvl w:val="0"/>
                <w:numId w:val="0"/>
              </w:numPr>
              <w:adjustRightInd/>
              <w:spacing w:line="240" w:lineRule="auto"/>
              <w:ind w:leftChars="0"/>
              <w:jc w:val="both"/>
              <w:rPr>
                <w:rFonts w:ascii="Times New Roman" w:hAnsi="Times New Roman"/>
                <w:sz w:val="18"/>
                <w:szCs w:val="18"/>
              </w:rPr>
            </w:pPr>
          </w:p>
        </w:tc>
        <w:tc>
          <w:tcPr>
            <w:tcW w:w="3685" w:type="dxa"/>
            <w:gridSpan w:val="2"/>
            <w:vAlign w:val="center"/>
          </w:tcPr>
          <w:p>
            <w:pPr>
              <w:adjustRightInd/>
              <w:spacing w:line="240" w:lineRule="auto"/>
              <w:jc w:val="center"/>
              <w:rPr>
                <w:rFonts w:hint="eastAsia" w:ascii="Times New Roman" w:hAnsi="Times New Roman"/>
                <w:sz w:val="18"/>
                <w:szCs w:val="18"/>
              </w:rPr>
            </w:pPr>
            <w:r>
              <w:rPr>
                <w:rFonts w:hint="eastAsia" w:ascii="Times New Roman" w:hAnsi="Times New Roman"/>
                <w:sz w:val="18"/>
                <w:szCs w:val="18"/>
              </w:rPr>
              <w:t>近红外反射比</w:t>
            </w:r>
          </w:p>
        </w:tc>
        <w:tc>
          <w:tcPr>
            <w:tcW w:w="993" w:type="dxa"/>
            <w:vAlign w:val="center"/>
          </w:tcPr>
          <w:p>
            <w:pPr>
              <w:adjustRightInd/>
              <w:spacing w:line="240" w:lineRule="auto"/>
              <w:jc w:val="center"/>
              <w:rPr>
                <w:rFonts w:hint="eastAsia" w:ascii="Times New Roman" w:hAnsi="Times New Roman"/>
                <w:sz w:val="18"/>
                <w:szCs w:val="18"/>
              </w:rPr>
            </w:pPr>
            <w:r>
              <w:rPr>
                <w:rFonts w:hint="eastAsia" w:ascii="Times New Roman" w:hAnsi="Times New Roman"/>
                <w:sz w:val="18"/>
                <w:szCs w:val="18"/>
              </w:rPr>
              <w:t>—</w:t>
            </w:r>
          </w:p>
        </w:tc>
        <w:tc>
          <w:tcPr>
            <w:tcW w:w="1086" w:type="dxa"/>
            <w:vAlign w:val="center"/>
          </w:tcPr>
          <w:p>
            <w:pPr>
              <w:adjustRightInd/>
              <w:spacing w:line="240" w:lineRule="auto"/>
              <w:jc w:val="center"/>
              <w:rPr>
                <w:rFonts w:hint="eastAsia" w:ascii="Times New Roman" w:hAnsi="Times New Roman" w:cs="Arial"/>
                <w:color w:val="auto"/>
                <w:sz w:val="18"/>
                <w:szCs w:val="18"/>
              </w:rPr>
            </w:pPr>
            <w:r>
              <w:rPr>
                <w:rFonts w:hint="eastAsia" w:ascii="Times New Roman" w:hAnsi="Times New Roman" w:cs="Arial"/>
                <w:color w:val="auto"/>
                <w:sz w:val="18"/>
                <w:szCs w:val="18"/>
              </w:rPr>
              <w:t>≥0.80</w:t>
            </w:r>
          </w:p>
        </w:tc>
        <w:tc>
          <w:tcPr>
            <w:tcW w:w="1087" w:type="dxa"/>
            <w:vAlign w:val="center"/>
          </w:tcPr>
          <w:p>
            <w:pPr>
              <w:adjustRightInd/>
              <w:spacing w:line="240" w:lineRule="auto"/>
              <w:jc w:val="center"/>
              <w:rPr>
                <w:rFonts w:hint="eastAsia" w:ascii="Times New Roman" w:hAnsi="Times New Roman" w:cs="Arial"/>
                <w:color w:val="auto"/>
                <w:sz w:val="18"/>
                <w:szCs w:val="18"/>
              </w:rPr>
            </w:pPr>
            <w:r>
              <w:rPr>
                <w:rFonts w:hint="eastAsia" w:ascii="Times New Roman" w:hAnsi="Times New Roman" w:cs="Arial"/>
                <w:color w:val="auto"/>
                <w:sz w:val="18"/>
                <w:szCs w:val="18"/>
              </w:rPr>
              <w:t>≥0.85</w:t>
            </w:r>
          </w:p>
        </w:tc>
        <w:tc>
          <w:tcPr>
            <w:tcW w:w="1087" w:type="dxa"/>
            <w:vAlign w:val="center"/>
          </w:tcPr>
          <w:p>
            <w:pPr>
              <w:adjustRightInd/>
              <w:spacing w:line="240" w:lineRule="auto"/>
              <w:jc w:val="center"/>
              <w:rPr>
                <w:rFonts w:hint="eastAsia" w:ascii="Times New Roman" w:hAnsi="Times New Roman" w:cs="Arial"/>
                <w:color w:val="auto"/>
                <w:sz w:val="18"/>
                <w:szCs w:val="18"/>
              </w:rPr>
            </w:pPr>
            <w:r>
              <w:rPr>
                <w:rFonts w:hint="eastAsia" w:ascii="Times New Roman" w:hAnsi="Times New Roman" w:cs="Arial"/>
                <w:color w:val="auto"/>
                <w:sz w:val="18"/>
                <w:szCs w:val="18"/>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34" w:type="dxa"/>
            <w:vAlign w:val="center"/>
          </w:tcPr>
          <w:p>
            <w:pPr>
              <w:adjustRightInd/>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低碳属性</w:t>
            </w:r>
          </w:p>
        </w:tc>
        <w:tc>
          <w:tcPr>
            <w:tcW w:w="3685" w:type="dxa"/>
            <w:gridSpan w:val="2"/>
            <w:vAlign w:val="center"/>
          </w:tcPr>
          <w:p>
            <w:pPr>
              <w:adjustRightInd/>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环境声明和碳足迹</w:t>
            </w:r>
          </w:p>
        </w:tc>
        <w:tc>
          <w:tcPr>
            <w:tcW w:w="993" w:type="dxa"/>
            <w:vAlign w:val="center"/>
          </w:tcPr>
          <w:p>
            <w:pPr>
              <w:adjustRightInd/>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3260" w:type="dxa"/>
            <w:gridSpan w:val="3"/>
            <w:vAlign w:val="center"/>
          </w:tcPr>
          <w:p>
            <w:pPr>
              <w:adjustRightInd/>
              <w:spacing w:line="240" w:lineRule="auto"/>
              <w:jc w:val="center"/>
              <w:rPr>
                <w:rFonts w:hint="eastAsia" w:ascii="Times New Roman" w:hAnsi="Times New Roman" w:eastAsia="宋体" w:cs="Times New Roman"/>
                <w:sz w:val="18"/>
                <w:szCs w:val="18"/>
              </w:rPr>
            </w:pPr>
            <w:r>
              <w:rPr>
                <w:rFonts w:hint="eastAsia" w:ascii="Times New Roman" w:hAnsi="Times New Roman" w:eastAsia="宋体" w:cs="Times New Roman"/>
                <w:sz w:val="18"/>
                <w:szCs w:val="18"/>
              </w:rPr>
              <w:t>进行环境产品声明(EPD)和碳足迹分析报告</w:t>
            </w:r>
          </w:p>
        </w:tc>
      </w:tr>
    </w:tbl>
    <w:p>
      <w:pPr>
        <w:pStyle w:val="105"/>
        <w:spacing w:before="240" w:after="240"/>
      </w:pPr>
      <w:r>
        <w:rPr>
          <w:rFonts w:hint="eastAsia"/>
        </w:rPr>
        <w:t>评价方法</w:t>
      </w:r>
    </w:p>
    <w:p>
      <w:pPr>
        <w:pStyle w:val="106"/>
        <w:spacing w:before="120" w:after="120"/>
        <w:rPr>
          <w:rFonts w:ascii="宋体" w:hAnsi="宋体" w:eastAsia="宋体"/>
          <w:kern w:val="2"/>
          <w:szCs w:val="24"/>
        </w:rPr>
      </w:pPr>
      <w:bookmarkStart w:id="44" w:name="_Toc167112917"/>
      <w:r>
        <w:rPr>
          <w:rFonts w:hint="eastAsia" w:ascii="宋体" w:hAnsi="宋体" w:eastAsia="宋体"/>
          <w:kern w:val="2"/>
          <w:szCs w:val="24"/>
        </w:rPr>
        <w:t>生产企业应按第</w:t>
      </w:r>
      <w:r>
        <w:rPr>
          <w:rFonts w:hint="eastAsia" w:ascii="Times New Roman" w:eastAsia="宋体"/>
        </w:rPr>
        <w:t>4</w:t>
      </w:r>
      <w:r>
        <w:rPr>
          <w:rFonts w:hint="eastAsia" w:ascii="宋体" w:hAnsi="宋体" w:eastAsia="宋体"/>
          <w:kern w:val="2"/>
          <w:szCs w:val="24"/>
        </w:rPr>
        <w:t>章的规定提供相关证明文件。</w:t>
      </w:r>
      <w:bookmarkEnd w:id="44"/>
    </w:p>
    <w:p>
      <w:pPr>
        <w:pStyle w:val="106"/>
        <w:spacing w:before="120" w:after="120"/>
      </w:pPr>
      <w:r>
        <w:rPr>
          <w:rFonts w:hint="eastAsia" w:ascii="宋体" w:hAnsi="宋体" w:eastAsia="宋体"/>
          <w:kern w:val="2"/>
          <w:szCs w:val="24"/>
        </w:rPr>
        <w:t>单位产品综合能耗按</w:t>
      </w:r>
      <w:r>
        <w:rPr>
          <w:rFonts w:hint="eastAsia" w:ascii="Times New Roman" w:eastAsia="宋体"/>
        </w:rPr>
        <w:t>GB/T 2589</w:t>
      </w:r>
      <w:r>
        <w:rPr>
          <w:rFonts w:hint="eastAsia" w:ascii="宋体" w:hAnsi="宋体" w:eastAsia="宋体"/>
          <w:kern w:val="2"/>
          <w:szCs w:val="24"/>
        </w:rPr>
        <w:t>的规定进行；挥发性有机化合物(</w:t>
      </w:r>
      <w:r>
        <w:rPr>
          <w:rFonts w:hint="eastAsia" w:ascii="Times New Roman" w:eastAsia="宋体"/>
        </w:rPr>
        <w:t>VOC</w:t>
      </w:r>
      <w:r>
        <w:rPr>
          <w:rFonts w:hint="eastAsia" w:ascii="宋体" w:hAnsi="宋体" w:eastAsia="宋体"/>
          <w:kern w:val="2"/>
          <w:szCs w:val="24"/>
        </w:rPr>
        <w:t>)含量按</w:t>
      </w:r>
      <w:r>
        <w:rPr>
          <w:rFonts w:hint="eastAsia" w:ascii="Times New Roman" w:eastAsia="宋体"/>
        </w:rPr>
        <w:t>GB/T 23986</w:t>
      </w:r>
      <w:r>
        <w:rPr>
          <w:rFonts w:hint="eastAsia" w:ascii="宋体" w:hAnsi="宋体" w:eastAsia="宋体"/>
          <w:kern w:val="2"/>
          <w:szCs w:val="24"/>
        </w:rPr>
        <w:t>的规定进行；半球发射率按</w:t>
      </w:r>
      <w:r>
        <w:rPr>
          <w:rFonts w:hint="eastAsia" w:ascii="Times New Roman" w:eastAsia="宋体"/>
        </w:rPr>
        <w:t>JG/T 235</w:t>
      </w:r>
      <w:r>
        <w:rPr>
          <w:rFonts w:hint="eastAsia" w:ascii="宋体" w:hAnsi="宋体" w:eastAsia="宋体"/>
          <w:kern w:val="2"/>
          <w:szCs w:val="24"/>
        </w:rPr>
        <w:t>的规定进行；</w:t>
      </w:r>
      <w:r>
        <w:rPr>
          <w:rFonts w:hint="eastAsia" w:ascii="宋体" w:hAnsi="宋体" w:eastAsia="宋体" w:cs="Times New Roman"/>
          <w:kern w:val="2"/>
          <w:szCs w:val="24"/>
        </w:rPr>
        <w:t>隔热温差按</w:t>
      </w:r>
      <w:r>
        <w:rPr>
          <w:rFonts w:ascii="Times New Roman"/>
        </w:rPr>
        <w:t>JG/T 402</w:t>
      </w:r>
      <w:r>
        <w:rPr>
          <w:rFonts w:hint="eastAsia" w:ascii="宋体" w:hAnsi="宋体" w:eastAsia="宋体"/>
          <w:kern w:val="2"/>
          <w:szCs w:val="24"/>
        </w:rPr>
        <w:t>的规定进行；近红外反射比按</w:t>
      </w:r>
      <w:r>
        <w:rPr>
          <w:rFonts w:hint="eastAsia" w:ascii="Times New Roman" w:eastAsia="宋体"/>
        </w:rPr>
        <w:t>JG/T 235</w:t>
      </w:r>
      <w:r>
        <w:rPr>
          <w:rFonts w:hint="eastAsia" w:ascii="宋体" w:hAnsi="宋体" w:eastAsia="宋体"/>
          <w:kern w:val="2"/>
          <w:szCs w:val="24"/>
        </w:rPr>
        <w:t>的规定。</w:t>
      </w:r>
    </w:p>
    <w:p>
      <w:pPr>
        <w:pStyle w:val="106"/>
        <w:spacing w:before="120" w:after="120"/>
        <w:rPr>
          <w:rFonts w:ascii="宋体" w:hAnsi="宋体" w:eastAsia="宋体"/>
        </w:rPr>
      </w:pPr>
      <w:r>
        <w:rPr>
          <w:rFonts w:hint="eastAsia" w:ascii="宋体" w:hAnsi="宋体" w:eastAsia="宋体"/>
        </w:rPr>
        <w:t>主要原材料生产企业要求、挥发性有机化合物(</w:t>
      </w:r>
      <w:r>
        <w:rPr>
          <w:rFonts w:hint="eastAsia" w:ascii="Times New Roman" w:eastAsia="宋体"/>
        </w:rPr>
        <w:t>VOC</w:t>
      </w:r>
      <w:r>
        <w:rPr>
          <w:rFonts w:hint="eastAsia" w:ascii="宋体" w:hAnsi="宋体" w:eastAsia="宋体"/>
        </w:rPr>
        <w:t>)含量、生物杀伤剂含量通过提交证明文件的方式进行评价，单位产品原材料消耗、单位产品新鲜水消耗通过提交证明文件结合现场检查的方式进行评价。</w:t>
      </w:r>
    </w:p>
    <w:p>
      <w:pPr>
        <w:pStyle w:val="106"/>
        <w:spacing w:before="120" w:after="120"/>
        <w:rPr>
          <w:rFonts w:ascii="宋体" w:hAnsi="宋体" w:eastAsia="宋体"/>
        </w:rPr>
      </w:pPr>
      <w:r>
        <w:rPr>
          <w:rFonts w:hint="eastAsia" w:ascii="宋体" w:hAnsi="宋体" w:eastAsia="宋体"/>
        </w:rPr>
        <w:t>其他性能指标应由生产企业提供近</w:t>
      </w:r>
      <w:r>
        <w:rPr>
          <w:rFonts w:hint="eastAsia" w:ascii="Times New Roman" w:eastAsia="宋体"/>
        </w:rPr>
        <w:t>1</w:t>
      </w:r>
      <w:r>
        <w:rPr>
          <w:rFonts w:hint="eastAsia" w:ascii="宋体" w:hAnsi="宋体" w:eastAsia="宋体"/>
        </w:rPr>
        <w:t>年的产品质量检验报告进行评价。</w:t>
      </w:r>
    </w:p>
    <w:p>
      <w:pPr>
        <w:pStyle w:val="106"/>
        <w:spacing w:before="120" w:after="120"/>
        <w:rPr>
          <w:rFonts w:ascii="宋体" w:hAnsi="宋体" w:eastAsia="宋体"/>
        </w:rPr>
      </w:pPr>
      <w:r>
        <w:rPr>
          <w:rFonts w:hint="eastAsia" w:ascii="宋体" w:hAnsi="宋体" w:eastAsia="宋体"/>
        </w:rPr>
        <w:t>生产企业满足第</w:t>
      </w:r>
      <w:r>
        <w:rPr>
          <w:rFonts w:hint="eastAsia" w:ascii="Times New Roman" w:eastAsia="宋体"/>
        </w:rPr>
        <w:t>4</w:t>
      </w:r>
      <w:r>
        <w:rPr>
          <w:rFonts w:hint="eastAsia" w:ascii="宋体" w:hAnsi="宋体" w:eastAsia="宋体"/>
        </w:rPr>
        <w:t>章对应评价等级的全部要求时，判定评价结果符合该评价等级规定。</w:t>
      </w:r>
    </w:p>
    <w:p>
      <w:pPr>
        <w:pStyle w:val="106"/>
        <w:numPr>
          <w:ilvl w:val="0"/>
          <w:numId w:val="0"/>
        </w:numPr>
        <w:spacing w:before="120" w:after="120"/>
      </w:pPr>
    </w:p>
    <w:p>
      <w:pPr>
        <w:pStyle w:val="57"/>
        <w:ind w:firstLine="420"/>
      </w:pPr>
    </w:p>
    <w:p>
      <w:pPr>
        <w:pStyle w:val="57"/>
        <w:ind w:firstLine="420"/>
      </w:pPr>
    </w:p>
    <w:p>
      <w:pPr>
        <w:pStyle w:val="57"/>
        <w:ind w:firstLine="420"/>
        <w:sectPr>
          <w:pgSz w:w="11906" w:h="16838"/>
          <w:pgMar w:top="1928" w:right="1134" w:bottom="1134" w:left="1134" w:header="1418" w:footer="1134" w:gutter="284"/>
          <w:pgNumType w:start="1"/>
          <w:cols w:space="425" w:num="1"/>
          <w:formProt w:val="0"/>
          <w:docGrid w:linePitch="312" w:charSpace="0"/>
        </w:sectPr>
      </w:pPr>
    </w:p>
    <w:bookmarkEnd w:id="22"/>
    <w:p>
      <w:pPr>
        <w:pStyle w:val="199"/>
      </w:pPr>
      <w:bookmarkStart w:id="45" w:name="BookMark5"/>
    </w:p>
    <w:p>
      <w:pPr>
        <w:pStyle w:val="200"/>
      </w:pPr>
    </w:p>
    <w:p>
      <w:pPr>
        <w:pStyle w:val="77"/>
        <w:spacing w:after="120"/>
      </w:pPr>
      <w:r>
        <w:br w:type="textWrapping"/>
      </w:r>
      <w:r>
        <w:rPr>
          <w:rFonts w:hint="eastAsia"/>
        </w:rPr>
        <w:t>（资料性）</w:t>
      </w:r>
      <w:r>
        <w:br w:type="textWrapping"/>
      </w:r>
      <w:r>
        <w:rPr>
          <w:rFonts w:hint="eastAsia"/>
        </w:rPr>
        <w:t>不得添加的有害物质</w:t>
      </w:r>
    </w:p>
    <w:p>
      <w:pPr>
        <w:pStyle w:val="57"/>
        <w:ind w:firstLine="420"/>
      </w:pPr>
      <w:r>
        <w:t>企业不得添加的有害物质见表</w:t>
      </w:r>
      <w:r>
        <w:rPr>
          <w:rFonts w:ascii="Times New Roman"/>
        </w:rPr>
        <w:t>A.1</w:t>
      </w:r>
    </w:p>
    <w:p>
      <w:pPr>
        <w:pStyle w:val="78"/>
        <w:spacing w:before="120" w:after="120"/>
      </w:pPr>
      <w:r>
        <w:rPr>
          <w:rFonts w:hint="eastAsia"/>
        </w:rPr>
        <w:t>不得添加的有害物质</w:t>
      </w:r>
    </w:p>
    <w:tbl>
      <w:tblPr>
        <w:tblStyle w:val="28"/>
        <w:tblW w:w="907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37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4" w:type="dxa"/>
            <w:vAlign w:val="center"/>
          </w:tcPr>
          <w:p>
            <w:pPr>
              <w:spacing w:line="240" w:lineRule="auto"/>
              <w:jc w:val="center"/>
              <w:rPr>
                <w:rFonts w:ascii="宋体" w:hAnsi="宋体"/>
                <w:sz w:val="18"/>
                <w:szCs w:val="18"/>
              </w:rPr>
            </w:pPr>
            <w:r>
              <w:rPr>
                <w:rFonts w:hint="eastAsia" w:ascii="宋体" w:hAnsi="宋体"/>
                <w:sz w:val="18"/>
                <w:szCs w:val="18"/>
              </w:rPr>
              <w:t>品种</w:t>
            </w:r>
          </w:p>
        </w:tc>
        <w:tc>
          <w:tcPr>
            <w:tcW w:w="6379" w:type="dxa"/>
            <w:vAlign w:val="center"/>
          </w:tcPr>
          <w:p>
            <w:pPr>
              <w:spacing w:line="240" w:lineRule="auto"/>
              <w:jc w:val="center"/>
              <w:rPr>
                <w:rFonts w:ascii="宋体" w:hAnsi="宋体"/>
                <w:sz w:val="18"/>
                <w:szCs w:val="18"/>
              </w:rPr>
            </w:pPr>
            <w:r>
              <w:rPr>
                <w:rFonts w:hint="eastAsia" w:ascii="宋体" w:hAnsi="宋体"/>
                <w:sz w:val="18"/>
                <w:szCs w:val="18"/>
              </w:rPr>
              <w:t>品种说明</w:t>
            </w:r>
          </w:p>
        </w:tc>
        <w:tc>
          <w:tcPr>
            <w:tcW w:w="1559" w:type="dxa"/>
            <w:vAlign w:val="center"/>
          </w:tcPr>
          <w:p>
            <w:pPr>
              <w:spacing w:line="240" w:lineRule="auto"/>
              <w:jc w:val="center"/>
              <w:rPr>
                <w:rFonts w:ascii="宋体" w:hAnsi="宋体"/>
                <w:sz w:val="18"/>
                <w:szCs w:val="18"/>
              </w:rPr>
            </w:pPr>
            <w:r>
              <w:rPr>
                <w:rFonts w:hint="eastAsia" w:ascii="宋体" w:hAnsi="宋体"/>
                <w:sz w:val="18"/>
                <w:szCs w:val="18"/>
              </w:rPr>
              <w:t>原材料杂质带入的有害物质限值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4" w:type="dxa"/>
            <w:vAlign w:val="center"/>
          </w:tcPr>
          <w:p>
            <w:pPr>
              <w:spacing w:line="240" w:lineRule="auto"/>
              <w:jc w:val="center"/>
              <w:rPr>
                <w:rFonts w:ascii="宋体" w:hAnsi="宋体"/>
                <w:sz w:val="18"/>
                <w:szCs w:val="18"/>
              </w:rPr>
            </w:pPr>
            <w:r>
              <w:rPr>
                <w:rFonts w:hint="eastAsia" w:ascii="宋体" w:hAnsi="宋体"/>
                <w:sz w:val="18"/>
                <w:szCs w:val="18"/>
              </w:rPr>
              <w:t>苯</w:t>
            </w:r>
          </w:p>
        </w:tc>
        <w:tc>
          <w:tcPr>
            <w:tcW w:w="6379" w:type="dxa"/>
            <w:vAlign w:val="center"/>
          </w:tcPr>
          <w:p>
            <w:pPr>
              <w:spacing w:line="240" w:lineRule="auto"/>
              <w:jc w:val="center"/>
              <w:rPr>
                <w:rFonts w:ascii="宋体" w:hAnsi="宋体"/>
                <w:sz w:val="18"/>
                <w:szCs w:val="18"/>
              </w:rPr>
            </w:pPr>
            <w:r>
              <w:rPr>
                <w:rFonts w:hint="eastAsia" w:ascii="宋体" w:hAnsi="宋体"/>
                <w:sz w:val="18"/>
                <w:szCs w:val="18"/>
              </w:rPr>
              <w:t>—</w:t>
            </w:r>
          </w:p>
        </w:tc>
        <w:tc>
          <w:tcPr>
            <w:tcW w:w="1559" w:type="dxa"/>
            <w:vAlign w:val="center"/>
          </w:tcPr>
          <w:p>
            <w:pPr>
              <w:adjustRightInd/>
              <w:spacing w:line="240" w:lineRule="auto"/>
              <w:jc w:val="center"/>
              <w:rPr>
                <w:rFonts w:ascii="宋体" w:hAnsi="宋体"/>
                <w:sz w:val="18"/>
                <w:szCs w:val="18"/>
              </w:rPr>
            </w:pPr>
            <w:r>
              <w:rPr>
                <w:rFonts w:hint="eastAsia" w:ascii="Times New Roman" w:hAnsi="Times New Roman"/>
                <w:sz w:val="18"/>
                <w:szCs w:val="18"/>
              </w:rPr>
              <w:t>100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4" w:type="dxa"/>
            <w:vAlign w:val="center"/>
          </w:tcPr>
          <w:p>
            <w:pPr>
              <w:spacing w:line="240" w:lineRule="auto"/>
              <w:jc w:val="center"/>
              <w:rPr>
                <w:rFonts w:ascii="宋体" w:hAnsi="宋体"/>
                <w:sz w:val="18"/>
                <w:szCs w:val="18"/>
              </w:rPr>
            </w:pPr>
            <w:r>
              <w:rPr>
                <w:rFonts w:hint="eastAsia" w:ascii="宋体" w:hAnsi="宋体"/>
                <w:sz w:val="18"/>
                <w:szCs w:val="18"/>
              </w:rPr>
              <w:t>甲醇</w:t>
            </w:r>
          </w:p>
        </w:tc>
        <w:tc>
          <w:tcPr>
            <w:tcW w:w="6379" w:type="dxa"/>
            <w:vAlign w:val="center"/>
          </w:tcPr>
          <w:p>
            <w:pPr>
              <w:adjustRightInd/>
              <w:spacing w:line="240" w:lineRule="auto"/>
              <w:jc w:val="center"/>
              <w:rPr>
                <w:rFonts w:ascii="宋体" w:hAnsi="宋体"/>
                <w:sz w:val="18"/>
                <w:szCs w:val="18"/>
              </w:rPr>
            </w:pPr>
            <w:r>
              <w:rPr>
                <w:rFonts w:hint="eastAsia" w:ascii="宋体" w:hAnsi="宋体"/>
                <w:sz w:val="18"/>
                <w:szCs w:val="18"/>
              </w:rPr>
              <w:t>—</w:t>
            </w:r>
          </w:p>
        </w:tc>
        <w:tc>
          <w:tcPr>
            <w:tcW w:w="1559" w:type="dxa"/>
            <w:vAlign w:val="center"/>
          </w:tcPr>
          <w:p>
            <w:pPr>
              <w:adjustRightInd/>
              <w:spacing w:line="240" w:lineRule="auto"/>
              <w:jc w:val="center"/>
              <w:rPr>
                <w:rFonts w:ascii="宋体" w:hAnsi="宋体"/>
                <w:sz w:val="18"/>
                <w:szCs w:val="18"/>
              </w:rPr>
            </w:pPr>
            <w:r>
              <w:rPr>
                <w:rFonts w:hint="eastAsia" w:ascii="Times New Roman" w:hAnsi="Times New Roman"/>
                <w:sz w:val="18"/>
                <w:szCs w:val="18"/>
              </w:rPr>
              <w:t>100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4" w:type="dxa"/>
            <w:vAlign w:val="center"/>
          </w:tcPr>
          <w:p>
            <w:pPr>
              <w:spacing w:line="240" w:lineRule="auto"/>
              <w:jc w:val="center"/>
              <w:rPr>
                <w:rFonts w:ascii="宋体" w:hAnsi="宋体"/>
                <w:sz w:val="18"/>
                <w:szCs w:val="18"/>
              </w:rPr>
            </w:pPr>
            <w:r>
              <w:rPr>
                <w:rFonts w:hint="eastAsia" w:ascii="宋体" w:hAnsi="宋体"/>
                <w:sz w:val="18"/>
                <w:szCs w:val="18"/>
              </w:rPr>
              <w:t>卤代烃</w:t>
            </w:r>
          </w:p>
        </w:tc>
        <w:tc>
          <w:tcPr>
            <w:tcW w:w="6379" w:type="dxa"/>
            <w:vAlign w:val="center"/>
          </w:tcPr>
          <w:p>
            <w:pPr>
              <w:spacing w:line="240" w:lineRule="auto"/>
              <w:jc w:val="center"/>
              <w:rPr>
                <w:rFonts w:ascii="宋体" w:hAnsi="宋体"/>
                <w:sz w:val="18"/>
                <w:szCs w:val="18"/>
              </w:rPr>
            </w:pPr>
            <w:r>
              <w:rPr>
                <w:rFonts w:hint="eastAsia" w:ascii="宋体" w:hAnsi="宋体"/>
                <w:sz w:val="18"/>
                <w:szCs w:val="18"/>
              </w:rPr>
              <w:t>卤代烃是指烃分子中的氢原子被卤素原子取代后的一类挥发性有机化合物。包括但不限于列举的卤代烃，如二氯甲烷、三氯甲烷、四氯化碳、三氯乙烷、三氯丙烷、三氯乙烯、溴丙烧、溴丁烷等</w:t>
            </w:r>
          </w:p>
        </w:tc>
        <w:tc>
          <w:tcPr>
            <w:tcW w:w="1559" w:type="dxa"/>
            <w:vAlign w:val="center"/>
          </w:tcPr>
          <w:p>
            <w:pPr>
              <w:spacing w:line="240" w:lineRule="auto"/>
              <w:jc w:val="center"/>
              <w:rPr>
                <w:rFonts w:ascii="宋体" w:hAnsi="宋体"/>
                <w:sz w:val="18"/>
                <w:szCs w:val="18"/>
              </w:rPr>
            </w:pPr>
            <w:r>
              <w:rPr>
                <w:rFonts w:hint="eastAsia" w:ascii="Times New Roman" w:hAnsi="Times New Roman"/>
                <w:sz w:val="18"/>
                <w:szCs w:val="18"/>
              </w:rPr>
              <w:t>100 mg/kg(</w:t>
            </w:r>
            <w:r>
              <w:rPr>
                <w:rFonts w:hint="eastAsia" w:ascii="宋体" w:hAnsi="宋体"/>
                <w:sz w:val="18"/>
                <w:szCs w:val="18"/>
              </w:rPr>
              <w:t>每种化合物)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4" w:type="dxa"/>
            <w:vAlign w:val="center"/>
          </w:tcPr>
          <w:p>
            <w:pPr>
              <w:spacing w:line="240" w:lineRule="auto"/>
              <w:jc w:val="center"/>
              <w:rPr>
                <w:rFonts w:ascii="宋体" w:hAnsi="宋体"/>
                <w:sz w:val="18"/>
                <w:szCs w:val="18"/>
              </w:rPr>
            </w:pPr>
            <w:r>
              <w:rPr>
                <w:rFonts w:hint="eastAsia" w:ascii="宋体" w:hAnsi="宋体"/>
                <w:sz w:val="18"/>
                <w:szCs w:val="18"/>
              </w:rPr>
              <w:t>乙二醇甲醚和乙二醇乙醚的衍生物</w:t>
            </w:r>
          </w:p>
        </w:tc>
        <w:tc>
          <w:tcPr>
            <w:tcW w:w="6379" w:type="dxa"/>
            <w:vAlign w:val="center"/>
          </w:tcPr>
          <w:p>
            <w:pPr>
              <w:spacing w:line="240" w:lineRule="auto"/>
              <w:jc w:val="center"/>
              <w:rPr>
                <w:rFonts w:ascii="宋体" w:hAnsi="宋体"/>
                <w:sz w:val="18"/>
                <w:szCs w:val="18"/>
              </w:rPr>
            </w:pPr>
            <w:r>
              <w:rPr>
                <w:rFonts w:hint="eastAsia" w:ascii="宋体" w:hAnsi="宋体"/>
                <w:sz w:val="18"/>
                <w:szCs w:val="18"/>
              </w:rPr>
              <w:t>包括但不限于列举的乙二醇甲醚和乙二醇乙醚的衍生物,如乙二醇甲醚、乙二醇甲醚醋酸酯、乙二醇乙醚、乙二醇乙醚醋酸酯、乙二醇二甲醚、乙二醇二乙醚、二乙二醇二甲醚、三乙二醇二甲醚等</w:t>
            </w:r>
          </w:p>
        </w:tc>
        <w:tc>
          <w:tcPr>
            <w:tcW w:w="1559" w:type="dxa"/>
            <w:vAlign w:val="center"/>
          </w:tcPr>
          <w:p>
            <w:pPr>
              <w:spacing w:line="240" w:lineRule="auto"/>
              <w:jc w:val="center"/>
              <w:rPr>
                <w:rFonts w:ascii="宋体" w:hAnsi="宋体"/>
                <w:sz w:val="18"/>
                <w:szCs w:val="18"/>
              </w:rPr>
            </w:pPr>
            <w:r>
              <w:rPr>
                <w:rFonts w:hint="eastAsia" w:ascii="Times New Roman" w:hAnsi="Times New Roman"/>
                <w:sz w:val="18"/>
                <w:szCs w:val="18"/>
              </w:rPr>
              <w:t>100 mg/kg</w:t>
            </w:r>
            <w:r>
              <w:rPr>
                <w:rFonts w:hint="eastAsia" w:ascii="宋体" w:hAnsi="宋体"/>
                <w:sz w:val="18"/>
                <w:szCs w:val="18"/>
              </w:rPr>
              <w:t>(每种化合物)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4" w:type="dxa"/>
            <w:vAlign w:val="center"/>
          </w:tcPr>
          <w:p>
            <w:pPr>
              <w:spacing w:line="240" w:lineRule="auto"/>
              <w:jc w:val="center"/>
              <w:rPr>
                <w:rFonts w:ascii="宋体" w:hAnsi="宋体"/>
                <w:sz w:val="18"/>
                <w:szCs w:val="18"/>
              </w:rPr>
            </w:pPr>
            <w:r>
              <w:rPr>
                <w:rFonts w:hint="eastAsia" w:ascii="宋体" w:hAnsi="宋体"/>
                <w:sz w:val="18"/>
                <w:szCs w:val="18"/>
              </w:rPr>
              <w:t>邻苯二甲酸酯</w:t>
            </w:r>
          </w:p>
        </w:tc>
        <w:tc>
          <w:tcPr>
            <w:tcW w:w="6379" w:type="dxa"/>
            <w:vAlign w:val="center"/>
          </w:tcPr>
          <w:p>
            <w:pPr>
              <w:spacing w:line="240" w:lineRule="auto"/>
              <w:jc w:val="center"/>
              <w:rPr>
                <w:rFonts w:ascii="宋体" w:hAnsi="宋体"/>
                <w:sz w:val="18"/>
                <w:szCs w:val="18"/>
              </w:rPr>
            </w:pPr>
            <w:r>
              <w:rPr>
                <w:rFonts w:hint="eastAsia" w:ascii="宋体" w:hAnsi="宋体"/>
                <w:sz w:val="18"/>
                <w:szCs w:val="18"/>
              </w:rPr>
              <w:t>包括但不限于列举的邻苯二甲酸酯,如邻苯二甲酸二丁酯(</w:t>
            </w:r>
            <w:r>
              <w:rPr>
                <w:rFonts w:hint="eastAsia" w:ascii="Times New Roman" w:hAnsi="Times New Roman"/>
                <w:sz w:val="18"/>
                <w:szCs w:val="18"/>
              </w:rPr>
              <w:t>DBP</w:t>
            </w:r>
            <w:r>
              <w:rPr>
                <w:rFonts w:hint="eastAsia" w:ascii="宋体" w:hAnsi="宋体"/>
                <w:sz w:val="18"/>
                <w:szCs w:val="18"/>
              </w:rPr>
              <w:t>)、邻苯二甲酸丁苄酯(</w:t>
            </w:r>
            <w:r>
              <w:rPr>
                <w:rFonts w:hint="eastAsia" w:ascii="Times New Roman" w:hAnsi="Times New Roman"/>
                <w:sz w:val="18"/>
                <w:szCs w:val="18"/>
              </w:rPr>
              <w:t>BBP</w:t>
            </w:r>
            <w:r>
              <w:rPr>
                <w:rFonts w:hint="eastAsia" w:ascii="宋体" w:hAnsi="宋体"/>
                <w:sz w:val="18"/>
                <w:szCs w:val="18"/>
              </w:rPr>
              <w:t>)、邻苯二甲酸二异辛酯(</w:t>
            </w:r>
            <w:r>
              <w:rPr>
                <w:rFonts w:hint="eastAsia" w:ascii="Times New Roman" w:hAnsi="Times New Roman"/>
                <w:sz w:val="18"/>
                <w:szCs w:val="18"/>
              </w:rPr>
              <w:t>DEHP</w:t>
            </w:r>
            <w:r>
              <w:rPr>
                <w:rFonts w:hint="eastAsia" w:ascii="宋体" w:hAnsi="宋体"/>
                <w:sz w:val="18"/>
                <w:szCs w:val="18"/>
              </w:rPr>
              <w:t>)、邻苯二甲酸二辛酯(</w:t>
            </w:r>
            <w:r>
              <w:rPr>
                <w:rFonts w:hint="eastAsia" w:ascii="Times New Roman" w:hAnsi="Times New Roman"/>
                <w:sz w:val="18"/>
                <w:szCs w:val="18"/>
              </w:rPr>
              <w:t>DNOP</w:t>
            </w:r>
            <w:r>
              <w:rPr>
                <w:rFonts w:hint="eastAsia" w:ascii="宋体" w:hAnsi="宋体"/>
                <w:sz w:val="18"/>
                <w:szCs w:val="18"/>
              </w:rPr>
              <w:t>)、邻苯二甲酸二异壬酯(</w:t>
            </w:r>
            <w:r>
              <w:rPr>
                <w:rFonts w:hint="eastAsia" w:ascii="Times New Roman" w:hAnsi="Times New Roman"/>
                <w:sz w:val="18"/>
                <w:szCs w:val="18"/>
              </w:rPr>
              <w:t>DINP</w:t>
            </w:r>
            <w:r>
              <w:rPr>
                <w:rFonts w:hint="eastAsia" w:ascii="宋体" w:hAnsi="宋体"/>
                <w:sz w:val="18"/>
                <w:szCs w:val="18"/>
              </w:rPr>
              <w:t>)、邻苯二甲酸二异癸酯(</w:t>
            </w:r>
            <w:r>
              <w:rPr>
                <w:rFonts w:hint="eastAsia" w:ascii="Times New Roman" w:hAnsi="Times New Roman"/>
                <w:sz w:val="18"/>
                <w:szCs w:val="18"/>
              </w:rPr>
              <w:t>DIDP</w:t>
            </w:r>
            <w:r>
              <w:rPr>
                <w:rFonts w:hint="eastAsia" w:ascii="宋体" w:hAnsi="宋体"/>
                <w:sz w:val="18"/>
                <w:szCs w:val="18"/>
              </w:rPr>
              <w:t>)等</w:t>
            </w:r>
          </w:p>
        </w:tc>
        <w:tc>
          <w:tcPr>
            <w:tcW w:w="1559" w:type="dxa"/>
            <w:vAlign w:val="center"/>
          </w:tcPr>
          <w:p>
            <w:pPr>
              <w:spacing w:line="240" w:lineRule="auto"/>
              <w:jc w:val="center"/>
              <w:rPr>
                <w:rFonts w:ascii="宋体" w:hAnsi="宋体"/>
                <w:sz w:val="18"/>
                <w:szCs w:val="18"/>
              </w:rPr>
            </w:pPr>
            <w:r>
              <w:rPr>
                <w:rFonts w:hint="eastAsia" w:ascii="Times New Roman" w:hAnsi="Times New Roman"/>
                <w:sz w:val="18"/>
                <w:szCs w:val="18"/>
              </w:rPr>
              <w:t>100 mg/kg</w:t>
            </w:r>
            <w:r>
              <w:rPr>
                <w:rFonts w:hint="eastAsia" w:ascii="宋体" w:hAnsi="宋体"/>
                <w:sz w:val="18"/>
                <w:szCs w:val="18"/>
              </w:rPr>
              <w:t>(每种化合物)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4" w:type="dxa"/>
            <w:vAlign w:val="center"/>
          </w:tcPr>
          <w:p>
            <w:pPr>
              <w:spacing w:line="240" w:lineRule="auto"/>
              <w:jc w:val="center"/>
              <w:rPr>
                <w:rFonts w:ascii="宋体" w:hAnsi="宋体"/>
                <w:sz w:val="18"/>
                <w:szCs w:val="18"/>
              </w:rPr>
            </w:pPr>
            <w:r>
              <w:rPr>
                <w:rFonts w:hint="eastAsia" w:ascii="宋体" w:hAnsi="宋体"/>
                <w:sz w:val="18"/>
                <w:szCs w:val="18"/>
              </w:rPr>
              <w:t>烷基酚聚氧乙烯醚</w:t>
            </w:r>
          </w:p>
        </w:tc>
        <w:tc>
          <w:tcPr>
            <w:tcW w:w="6379" w:type="dxa"/>
            <w:vAlign w:val="center"/>
          </w:tcPr>
          <w:p>
            <w:pPr>
              <w:spacing w:line="240" w:lineRule="auto"/>
              <w:jc w:val="center"/>
              <w:rPr>
                <w:rFonts w:ascii="宋体" w:hAnsi="宋体"/>
                <w:sz w:val="18"/>
                <w:szCs w:val="18"/>
              </w:rPr>
            </w:pPr>
            <w:r>
              <w:rPr>
                <w:rFonts w:hint="eastAsia" w:ascii="宋体" w:hAnsi="宋体"/>
                <w:sz w:val="18"/>
                <w:szCs w:val="18"/>
              </w:rPr>
              <w:t>包括但不限于列举的烷基酚聚氧乙烯醚,如壬基酚聚氧乙烯醚（含壬基酚）、辛基酚聚氧乙烯醚（含辛基酚）等</w:t>
            </w:r>
          </w:p>
        </w:tc>
        <w:tc>
          <w:tcPr>
            <w:tcW w:w="1559" w:type="dxa"/>
            <w:vAlign w:val="center"/>
          </w:tcPr>
          <w:p>
            <w:pPr>
              <w:spacing w:line="240" w:lineRule="auto"/>
              <w:jc w:val="center"/>
              <w:rPr>
                <w:rFonts w:ascii="宋体" w:hAnsi="宋体"/>
                <w:sz w:val="18"/>
                <w:szCs w:val="18"/>
              </w:rPr>
            </w:pPr>
            <w:r>
              <w:rPr>
                <w:rFonts w:hint="eastAsia" w:ascii="Times New Roman" w:hAnsi="Times New Roman"/>
                <w:sz w:val="18"/>
                <w:szCs w:val="18"/>
              </w:rPr>
              <w:t>50 mg/kg(</w:t>
            </w:r>
            <w:r>
              <w:rPr>
                <w:rFonts w:hint="eastAsia" w:ascii="宋体" w:hAnsi="宋体"/>
                <w:sz w:val="18"/>
                <w:szCs w:val="18"/>
              </w:rPr>
              <w:t>每种化合物)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4" w:type="dxa"/>
            <w:vAlign w:val="center"/>
          </w:tcPr>
          <w:p>
            <w:pPr>
              <w:spacing w:line="240" w:lineRule="auto"/>
              <w:jc w:val="center"/>
              <w:rPr>
                <w:rFonts w:ascii="宋体" w:hAnsi="宋体"/>
                <w:sz w:val="18"/>
                <w:szCs w:val="18"/>
              </w:rPr>
            </w:pPr>
            <w:r>
              <w:rPr>
                <w:rFonts w:hint="eastAsia" w:ascii="宋体" w:hAnsi="宋体"/>
                <w:sz w:val="18"/>
                <w:szCs w:val="18"/>
              </w:rPr>
              <w:t>溴系阻燃剂</w:t>
            </w:r>
          </w:p>
        </w:tc>
        <w:tc>
          <w:tcPr>
            <w:tcW w:w="6379" w:type="dxa"/>
            <w:vAlign w:val="center"/>
          </w:tcPr>
          <w:p>
            <w:pPr>
              <w:spacing w:line="240" w:lineRule="auto"/>
              <w:jc w:val="center"/>
              <w:rPr>
                <w:rFonts w:ascii="宋体" w:hAnsi="宋体"/>
                <w:sz w:val="18"/>
                <w:szCs w:val="18"/>
              </w:rPr>
            </w:pPr>
            <w:r>
              <w:rPr>
                <w:rFonts w:hint="eastAsia" w:ascii="宋体" w:hAnsi="宋体"/>
                <w:sz w:val="18"/>
                <w:szCs w:val="18"/>
              </w:rPr>
              <w:t>多溴联苯、多溴二苯醚、六溴环十二烷</w:t>
            </w:r>
          </w:p>
        </w:tc>
        <w:tc>
          <w:tcPr>
            <w:tcW w:w="1559" w:type="dxa"/>
            <w:vAlign w:val="center"/>
          </w:tcPr>
          <w:p>
            <w:pPr>
              <w:spacing w:line="240" w:lineRule="auto"/>
              <w:jc w:val="center"/>
              <w:rPr>
                <w:rFonts w:ascii="宋体" w:hAnsi="宋体"/>
                <w:sz w:val="18"/>
                <w:szCs w:val="18"/>
              </w:rPr>
            </w:pPr>
            <w:r>
              <w:rPr>
                <w:rFonts w:hint="eastAsia" w:ascii="Times New Roman" w:hAnsi="Times New Roman"/>
                <w:sz w:val="18"/>
                <w:szCs w:val="18"/>
              </w:rPr>
              <w:t>100 mg/kg</w:t>
            </w:r>
            <w:r>
              <w:rPr>
                <w:rFonts w:hint="eastAsia" w:ascii="宋体" w:hAnsi="宋体"/>
                <w:sz w:val="18"/>
                <w:szCs w:val="18"/>
              </w:rPr>
              <w:t>(每种化合物)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4" w:type="dxa"/>
            <w:vAlign w:val="center"/>
          </w:tcPr>
          <w:p>
            <w:pPr>
              <w:spacing w:line="240" w:lineRule="auto"/>
              <w:jc w:val="center"/>
              <w:rPr>
                <w:rFonts w:ascii="宋体" w:hAnsi="宋体"/>
                <w:sz w:val="18"/>
                <w:szCs w:val="18"/>
              </w:rPr>
            </w:pPr>
            <w:r>
              <w:rPr>
                <w:rFonts w:hint="eastAsia" w:ascii="宋体" w:hAnsi="宋体"/>
                <w:sz w:val="18"/>
                <w:szCs w:val="18"/>
              </w:rPr>
              <w:t>石棉</w:t>
            </w:r>
          </w:p>
        </w:tc>
        <w:tc>
          <w:tcPr>
            <w:tcW w:w="6379" w:type="dxa"/>
            <w:vAlign w:val="center"/>
          </w:tcPr>
          <w:p>
            <w:pPr>
              <w:spacing w:line="240" w:lineRule="auto"/>
              <w:jc w:val="center"/>
              <w:rPr>
                <w:rFonts w:ascii="宋体" w:hAnsi="宋体"/>
                <w:sz w:val="18"/>
                <w:szCs w:val="18"/>
              </w:rPr>
            </w:pPr>
            <w:r>
              <w:rPr>
                <w:rFonts w:hint="eastAsia" w:ascii="宋体" w:hAnsi="宋体"/>
                <w:sz w:val="18"/>
                <w:szCs w:val="18"/>
              </w:rPr>
              <w:t>石棉是指纤维状蛇纹石和纤维状角闪石类硅酸盐矿物，且纤维状颗粒的长径比大于</w:t>
            </w:r>
            <w:r>
              <w:rPr>
                <w:rFonts w:hint="eastAsia" w:ascii="Times New Roman" w:hAnsi="Times New Roman"/>
                <w:sz w:val="18"/>
                <w:szCs w:val="18"/>
              </w:rPr>
              <w:t>3</w:t>
            </w:r>
            <w:r>
              <w:rPr>
                <w:rFonts w:hint="eastAsia" w:ascii="宋体" w:hAnsi="宋体"/>
                <w:sz w:val="18"/>
                <w:szCs w:val="18"/>
              </w:rPr>
              <w:t>，如温石棉、透闪石石棉、阳起石石棉、直闪石石棉、青石棉、铁石棉等</w:t>
            </w:r>
          </w:p>
        </w:tc>
        <w:tc>
          <w:tcPr>
            <w:tcW w:w="1559" w:type="dxa"/>
            <w:vAlign w:val="center"/>
          </w:tcPr>
          <w:p>
            <w:pPr>
              <w:spacing w:line="240" w:lineRule="auto"/>
              <w:jc w:val="center"/>
              <w:rPr>
                <w:rFonts w:ascii="宋体" w:hAnsi="宋体"/>
                <w:sz w:val="18"/>
                <w:szCs w:val="18"/>
              </w:rPr>
            </w:pPr>
            <w:r>
              <w:rPr>
                <w:rFonts w:hint="eastAsia" w:ascii="Times New Roman" w:hAnsi="Times New Roman"/>
                <w:sz w:val="18"/>
                <w:szCs w:val="18"/>
              </w:rPr>
              <w:t>0.1</w:t>
            </w:r>
            <w:r>
              <w:rPr>
                <w:rFonts w:hint="eastAsia" w:ascii="宋体" w:hAnsi="宋体"/>
                <w:sz w:val="18"/>
                <w:szCs w:val="18"/>
              </w:rPr>
              <w:t>%(每种石棉)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4" w:type="dxa"/>
            <w:vMerge w:val="restart"/>
            <w:vAlign w:val="center"/>
          </w:tcPr>
          <w:p>
            <w:pPr>
              <w:spacing w:line="240" w:lineRule="auto"/>
              <w:jc w:val="center"/>
              <w:rPr>
                <w:rFonts w:ascii="宋体" w:hAnsi="宋体"/>
                <w:sz w:val="18"/>
                <w:szCs w:val="18"/>
              </w:rPr>
            </w:pPr>
            <w:r>
              <w:rPr>
                <w:rFonts w:hint="eastAsia" w:ascii="宋体" w:hAnsi="宋体"/>
                <w:sz w:val="18"/>
                <w:szCs w:val="18"/>
              </w:rPr>
              <w:t>生物杀伤剂</w:t>
            </w:r>
          </w:p>
        </w:tc>
        <w:tc>
          <w:tcPr>
            <w:tcW w:w="6379" w:type="dxa"/>
            <w:vAlign w:val="center"/>
          </w:tcPr>
          <w:p>
            <w:pPr>
              <w:spacing w:line="240" w:lineRule="auto"/>
              <w:jc w:val="center"/>
              <w:rPr>
                <w:rFonts w:ascii="宋体" w:hAnsi="宋体"/>
                <w:sz w:val="18"/>
                <w:szCs w:val="18"/>
              </w:rPr>
            </w:pPr>
            <w:r>
              <w:rPr>
                <w:rFonts w:hint="eastAsia" w:ascii="宋体" w:hAnsi="宋体"/>
                <w:sz w:val="18"/>
                <w:szCs w:val="18"/>
              </w:rPr>
              <w:t>多菌灵、敌草隆、百菌清</w:t>
            </w:r>
          </w:p>
        </w:tc>
        <w:tc>
          <w:tcPr>
            <w:tcW w:w="1559" w:type="dxa"/>
            <w:vAlign w:val="center"/>
          </w:tcPr>
          <w:p>
            <w:pPr>
              <w:spacing w:line="240" w:lineRule="auto"/>
              <w:jc w:val="center"/>
              <w:rPr>
                <w:rFonts w:ascii="宋体" w:hAnsi="宋体"/>
                <w:sz w:val="18"/>
                <w:szCs w:val="18"/>
              </w:rPr>
            </w:pPr>
            <w:r>
              <w:rPr>
                <w:rFonts w:hint="eastAsia" w:ascii="Times New Roman" w:hAnsi="Times New Roman"/>
                <w:sz w:val="18"/>
                <w:szCs w:val="18"/>
              </w:rPr>
              <w:t>50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4" w:type="dxa"/>
            <w:vMerge w:val="continue"/>
            <w:vAlign w:val="center"/>
          </w:tcPr>
          <w:p>
            <w:pPr>
              <w:spacing w:line="240" w:lineRule="auto"/>
              <w:jc w:val="center"/>
              <w:rPr>
                <w:rFonts w:ascii="宋体" w:hAnsi="宋体"/>
                <w:sz w:val="18"/>
                <w:szCs w:val="18"/>
              </w:rPr>
            </w:pPr>
          </w:p>
        </w:tc>
        <w:tc>
          <w:tcPr>
            <w:tcW w:w="6379" w:type="dxa"/>
            <w:vAlign w:val="center"/>
          </w:tcPr>
          <w:p>
            <w:pPr>
              <w:spacing w:line="240" w:lineRule="auto"/>
              <w:jc w:val="center"/>
              <w:rPr>
                <w:rFonts w:ascii="宋体" w:hAnsi="宋体"/>
                <w:sz w:val="18"/>
                <w:szCs w:val="18"/>
              </w:rPr>
            </w:pPr>
            <w:r>
              <w:rPr>
                <w:rFonts w:hint="eastAsia" w:ascii="宋体" w:hAnsi="宋体"/>
                <w:sz w:val="18"/>
                <w:szCs w:val="18"/>
              </w:rPr>
              <w:t>涉及在体内验证试验中确认具有内分泌干扰的生物杀伤剂</w:t>
            </w:r>
          </w:p>
        </w:tc>
        <w:tc>
          <w:tcPr>
            <w:tcW w:w="1559" w:type="dxa"/>
            <w:vAlign w:val="center"/>
          </w:tcPr>
          <w:p>
            <w:pPr>
              <w:spacing w:line="240" w:lineRule="auto"/>
              <w:jc w:val="center"/>
              <w:rPr>
                <w:rFonts w:ascii="宋体" w:hAnsi="宋体"/>
                <w:sz w:val="18"/>
                <w:szCs w:val="18"/>
              </w:rPr>
            </w:pPr>
            <w:r>
              <w:rPr>
                <w:rFonts w:hint="eastAsia" w:ascii="Times New Roman" w:hAnsi="Times New Roman"/>
                <w:sz w:val="18"/>
                <w:szCs w:val="18"/>
              </w:rPr>
              <w:t>50 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4" w:type="dxa"/>
            <w:vMerge w:val="continue"/>
            <w:vAlign w:val="center"/>
          </w:tcPr>
          <w:p>
            <w:pPr>
              <w:spacing w:line="240" w:lineRule="auto"/>
              <w:jc w:val="center"/>
              <w:rPr>
                <w:rFonts w:ascii="宋体" w:hAnsi="宋体"/>
                <w:sz w:val="18"/>
                <w:szCs w:val="18"/>
              </w:rPr>
            </w:pPr>
          </w:p>
        </w:tc>
        <w:tc>
          <w:tcPr>
            <w:tcW w:w="6379" w:type="dxa"/>
            <w:vAlign w:val="center"/>
          </w:tcPr>
          <w:p>
            <w:pPr>
              <w:spacing w:line="240" w:lineRule="auto"/>
              <w:jc w:val="center"/>
              <w:rPr>
                <w:rFonts w:ascii="宋体" w:hAnsi="宋体"/>
                <w:sz w:val="18"/>
                <w:szCs w:val="18"/>
              </w:rPr>
            </w:pPr>
            <w:r>
              <w:rPr>
                <w:rFonts w:hint="eastAsia" w:ascii="宋体" w:hAnsi="宋体"/>
                <w:sz w:val="18"/>
                <w:szCs w:val="18"/>
              </w:rPr>
              <w:t>涉及致癌性、生殖细胞致突变性、生殖毒性中类别</w:t>
            </w:r>
            <w:r>
              <w:rPr>
                <w:rFonts w:hint="eastAsia" w:ascii="Times New Roman" w:hAnsi="Times New Roman"/>
                <w:sz w:val="18"/>
                <w:szCs w:val="18"/>
              </w:rPr>
              <w:t>1</w:t>
            </w:r>
            <w:r>
              <w:rPr>
                <w:rFonts w:hint="eastAsia" w:ascii="宋体" w:hAnsi="宋体"/>
                <w:sz w:val="18"/>
                <w:szCs w:val="18"/>
              </w:rPr>
              <w:t>的生物杀伤剂</w:t>
            </w:r>
          </w:p>
        </w:tc>
        <w:tc>
          <w:tcPr>
            <w:tcW w:w="1559" w:type="dxa"/>
            <w:vAlign w:val="center"/>
          </w:tcPr>
          <w:p>
            <w:pPr>
              <w:spacing w:line="240" w:lineRule="auto"/>
              <w:jc w:val="center"/>
              <w:rPr>
                <w:rFonts w:ascii="宋体" w:hAnsi="宋体"/>
                <w:sz w:val="18"/>
                <w:szCs w:val="18"/>
              </w:rPr>
            </w:pPr>
            <w:r>
              <w:rPr>
                <w:rFonts w:hint="eastAsia" w:ascii="Times New Roman" w:hAnsi="Times New Roman"/>
                <w:sz w:val="18"/>
                <w:szCs w:val="18"/>
              </w:rPr>
              <w:t>50 mg/kg</w:t>
            </w:r>
          </w:p>
        </w:tc>
      </w:tr>
    </w:tbl>
    <w:p>
      <w:pPr>
        <w:pStyle w:val="57"/>
        <w:ind w:firstLine="420"/>
      </w:pPr>
    </w:p>
    <w:bookmarkEnd w:id="45"/>
    <w:p>
      <w:pPr>
        <w:pStyle w:val="57"/>
        <w:ind w:firstLine="0" w:firstLineChars="0"/>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1"/>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3"/>
      <w:suff w:val="nothing"/>
      <w:lvlText w:val="%1.%2.%3　"/>
      <w:lvlJc w:val="left"/>
      <w:pPr>
        <w:ind w:left="709" w:firstLine="0"/>
      </w:pPr>
      <w:rPr>
        <w:rFonts w:hint="eastAsia" w:ascii="黑体" w:hAnsi="Times New Roman" w:eastAsia="黑体"/>
        <w:b w:val="0"/>
        <w:i w:val="0"/>
        <w:sz w:val="21"/>
      </w:rPr>
    </w:lvl>
    <w:lvl w:ilvl="3" w:tentative="0">
      <w:start w:val="1"/>
      <w:numFmt w:val="decimal"/>
      <w:pStyle w:val="234"/>
      <w:suff w:val="nothing"/>
      <w:lvlText w:val="%1.%2.%3.%4　"/>
      <w:lvlJc w:val="left"/>
      <w:pPr>
        <w:ind w:left="0" w:firstLine="0"/>
      </w:pPr>
      <w:rPr>
        <w:rFonts w:hint="eastAsia" w:ascii="黑体" w:hAnsi="Times New Roman" w:eastAsia="黑体"/>
        <w:b w:val="0"/>
        <w:i w:val="0"/>
        <w:sz w:val="21"/>
      </w:rPr>
    </w:lvl>
    <w:lvl w:ilvl="4" w:tentative="0">
      <w:start w:val="1"/>
      <w:numFmt w:val="decimal"/>
      <w:pStyle w:val="235"/>
      <w:suff w:val="nothing"/>
      <w:lvlText w:val="%1.%2.%3.%4.%5　"/>
      <w:lvlJc w:val="left"/>
      <w:pPr>
        <w:ind w:left="0" w:firstLine="0"/>
      </w:pPr>
      <w:rPr>
        <w:rFonts w:hint="eastAsia" w:ascii="黑体" w:hAnsi="Times New Roman" w:eastAsia="黑体"/>
        <w:b w:val="0"/>
        <w:i w:val="0"/>
        <w:sz w:val="21"/>
      </w:rPr>
    </w:lvl>
    <w:lvl w:ilvl="5" w:tentative="0">
      <w:start w:val="1"/>
      <w:numFmt w:val="decimal"/>
      <w:pStyle w:val="23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attachedTemplate r:id="rId1"/>
  <w:documentProtection w:edit="forms" w:enforcement="1" w:cryptProviderType="rsaFull" w:cryptAlgorithmClass="hash" w:cryptAlgorithmType="typeAny" w:cryptAlgorithmSid="4" w:cryptSpinCount="100000" w:hash="0BZtzBtcuWkZ+rnC/eryLD8qm74=" w:salt="Pjq6t7yIxVj3cQVr7Qrbxg=="/>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E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2DDE"/>
    <w:rsid w:val="000331D3"/>
    <w:rsid w:val="000342A1"/>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BA3"/>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1B02"/>
    <w:rsid w:val="00124E4F"/>
    <w:rsid w:val="001260B7"/>
    <w:rsid w:val="001265CB"/>
    <w:rsid w:val="001321C6"/>
    <w:rsid w:val="001325C4"/>
    <w:rsid w:val="00133010"/>
    <w:rsid w:val="001338EE"/>
    <w:rsid w:val="00133AAE"/>
    <w:rsid w:val="00135323"/>
    <w:rsid w:val="001356C4"/>
    <w:rsid w:val="00135708"/>
    <w:rsid w:val="0013753C"/>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5A0"/>
    <w:rsid w:val="0016342A"/>
    <w:rsid w:val="001642FA"/>
    <w:rsid w:val="001649EB"/>
    <w:rsid w:val="00164BAF"/>
    <w:rsid w:val="00164FA8"/>
    <w:rsid w:val="00165065"/>
    <w:rsid w:val="00165434"/>
    <w:rsid w:val="0016580B"/>
    <w:rsid w:val="00165F49"/>
    <w:rsid w:val="00166B88"/>
    <w:rsid w:val="001670D4"/>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5CBC"/>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6F69"/>
    <w:rsid w:val="001F77C7"/>
    <w:rsid w:val="00200183"/>
    <w:rsid w:val="00200333"/>
    <w:rsid w:val="0020107D"/>
    <w:rsid w:val="00202AA4"/>
    <w:rsid w:val="002031F7"/>
    <w:rsid w:val="002040E6"/>
    <w:rsid w:val="0020527B"/>
    <w:rsid w:val="00205F2C"/>
    <w:rsid w:val="00210B15"/>
    <w:rsid w:val="002142EA"/>
    <w:rsid w:val="00215ADD"/>
    <w:rsid w:val="00220021"/>
    <w:rsid w:val="002204BB"/>
    <w:rsid w:val="00221B79"/>
    <w:rsid w:val="00221C6B"/>
    <w:rsid w:val="002253A1"/>
    <w:rsid w:val="00225CF8"/>
    <w:rsid w:val="0022794E"/>
    <w:rsid w:val="00233D64"/>
    <w:rsid w:val="0023482A"/>
    <w:rsid w:val="002359CB"/>
    <w:rsid w:val="002373D2"/>
    <w:rsid w:val="00243540"/>
    <w:rsid w:val="0024497B"/>
    <w:rsid w:val="0024515B"/>
    <w:rsid w:val="00246021"/>
    <w:rsid w:val="0024666E"/>
    <w:rsid w:val="00247F52"/>
    <w:rsid w:val="00250B25"/>
    <w:rsid w:val="00250BBE"/>
    <w:rsid w:val="002515C2"/>
    <w:rsid w:val="0025194F"/>
    <w:rsid w:val="0026109C"/>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5E6"/>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451C"/>
    <w:rsid w:val="00360DCD"/>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398"/>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2D0"/>
    <w:rsid w:val="00400E72"/>
    <w:rsid w:val="00401400"/>
    <w:rsid w:val="00404869"/>
    <w:rsid w:val="00405884"/>
    <w:rsid w:val="004074CA"/>
    <w:rsid w:val="00407D39"/>
    <w:rsid w:val="00410327"/>
    <w:rsid w:val="0041477A"/>
    <w:rsid w:val="004167A3"/>
    <w:rsid w:val="00432DAA"/>
    <w:rsid w:val="00434305"/>
    <w:rsid w:val="00435DF7"/>
    <w:rsid w:val="0043741A"/>
    <w:rsid w:val="0044083F"/>
    <w:rsid w:val="00441AE7"/>
    <w:rsid w:val="00444FD7"/>
    <w:rsid w:val="00445574"/>
    <w:rsid w:val="004467FB"/>
    <w:rsid w:val="00451647"/>
    <w:rsid w:val="00452D6B"/>
    <w:rsid w:val="00454484"/>
    <w:rsid w:val="0045517B"/>
    <w:rsid w:val="00463B77"/>
    <w:rsid w:val="00463C7B"/>
    <w:rsid w:val="004644A6"/>
    <w:rsid w:val="004659BD"/>
    <w:rsid w:val="004702CE"/>
    <w:rsid w:val="00470775"/>
    <w:rsid w:val="004746B1"/>
    <w:rsid w:val="0047583F"/>
    <w:rsid w:val="00475DE8"/>
    <w:rsid w:val="00481C44"/>
    <w:rsid w:val="00483EC3"/>
    <w:rsid w:val="00484936"/>
    <w:rsid w:val="00485C89"/>
    <w:rsid w:val="00486BE3"/>
    <w:rsid w:val="004905E4"/>
    <w:rsid w:val="00490A89"/>
    <w:rsid w:val="00490AB4"/>
    <w:rsid w:val="00492F02"/>
    <w:rsid w:val="00493391"/>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6E7"/>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76702"/>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E77"/>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08BD"/>
    <w:rsid w:val="005E2335"/>
    <w:rsid w:val="005E281C"/>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77B"/>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88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547"/>
    <w:rsid w:val="006D3E96"/>
    <w:rsid w:val="006D4515"/>
    <w:rsid w:val="006D4BB1"/>
    <w:rsid w:val="006D6593"/>
    <w:rsid w:val="006E22BE"/>
    <w:rsid w:val="006F03A8"/>
    <w:rsid w:val="006F2ACA"/>
    <w:rsid w:val="006F2ADC"/>
    <w:rsid w:val="006F2BFE"/>
    <w:rsid w:val="006F31E9"/>
    <w:rsid w:val="006F6284"/>
    <w:rsid w:val="007002C5"/>
    <w:rsid w:val="00704387"/>
    <w:rsid w:val="00707669"/>
    <w:rsid w:val="00711CBA"/>
    <w:rsid w:val="00711FB5"/>
    <w:rsid w:val="007129C6"/>
    <w:rsid w:val="00712A01"/>
    <w:rsid w:val="00714F58"/>
    <w:rsid w:val="00716493"/>
    <w:rsid w:val="00722FBF"/>
    <w:rsid w:val="00722FC2"/>
    <w:rsid w:val="00724E1B"/>
    <w:rsid w:val="00725949"/>
    <w:rsid w:val="00727FA2"/>
    <w:rsid w:val="007322D9"/>
    <w:rsid w:val="00732BC0"/>
    <w:rsid w:val="0073720F"/>
    <w:rsid w:val="00737796"/>
    <w:rsid w:val="0074165C"/>
    <w:rsid w:val="00741C5C"/>
    <w:rsid w:val="00742C35"/>
    <w:rsid w:val="007432CA"/>
    <w:rsid w:val="007439EB"/>
    <w:rsid w:val="00743CB4"/>
    <w:rsid w:val="00743F0A"/>
    <w:rsid w:val="007444E8"/>
    <w:rsid w:val="0074548E"/>
    <w:rsid w:val="00745773"/>
    <w:rsid w:val="00746800"/>
    <w:rsid w:val="007501A8"/>
    <w:rsid w:val="00750D61"/>
    <w:rsid w:val="00750EE1"/>
    <w:rsid w:val="00752B4D"/>
    <w:rsid w:val="007532FC"/>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3022"/>
    <w:rsid w:val="007C4593"/>
    <w:rsid w:val="007C5309"/>
    <w:rsid w:val="007C6069"/>
    <w:rsid w:val="007C7CBC"/>
    <w:rsid w:val="007D06C4"/>
    <w:rsid w:val="007D1352"/>
    <w:rsid w:val="007D2508"/>
    <w:rsid w:val="007D346A"/>
    <w:rsid w:val="007D6518"/>
    <w:rsid w:val="007D76BD"/>
    <w:rsid w:val="007E0BF1"/>
    <w:rsid w:val="007E7F88"/>
    <w:rsid w:val="007F0ED8"/>
    <w:rsid w:val="007F0F63"/>
    <w:rsid w:val="007F3E4D"/>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1F7C"/>
    <w:rsid w:val="008A57E6"/>
    <w:rsid w:val="008A6F81"/>
    <w:rsid w:val="008A7256"/>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5B"/>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315"/>
    <w:rsid w:val="00A2271D"/>
    <w:rsid w:val="00A237D5"/>
    <w:rsid w:val="00A30324"/>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5957"/>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3098"/>
    <w:rsid w:val="00AF47C5"/>
    <w:rsid w:val="00AF5398"/>
    <w:rsid w:val="00B049AF"/>
    <w:rsid w:val="00B07242"/>
    <w:rsid w:val="00B100CA"/>
    <w:rsid w:val="00B10534"/>
    <w:rsid w:val="00B10689"/>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5E65"/>
    <w:rsid w:val="00B56FBE"/>
    <w:rsid w:val="00B60ACF"/>
    <w:rsid w:val="00B62B58"/>
    <w:rsid w:val="00B65149"/>
    <w:rsid w:val="00B65355"/>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5A9B"/>
    <w:rsid w:val="00C103E5"/>
    <w:rsid w:val="00C13319"/>
    <w:rsid w:val="00C13EE9"/>
    <w:rsid w:val="00C21540"/>
    <w:rsid w:val="00C21906"/>
    <w:rsid w:val="00C21BFA"/>
    <w:rsid w:val="00C24C8D"/>
    <w:rsid w:val="00C25FE2"/>
    <w:rsid w:val="00C26B53"/>
    <w:rsid w:val="00C279B2"/>
    <w:rsid w:val="00C3280E"/>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092D"/>
    <w:rsid w:val="00CF155A"/>
    <w:rsid w:val="00CF2947"/>
    <w:rsid w:val="00CF686F"/>
    <w:rsid w:val="00CF6E60"/>
    <w:rsid w:val="00CF7BCA"/>
    <w:rsid w:val="00D008FD"/>
    <w:rsid w:val="00D0321C"/>
    <w:rsid w:val="00D035EC"/>
    <w:rsid w:val="00D06AB1"/>
    <w:rsid w:val="00D06FC1"/>
    <w:rsid w:val="00D072ED"/>
    <w:rsid w:val="00D07A16"/>
    <w:rsid w:val="00D104A1"/>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1F32"/>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07AFB"/>
    <w:rsid w:val="00E11A85"/>
    <w:rsid w:val="00E12495"/>
    <w:rsid w:val="00E15CCD"/>
    <w:rsid w:val="00E202EF"/>
    <w:rsid w:val="00E210B5"/>
    <w:rsid w:val="00E21287"/>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203C"/>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97271"/>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06C1"/>
    <w:rsid w:val="00FE1FBE"/>
    <w:rsid w:val="00FE3901"/>
    <w:rsid w:val="00FE39D3"/>
    <w:rsid w:val="00FE4BCE"/>
    <w:rsid w:val="00FE54AE"/>
    <w:rsid w:val="00FE576A"/>
    <w:rsid w:val="00FE7E79"/>
    <w:rsid w:val="00FF38C1"/>
    <w:rsid w:val="00FF3E7D"/>
    <w:rsid w:val="00FF5B99"/>
    <w:rsid w:val="00FF730C"/>
    <w:rsid w:val="00FF73F4"/>
    <w:rsid w:val="00FF7CE4"/>
    <w:rsid w:val="00FF7E39"/>
    <w:rsid w:val="0DEA7276"/>
    <w:rsid w:val="127214F0"/>
    <w:rsid w:val="71365D4B"/>
    <w:rsid w:val="73FF2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Body Text"/>
    <w:basedOn w:val="1"/>
    <w:link w:val="87"/>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3"/>
    <w:qFormat/>
    <w:uiPriority w:val="0"/>
    <w:rPr>
      <w:b/>
      <w:bCs/>
      <w:kern w:val="44"/>
      <w:sz w:val="44"/>
      <w:szCs w:val="44"/>
    </w:rPr>
  </w:style>
  <w:style w:type="character" w:customStyle="1" w:styleId="36">
    <w:name w:val="标题 2 Char"/>
    <w:link w:val="4"/>
    <w:qFormat/>
    <w:uiPriority w:val="0"/>
    <w:rPr>
      <w:rFonts w:ascii="Arial" w:hAnsi="Arial" w:eastAsia="黑体"/>
      <w:b/>
      <w:bCs/>
      <w:kern w:val="2"/>
      <w:sz w:val="32"/>
      <w:szCs w:val="32"/>
    </w:rPr>
  </w:style>
  <w:style w:type="character" w:customStyle="1" w:styleId="37">
    <w:name w:val="标题 3 Char"/>
    <w:link w:val="5"/>
    <w:qFormat/>
    <w:uiPriority w:val="0"/>
    <w:rPr>
      <w:b/>
      <w:bCs/>
      <w:kern w:val="2"/>
      <w:sz w:val="32"/>
      <w:szCs w:val="32"/>
    </w:rPr>
  </w:style>
  <w:style w:type="character" w:customStyle="1" w:styleId="38">
    <w:name w:val="标题 4 Char"/>
    <w:link w:val="6"/>
    <w:qFormat/>
    <w:uiPriority w:val="0"/>
    <w:rPr>
      <w:rFonts w:ascii="Arial" w:hAnsi="Arial" w:eastAsia="黑体"/>
      <w:b/>
      <w:bCs/>
      <w:kern w:val="2"/>
      <w:sz w:val="28"/>
      <w:szCs w:val="28"/>
    </w:rPr>
  </w:style>
  <w:style w:type="character" w:customStyle="1" w:styleId="39">
    <w:name w:val="标题 5 Char"/>
    <w:link w:val="7"/>
    <w:qFormat/>
    <w:uiPriority w:val="0"/>
    <w:rPr>
      <w:b/>
      <w:bCs/>
      <w:kern w:val="2"/>
      <w:sz w:val="28"/>
      <w:szCs w:val="28"/>
    </w:rPr>
  </w:style>
  <w:style w:type="character" w:customStyle="1" w:styleId="40">
    <w:name w:val="标题 6 Char"/>
    <w:link w:val="8"/>
    <w:qFormat/>
    <w:uiPriority w:val="0"/>
    <w:rPr>
      <w:rFonts w:ascii="Arial" w:hAnsi="Arial" w:eastAsia="黑体"/>
      <w:b/>
      <w:bCs/>
      <w:kern w:val="2"/>
      <w:sz w:val="24"/>
      <w:szCs w:val="24"/>
    </w:rPr>
  </w:style>
  <w:style w:type="character" w:customStyle="1" w:styleId="41">
    <w:name w:val="标题 7 Char"/>
    <w:link w:val="9"/>
    <w:qFormat/>
    <w:uiPriority w:val="0"/>
    <w:rPr>
      <w:b/>
      <w:bCs/>
      <w:kern w:val="2"/>
      <w:sz w:val="24"/>
      <w:szCs w:val="24"/>
    </w:rPr>
  </w:style>
  <w:style w:type="character" w:customStyle="1" w:styleId="42">
    <w:name w:val="标题 8 Char"/>
    <w:link w:val="10"/>
    <w:qFormat/>
    <w:uiPriority w:val="0"/>
    <w:rPr>
      <w:rFonts w:ascii="Arial" w:hAnsi="Arial" w:eastAsia="黑体"/>
      <w:kern w:val="2"/>
      <w:sz w:val="24"/>
      <w:szCs w:val="24"/>
    </w:rPr>
  </w:style>
  <w:style w:type="character" w:customStyle="1" w:styleId="43">
    <w:name w:val="标题 9 Char"/>
    <w:link w:val="11"/>
    <w:qFormat/>
    <w:uiPriority w:val="0"/>
    <w:rPr>
      <w:rFonts w:ascii="Arial" w:hAnsi="Arial" w:eastAsia="黑体"/>
      <w:kern w:val="2"/>
      <w:sz w:val="21"/>
      <w:szCs w:val="21"/>
    </w:rPr>
  </w:style>
  <w:style w:type="character" w:customStyle="1" w:styleId="44">
    <w:name w:val="页眉 Char"/>
    <w:link w:val="19"/>
    <w:qFormat/>
    <w:uiPriority w:val="99"/>
    <w:rPr>
      <w:kern w:val="2"/>
      <w:sz w:val="18"/>
      <w:szCs w:val="18"/>
    </w:rPr>
  </w:style>
  <w:style w:type="character" w:customStyle="1" w:styleId="45">
    <w:name w:val="页脚 Char"/>
    <w:link w:val="18"/>
    <w:qFormat/>
    <w:uiPriority w:val="99"/>
    <w:rPr>
      <w:rFonts w:ascii="宋体"/>
      <w:kern w:val="2"/>
      <w:sz w:val="18"/>
      <w:szCs w:val="18"/>
    </w:rPr>
  </w:style>
  <w:style w:type="character" w:customStyle="1" w:styleId="46">
    <w:name w:val="批注框文本 Char"/>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kern w:val="2"/>
      <w:sz w:val="21"/>
      <w:szCs w:val="21"/>
    </w:rPr>
  </w:style>
  <w:style w:type="character" w:customStyle="1" w:styleId="49">
    <w:name w:val="标题 Char"/>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一级条标题"/>
    <w:next w:val="1"/>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2">
    <w:name w:val="章标题"/>
    <w:next w:val="1"/>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3">
    <w:name w:val="二级条标题"/>
    <w:basedOn w:val="231"/>
    <w:next w:val="1"/>
    <w:qFormat/>
    <w:uiPriority w:val="0"/>
    <w:pPr>
      <w:numPr>
        <w:ilvl w:val="2"/>
      </w:numPr>
      <w:spacing w:before="50" w:after="50"/>
      <w:ind w:left="426"/>
      <w:outlineLvl w:val="3"/>
    </w:pPr>
  </w:style>
  <w:style w:type="paragraph" w:customStyle="1" w:styleId="234">
    <w:name w:val="三级条标题"/>
    <w:basedOn w:val="233"/>
    <w:next w:val="1"/>
    <w:qFormat/>
    <w:uiPriority w:val="0"/>
    <w:pPr>
      <w:numPr>
        <w:ilvl w:val="3"/>
      </w:numPr>
      <w:outlineLvl w:val="4"/>
    </w:pPr>
  </w:style>
  <w:style w:type="paragraph" w:customStyle="1" w:styleId="235">
    <w:name w:val="四级条标题"/>
    <w:basedOn w:val="234"/>
    <w:next w:val="1"/>
    <w:qFormat/>
    <w:uiPriority w:val="0"/>
    <w:pPr>
      <w:numPr>
        <w:ilvl w:val="4"/>
      </w:numPr>
      <w:outlineLvl w:val="5"/>
    </w:pPr>
  </w:style>
  <w:style w:type="paragraph" w:customStyle="1" w:styleId="236">
    <w:name w:val="五级条标题"/>
    <w:basedOn w:val="235"/>
    <w:next w:val="1"/>
    <w:qFormat/>
    <w:uiPriority w:val="0"/>
    <w:pPr>
      <w:numPr>
        <w:ilvl w:val="5"/>
      </w:numPr>
      <w:outlineLvl w:val="6"/>
    </w:pPr>
  </w:style>
  <w:style w:type="table" w:customStyle="1" w:styleId="237">
    <w:name w:val="网格型1"/>
    <w:basedOn w:val="2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11"/>
    <w:basedOn w:val="2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111"/>
    <w:basedOn w:val="2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35CD1C517C54C088A41242842D0EE29"/>
        <w:style w:val=""/>
        <w:category>
          <w:name w:val="常规"/>
          <w:gallery w:val="placeholder"/>
        </w:category>
        <w:types>
          <w:type w:val="bbPlcHdr"/>
        </w:types>
        <w:behaviors>
          <w:behavior w:val="content"/>
        </w:behaviors>
        <w:description w:val=""/>
        <w:guid w:val="{F9E4D07D-7A5E-477F-9358-6F607DB5D03E}"/>
      </w:docPartPr>
      <w:docPartBody>
        <w:p>
          <w:pPr>
            <w:pStyle w:val="5"/>
          </w:pPr>
          <w:r>
            <w:rPr>
              <w:rStyle w:val="4"/>
              <w:rFonts w:hint="eastAsia"/>
            </w:rPr>
            <w:t>单击或点击此处输入文字。</w:t>
          </w:r>
        </w:p>
      </w:docPartBody>
    </w:docPart>
    <w:docPart>
      <w:docPartPr>
        <w:name w:val="C3D6775475E741BD8AF11FA1ACF3C965"/>
        <w:style w:val=""/>
        <w:category>
          <w:name w:val="常规"/>
          <w:gallery w:val="placeholder"/>
        </w:category>
        <w:types>
          <w:type w:val="bbPlcHdr"/>
        </w:types>
        <w:behaviors>
          <w:behavior w:val="content"/>
        </w:behaviors>
        <w:description w:val=""/>
        <w:guid w:val="{AB3FB966-CBD4-43EF-A690-27BDE1C415C7}"/>
      </w:docPartPr>
      <w:docPartBody>
        <w:p>
          <w:pPr>
            <w:pStyle w:val="6"/>
          </w:pPr>
          <w:r>
            <w:rPr>
              <w:rStyle w:val="4"/>
              <w:rFonts w:hint="eastAsia"/>
            </w:rPr>
            <w:t>选择一项。</w:t>
          </w:r>
        </w:p>
      </w:docPartBody>
    </w:docPart>
    <w:docPart>
      <w:docPartPr>
        <w:name w:val="56E61D1C871B4DB2A43FAE7C8AC9E4A2"/>
        <w:style w:val=""/>
        <w:category>
          <w:name w:val="常规"/>
          <w:gallery w:val="placeholder"/>
        </w:category>
        <w:types>
          <w:type w:val="bbPlcHdr"/>
        </w:types>
        <w:behaviors>
          <w:behavior w:val="content"/>
        </w:behaviors>
        <w:description w:val=""/>
        <w:guid w:val="{4372C806-02FE-4AF2-9030-486CFBD87D8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2A5"/>
    <w:rsid w:val="00026B9B"/>
    <w:rsid w:val="00204896"/>
    <w:rsid w:val="00454700"/>
    <w:rsid w:val="00630631"/>
    <w:rsid w:val="006B5510"/>
    <w:rsid w:val="009712A5"/>
    <w:rsid w:val="00CD0A33"/>
    <w:rsid w:val="00DF21B4"/>
    <w:rsid w:val="00E736F0"/>
    <w:rsid w:val="00F61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35CD1C517C54C088A41242842D0EE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3D6775475E741BD8AF11FA1ACF3C9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6E61D1C871B4DB2A43FAE7C8AC9E4A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2924</Words>
  <Characters>3613</Characters>
  <Lines>2154</Lines>
  <Paragraphs>1076</Paragraphs>
  <TotalTime>2</TotalTime>
  <ScaleCrop>false</ScaleCrop>
  <LinksUpToDate>false</LinksUpToDate>
  <CharactersWithSpaces>3744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2024-06-28T15:10:00Z</dcterms:created>
  <dc:creator>Administrator</dc:creator>
  <dc:description>&lt;config cover="true" show_menu="true" version="1.0.0" doctype="SDKXY"&gt;_x000d_
&lt;/config&gt;</dc:description>
  <cp:lastModifiedBy>lenovo</cp:lastModifiedBy>
  <cp:lastPrinted>2021-02-02T16:22:00Z</cp:lastPrinted>
  <dcterms:modified xsi:type="dcterms:W3CDTF">2025-03-31T16:40:56Z</dcterms:modified>
  <dc:title>团体标准</dc:title>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2052-11.8.2.10125</vt:lpwstr>
  </property>
  <property fmtid="{D5CDD505-2E9C-101B-9397-08002B2CF9AE}" pid="15" name="KSOTemplateDocerSaveRecord">
    <vt:lpwstr>eyJoZGlkIjoiOGI3YTg0Y2FhMjkzNDEzNGMyNzdiNjZhZTVmZjQzZDEiLCJ1c2VySWQiOiIyODE0NDc3MTkifQ==</vt:lpwstr>
  </property>
  <property fmtid="{D5CDD505-2E9C-101B-9397-08002B2CF9AE}" pid="16" name="ICV">
    <vt:lpwstr>082EC9E7BA664BE3BC163D467A553A20_12</vt:lpwstr>
  </property>
</Properties>
</file>