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1B88F9">
      <w:pPr>
        <w:ind w:firstLine="562" w:firstLineChars="200"/>
        <w:jc w:val="center"/>
        <w:rPr>
          <w:rFonts w:cs="Times New Roman"/>
          <w:b/>
          <w:bCs/>
          <w:kern w:val="44"/>
          <w:sz w:val="28"/>
          <w:szCs w:val="44"/>
        </w:rPr>
      </w:pPr>
    </w:p>
    <w:p w14:paraId="2A628C74">
      <w:pPr>
        <w:spacing w:line="480" w:lineRule="auto"/>
        <w:jc w:val="left"/>
        <w:rPr>
          <w:rFonts w:eastAsia="黑体" w:cs="Times New Roman"/>
          <w:sz w:val="30"/>
          <w:szCs w:val="30"/>
        </w:rPr>
      </w:pPr>
      <w:r>
        <w:rPr>
          <w:rFonts w:cs="Times New Roman"/>
          <w:szCs w:val="22"/>
          <w:lang w:bidi="ar"/>
        </w:rPr>
        <w:drawing>
          <wp:inline distT="0" distB="0" distL="114300" distR="114300">
            <wp:extent cx="1847850" cy="9271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847850" cy="927100"/>
                    </a:xfrm>
                    <a:prstGeom prst="rect">
                      <a:avLst/>
                    </a:prstGeom>
                    <a:noFill/>
                    <a:ln>
                      <a:noFill/>
                    </a:ln>
                  </pic:spPr>
                </pic:pic>
              </a:graphicData>
            </a:graphic>
          </wp:inline>
        </w:drawing>
      </w:r>
      <w:r>
        <w:rPr>
          <w:rFonts w:eastAsia="黑体" w:cs="Times New Roman"/>
          <w:sz w:val="30"/>
          <w:szCs w:val="30"/>
          <w:lang w:bidi="ar"/>
        </w:rPr>
        <w:t xml:space="preserve">              T/CECS  XXX-202X</w:t>
      </w:r>
    </w:p>
    <w:p w14:paraId="21B3095F">
      <w:pPr>
        <w:spacing w:line="480" w:lineRule="auto"/>
        <w:ind w:firstLine="600" w:firstLineChars="200"/>
        <w:jc w:val="right"/>
        <w:rPr>
          <w:rFonts w:eastAsia="黑体" w:cs="Times New Roman"/>
          <w:sz w:val="30"/>
          <w:szCs w:val="30"/>
        </w:rPr>
      </w:pPr>
    </w:p>
    <w:p w14:paraId="6C7B4312">
      <w:pPr>
        <w:spacing w:before="156" w:beforeLines="50" w:line="240" w:lineRule="auto"/>
        <w:ind w:right="-480" w:rightChars="-200" w:firstLine="480" w:firstLineChars="200"/>
        <w:jc w:val="center"/>
        <w:rPr>
          <w:rFonts w:eastAsia="黑体" w:cs="Times New Roman"/>
          <w:szCs w:val="21"/>
        </w:rPr>
      </w:pPr>
      <w:r>
        <w:rPr>
          <w:rFonts w:ascii="Calibri" w:hAnsi="Calibri" w:cs="Times New Roman"/>
          <w:szCs w:val="22"/>
          <w:lang w:bidi="ar"/>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514340" cy="0"/>
                <wp:effectExtent l="0" t="4445" r="0" b="5080"/>
                <wp:wrapNone/>
                <wp:docPr id="5" name="直接连接符 33"/>
                <wp:cNvGraphicFramePr/>
                <a:graphic xmlns:a="http://schemas.openxmlformats.org/drawingml/2006/main">
                  <a:graphicData uri="http://schemas.microsoft.com/office/word/2010/wordprocessingShape">
                    <wps:wsp>
                      <wps:cNvCnPr/>
                      <wps:spPr>
                        <a:xfrm>
                          <a:off x="0" y="0"/>
                          <a:ext cx="551434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33" o:spid="_x0000_s1026" o:spt="20" style="position:absolute;left:0pt;margin-left:0pt;margin-top:0pt;height:0pt;width:434.2pt;z-index:251660288;mso-width-relative:page;mso-height-relative:page;" filled="f" stroked="t" coordsize="21600,21600" o:gfxdata="UEsDBAoAAAAAAIdO4kAAAAAAAAAAAAAAAAAEAAAAZHJzL1BLAwQUAAAACACHTuJAt0CrZ9IAAAAC&#10;AQAADwAAAGRycy9kb3ducmV2LnhtbE2PzU7DMBCE70i8g7VIXCpqt6AqCnF6AHLjQiniuo23SdR4&#10;ncbuDzw9Wy5wGWk0q5lvi+XZ9+pIY+wCW5hNDSjiOriOGwvr9+ouAxUTssM+MFn4ogjL8vqqwNyF&#10;E7/RcZUaJSUcc7TQpjTkWse6JY9xGgZiybZh9JjEjo12I56k3Pd6bsxCe+xYFloc6Kmlerc6eAux&#10;+qB99T2pJ+bzvgk03z+/vqC1tzcz8wgq0Tn9HcMFX9ChFKZNOLCLqrcgj6RflSxbZA+gNhery0L/&#10;Ry9/AFBLAwQUAAAACACHTuJAzidZI+0BAADZAwAADgAAAGRycy9lMm9Eb2MueG1srVNLjhMxEN0j&#10;cQfLe9L5TBC00pnFhGGDIBJwgIrtTlvyTy5POrkEF0BiByuW7LnNDMeg7M5kYNhkQS/c5XLVq3rP&#10;5cXl3hq2UxG1dw2fjMacKSe81G7b8I8frp+94AwTOAnGO9Xwg0J+uXz6ZNGHWk19541UkRGIw7oP&#10;De9SCnVVoeiUBRz5oBwdtj5aSLSN20pG6Andmmo6Hj+veh9liF4oRPKuhkN+RIznAPq21UKtvLix&#10;yqUBNSoDiShhpwPyZem2bZVI79oWVWKm4cQ0lZWKkL3Ja7VcQL2NEDotji3AOS084mRBOyp6glpB&#10;AnYT9T9QVovo0bdpJLytBiJFEWIxGT/S5n0HQRUuJDWGk+j4/2DF2906Mi0bPufMgaULv/v84/bT&#10;118/v9B69/0bm82ySn3AmoKv3DoedxjWMVPet9HmP5Fh+6Ls4aSs2icmyDmfTy5mFyS6uD+rHhJD&#10;xPRaecuy0XCjXSYNNezeYKJiFHofkt3Gsb7hL+dT6lgATWBLN0+mDcQC3bbkojdaXmtjcgbG7ebK&#10;RLaDPAXly5QI96+wXGQF2A1x5WiYj06BfOUkS4dA+jh6Fjy3YJXkzCh6RdkiQKgTaHNOJJU2jjrI&#10;qg46Zmvj5aHIW/x046XH43TmkfpzX7IfXuT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dAq2fS&#10;AAAAAgEAAA8AAAAAAAAAAQAgAAAAIgAAAGRycy9kb3ducmV2LnhtbFBLAQIUABQAAAAIAIdO4kDO&#10;J1kj7QEAANkDAAAOAAAAAAAAAAEAIAAAACEBAABkcnMvZTJvRG9jLnhtbFBLBQYAAAAABgAGAFkB&#10;AACABQAAAAA=&#10;">
                <v:fill on="f" focussize="0,0"/>
                <v:stroke color="#000000" joinstyle="round"/>
                <v:imagedata o:title=""/>
                <o:lock v:ext="edit" aspectratio="f"/>
              </v:line>
            </w:pict>
          </mc:Fallback>
        </mc:AlternateContent>
      </w:r>
    </w:p>
    <w:p w14:paraId="4FC90745">
      <w:pPr>
        <w:ind w:firstLine="562" w:firstLineChars="200"/>
        <w:jc w:val="center"/>
        <w:rPr>
          <w:rFonts w:cs="Times New Roman"/>
          <w:b/>
          <w:bCs/>
          <w:kern w:val="44"/>
          <w:sz w:val="28"/>
          <w:szCs w:val="44"/>
        </w:rPr>
      </w:pPr>
    </w:p>
    <w:p w14:paraId="6E28B41C">
      <w:pPr>
        <w:spacing w:before="156" w:beforeLines="50" w:line="240" w:lineRule="auto"/>
        <w:ind w:right="-480" w:rightChars="-200"/>
        <w:jc w:val="center"/>
        <w:rPr>
          <w:rFonts w:eastAsia="黑体" w:cs="Times New Roman"/>
          <w:sz w:val="28"/>
          <w:szCs w:val="28"/>
        </w:rPr>
      </w:pPr>
      <w:r>
        <w:rPr>
          <w:rFonts w:hint="eastAsia" w:eastAsia="黑体" w:cs="Times New Roman"/>
          <w:sz w:val="28"/>
          <w:szCs w:val="28"/>
          <w:lang w:bidi="ar"/>
        </w:rPr>
        <w:t>中国工程建设标准化协会标准</w:t>
      </w:r>
    </w:p>
    <w:p w14:paraId="2A929268">
      <w:pPr>
        <w:jc w:val="center"/>
        <w:rPr>
          <w:rFonts w:cs="Times New Roman"/>
          <w:b/>
          <w:bCs/>
          <w:kern w:val="44"/>
          <w:sz w:val="28"/>
          <w:szCs w:val="44"/>
        </w:rPr>
      </w:pPr>
    </w:p>
    <w:p w14:paraId="5407598D">
      <w:pPr>
        <w:jc w:val="center"/>
        <w:rPr>
          <w:rFonts w:cs="Times New Roman"/>
          <w:b/>
          <w:bCs/>
          <w:kern w:val="44"/>
          <w:sz w:val="28"/>
          <w:szCs w:val="44"/>
        </w:rPr>
      </w:pPr>
    </w:p>
    <w:p w14:paraId="2FB1B83E">
      <w:pPr>
        <w:spacing w:line="240" w:lineRule="auto"/>
        <w:jc w:val="center"/>
        <w:rPr>
          <w:rFonts w:hint="eastAsia" w:eastAsia="黑体" w:cs="Times New Roman"/>
          <w:bCs/>
          <w:kern w:val="44"/>
          <w:sz w:val="38"/>
          <w:szCs w:val="38"/>
          <w:lang w:bidi="ar"/>
        </w:rPr>
      </w:pPr>
      <w:r>
        <w:rPr>
          <w:rFonts w:hint="eastAsia" w:eastAsia="黑体" w:cs="Times New Roman"/>
          <w:bCs/>
          <w:kern w:val="44"/>
          <w:sz w:val="38"/>
          <w:szCs w:val="38"/>
          <w:lang w:bidi="ar"/>
        </w:rPr>
        <w:t>板边不出筋钢筋混凝土叠合板技术规程</w:t>
      </w:r>
    </w:p>
    <w:p w14:paraId="03A7D4F7">
      <w:pPr>
        <w:spacing w:line="240" w:lineRule="auto"/>
        <w:jc w:val="center"/>
        <w:rPr>
          <w:rFonts w:hint="eastAsia" w:eastAsia="黑体" w:cs="Times New Roman"/>
          <w:bCs/>
          <w:kern w:val="44"/>
          <w:sz w:val="38"/>
          <w:szCs w:val="38"/>
          <w:lang w:bidi="ar"/>
        </w:rPr>
      </w:pPr>
      <w:bookmarkStart w:id="56" w:name="_GoBack"/>
      <w:bookmarkEnd w:id="56"/>
    </w:p>
    <w:p w14:paraId="4F656482">
      <w:pPr>
        <w:spacing w:line="240" w:lineRule="auto"/>
        <w:jc w:val="center"/>
        <w:rPr>
          <w:rFonts w:cs="Times New Roman"/>
          <w:bCs/>
          <w:kern w:val="44"/>
          <w:sz w:val="30"/>
          <w:szCs w:val="30"/>
          <w:lang w:bidi="ar"/>
        </w:rPr>
      </w:pPr>
      <w:r>
        <w:rPr>
          <w:rFonts w:cs="Times New Roman"/>
          <w:bCs/>
          <w:kern w:val="44"/>
          <w:sz w:val="30"/>
          <w:szCs w:val="30"/>
          <w:lang w:bidi="ar"/>
        </w:rPr>
        <w:t>T</w:t>
      </w:r>
      <w:r>
        <w:rPr>
          <w:rFonts w:hint="eastAsia" w:cs="Times New Roman"/>
          <w:bCs/>
          <w:kern w:val="44"/>
          <w:sz w:val="30"/>
          <w:szCs w:val="30"/>
          <w:lang w:bidi="ar"/>
        </w:rPr>
        <w:t xml:space="preserve">echnical specification for reinforced concrete composite slabs </w:t>
      </w:r>
    </w:p>
    <w:p w14:paraId="7FCDBCEB">
      <w:pPr>
        <w:spacing w:line="240" w:lineRule="auto"/>
        <w:jc w:val="center"/>
        <w:rPr>
          <w:rFonts w:eastAsia="黑体" w:cs="Times New Roman"/>
          <w:sz w:val="30"/>
          <w:szCs w:val="30"/>
          <w:lang w:bidi="ar"/>
        </w:rPr>
      </w:pPr>
      <w:r>
        <w:rPr>
          <w:rFonts w:hint="eastAsia" w:cs="Times New Roman"/>
          <w:bCs/>
          <w:kern w:val="44"/>
          <w:sz w:val="30"/>
          <w:szCs w:val="30"/>
          <w:lang w:bidi="ar"/>
        </w:rPr>
        <w:t xml:space="preserve">without extended bars on the sides  </w:t>
      </w:r>
      <w:r>
        <w:rPr>
          <w:rFonts w:hint="eastAsia" w:cs="Times New Roman"/>
          <w:bCs/>
          <w:kern w:val="44"/>
          <w:sz w:val="30"/>
          <w:szCs w:val="30"/>
          <w:lang w:bidi="ar"/>
        </w:rPr>
        <w:br w:type="textWrapping"/>
      </w:r>
      <w:r>
        <w:rPr>
          <w:rFonts w:hint="eastAsia" w:eastAsia="黑体" w:cs="Times New Roman"/>
          <w:sz w:val="30"/>
          <w:szCs w:val="30"/>
          <w:lang w:bidi="ar"/>
        </w:rPr>
        <w:t>（征求意见稿）</w:t>
      </w:r>
    </w:p>
    <w:p w14:paraId="12D58094">
      <w:pPr>
        <w:spacing w:line="240" w:lineRule="auto"/>
        <w:jc w:val="center"/>
        <w:rPr>
          <w:rFonts w:eastAsia="黑体" w:cs="Times New Roman"/>
          <w:sz w:val="30"/>
          <w:szCs w:val="30"/>
          <w:lang w:bidi="ar"/>
        </w:rPr>
      </w:pPr>
    </w:p>
    <w:p w14:paraId="104BB68A">
      <w:pPr>
        <w:widowControl/>
        <w:jc w:val="center"/>
        <w:rPr>
          <w:rFonts w:hint="eastAsia" w:ascii="黑体" w:hAnsi="宋体" w:eastAsia="黑体" w:cs="黑体"/>
          <w:b/>
          <w:bCs/>
          <w:color w:val="002060"/>
          <w:kern w:val="0"/>
          <w:lang w:bidi="ar"/>
        </w:rPr>
      </w:pPr>
    </w:p>
    <w:p w14:paraId="43A68740">
      <w:pPr>
        <w:spacing w:line="240" w:lineRule="auto"/>
        <w:jc w:val="center"/>
        <w:rPr>
          <w:rFonts w:eastAsia="黑体" w:cs="Times New Roman"/>
          <w:sz w:val="30"/>
          <w:szCs w:val="30"/>
          <w:lang w:bidi="ar"/>
        </w:rPr>
      </w:pPr>
    </w:p>
    <w:p w14:paraId="669F8827">
      <w:pPr>
        <w:ind w:firstLine="562" w:firstLineChars="200"/>
        <w:jc w:val="center"/>
        <w:rPr>
          <w:rFonts w:cs="Times New Roman"/>
          <w:b/>
          <w:bCs/>
          <w:kern w:val="44"/>
          <w:sz w:val="28"/>
          <w:szCs w:val="44"/>
        </w:rPr>
      </w:pPr>
    </w:p>
    <w:p w14:paraId="11371B36">
      <w:pPr>
        <w:ind w:firstLine="562" w:firstLineChars="200"/>
        <w:jc w:val="center"/>
        <w:rPr>
          <w:rFonts w:cs="Times New Roman"/>
          <w:b/>
          <w:bCs/>
          <w:kern w:val="44"/>
          <w:sz w:val="28"/>
          <w:szCs w:val="44"/>
        </w:rPr>
      </w:pPr>
    </w:p>
    <w:p w14:paraId="0A1B8E55">
      <w:pPr>
        <w:ind w:firstLine="562" w:firstLineChars="200"/>
        <w:jc w:val="center"/>
        <w:rPr>
          <w:rFonts w:cs="Times New Roman"/>
          <w:b/>
          <w:bCs/>
          <w:kern w:val="44"/>
          <w:sz w:val="28"/>
          <w:szCs w:val="44"/>
        </w:rPr>
      </w:pPr>
    </w:p>
    <w:p w14:paraId="5E3010B1">
      <w:pPr>
        <w:ind w:firstLine="562" w:firstLineChars="200"/>
        <w:jc w:val="center"/>
        <w:rPr>
          <w:rFonts w:cs="Times New Roman"/>
          <w:b/>
          <w:bCs/>
          <w:kern w:val="44"/>
          <w:sz w:val="28"/>
          <w:szCs w:val="44"/>
        </w:rPr>
      </w:pPr>
    </w:p>
    <w:p w14:paraId="74FD50E1">
      <w:pPr>
        <w:spacing w:before="156" w:beforeLines="50" w:line="240" w:lineRule="auto"/>
        <w:ind w:right="-480" w:rightChars="-200"/>
        <w:jc w:val="center"/>
        <w:rPr>
          <w:rFonts w:eastAsia="黑体" w:cs="Times New Roman"/>
          <w:sz w:val="28"/>
          <w:szCs w:val="28"/>
          <w:lang w:bidi="ar"/>
        </w:rPr>
        <w:sectPr>
          <w:pgSz w:w="11906" w:h="16838"/>
          <w:pgMar w:top="1440" w:right="1800" w:bottom="1440" w:left="1800" w:header="851" w:footer="992" w:gutter="0"/>
          <w:pgNumType w:start="1"/>
          <w:cols w:space="425" w:num="1"/>
          <w:docGrid w:type="lines" w:linePitch="312" w:charSpace="0"/>
        </w:sectPr>
      </w:pPr>
      <w:r>
        <w:rPr>
          <w:rFonts w:eastAsia="黑体" w:cs="Times New Roman"/>
          <w:sz w:val="28"/>
          <w:szCs w:val="28"/>
          <w:lang w:bidi="ar"/>
        </w:rPr>
        <w:t>×××</w:t>
      </w:r>
      <w:r>
        <w:rPr>
          <w:rFonts w:hint="eastAsia" w:eastAsia="黑体" w:cs="Times New Roman"/>
          <w:sz w:val="28"/>
          <w:szCs w:val="28"/>
          <w:lang w:bidi="ar"/>
        </w:rPr>
        <w:t>出版社</w:t>
      </w:r>
    </w:p>
    <w:p w14:paraId="3514CE3C">
      <w:pPr>
        <w:spacing w:before="156" w:beforeLines="50" w:line="240" w:lineRule="auto"/>
        <w:ind w:right="-480" w:rightChars="-200"/>
        <w:jc w:val="center"/>
        <w:rPr>
          <w:rFonts w:eastAsia="黑体" w:cs="Times New Roman"/>
          <w:sz w:val="28"/>
          <w:szCs w:val="28"/>
          <w:lang w:bidi="ar"/>
        </w:rPr>
      </w:pPr>
    </w:p>
    <w:p w14:paraId="7A38AF6E">
      <w:pPr>
        <w:spacing w:before="156" w:beforeLines="50" w:line="240" w:lineRule="auto"/>
        <w:jc w:val="center"/>
        <w:rPr>
          <w:rFonts w:eastAsia="黑体" w:cs="Times New Roman"/>
          <w:sz w:val="28"/>
          <w:szCs w:val="28"/>
        </w:rPr>
      </w:pPr>
      <w:r>
        <w:rPr>
          <w:rFonts w:hint="eastAsia" w:eastAsia="黑体" w:cs="Times New Roman"/>
          <w:sz w:val="28"/>
          <w:szCs w:val="28"/>
          <w:lang w:bidi="ar"/>
        </w:rPr>
        <w:t>中国工程建设标准化协会标准</w:t>
      </w:r>
    </w:p>
    <w:p w14:paraId="6BAF14C8">
      <w:pPr>
        <w:spacing w:line="240" w:lineRule="auto"/>
        <w:jc w:val="center"/>
        <w:rPr>
          <w:rFonts w:eastAsia="黑体" w:cs="Times New Roman"/>
          <w:bCs/>
          <w:kern w:val="44"/>
          <w:sz w:val="38"/>
          <w:szCs w:val="38"/>
        </w:rPr>
      </w:pPr>
    </w:p>
    <w:p w14:paraId="574BF1AA">
      <w:pPr>
        <w:spacing w:line="240" w:lineRule="auto"/>
        <w:jc w:val="center"/>
        <w:rPr>
          <w:rFonts w:hint="eastAsia" w:eastAsia="黑体" w:cs="Times New Roman"/>
          <w:bCs/>
          <w:kern w:val="44"/>
          <w:sz w:val="38"/>
          <w:szCs w:val="38"/>
          <w:lang w:bidi="ar"/>
        </w:rPr>
      </w:pPr>
      <w:r>
        <w:rPr>
          <w:rFonts w:hint="eastAsia" w:eastAsia="黑体" w:cs="Times New Roman"/>
          <w:bCs/>
          <w:kern w:val="44"/>
          <w:sz w:val="38"/>
          <w:szCs w:val="38"/>
          <w:lang w:bidi="ar"/>
        </w:rPr>
        <w:t>板边不出筋钢筋混凝土叠合板技术规程</w:t>
      </w:r>
    </w:p>
    <w:p w14:paraId="6239542E">
      <w:pPr>
        <w:spacing w:line="240" w:lineRule="auto"/>
        <w:jc w:val="center"/>
        <w:rPr>
          <w:rFonts w:hint="eastAsia" w:eastAsia="黑体" w:cs="Times New Roman"/>
          <w:bCs/>
          <w:kern w:val="44"/>
          <w:sz w:val="38"/>
          <w:szCs w:val="38"/>
          <w:lang w:bidi="ar"/>
        </w:rPr>
      </w:pPr>
    </w:p>
    <w:p w14:paraId="300DEDED">
      <w:pPr>
        <w:spacing w:line="240" w:lineRule="auto"/>
        <w:jc w:val="center"/>
        <w:rPr>
          <w:rFonts w:cs="Times New Roman"/>
          <w:bCs/>
          <w:kern w:val="44"/>
          <w:sz w:val="30"/>
          <w:szCs w:val="30"/>
          <w:lang w:bidi="ar"/>
        </w:rPr>
      </w:pPr>
      <w:r>
        <w:rPr>
          <w:rFonts w:cs="Times New Roman"/>
          <w:bCs/>
          <w:kern w:val="44"/>
          <w:sz w:val="30"/>
          <w:szCs w:val="30"/>
          <w:lang w:bidi="ar"/>
        </w:rPr>
        <w:t>T</w:t>
      </w:r>
      <w:r>
        <w:rPr>
          <w:rFonts w:hint="eastAsia" w:cs="Times New Roman"/>
          <w:bCs/>
          <w:kern w:val="44"/>
          <w:sz w:val="30"/>
          <w:szCs w:val="30"/>
          <w:lang w:bidi="ar"/>
        </w:rPr>
        <w:t xml:space="preserve">echnical specification for reinforced concrete composite slabs </w:t>
      </w:r>
    </w:p>
    <w:p w14:paraId="4997B8F5">
      <w:pPr>
        <w:spacing w:line="240" w:lineRule="auto"/>
        <w:jc w:val="center"/>
        <w:rPr>
          <w:rFonts w:cs="Times New Roman"/>
          <w:bCs/>
          <w:kern w:val="44"/>
          <w:sz w:val="30"/>
          <w:szCs w:val="30"/>
          <w:lang w:bidi="ar"/>
        </w:rPr>
      </w:pPr>
      <w:r>
        <w:rPr>
          <w:rFonts w:hint="eastAsia" w:cs="Times New Roman"/>
          <w:bCs/>
          <w:kern w:val="44"/>
          <w:sz w:val="30"/>
          <w:szCs w:val="30"/>
          <w:lang w:bidi="ar"/>
        </w:rPr>
        <w:t xml:space="preserve">without extended bars on the sides  </w:t>
      </w:r>
    </w:p>
    <w:p w14:paraId="5C9F6FE3">
      <w:pPr>
        <w:spacing w:line="240" w:lineRule="auto"/>
        <w:jc w:val="center"/>
        <w:rPr>
          <w:rFonts w:cs="Times New Roman"/>
          <w:bCs/>
          <w:kern w:val="44"/>
          <w:sz w:val="30"/>
          <w:szCs w:val="30"/>
          <w:lang w:bidi="ar"/>
        </w:rPr>
      </w:pPr>
    </w:p>
    <w:p w14:paraId="6B942BFB">
      <w:pPr>
        <w:spacing w:line="240" w:lineRule="auto"/>
        <w:jc w:val="center"/>
        <w:rPr>
          <w:rFonts w:cs="Times New Roman"/>
          <w:bCs/>
          <w:kern w:val="44"/>
          <w:sz w:val="30"/>
          <w:szCs w:val="30"/>
        </w:rPr>
      </w:pPr>
    </w:p>
    <w:p w14:paraId="2E683831">
      <w:pPr>
        <w:spacing w:before="156" w:beforeLines="50" w:line="240" w:lineRule="auto"/>
        <w:jc w:val="center"/>
        <w:rPr>
          <w:rFonts w:eastAsia="黑体" w:cs="Times New Roman"/>
          <w:sz w:val="30"/>
          <w:szCs w:val="30"/>
        </w:rPr>
      </w:pPr>
      <w:r>
        <w:rPr>
          <w:rFonts w:eastAsia="黑体" w:cs="Times New Roman"/>
          <w:sz w:val="30"/>
          <w:szCs w:val="30"/>
          <w:lang w:bidi="ar"/>
        </w:rPr>
        <w:t>T/CECS XXX:202X</w:t>
      </w:r>
    </w:p>
    <w:p w14:paraId="6F407AF4">
      <w:pPr>
        <w:spacing w:before="156" w:beforeLines="50" w:line="240" w:lineRule="auto"/>
        <w:jc w:val="center"/>
        <w:rPr>
          <w:rFonts w:eastAsia="黑体" w:cs="Times New Roman"/>
          <w:sz w:val="30"/>
          <w:szCs w:val="30"/>
        </w:rPr>
      </w:pPr>
      <w:r>
        <w:rPr>
          <w:rFonts w:hint="eastAsia" w:eastAsia="黑体" w:cs="Times New Roman"/>
          <w:sz w:val="30"/>
          <w:szCs w:val="30"/>
          <w:lang w:bidi="ar"/>
        </w:rPr>
        <w:t>（征求意见稿）</w:t>
      </w:r>
    </w:p>
    <w:p w14:paraId="17B9C39A">
      <w:pPr>
        <w:spacing w:before="156" w:beforeLines="50" w:after="156" w:afterLines="50"/>
        <w:ind w:firstLine="723" w:firstLineChars="200"/>
        <w:jc w:val="center"/>
        <w:rPr>
          <w:rFonts w:cs="Times New Roman"/>
          <w:b/>
          <w:bCs/>
          <w:sz w:val="36"/>
          <w:szCs w:val="36"/>
        </w:rPr>
      </w:pPr>
    </w:p>
    <w:p w14:paraId="4C91A038">
      <w:pPr>
        <w:ind w:firstLine="480" w:firstLineChars="200"/>
        <w:rPr>
          <w:rFonts w:cs="Times New Roman"/>
          <w:szCs w:val="20"/>
        </w:rPr>
      </w:pPr>
    </w:p>
    <w:p w14:paraId="09BC63CE">
      <w:pPr>
        <w:jc w:val="center"/>
        <w:rPr>
          <w:rFonts w:cs="Times New Roman"/>
          <w:szCs w:val="20"/>
        </w:rPr>
      </w:pPr>
    </w:p>
    <w:p w14:paraId="1B4D990D">
      <w:pPr>
        <w:jc w:val="center"/>
        <w:rPr>
          <w:rFonts w:cs="Times New Roman"/>
          <w:szCs w:val="20"/>
        </w:rPr>
      </w:pPr>
    </w:p>
    <w:p w14:paraId="0AF53894">
      <w:pPr>
        <w:ind w:left="1083" w:firstLine="960" w:firstLineChars="400"/>
        <w:jc w:val="left"/>
        <w:rPr>
          <w:rFonts w:eastAsia="黑体" w:cs="Times New Roman"/>
          <w:bCs/>
          <w:kern w:val="44"/>
          <w:lang w:bidi="ar"/>
        </w:rPr>
      </w:pPr>
      <w:bookmarkStart w:id="0" w:name="_Toc370997579"/>
      <w:bookmarkStart w:id="1" w:name="_Toc371095474"/>
      <w:bookmarkStart w:id="2" w:name="_Toc371095592"/>
      <w:bookmarkStart w:id="3" w:name="_Toc370997664"/>
      <w:bookmarkStart w:id="4" w:name="_Toc375993540"/>
      <w:bookmarkStart w:id="5" w:name="_Toc375993696"/>
      <w:r>
        <w:rPr>
          <w:rFonts w:hint="eastAsia" w:eastAsia="黑体" w:cs="Times New Roman"/>
          <w:bCs/>
          <w:kern w:val="44"/>
          <w:lang w:bidi="ar"/>
        </w:rPr>
        <w:t>主编单位：</w:t>
      </w:r>
      <w:bookmarkEnd w:id="0"/>
      <w:bookmarkEnd w:id="1"/>
      <w:bookmarkEnd w:id="2"/>
      <w:bookmarkEnd w:id="3"/>
      <w:bookmarkEnd w:id="4"/>
      <w:bookmarkEnd w:id="5"/>
      <w:bookmarkStart w:id="6" w:name="_Toc370997580"/>
      <w:bookmarkStart w:id="7" w:name="_Toc371095593"/>
      <w:bookmarkStart w:id="8" w:name="_Toc375993541"/>
      <w:bookmarkStart w:id="9" w:name="_Toc371095475"/>
      <w:bookmarkStart w:id="10" w:name="_Toc375993697"/>
      <w:bookmarkStart w:id="11" w:name="_Toc370997665"/>
      <w:r>
        <w:rPr>
          <w:rFonts w:hint="eastAsia" w:eastAsia="黑体" w:cs="Times New Roman"/>
          <w:bCs/>
          <w:kern w:val="44"/>
          <w:lang w:bidi="ar"/>
        </w:rPr>
        <w:t>浙江大学建筑设计研究院有限公司</w:t>
      </w:r>
    </w:p>
    <w:p w14:paraId="7C8849B9">
      <w:pPr>
        <w:ind w:firstLine="3240" w:firstLineChars="1350"/>
        <w:jc w:val="left"/>
        <w:rPr>
          <w:rFonts w:eastAsia="黑体" w:cs="Times New Roman"/>
          <w:bCs/>
          <w:kern w:val="44"/>
          <w:lang w:bidi="ar"/>
        </w:rPr>
      </w:pPr>
      <w:r>
        <w:rPr>
          <w:rFonts w:hint="eastAsia" w:eastAsia="黑体" w:cs="Times New Roman"/>
          <w:bCs/>
          <w:kern w:val="44"/>
          <w:lang w:bidi="ar"/>
        </w:rPr>
        <w:t>亚太建设科技信息研究院有限公司</w:t>
      </w:r>
    </w:p>
    <w:p w14:paraId="138134BF">
      <w:pPr>
        <w:ind w:left="1083" w:firstLine="960" w:firstLineChars="400"/>
        <w:jc w:val="left"/>
        <w:rPr>
          <w:rFonts w:eastAsia="黑体" w:cs="Times New Roman"/>
          <w:bCs/>
          <w:kern w:val="44"/>
        </w:rPr>
      </w:pPr>
      <w:r>
        <w:rPr>
          <w:rFonts w:hint="eastAsia" w:eastAsia="黑体" w:cs="Times New Roman"/>
          <w:bCs/>
          <w:kern w:val="44"/>
          <w:lang w:bidi="ar"/>
        </w:rPr>
        <w:t>批准单位：</w:t>
      </w:r>
      <w:bookmarkEnd w:id="6"/>
      <w:bookmarkEnd w:id="7"/>
      <w:bookmarkEnd w:id="8"/>
      <w:bookmarkEnd w:id="9"/>
      <w:bookmarkEnd w:id="10"/>
      <w:bookmarkEnd w:id="11"/>
    </w:p>
    <w:p w14:paraId="5ED144A6">
      <w:pPr>
        <w:ind w:left="1083" w:firstLine="960" w:firstLineChars="400"/>
        <w:jc w:val="left"/>
        <w:rPr>
          <w:rFonts w:eastAsia="黑体" w:cs="Times New Roman"/>
          <w:bCs/>
          <w:kern w:val="44"/>
        </w:rPr>
      </w:pPr>
      <w:bookmarkStart w:id="12" w:name="_Toc371095476"/>
      <w:bookmarkStart w:id="13" w:name="_Toc370997581"/>
      <w:bookmarkStart w:id="14" w:name="_Toc375993698"/>
      <w:bookmarkStart w:id="15" w:name="_Toc371095594"/>
      <w:bookmarkStart w:id="16" w:name="_Toc370997666"/>
      <w:bookmarkStart w:id="17" w:name="_Toc375993542"/>
      <w:r>
        <w:rPr>
          <w:rFonts w:hint="eastAsia" w:eastAsia="黑体" w:cs="Times New Roman"/>
          <w:bCs/>
          <w:kern w:val="44"/>
          <w:lang w:bidi="ar"/>
        </w:rPr>
        <w:t>施行日期：</w:t>
      </w:r>
      <w:r>
        <w:rPr>
          <w:rFonts w:eastAsia="黑体" w:cs="Times New Roman"/>
          <w:bCs/>
          <w:kern w:val="44"/>
          <w:lang w:bidi="ar"/>
        </w:rPr>
        <w:t>2025</w:t>
      </w:r>
      <w:r>
        <w:rPr>
          <w:rFonts w:hint="eastAsia" w:eastAsia="黑体" w:cs="Times New Roman"/>
          <w:bCs/>
          <w:kern w:val="44"/>
          <w:lang w:bidi="ar"/>
        </w:rPr>
        <w:t>年</w:t>
      </w:r>
      <w:r>
        <w:rPr>
          <w:rFonts w:eastAsia="黑体" w:cs="Times New Roman"/>
          <w:bCs/>
          <w:kern w:val="44"/>
          <w:lang w:bidi="ar"/>
        </w:rPr>
        <w:t>12</w:t>
      </w:r>
      <w:r>
        <w:rPr>
          <w:rFonts w:hint="eastAsia" w:eastAsia="黑体" w:cs="Times New Roman"/>
          <w:bCs/>
          <w:kern w:val="44"/>
          <w:lang w:bidi="ar"/>
        </w:rPr>
        <w:t>月</w:t>
      </w:r>
      <w:r>
        <w:rPr>
          <w:rFonts w:eastAsia="黑体" w:cs="Times New Roman"/>
          <w:bCs/>
          <w:kern w:val="44"/>
          <w:lang w:bidi="ar"/>
        </w:rPr>
        <w:t>X</w:t>
      </w:r>
      <w:r>
        <w:rPr>
          <w:rFonts w:hint="eastAsia" w:eastAsia="黑体" w:cs="Times New Roman"/>
          <w:bCs/>
          <w:kern w:val="44"/>
          <w:lang w:bidi="ar"/>
        </w:rPr>
        <w:t>日</w:t>
      </w:r>
      <w:bookmarkEnd w:id="12"/>
      <w:bookmarkEnd w:id="13"/>
      <w:bookmarkEnd w:id="14"/>
      <w:bookmarkEnd w:id="15"/>
      <w:bookmarkEnd w:id="16"/>
      <w:bookmarkEnd w:id="17"/>
    </w:p>
    <w:p w14:paraId="1D43762A">
      <w:pPr>
        <w:ind w:firstLine="602" w:firstLineChars="200"/>
        <w:jc w:val="center"/>
        <w:rPr>
          <w:rFonts w:cs="Times New Roman"/>
          <w:b/>
          <w:bCs/>
          <w:sz w:val="30"/>
          <w:szCs w:val="30"/>
        </w:rPr>
      </w:pPr>
      <w:bookmarkStart w:id="18" w:name="_Toc370997667"/>
      <w:bookmarkStart w:id="19" w:name="_Toc375993543"/>
      <w:bookmarkStart w:id="20" w:name="_Toc375993699"/>
      <w:bookmarkStart w:id="21" w:name="_Toc371095477"/>
      <w:bookmarkStart w:id="22" w:name="_Toc371095595"/>
      <w:bookmarkStart w:id="23" w:name="_Toc370997582"/>
    </w:p>
    <w:p w14:paraId="4018E547">
      <w:pPr>
        <w:spacing w:before="312" w:beforeLines="100" w:after="312" w:afterLines="100"/>
        <w:jc w:val="center"/>
        <w:rPr>
          <w:rFonts w:eastAsia="黑体" w:cs="Times New Roman"/>
          <w:bCs/>
          <w:kern w:val="44"/>
          <w:lang w:bidi="ar"/>
        </w:rPr>
        <w:sectPr>
          <w:footerReference r:id="rId5" w:type="default"/>
          <w:pgSz w:w="11906" w:h="16838"/>
          <w:pgMar w:top="1440" w:right="1800" w:bottom="1440" w:left="1800" w:header="851" w:footer="992" w:gutter="0"/>
          <w:pgNumType w:start="1"/>
          <w:cols w:space="425" w:num="1"/>
          <w:docGrid w:type="lines" w:linePitch="312" w:charSpace="0"/>
        </w:sectPr>
      </w:pPr>
      <w:r>
        <w:rPr>
          <w:rFonts w:eastAsia="黑体" w:cs="Times New Roman"/>
          <w:bCs/>
          <w:kern w:val="44"/>
          <w:lang w:bidi="ar"/>
        </w:rPr>
        <w:t xml:space="preserve">2025 </w:t>
      </w:r>
      <w:r>
        <w:rPr>
          <w:rFonts w:hint="eastAsia" w:eastAsia="黑体" w:cs="Times New Roman"/>
          <w:bCs/>
          <w:kern w:val="44"/>
          <w:lang w:bidi="ar"/>
        </w:rPr>
        <w:t>北京</w:t>
      </w:r>
      <w:bookmarkEnd w:id="18"/>
      <w:bookmarkEnd w:id="19"/>
      <w:bookmarkEnd w:id="20"/>
      <w:bookmarkEnd w:id="21"/>
      <w:bookmarkEnd w:id="22"/>
      <w:bookmarkEnd w:id="23"/>
    </w:p>
    <w:p w14:paraId="16209B3A">
      <w:pPr>
        <w:spacing w:before="312" w:beforeLines="100" w:after="312" w:afterLines="100"/>
        <w:jc w:val="center"/>
        <w:rPr>
          <w:rFonts w:hint="eastAsia" w:ascii="黑体" w:hAnsi="黑体" w:eastAsia="黑体" w:cs="黑体"/>
          <w:sz w:val="28"/>
          <w:szCs w:val="28"/>
        </w:rPr>
      </w:pPr>
      <w:r>
        <w:rPr>
          <w:rFonts w:hint="eastAsia" w:ascii="黑体" w:hAnsi="黑体" w:eastAsia="黑体" w:cs="黑体"/>
          <w:sz w:val="28"/>
          <w:szCs w:val="28"/>
        </w:rPr>
        <w:t>前   言</w:t>
      </w:r>
    </w:p>
    <w:p w14:paraId="7BEFD004">
      <w:pPr>
        <w:ind w:firstLine="480" w:firstLineChars="200"/>
      </w:pPr>
      <w:r>
        <w:rPr>
          <w:rFonts w:hint="eastAsia"/>
        </w:rPr>
        <w:t>根据中国工程建设标准化协会《关于印发〈2023年第一批协会标准制订、修订计划〉的通知》（建标协字〔2023〕10号）的要求，规程编制组经深入调查研究，采纳最新的理论和试验研究成果，认真总结实践经验，参考有关国内标准和国际先进标准，并在广泛征求意见的基础上，制定本规程。</w:t>
      </w:r>
    </w:p>
    <w:p w14:paraId="3A0C2263">
      <w:pPr>
        <w:ind w:firstLine="480" w:firstLineChars="200"/>
      </w:pPr>
      <w:r>
        <w:rPr>
          <w:rFonts w:hint="eastAsia"/>
        </w:rPr>
        <w:t>本规程共分为6章，主要技术内容包括：总则，术语和符号，材料，结构设计，制作、运输与堆放，施工与验收等。</w:t>
      </w:r>
    </w:p>
    <w:p w14:paraId="7E901065">
      <w:pPr>
        <w:ind w:firstLine="480" w:firstLineChars="200"/>
      </w:pPr>
      <w:r>
        <w:rPr>
          <w:rFonts w:hint="eastAsia"/>
        </w:rPr>
        <w:t>请注意,本规程的某些内容涉及“一种端部插筋连接的叠合板底板”（ZL201920590615.2）、“一种端部插筋连接的叠合板底板及其施工工艺”（ZL201910343353.4）的专利。涉及专利的具体技术问题，使用者可直接与本标准主编单位及专利权人（浙江大学、浙江大学建筑设计研究院有限公司）协商处理。除此之外，本规程的某些内容仍有可能直接或间接涉及其他专利，本规程的发布机构不承担识别这些专利的责任。</w:t>
      </w:r>
    </w:p>
    <w:p w14:paraId="77D1EA20">
      <w:pPr>
        <w:ind w:firstLine="480" w:firstLineChars="200"/>
      </w:pPr>
      <w:r>
        <w:rPr>
          <w:rFonts w:hint="eastAsia"/>
        </w:rPr>
        <w:t>本规程由中国工程建设标准化协会建筑产业化分会归口管理，由浙江大学建筑设计研究院有限公司负责具体技术内容的解释。执行过程中如有意见或建议，请反馈给浙江大学建筑设计研究院有限公司（地址：浙江省杭州市西湖区天目山路148号浙江大学西溪校区东一楼，邮政编码：3</w:t>
      </w:r>
      <w:r>
        <w:t>10028</w:t>
      </w:r>
      <w:r>
        <w:rPr>
          <w:rFonts w:hint="eastAsia"/>
        </w:rPr>
        <w:t>；电子邮箱：lby@zuadr.com）。</w:t>
      </w:r>
    </w:p>
    <w:p w14:paraId="4B0FBC25">
      <w:pPr>
        <w:ind w:firstLine="480" w:firstLineChars="200"/>
      </w:pPr>
      <w:r>
        <w:rPr>
          <w:rStyle w:val="16"/>
          <w:rFonts w:hint="eastAsia"/>
        </w:rPr>
        <w:t>主编单位：</w:t>
      </w:r>
      <w:r>
        <w:rPr>
          <w:rFonts w:hint="eastAsia"/>
        </w:rPr>
        <w:t>浙江大学建筑设计研究院有限公司</w:t>
      </w:r>
    </w:p>
    <w:p w14:paraId="35B1AE49">
      <w:pPr>
        <w:ind w:firstLine="1680" w:firstLineChars="700"/>
      </w:pPr>
      <w:r>
        <w:rPr>
          <w:rFonts w:hint="eastAsia"/>
        </w:rPr>
        <w:t>亚太建设科技信息研究院有限公司</w:t>
      </w:r>
    </w:p>
    <w:p w14:paraId="7C77EDFF">
      <w:pPr>
        <w:ind w:firstLine="480" w:firstLineChars="200"/>
      </w:pPr>
      <w:r>
        <w:rPr>
          <w:rStyle w:val="16"/>
          <w:rFonts w:hint="eastAsia"/>
        </w:rPr>
        <w:t>参编单位：</w:t>
      </w:r>
      <w:r>
        <w:rPr>
          <w:rFonts w:hint="eastAsia"/>
        </w:rPr>
        <w:t>xxxx</w:t>
      </w:r>
    </w:p>
    <w:p w14:paraId="1FF25AC8">
      <w:pPr>
        <w:ind w:firstLine="1680" w:firstLineChars="700"/>
        <w:rPr>
          <w:highlight w:val="yellow"/>
        </w:rPr>
      </w:pPr>
      <w:r>
        <w:rPr>
          <w:rFonts w:hint="eastAsia"/>
        </w:rPr>
        <w:t>xxxx</w:t>
      </w:r>
    </w:p>
    <w:p w14:paraId="2F9169F9">
      <w:pPr>
        <w:ind w:firstLine="480" w:firstLineChars="200"/>
        <w:rPr>
          <w:rStyle w:val="16"/>
          <w:rFonts w:hint="eastAsia" w:cs="Times New Roman"/>
        </w:rPr>
      </w:pPr>
      <w:r>
        <w:rPr>
          <w:rStyle w:val="16"/>
          <w:rFonts w:hint="eastAsia" w:cs="Times New Roman"/>
        </w:rPr>
        <w:t>主要起草人：</w:t>
      </w:r>
    </w:p>
    <w:p w14:paraId="789B3B96">
      <w:pPr>
        <w:ind w:firstLine="480" w:firstLineChars="200"/>
        <w:rPr>
          <w:rStyle w:val="16"/>
          <w:rFonts w:hint="eastAsia" w:cs="Times New Roman"/>
        </w:rPr>
      </w:pPr>
      <w:r>
        <w:rPr>
          <w:rStyle w:val="16"/>
          <w:rFonts w:hint="eastAsia" w:cs="Times New Roman"/>
        </w:rPr>
        <w:t>主要审查人：</w:t>
      </w:r>
    </w:p>
    <w:p w14:paraId="7649EA4A">
      <w:pPr>
        <w:ind w:firstLine="640"/>
        <w:rPr>
          <w:rStyle w:val="16"/>
          <w:rFonts w:hint="eastAsia" w:cs="Times New Roman"/>
        </w:rPr>
      </w:pPr>
    </w:p>
    <w:p w14:paraId="0CAE2261">
      <w:pPr>
        <w:ind w:firstLine="640"/>
        <w:rPr>
          <w:rStyle w:val="16"/>
          <w:rFonts w:hint="eastAsia" w:cs="Times New Roman"/>
        </w:rPr>
      </w:pPr>
    </w:p>
    <w:p w14:paraId="0F69A2B5">
      <w:pPr>
        <w:ind w:firstLine="640"/>
        <w:rPr>
          <w:rStyle w:val="16"/>
          <w:rFonts w:hint="eastAsia" w:cs="Times New Roman"/>
        </w:rPr>
      </w:pPr>
    </w:p>
    <w:p w14:paraId="6293A775">
      <w:pPr>
        <w:ind w:firstLine="640"/>
        <w:rPr>
          <w:rStyle w:val="16"/>
          <w:rFonts w:hint="eastAsia" w:cs="Times New Roman"/>
        </w:rPr>
      </w:pPr>
    </w:p>
    <w:p w14:paraId="558C2C10">
      <w:pPr>
        <w:ind w:firstLine="640"/>
        <w:rPr>
          <w:rStyle w:val="16"/>
          <w:rFonts w:hint="eastAsia" w:cs="Times New Roman"/>
        </w:rPr>
      </w:pPr>
    </w:p>
    <w:p w14:paraId="7D83459D">
      <w:pPr>
        <w:spacing w:before="312" w:beforeLines="100" w:after="312" w:afterLines="100"/>
        <w:jc w:val="center"/>
        <w:rPr>
          <w:rFonts w:hint="eastAsia" w:ascii="华文仿宋" w:hAnsi="华文仿宋" w:eastAsia="华文仿宋" w:cs="华文仿宋"/>
          <w:b/>
          <w:bCs/>
          <w:sz w:val="30"/>
          <w:szCs w:val="30"/>
        </w:rPr>
        <w:sectPr>
          <w:footerReference r:id="rId6" w:type="default"/>
          <w:pgSz w:w="11906" w:h="16838"/>
          <w:pgMar w:top="1440" w:right="1800" w:bottom="1440" w:left="1800" w:header="851" w:footer="992" w:gutter="0"/>
          <w:pgNumType w:start="1"/>
          <w:cols w:space="425" w:num="1"/>
          <w:docGrid w:type="lines" w:linePitch="312" w:charSpace="0"/>
        </w:sectPr>
      </w:pPr>
    </w:p>
    <w:p w14:paraId="30129624">
      <w:pPr>
        <w:spacing w:before="312" w:beforeLines="100" w:after="312" w:afterLines="100"/>
        <w:jc w:val="center"/>
        <w:rPr>
          <w:rFonts w:hint="eastAsia" w:ascii="华文仿宋" w:hAnsi="华文仿宋" w:eastAsia="华文仿宋" w:cs="华文仿宋"/>
          <w:b/>
          <w:bCs/>
          <w:sz w:val="30"/>
          <w:szCs w:val="30"/>
        </w:rPr>
      </w:pPr>
      <w:r>
        <w:rPr>
          <w:rFonts w:hint="eastAsia" w:ascii="华文仿宋" w:hAnsi="华文仿宋" w:eastAsia="华文仿宋" w:cs="华文仿宋"/>
          <w:b/>
          <w:bCs/>
          <w:sz w:val="30"/>
          <w:szCs w:val="30"/>
        </w:rPr>
        <w:t>目   次</w:t>
      </w:r>
    </w:p>
    <w:p w14:paraId="5416B187">
      <w:pPr>
        <w:pStyle w:val="8"/>
        <w:tabs>
          <w:tab w:val="right" w:leader="dot" w:pos="8306"/>
        </w:tabs>
      </w:pPr>
      <w:r>
        <w:rPr>
          <w:rFonts w:hint="eastAsia"/>
        </w:rPr>
        <w:fldChar w:fldCharType="begin"/>
      </w:r>
      <w:r>
        <w:rPr>
          <w:rFonts w:hint="eastAsia"/>
        </w:rPr>
        <w:instrText xml:space="preserve">TOC \o "1-2" \h \u </w:instrText>
      </w:r>
      <w:r>
        <w:rPr>
          <w:rFonts w:hint="eastAsia"/>
        </w:rPr>
        <w:fldChar w:fldCharType="separate"/>
      </w:r>
      <w:r>
        <w:fldChar w:fldCharType="begin"/>
      </w:r>
      <w:r>
        <w:instrText xml:space="preserve"> HYPERLINK \l "_Toc10910" </w:instrText>
      </w:r>
      <w:r>
        <w:fldChar w:fldCharType="separate"/>
      </w:r>
      <w:r>
        <w:rPr>
          <w:rFonts w:hint="eastAsia" w:cs="宋体"/>
          <w:bCs/>
          <w:szCs w:val="36"/>
        </w:rPr>
        <w:t>1</w:t>
      </w:r>
      <w:r>
        <w:rPr>
          <w:rFonts w:hint="eastAsia" w:cs="宋体"/>
          <w:szCs w:val="36"/>
        </w:rPr>
        <w:t xml:space="preserve"> </w:t>
      </w:r>
      <w:r>
        <w:rPr>
          <w:rFonts w:hint="eastAsia" w:cs="宋体"/>
          <w:bCs/>
          <w:szCs w:val="36"/>
        </w:rPr>
        <w:t>总 则</w:t>
      </w:r>
      <w:r>
        <w:tab/>
      </w:r>
      <w:r>
        <w:fldChar w:fldCharType="begin"/>
      </w:r>
      <w:r>
        <w:instrText xml:space="preserve"> PAGEREF _Toc10910 \h </w:instrText>
      </w:r>
      <w:r>
        <w:fldChar w:fldCharType="separate"/>
      </w:r>
      <w:r>
        <w:t>7</w:t>
      </w:r>
      <w:r>
        <w:fldChar w:fldCharType="end"/>
      </w:r>
      <w:r>
        <w:fldChar w:fldCharType="end"/>
      </w:r>
    </w:p>
    <w:p w14:paraId="05A568B4">
      <w:pPr>
        <w:pStyle w:val="8"/>
        <w:tabs>
          <w:tab w:val="right" w:leader="dot" w:pos="8306"/>
        </w:tabs>
      </w:pPr>
      <w:r>
        <w:fldChar w:fldCharType="begin"/>
      </w:r>
      <w:r>
        <w:instrText xml:space="preserve"> HYPERLINK \l "_Toc9780" </w:instrText>
      </w:r>
      <w:r>
        <w:fldChar w:fldCharType="separate"/>
      </w:r>
      <w:r>
        <w:rPr>
          <w:rFonts w:hint="eastAsia"/>
        </w:rPr>
        <w:t>2 术语和符号</w:t>
      </w:r>
      <w:r>
        <w:tab/>
      </w:r>
      <w:r>
        <w:fldChar w:fldCharType="begin"/>
      </w:r>
      <w:r>
        <w:instrText xml:space="preserve"> PAGEREF _Toc9780 \h </w:instrText>
      </w:r>
      <w:r>
        <w:fldChar w:fldCharType="separate"/>
      </w:r>
      <w:r>
        <w:t>2</w:t>
      </w:r>
      <w:r>
        <w:fldChar w:fldCharType="end"/>
      </w:r>
      <w:r>
        <w:fldChar w:fldCharType="end"/>
      </w:r>
    </w:p>
    <w:p w14:paraId="35AE8101">
      <w:pPr>
        <w:pStyle w:val="9"/>
        <w:tabs>
          <w:tab w:val="right" w:leader="dot" w:pos="8306"/>
        </w:tabs>
        <w:ind w:left="480"/>
      </w:pPr>
      <w:r>
        <w:fldChar w:fldCharType="begin"/>
      </w:r>
      <w:r>
        <w:instrText xml:space="preserve"> HYPERLINK \l "_Toc14421" </w:instrText>
      </w:r>
      <w:r>
        <w:fldChar w:fldCharType="separate"/>
      </w:r>
      <w:r>
        <w:rPr>
          <w:rFonts w:hint="eastAsia"/>
        </w:rPr>
        <w:t>2.1 术 语</w:t>
      </w:r>
      <w:r>
        <w:tab/>
      </w:r>
      <w:r>
        <w:fldChar w:fldCharType="begin"/>
      </w:r>
      <w:r>
        <w:instrText xml:space="preserve"> PAGEREF _Toc14421 \h </w:instrText>
      </w:r>
      <w:r>
        <w:fldChar w:fldCharType="separate"/>
      </w:r>
      <w:r>
        <w:t>2</w:t>
      </w:r>
      <w:r>
        <w:fldChar w:fldCharType="end"/>
      </w:r>
      <w:r>
        <w:fldChar w:fldCharType="end"/>
      </w:r>
    </w:p>
    <w:p w14:paraId="0297E560">
      <w:pPr>
        <w:pStyle w:val="9"/>
        <w:tabs>
          <w:tab w:val="right" w:leader="dot" w:pos="8306"/>
        </w:tabs>
        <w:ind w:left="480"/>
      </w:pPr>
      <w:r>
        <w:fldChar w:fldCharType="begin"/>
      </w:r>
      <w:r>
        <w:instrText xml:space="preserve"> HYPERLINK \l "_Toc9525" </w:instrText>
      </w:r>
      <w:r>
        <w:fldChar w:fldCharType="separate"/>
      </w:r>
      <w:r>
        <w:rPr>
          <w:rFonts w:hint="eastAsia"/>
        </w:rPr>
        <w:t>2.2 符 号</w:t>
      </w:r>
      <w:r>
        <w:tab/>
      </w:r>
      <w:r>
        <w:fldChar w:fldCharType="begin"/>
      </w:r>
      <w:r>
        <w:instrText xml:space="preserve"> PAGEREF _Toc9525 \h </w:instrText>
      </w:r>
      <w:r>
        <w:fldChar w:fldCharType="separate"/>
      </w:r>
      <w:r>
        <w:t>4</w:t>
      </w:r>
      <w:r>
        <w:fldChar w:fldCharType="end"/>
      </w:r>
      <w:r>
        <w:fldChar w:fldCharType="end"/>
      </w:r>
    </w:p>
    <w:p w14:paraId="18473778">
      <w:pPr>
        <w:pStyle w:val="8"/>
        <w:tabs>
          <w:tab w:val="right" w:leader="dot" w:pos="8306"/>
        </w:tabs>
      </w:pPr>
      <w:r>
        <w:fldChar w:fldCharType="begin"/>
      </w:r>
      <w:r>
        <w:instrText xml:space="preserve"> HYPERLINK \l "_Toc7927" </w:instrText>
      </w:r>
      <w:r>
        <w:fldChar w:fldCharType="separate"/>
      </w:r>
      <w:r>
        <w:rPr>
          <w:rFonts w:hint="eastAsia"/>
        </w:rPr>
        <w:t>3 材 料</w:t>
      </w:r>
      <w:r>
        <w:tab/>
      </w:r>
      <w:r>
        <w:fldChar w:fldCharType="begin"/>
      </w:r>
      <w:r>
        <w:instrText xml:space="preserve"> PAGEREF _Toc7927 \h </w:instrText>
      </w:r>
      <w:r>
        <w:fldChar w:fldCharType="separate"/>
      </w:r>
      <w:r>
        <w:t>6</w:t>
      </w:r>
      <w:r>
        <w:fldChar w:fldCharType="end"/>
      </w:r>
      <w:r>
        <w:fldChar w:fldCharType="end"/>
      </w:r>
    </w:p>
    <w:p w14:paraId="7F27B4C8">
      <w:pPr>
        <w:pStyle w:val="9"/>
        <w:tabs>
          <w:tab w:val="right" w:leader="dot" w:pos="8306"/>
        </w:tabs>
        <w:ind w:left="480"/>
      </w:pPr>
      <w:r>
        <w:fldChar w:fldCharType="begin"/>
      </w:r>
      <w:r>
        <w:instrText xml:space="preserve"> HYPERLINK \l "_Toc12798" </w:instrText>
      </w:r>
      <w:r>
        <w:fldChar w:fldCharType="separate"/>
      </w:r>
      <w:r>
        <w:rPr>
          <w:rFonts w:hint="eastAsia"/>
        </w:rPr>
        <w:t>3.1 混凝土</w:t>
      </w:r>
      <w:r>
        <w:tab/>
      </w:r>
      <w:r>
        <w:fldChar w:fldCharType="begin"/>
      </w:r>
      <w:r>
        <w:instrText xml:space="preserve"> PAGEREF _Toc12798 \h </w:instrText>
      </w:r>
      <w:r>
        <w:fldChar w:fldCharType="separate"/>
      </w:r>
      <w:r>
        <w:t>6</w:t>
      </w:r>
      <w:r>
        <w:fldChar w:fldCharType="end"/>
      </w:r>
      <w:r>
        <w:fldChar w:fldCharType="end"/>
      </w:r>
    </w:p>
    <w:p w14:paraId="314F6AB9">
      <w:pPr>
        <w:pStyle w:val="9"/>
        <w:tabs>
          <w:tab w:val="right" w:leader="dot" w:pos="8306"/>
        </w:tabs>
        <w:ind w:left="480"/>
      </w:pPr>
      <w:r>
        <w:fldChar w:fldCharType="begin"/>
      </w:r>
      <w:r>
        <w:instrText xml:space="preserve"> HYPERLINK \l "_Toc29623" </w:instrText>
      </w:r>
      <w:r>
        <w:fldChar w:fldCharType="separate"/>
      </w:r>
      <w:r>
        <w:rPr>
          <w:rFonts w:hint="eastAsia" w:cs="宋体"/>
          <w:bCs/>
          <w:szCs w:val="28"/>
        </w:rPr>
        <w:t>3.2</w:t>
      </w:r>
      <w:r>
        <w:rPr>
          <w:rFonts w:hint="eastAsia" w:ascii="黑体" w:eastAsia="黑体" w:cs="黑体"/>
          <w:szCs w:val="28"/>
        </w:rPr>
        <w:t xml:space="preserve"> </w:t>
      </w:r>
      <w:r>
        <w:rPr>
          <w:rFonts w:hint="eastAsia" w:cs="宋体"/>
          <w:bCs/>
          <w:szCs w:val="28"/>
        </w:rPr>
        <w:t>钢筋和钢材</w:t>
      </w:r>
      <w:r>
        <w:tab/>
      </w:r>
      <w:r>
        <w:fldChar w:fldCharType="begin"/>
      </w:r>
      <w:r>
        <w:instrText xml:space="preserve"> PAGEREF _Toc29623 \h </w:instrText>
      </w:r>
      <w:r>
        <w:fldChar w:fldCharType="separate"/>
      </w:r>
      <w:r>
        <w:t>6</w:t>
      </w:r>
      <w:r>
        <w:fldChar w:fldCharType="end"/>
      </w:r>
      <w:r>
        <w:fldChar w:fldCharType="end"/>
      </w:r>
    </w:p>
    <w:p w14:paraId="4EBDFDAB">
      <w:pPr>
        <w:pStyle w:val="9"/>
        <w:tabs>
          <w:tab w:val="right" w:leader="dot" w:pos="8306"/>
        </w:tabs>
        <w:ind w:left="480"/>
      </w:pPr>
      <w:r>
        <w:fldChar w:fldCharType="begin"/>
      </w:r>
      <w:r>
        <w:instrText xml:space="preserve"> HYPERLINK \l "_Toc2832" </w:instrText>
      </w:r>
      <w:r>
        <w:fldChar w:fldCharType="separate"/>
      </w:r>
      <w:r>
        <w:rPr>
          <w:rFonts w:hint="eastAsia" w:cs="宋体"/>
          <w:bCs/>
          <w:szCs w:val="28"/>
        </w:rPr>
        <w:t>3.3</w:t>
      </w:r>
      <w:r>
        <w:rPr>
          <w:rFonts w:hint="eastAsia" w:cs="宋体"/>
          <w:szCs w:val="28"/>
        </w:rPr>
        <w:t xml:space="preserve"> </w:t>
      </w:r>
      <w:r>
        <w:rPr>
          <w:rFonts w:hint="eastAsia" w:cs="宋体"/>
          <w:bCs/>
          <w:szCs w:val="28"/>
        </w:rPr>
        <w:t>钢筋桁架</w:t>
      </w:r>
      <w:r>
        <w:tab/>
      </w:r>
      <w:r>
        <w:fldChar w:fldCharType="begin"/>
      </w:r>
      <w:r>
        <w:instrText xml:space="preserve"> PAGEREF _Toc2832 \h </w:instrText>
      </w:r>
      <w:r>
        <w:fldChar w:fldCharType="separate"/>
      </w:r>
      <w:r>
        <w:t>7</w:t>
      </w:r>
      <w:r>
        <w:fldChar w:fldCharType="end"/>
      </w:r>
      <w:r>
        <w:fldChar w:fldCharType="end"/>
      </w:r>
    </w:p>
    <w:p w14:paraId="69B96761">
      <w:pPr>
        <w:pStyle w:val="9"/>
        <w:tabs>
          <w:tab w:val="right" w:leader="dot" w:pos="8306"/>
        </w:tabs>
        <w:ind w:left="480"/>
      </w:pPr>
      <w:r>
        <w:fldChar w:fldCharType="begin"/>
      </w:r>
      <w:r>
        <w:instrText xml:space="preserve"> HYPERLINK \l "_Toc2217" </w:instrText>
      </w:r>
      <w:r>
        <w:fldChar w:fldCharType="separate"/>
      </w:r>
      <w:r>
        <w:rPr>
          <w:rFonts w:hint="eastAsia"/>
        </w:rPr>
        <w:t>3.4 其他材料</w:t>
      </w:r>
      <w:r>
        <w:tab/>
      </w:r>
      <w:r>
        <w:fldChar w:fldCharType="begin"/>
      </w:r>
      <w:r>
        <w:instrText xml:space="preserve"> PAGEREF _Toc2217 \h </w:instrText>
      </w:r>
      <w:r>
        <w:fldChar w:fldCharType="separate"/>
      </w:r>
      <w:r>
        <w:t>7</w:t>
      </w:r>
      <w:r>
        <w:fldChar w:fldCharType="end"/>
      </w:r>
      <w:r>
        <w:fldChar w:fldCharType="end"/>
      </w:r>
    </w:p>
    <w:p w14:paraId="08BFE16A">
      <w:pPr>
        <w:pStyle w:val="8"/>
        <w:tabs>
          <w:tab w:val="right" w:leader="dot" w:pos="8306"/>
        </w:tabs>
      </w:pPr>
      <w:r>
        <w:fldChar w:fldCharType="begin"/>
      </w:r>
      <w:r>
        <w:instrText xml:space="preserve"> HYPERLINK \l "_Toc31078" </w:instrText>
      </w:r>
      <w:r>
        <w:fldChar w:fldCharType="separate"/>
      </w:r>
      <w:r>
        <w:rPr>
          <w:rFonts w:hint="eastAsia" w:cs="宋体"/>
          <w:bCs/>
          <w:szCs w:val="36"/>
        </w:rPr>
        <w:t>4</w:t>
      </w:r>
      <w:r>
        <w:rPr>
          <w:rFonts w:hint="eastAsia" w:cs="宋体"/>
          <w:szCs w:val="36"/>
        </w:rPr>
        <w:t xml:space="preserve"> </w:t>
      </w:r>
      <w:r>
        <w:rPr>
          <w:rFonts w:hint="eastAsia" w:cs="宋体"/>
          <w:bCs/>
          <w:szCs w:val="36"/>
        </w:rPr>
        <w:t>结构设计</w:t>
      </w:r>
      <w:r>
        <w:tab/>
      </w:r>
      <w:r>
        <w:fldChar w:fldCharType="begin"/>
      </w:r>
      <w:r>
        <w:instrText xml:space="preserve"> PAGEREF _Toc31078 \h </w:instrText>
      </w:r>
      <w:r>
        <w:fldChar w:fldCharType="separate"/>
      </w:r>
      <w:r>
        <w:t>9</w:t>
      </w:r>
      <w:r>
        <w:fldChar w:fldCharType="end"/>
      </w:r>
      <w:r>
        <w:fldChar w:fldCharType="end"/>
      </w:r>
    </w:p>
    <w:p w14:paraId="44374592">
      <w:pPr>
        <w:pStyle w:val="9"/>
        <w:tabs>
          <w:tab w:val="right" w:leader="dot" w:pos="8306"/>
        </w:tabs>
        <w:ind w:left="480"/>
      </w:pPr>
      <w:r>
        <w:fldChar w:fldCharType="begin"/>
      </w:r>
      <w:r>
        <w:instrText xml:space="preserve"> HYPERLINK \l "_Toc3395" </w:instrText>
      </w:r>
      <w:r>
        <w:fldChar w:fldCharType="separate"/>
      </w:r>
      <w:r>
        <w:rPr>
          <w:rFonts w:hint="eastAsia" w:cs="宋体"/>
          <w:bCs/>
          <w:szCs w:val="28"/>
        </w:rPr>
        <w:t>4.1</w:t>
      </w:r>
      <w:r>
        <w:rPr>
          <w:rFonts w:hint="eastAsia" w:ascii="黑体" w:eastAsia="黑体" w:cs="黑体"/>
          <w:szCs w:val="28"/>
        </w:rPr>
        <w:t xml:space="preserve"> </w:t>
      </w:r>
      <w:r>
        <w:rPr>
          <w:rFonts w:hint="eastAsia" w:cs="宋体"/>
          <w:bCs/>
          <w:szCs w:val="28"/>
        </w:rPr>
        <w:t>一般规定</w:t>
      </w:r>
      <w:r>
        <w:tab/>
      </w:r>
      <w:r>
        <w:fldChar w:fldCharType="begin"/>
      </w:r>
      <w:r>
        <w:instrText xml:space="preserve"> PAGEREF _Toc3395 \h </w:instrText>
      </w:r>
      <w:r>
        <w:fldChar w:fldCharType="separate"/>
      </w:r>
      <w:r>
        <w:t>9</w:t>
      </w:r>
      <w:r>
        <w:fldChar w:fldCharType="end"/>
      </w:r>
      <w:r>
        <w:fldChar w:fldCharType="end"/>
      </w:r>
    </w:p>
    <w:p w14:paraId="1774D65F">
      <w:pPr>
        <w:pStyle w:val="9"/>
        <w:tabs>
          <w:tab w:val="right" w:leader="dot" w:pos="8306"/>
        </w:tabs>
        <w:ind w:left="480"/>
      </w:pPr>
      <w:r>
        <w:fldChar w:fldCharType="begin"/>
      </w:r>
      <w:r>
        <w:instrText xml:space="preserve"> HYPERLINK \l "_Toc30558" </w:instrText>
      </w:r>
      <w:r>
        <w:fldChar w:fldCharType="separate"/>
      </w:r>
      <w:r>
        <w:rPr>
          <w:rFonts w:hint="eastAsia" w:cs="宋体"/>
          <w:bCs/>
          <w:szCs w:val="28"/>
        </w:rPr>
        <w:t>4.2</w:t>
      </w:r>
      <w:r>
        <w:rPr>
          <w:rFonts w:hint="eastAsia" w:ascii="黑体" w:eastAsia="黑体" w:cs="黑体"/>
          <w:szCs w:val="28"/>
        </w:rPr>
        <w:t xml:space="preserve"> </w:t>
      </w:r>
      <w:r>
        <w:rPr>
          <w:rFonts w:hint="eastAsia" w:cs="宋体"/>
          <w:bCs/>
          <w:szCs w:val="28"/>
        </w:rPr>
        <w:t>构件设计</w:t>
      </w:r>
      <w:r>
        <w:tab/>
      </w:r>
      <w:r>
        <w:fldChar w:fldCharType="begin"/>
      </w:r>
      <w:r>
        <w:instrText xml:space="preserve"> PAGEREF _Toc30558 \h </w:instrText>
      </w:r>
      <w:r>
        <w:fldChar w:fldCharType="separate"/>
      </w:r>
      <w:r>
        <w:t>9</w:t>
      </w:r>
      <w:r>
        <w:fldChar w:fldCharType="end"/>
      </w:r>
      <w:r>
        <w:fldChar w:fldCharType="end"/>
      </w:r>
    </w:p>
    <w:p w14:paraId="7850B64D">
      <w:pPr>
        <w:pStyle w:val="9"/>
        <w:tabs>
          <w:tab w:val="right" w:leader="dot" w:pos="8306"/>
        </w:tabs>
        <w:ind w:left="480"/>
      </w:pPr>
      <w:r>
        <w:fldChar w:fldCharType="begin"/>
      </w:r>
      <w:r>
        <w:instrText xml:space="preserve"> HYPERLINK \l "_Toc42" </w:instrText>
      </w:r>
      <w:r>
        <w:fldChar w:fldCharType="separate"/>
      </w:r>
      <w:r>
        <w:rPr>
          <w:rFonts w:hint="eastAsia"/>
        </w:rPr>
        <w:t>4.3 支座节点设计</w:t>
      </w:r>
      <w:r>
        <w:tab/>
      </w:r>
      <w:r>
        <w:fldChar w:fldCharType="begin"/>
      </w:r>
      <w:r>
        <w:instrText xml:space="preserve"> PAGEREF _Toc42 \h </w:instrText>
      </w:r>
      <w:r>
        <w:fldChar w:fldCharType="separate"/>
      </w:r>
      <w:r>
        <w:t>12</w:t>
      </w:r>
      <w:r>
        <w:fldChar w:fldCharType="end"/>
      </w:r>
      <w:r>
        <w:fldChar w:fldCharType="end"/>
      </w:r>
    </w:p>
    <w:p w14:paraId="4B6EA63A">
      <w:pPr>
        <w:pStyle w:val="9"/>
        <w:tabs>
          <w:tab w:val="right" w:leader="dot" w:pos="8306"/>
        </w:tabs>
        <w:ind w:left="480"/>
      </w:pPr>
      <w:r>
        <w:fldChar w:fldCharType="begin"/>
      </w:r>
      <w:r>
        <w:instrText xml:space="preserve"> HYPERLINK \l "_Toc10201" </w:instrText>
      </w:r>
      <w:r>
        <w:fldChar w:fldCharType="separate"/>
      </w:r>
      <w:r>
        <w:rPr>
          <w:rFonts w:hint="eastAsia" w:cs="宋体"/>
          <w:bCs/>
          <w:szCs w:val="28"/>
        </w:rPr>
        <w:t>4.4</w:t>
      </w:r>
      <w:r>
        <w:rPr>
          <w:rFonts w:hint="eastAsia" w:ascii="黑体" w:eastAsia="黑体" w:cs="黑体"/>
          <w:szCs w:val="28"/>
        </w:rPr>
        <w:t xml:space="preserve"> </w:t>
      </w:r>
      <w:r>
        <w:rPr>
          <w:rFonts w:hint="eastAsia" w:cs="宋体"/>
          <w:bCs/>
          <w:szCs w:val="28"/>
        </w:rPr>
        <w:t>拼缝节点设计</w:t>
      </w:r>
      <w:r>
        <w:tab/>
      </w:r>
      <w:r>
        <w:fldChar w:fldCharType="begin"/>
      </w:r>
      <w:r>
        <w:instrText xml:space="preserve"> PAGEREF _Toc10201 \h </w:instrText>
      </w:r>
      <w:r>
        <w:fldChar w:fldCharType="separate"/>
      </w:r>
      <w:r>
        <w:t>21</w:t>
      </w:r>
      <w:r>
        <w:fldChar w:fldCharType="end"/>
      </w:r>
      <w:r>
        <w:fldChar w:fldCharType="end"/>
      </w:r>
    </w:p>
    <w:p w14:paraId="6EEBDB74">
      <w:pPr>
        <w:pStyle w:val="8"/>
        <w:tabs>
          <w:tab w:val="right" w:leader="dot" w:pos="8306"/>
        </w:tabs>
      </w:pPr>
      <w:r>
        <w:fldChar w:fldCharType="begin"/>
      </w:r>
      <w:r>
        <w:instrText xml:space="preserve"> HYPERLINK \l "_Toc25670" </w:instrText>
      </w:r>
      <w:r>
        <w:fldChar w:fldCharType="separate"/>
      </w:r>
      <w:r>
        <w:rPr>
          <w:rFonts w:hint="eastAsia" w:cs="宋体"/>
          <w:bCs/>
          <w:szCs w:val="36"/>
        </w:rPr>
        <w:t>5</w:t>
      </w:r>
      <w:r>
        <w:rPr>
          <w:rFonts w:hint="eastAsia" w:cs="宋体"/>
          <w:szCs w:val="36"/>
        </w:rPr>
        <w:t xml:space="preserve"> </w:t>
      </w:r>
      <w:r>
        <w:rPr>
          <w:rFonts w:hint="eastAsia" w:cs="宋体"/>
          <w:bCs/>
          <w:szCs w:val="36"/>
        </w:rPr>
        <w:t>制作、运输与堆放</w:t>
      </w:r>
      <w:r>
        <w:tab/>
      </w:r>
      <w:r>
        <w:fldChar w:fldCharType="begin"/>
      </w:r>
      <w:r>
        <w:instrText xml:space="preserve"> PAGEREF _Toc25670 \h </w:instrText>
      </w:r>
      <w:r>
        <w:fldChar w:fldCharType="separate"/>
      </w:r>
      <w:r>
        <w:t>26</w:t>
      </w:r>
      <w:r>
        <w:fldChar w:fldCharType="end"/>
      </w:r>
      <w:r>
        <w:fldChar w:fldCharType="end"/>
      </w:r>
    </w:p>
    <w:p w14:paraId="694EEFEB">
      <w:pPr>
        <w:pStyle w:val="9"/>
        <w:tabs>
          <w:tab w:val="right" w:leader="dot" w:pos="8306"/>
        </w:tabs>
        <w:ind w:left="480"/>
      </w:pPr>
      <w:r>
        <w:fldChar w:fldCharType="begin"/>
      </w:r>
      <w:r>
        <w:instrText xml:space="preserve"> HYPERLINK \l "_Toc26502" </w:instrText>
      </w:r>
      <w:r>
        <w:fldChar w:fldCharType="separate"/>
      </w:r>
      <w:r>
        <w:rPr>
          <w:rFonts w:hint="eastAsia" w:cs="宋体"/>
          <w:bCs/>
          <w:szCs w:val="28"/>
        </w:rPr>
        <w:t>5.1</w:t>
      </w:r>
      <w:r>
        <w:rPr>
          <w:rFonts w:hint="eastAsia" w:ascii="黑体" w:eastAsia="黑体" w:cs="黑体"/>
          <w:szCs w:val="28"/>
        </w:rPr>
        <w:t xml:space="preserve"> </w:t>
      </w:r>
      <w:r>
        <w:rPr>
          <w:rFonts w:hint="eastAsia" w:cs="宋体"/>
          <w:bCs/>
          <w:szCs w:val="28"/>
        </w:rPr>
        <w:t>一般规定</w:t>
      </w:r>
      <w:r>
        <w:tab/>
      </w:r>
      <w:r>
        <w:fldChar w:fldCharType="begin"/>
      </w:r>
      <w:r>
        <w:instrText xml:space="preserve"> PAGEREF _Toc26502 \h </w:instrText>
      </w:r>
      <w:r>
        <w:fldChar w:fldCharType="separate"/>
      </w:r>
      <w:r>
        <w:t>27</w:t>
      </w:r>
      <w:r>
        <w:fldChar w:fldCharType="end"/>
      </w:r>
      <w:r>
        <w:fldChar w:fldCharType="end"/>
      </w:r>
    </w:p>
    <w:p w14:paraId="1456F11A">
      <w:pPr>
        <w:pStyle w:val="9"/>
        <w:tabs>
          <w:tab w:val="right" w:leader="dot" w:pos="8306"/>
        </w:tabs>
        <w:ind w:left="480"/>
      </w:pPr>
      <w:r>
        <w:fldChar w:fldCharType="begin"/>
      </w:r>
      <w:r>
        <w:instrText xml:space="preserve"> HYPERLINK \l "_Toc31583" </w:instrText>
      </w:r>
      <w:r>
        <w:fldChar w:fldCharType="separate"/>
      </w:r>
      <w:r>
        <w:rPr>
          <w:rFonts w:hint="eastAsia"/>
        </w:rPr>
        <w:t>5.2 深化设计</w:t>
      </w:r>
      <w:r>
        <w:tab/>
      </w:r>
      <w:r>
        <w:fldChar w:fldCharType="begin"/>
      </w:r>
      <w:r>
        <w:instrText xml:space="preserve"> PAGEREF _Toc31583 \h </w:instrText>
      </w:r>
      <w:r>
        <w:fldChar w:fldCharType="separate"/>
      </w:r>
      <w:r>
        <w:t>27</w:t>
      </w:r>
      <w:r>
        <w:fldChar w:fldCharType="end"/>
      </w:r>
      <w:r>
        <w:fldChar w:fldCharType="end"/>
      </w:r>
    </w:p>
    <w:p w14:paraId="666C270B">
      <w:pPr>
        <w:pStyle w:val="9"/>
        <w:tabs>
          <w:tab w:val="right" w:leader="dot" w:pos="8306"/>
        </w:tabs>
        <w:ind w:left="480"/>
      </w:pPr>
      <w:r>
        <w:fldChar w:fldCharType="begin"/>
      </w:r>
      <w:r>
        <w:instrText xml:space="preserve"> HYPERLINK \l "_Toc20859" </w:instrText>
      </w:r>
      <w:r>
        <w:fldChar w:fldCharType="separate"/>
      </w:r>
      <w:r>
        <w:rPr>
          <w:rFonts w:hint="eastAsia" w:cs="宋体"/>
          <w:bCs/>
          <w:szCs w:val="28"/>
        </w:rPr>
        <w:t>5.3</w:t>
      </w:r>
      <w:r>
        <w:rPr>
          <w:rFonts w:hint="eastAsia" w:cs="宋体"/>
          <w:szCs w:val="28"/>
        </w:rPr>
        <w:t xml:space="preserve"> </w:t>
      </w:r>
      <w:r>
        <w:rPr>
          <w:rFonts w:hint="eastAsia" w:cs="宋体"/>
          <w:bCs/>
          <w:szCs w:val="28"/>
        </w:rPr>
        <w:t>模 具</w:t>
      </w:r>
      <w:r>
        <w:tab/>
      </w:r>
      <w:r>
        <w:fldChar w:fldCharType="begin"/>
      </w:r>
      <w:r>
        <w:instrText xml:space="preserve"> PAGEREF _Toc20859 \h </w:instrText>
      </w:r>
      <w:r>
        <w:fldChar w:fldCharType="separate"/>
      </w:r>
      <w:r>
        <w:t>28</w:t>
      </w:r>
      <w:r>
        <w:fldChar w:fldCharType="end"/>
      </w:r>
      <w:r>
        <w:fldChar w:fldCharType="end"/>
      </w:r>
    </w:p>
    <w:p w14:paraId="5E22BE77">
      <w:pPr>
        <w:pStyle w:val="9"/>
        <w:tabs>
          <w:tab w:val="right" w:leader="dot" w:pos="8306"/>
        </w:tabs>
        <w:ind w:left="480"/>
      </w:pPr>
      <w:r>
        <w:fldChar w:fldCharType="begin"/>
      </w:r>
      <w:r>
        <w:instrText xml:space="preserve"> HYPERLINK \l "_Toc6879" </w:instrText>
      </w:r>
      <w:r>
        <w:fldChar w:fldCharType="separate"/>
      </w:r>
      <w:r>
        <w:rPr>
          <w:rFonts w:hint="eastAsia" w:cs="宋体"/>
          <w:bCs/>
          <w:szCs w:val="28"/>
        </w:rPr>
        <w:t>5.4</w:t>
      </w:r>
      <w:r>
        <w:rPr>
          <w:rFonts w:hint="eastAsia" w:cs="宋体"/>
          <w:szCs w:val="28"/>
        </w:rPr>
        <w:t xml:space="preserve"> </w:t>
      </w:r>
      <w:r>
        <w:rPr>
          <w:rFonts w:hint="eastAsia" w:cs="宋体"/>
          <w:bCs/>
          <w:szCs w:val="28"/>
        </w:rPr>
        <w:t>预制底板制作</w:t>
      </w:r>
      <w:r>
        <w:tab/>
      </w:r>
      <w:r>
        <w:fldChar w:fldCharType="begin"/>
      </w:r>
      <w:r>
        <w:instrText xml:space="preserve"> PAGEREF _Toc6879 \h </w:instrText>
      </w:r>
      <w:r>
        <w:fldChar w:fldCharType="separate"/>
      </w:r>
      <w:r>
        <w:t>29</w:t>
      </w:r>
      <w:r>
        <w:fldChar w:fldCharType="end"/>
      </w:r>
      <w:r>
        <w:fldChar w:fldCharType="end"/>
      </w:r>
    </w:p>
    <w:p w14:paraId="75F1C387">
      <w:pPr>
        <w:pStyle w:val="9"/>
        <w:tabs>
          <w:tab w:val="right" w:leader="dot" w:pos="8306"/>
        </w:tabs>
        <w:ind w:left="480"/>
      </w:pPr>
      <w:r>
        <w:fldChar w:fldCharType="begin"/>
      </w:r>
      <w:r>
        <w:instrText xml:space="preserve"> HYPERLINK \l "_Toc6527" </w:instrText>
      </w:r>
      <w:r>
        <w:fldChar w:fldCharType="separate"/>
      </w:r>
      <w:r>
        <w:rPr>
          <w:rFonts w:hint="eastAsia" w:cs="宋体"/>
          <w:bCs/>
          <w:szCs w:val="28"/>
        </w:rPr>
        <w:t>5.5</w:t>
      </w:r>
      <w:r>
        <w:rPr>
          <w:rFonts w:hint="eastAsia" w:cs="宋体"/>
          <w:szCs w:val="28"/>
        </w:rPr>
        <w:t xml:space="preserve"> </w:t>
      </w:r>
      <w:r>
        <w:rPr>
          <w:rFonts w:hint="eastAsia" w:cs="宋体"/>
          <w:bCs/>
          <w:szCs w:val="28"/>
        </w:rPr>
        <w:t>预制底板运输与堆放</w:t>
      </w:r>
      <w:r>
        <w:tab/>
      </w:r>
      <w:r>
        <w:fldChar w:fldCharType="begin"/>
      </w:r>
      <w:r>
        <w:instrText xml:space="preserve"> PAGEREF _Toc6527 \h </w:instrText>
      </w:r>
      <w:r>
        <w:fldChar w:fldCharType="separate"/>
      </w:r>
      <w:r>
        <w:t>31</w:t>
      </w:r>
      <w:r>
        <w:fldChar w:fldCharType="end"/>
      </w:r>
      <w:r>
        <w:fldChar w:fldCharType="end"/>
      </w:r>
    </w:p>
    <w:p w14:paraId="56E70C40">
      <w:pPr>
        <w:pStyle w:val="9"/>
        <w:tabs>
          <w:tab w:val="right" w:leader="dot" w:pos="8306"/>
        </w:tabs>
        <w:ind w:left="480"/>
      </w:pPr>
      <w:r>
        <w:fldChar w:fldCharType="begin"/>
      </w:r>
      <w:r>
        <w:instrText xml:space="preserve"> HYPERLINK \l "_Toc4970" </w:instrText>
      </w:r>
      <w:r>
        <w:fldChar w:fldCharType="separate"/>
      </w:r>
      <w:r>
        <w:rPr>
          <w:rFonts w:hint="eastAsia"/>
        </w:rPr>
        <w:t>5.6 质量检查与检验</w:t>
      </w:r>
      <w:r>
        <w:tab/>
      </w:r>
      <w:r>
        <w:fldChar w:fldCharType="begin"/>
      </w:r>
      <w:r>
        <w:instrText xml:space="preserve"> PAGEREF _Toc4970 \h </w:instrText>
      </w:r>
      <w:r>
        <w:fldChar w:fldCharType="separate"/>
      </w:r>
      <w:r>
        <w:t>31</w:t>
      </w:r>
      <w:r>
        <w:fldChar w:fldCharType="end"/>
      </w:r>
      <w:r>
        <w:fldChar w:fldCharType="end"/>
      </w:r>
    </w:p>
    <w:p w14:paraId="78CDD6FA">
      <w:pPr>
        <w:pStyle w:val="8"/>
        <w:tabs>
          <w:tab w:val="right" w:leader="dot" w:pos="8306"/>
        </w:tabs>
      </w:pPr>
      <w:r>
        <w:fldChar w:fldCharType="begin"/>
      </w:r>
      <w:r>
        <w:instrText xml:space="preserve"> HYPERLINK \l "_Toc29107" </w:instrText>
      </w:r>
      <w:r>
        <w:fldChar w:fldCharType="separate"/>
      </w:r>
      <w:r>
        <w:rPr>
          <w:rFonts w:hint="eastAsia" w:cs="宋体"/>
          <w:bCs/>
          <w:szCs w:val="36"/>
        </w:rPr>
        <w:t>6</w:t>
      </w:r>
      <w:r>
        <w:rPr>
          <w:rFonts w:hint="eastAsia" w:cs="宋体"/>
          <w:szCs w:val="36"/>
        </w:rPr>
        <w:t xml:space="preserve"> </w:t>
      </w:r>
      <w:r>
        <w:rPr>
          <w:rFonts w:hint="eastAsia" w:cs="宋体"/>
          <w:bCs/>
          <w:szCs w:val="36"/>
        </w:rPr>
        <w:t>施工与验收</w:t>
      </w:r>
      <w:r>
        <w:tab/>
      </w:r>
      <w:r>
        <w:fldChar w:fldCharType="begin"/>
      </w:r>
      <w:r>
        <w:instrText xml:space="preserve"> PAGEREF _Toc29107 \h </w:instrText>
      </w:r>
      <w:r>
        <w:fldChar w:fldCharType="separate"/>
      </w:r>
      <w:r>
        <w:t>36</w:t>
      </w:r>
      <w:r>
        <w:fldChar w:fldCharType="end"/>
      </w:r>
      <w:r>
        <w:fldChar w:fldCharType="end"/>
      </w:r>
    </w:p>
    <w:p w14:paraId="0BBD2BF6">
      <w:pPr>
        <w:pStyle w:val="9"/>
        <w:tabs>
          <w:tab w:val="right" w:leader="dot" w:pos="8306"/>
        </w:tabs>
        <w:ind w:left="480"/>
      </w:pPr>
      <w:r>
        <w:fldChar w:fldCharType="begin"/>
      </w:r>
      <w:r>
        <w:instrText xml:space="preserve"> HYPERLINK \l "_Toc10859" </w:instrText>
      </w:r>
      <w:r>
        <w:fldChar w:fldCharType="separate"/>
      </w:r>
      <w:r>
        <w:rPr>
          <w:rFonts w:hint="eastAsia" w:cs="宋体"/>
          <w:bCs/>
          <w:szCs w:val="28"/>
        </w:rPr>
        <w:t>6.1</w:t>
      </w:r>
      <w:r>
        <w:rPr>
          <w:rFonts w:hint="eastAsia" w:ascii="黑体" w:eastAsia="黑体" w:cs="黑体"/>
          <w:bCs/>
          <w:szCs w:val="28"/>
        </w:rPr>
        <w:t xml:space="preserve"> </w:t>
      </w:r>
      <w:r>
        <w:rPr>
          <w:rFonts w:hint="eastAsia" w:cs="宋体"/>
          <w:bCs/>
          <w:szCs w:val="28"/>
        </w:rPr>
        <w:t>一般规定</w:t>
      </w:r>
      <w:r>
        <w:tab/>
      </w:r>
      <w:r>
        <w:fldChar w:fldCharType="begin"/>
      </w:r>
      <w:r>
        <w:instrText xml:space="preserve"> PAGEREF _Toc10859 \h </w:instrText>
      </w:r>
      <w:r>
        <w:fldChar w:fldCharType="separate"/>
      </w:r>
      <w:r>
        <w:t>37</w:t>
      </w:r>
      <w:r>
        <w:fldChar w:fldCharType="end"/>
      </w:r>
      <w:r>
        <w:fldChar w:fldCharType="end"/>
      </w:r>
    </w:p>
    <w:p w14:paraId="734C28A6">
      <w:pPr>
        <w:pStyle w:val="9"/>
        <w:tabs>
          <w:tab w:val="right" w:leader="dot" w:pos="8306"/>
        </w:tabs>
        <w:ind w:left="480"/>
      </w:pPr>
      <w:r>
        <w:fldChar w:fldCharType="begin"/>
      </w:r>
      <w:r>
        <w:instrText xml:space="preserve"> HYPERLINK \l "_Toc7805" </w:instrText>
      </w:r>
      <w:r>
        <w:fldChar w:fldCharType="separate"/>
      </w:r>
      <w:r>
        <w:rPr>
          <w:rFonts w:hint="eastAsia" w:cs="宋体"/>
          <w:bCs/>
          <w:szCs w:val="28"/>
        </w:rPr>
        <w:t>6.2</w:t>
      </w:r>
      <w:r>
        <w:rPr>
          <w:rFonts w:hint="eastAsia" w:cs="宋体"/>
          <w:szCs w:val="28"/>
        </w:rPr>
        <w:t xml:space="preserve"> </w:t>
      </w:r>
      <w:r>
        <w:rPr>
          <w:rFonts w:hint="eastAsia" w:cs="宋体"/>
          <w:bCs/>
          <w:szCs w:val="28"/>
        </w:rPr>
        <w:t>预制底板安装准备</w:t>
      </w:r>
      <w:r>
        <w:tab/>
      </w:r>
      <w:r>
        <w:fldChar w:fldCharType="begin"/>
      </w:r>
      <w:r>
        <w:instrText xml:space="preserve"> PAGEREF _Toc7805 \h </w:instrText>
      </w:r>
      <w:r>
        <w:fldChar w:fldCharType="separate"/>
      </w:r>
      <w:r>
        <w:t>37</w:t>
      </w:r>
      <w:r>
        <w:fldChar w:fldCharType="end"/>
      </w:r>
      <w:r>
        <w:fldChar w:fldCharType="end"/>
      </w:r>
    </w:p>
    <w:p w14:paraId="4BC04F8E">
      <w:pPr>
        <w:pStyle w:val="9"/>
        <w:tabs>
          <w:tab w:val="right" w:leader="dot" w:pos="8306"/>
        </w:tabs>
        <w:ind w:left="480"/>
      </w:pPr>
      <w:r>
        <w:fldChar w:fldCharType="begin"/>
      </w:r>
      <w:r>
        <w:instrText xml:space="preserve"> HYPERLINK \l "_Toc23748" </w:instrText>
      </w:r>
      <w:r>
        <w:fldChar w:fldCharType="separate"/>
      </w:r>
      <w:r>
        <w:rPr>
          <w:rFonts w:hint="eastAsia" w:cs="宋体"/>
          <w:bCs/>
          <w:szCs w:val="28"/>
        </w:rPr>
        <w:t>6.3</w:t>
      </w:r>
      <w:r>
        <w:rPr>
          <w:rFonts w:hint="eastAsia" w:ascii="黑体" w:eastAsia="黑体" w:cs="黑体"/>
          <w:szCs w:val="21"/>
        </w:rPr>
        <w:t xml:space="preserve"> </w:t>
      </w:r>
      <w:r>
        <w:rPr>
          <w:rFonts w:hint="eastAsia" w:cs="宋体"/>
          <w:bCs/>
          <w:szCs w:val="28"/>
        </w:rPr>
        <w:t>预制底板安装与连接</w:t>
      </w:r>
      <w:r>
        <w:tab/>
      </w:r>
      <w:r>
        <w:fldChar w:fldCharType="begin"/>
      </w:r>
      <w:r>
        <w:instrText xml:space="preserve"> PAGEREF _Toc23748 \h </w:instrText>
      </w:r>
      <w:r>
        <w:fldChar w:fldCharType="separate"/>
      </w:r>
      <w:r>
        <w:t>37</w:t>
      </w:r>
      <w:r>
        <w:fldChar w:fldCharType="end"/>
      </w:r>
      <w:r>
        <w:fldChar w:fldCharType="end"/>
      </w:r>
    </w:p>
    <w:p w14:paraId="2BB8E01E">
      <w:pPr>
        <w:pStyle w:val="9"/>
        <w:tabs>
          <w:tab w:val="right" w:leader="dot" w:pos="8306"/>
        </w:tabs>
        <w:ind w:left="480"/>
      </w:pPr>
      <w:r>
        <w:fldChar w:fldCharType="begin"/>
      </w:r>
      <w:r>
        <w:instrText xml:space="preserve"> HYPERLINK \l "_Toc13033" </w:instrText>
      </w:r>
      <w:r>
        <w:fldChar w:fldCharType="separate"/>
      </w:r>
      <w:r>
        <w:rPr>
          <w:rFonts w:hint="eastAsia" w:cs="宋体"/>
          <w:bCs/>
          <w:szCs w:val="28"/>
        </w:rPr>
        <w:t>6.4</w:t>
      </w:r>
      <w:r>
        <w:rPr>
          <w:rFonts w:hint="eastAsia" w:ascii="黑体" w:eastAsia="黑体" w:cs="黑体"/>
          <w:szCs w:val="21"/>
        </w:rPr>
        <w:t xml:space="preserve"> </w:t>
      </w:r>
      <w:r>
        <w:rPr>
          <w:rFonts w:hint="eastAsia" w:cs="宋体"/>
          <w:bCs/>
          <w:szCs w:val="28"/>
        </w:rPr>
        <w:t>混凝土浇筑</w:t>
      </w:r>
      <w:r>
        <w:tab/>
      </w:r>
      <w:r>
        <w:fldChar w:fldCharType="begin"/>
      </w:r>
      <w:r>
        <w:instrText xml:space="preserve"> PAGEREF _Toc13033 \h </w:instrText>
      </w:r>
      <w:r>
        <w:fldChar w:fldCharType="separate"/>
      </w:r>
      <w:r>
        <w:t>38</w:t>
      </w:r>
      <w:r>
        <w:fldChar w:fldCharType="end"/>
      </w:r>
      <w:r>
        <w:fldChar w:fldCharType="end"/>
      </w:r>
    </w:p>
    <w:p w14:paraId="6E7A9718">
      <w:pPr>
        <w:pStyle w:val="9"/>
        <w:tabs>
          <w:tab w:val="right" w:leader="dot" w:pos="8306"/>
        </w:tabs>
        <w:ind w:left="480"/>
      </w:pPr>
      <w:r>
        <w:fldChar w:fldCharType="begin"/>
      </w:r>
      <w:r>
        <w:instrText xml:space="preserve"> HYPERLINK \l "_Toc7233" </w:instrText>
      </w:r>
      <w:r>
        <w:fldChar w:fldCharType="separate"/>
      </w:r>
      <w:r>
        <w:rPr>
          <w:rFonts w:hint="eastAsia" w:cs="宋体"/>
          <w:bCs/>
          <w:szCs w:val="28"/>
        </w:rPr>
        <w:t>6.5</w:t>
      </w:r>
      <w:r>
        <w:rPr>
          <w:rFonts w:hint="eastAsia" w:ascii="黑体" w:eastAsia="黑体" w:cs="黑体"/>
          <w:szCs w:val="21"/>
        </w:rPr>
        <w:t xml:space="preserve"> </w:t>
      </w:r>
      <w:r>
        <w:rPr>
          <w:rFonts w:hint="eastAsia" w:cs="宋体"/>
          <w:bCs/>
          <w:szCs w:val="28"/>
        </w:rPr>
        <w:t>质量验收</w:t>
      </w:r>
      <w:r>
        <w:tab/>
      </w:r>
      <w:r>
        <w:fldChar w:fldCharType="begin"/>
      </w:r>
      <w:r>
        <w:instrText xml:space="preserve"> PAGEREF _Toc7233 \h </w:instrText>
      </w:r>
      <w:r>
        <w:fldChar w:fldCharType="separate"/>
      </w:r>
      <w:r>
        <w:t>39</w:t>
      </w:r>
      <w:r>
        <w:fldChar w:fldCharType="end"/>
      </w:r>
      <w:r>
        <w:fldChar w:fldCharType="end"/>
      </w:r>
    </w:p>
    <w:p w14:paraId="70035666">
      <w:pPr>
        <w:pStyle w:val="8"/>
        <w:tabs>
          <w:tab w:val="right" w:leader="dot" w:pos="8306"/>
        </w:tabs>
        <w:sectPr>
          <w:footerReference r:id="rId7" w:type="default"/>
          <w:pgSz w:w="11906" w:h="16838"/>
          <w:pgMar w:top="1440" w:right="1800" w:bottom="1440" w:left="1800" w:header="851" w:footer="992" w:gutter="0"/>
          <w:cols w:space="425" w:num="1"/>
          <w:docGrid w:type="lines" w:linePitch="312" w:charSpace="0"/>
        </w:sectPr>
      </w:pPr>
    </w:p>
    <w:p w14:paraId="4B16696F">
      <w:pPr>
        <w:pStyle w:val="8"/>
        <w:tabs>
          <w:tab w:val="right" w:leader="dot" w:pos="8306"/>
        </w:tabs>
      </w:pPr>
      <w:r>
        <w:fldChar w:fldCharType="begin"/>
      </w:r>
      <w:r>
        <w:instrText xml:space="preserve"> HYPERLINK \l "_Toc209" </w:instrText>
      </w:r>
      <w:r>
        <w:fldChar w:fldCharType="separate"/>
      </w:r>
      <w:r>
        <w:rPr>
          <w:rFonts w:hint="eastAsia" w:cs="宋体"/>
          <w:bCs/>
          <w:szCs w:val="36"/>
        </w:rPr>
        <w:t>本导则用词说明</w:t>
      </w:r>
      <w:r>
        <w:tab/>
      </w:r>
      <w:r>
        <w:fldChar w:fldCharType="begin"/>
      </w:r>
      <w:r>
        <w:instrText xml:space="preserve"> PAGEREF _Toc209 \h </w:instrText>
      </w:r>
      <w:r>
        <w:fldChar w:fldCharType="separate"/>
      </w:r>
      <w:r>
        <w:t>43</w:t>
      </w:r>
      <w:r>
        <w:fldChar w:fldCharType="end"/>
      </w:r>
      <w:r>
        <w:fldChar w:fldCharType="end"/>
      </w:r>
    </w:p>
    <w:p w14:paraId="35D7B432">
      <w:pPr>
        <w:pStyle w:val="8"/>
        <w:tabs>
          <w:tab w:val="right" w:leader="dot" w:pos="8306"/>
        </w:tabs>
      </w:pPr>
      <w:r>
        <w:fldChar w:fldCharType="begin"/>
      </w:r>
      <w:r>
        <w:instrText xml:space="preserve"> HYPERLINK \l "_Toc1419" </w:instrText>
      </w:r>
      <w:r>
        <w:fldChar w:fldCharType="separate"/>
      </w:r>
      <w:r>
        <w:rPr>
          <w:rFonts w:hint="eastAsia"/>
        </w:rPr>
        <w:t>引用标准目录</w:t>
      </w:r>
      <w:r>
        <w:tab/>
      </w:r>
      <w:r>
        <w:fldChar w:fldCharType="begin"/>
      </w:r>
      <w:r>
        <w:instrText xml:space="preserve"> PAGEREF _Toc1419 \h </w:instrText>
      </w:r>
      <w:r>
        <w:fldChar w:fldCharType="separate"/>
      </w:r>
      <w:r>
        <w:t>44</w:t>
      </w:r>
      <w:r>
        <w:fldChar w:fldCharType="end"/>
      </w:r>
      <w:r>
        <w:fldChar w:fldCharType="end"/>
      </w:r>
    </w:p>
    <w:p w14:paraId="2F28B915">
      <w:r>
        <w:rPr>
          <w:rFonts w:hint="eastAsia"/>
        </w:rPr>
        <w:fldChar w:fldCharType="end"/>
      </w:r>
    </w:p>
    <w:p w14:paraId="48512914"/>
    <w:p w14:paraId="6CA1C4EC"/>
    <w:p w14:paraId="150C77B7"/>
    <w:p w14:paraId="1A596333"/>
    <w:p w14:paraId="723F6C72"/>
    <w:p w14:paraId="06305837"/>
    <w:p w14:paraId="07B4E0C5"/>
    <w:p w14:paraId="411F8E2E"/>
    <w:p w14:paraId="729E3F6B"/>
    <w:p w14:paraId="3BF3DB5D"/>
    <w:p w14:paraId="1533636B"/>
    <w:p w14:paraId="6F79B12C"/>
    <w:p w14:paraId="2A8ED2C2"/>
    <w:p w14:paraId="44381400"/>
    <w:p w14:paraId="36640E54"/>
    <w:p w14:paraId="37868D8C"/>
    <w:p w14:paraId="3FF11651"/>
    <w:p w14:paraId="1EF1EED4"/>
    <w:p w14:paraId="426406D8"/>
    <w:p w14:paraId="12675F6B"/>
    <w:p w14:paraId="22C44245"/>
    <w:p w14:paraId="5E2F25F5"/>
    <w:p w14:paraId="51D0207D"/>
    <w:p w14:paraId="387B383F"/>
    <w:p w14:paraId="6A29A4BF"/>
    <w:p w14:paraId="5AA227C0"/>
    <w:p w14:paraId="19DBCDF7"/>
    <w:p w14:paraId="20792EB6">
      <w:pPr>
        <w:pStyle w:val="2"/>
        <w:sectPr>
          <w:footerReference r:id="rId8" w:type="default"/>
          <w:pgSz w:w="11906" w:h="16838"/>
          <w:pgMar w:top="1440" w:right="1800" w:bottom="1440" w:left="1800" w:header="851" w:footer="992" w:gutter="0"/>
          <w:cols w:space="425" w:num="1"/>
          <w:docGrid w:type="lines" w:linePitch="312" w:charSpace="0"/>
        </w:sectPr>
      </w:pPr>
    </w:p>
    <w:p w14:paraId="6401B583">
      <w:pPr>
        <w:pStyle w:val="2"/>
      </w:pPr>
      <w:r>
        <w:rPr>
          <w:rFonts w:hint="eastAsia"/>
        </w:rPr>
        <w:t>Contents</w:t>
      </w:r>
    </w:p>
    <w:p w14:paraId="309D41AD">
      <w:pPr>
        <w:pStyle w:val="8"/>
        <w:tabs>
          <w:tab w:val="right" w:leader="dot" w:pos="8306"/>
        </w:tabs>
      </w:pPr>
      <w:r>
        <w:rPr>
          <w:rFonts w:hint="eastAsia"/>
        </w:rPr>
        <w:fldChar w:fldCharType="begin"/>
      </w:r>
      <w:r>
        <w:rPr>
          <w:rFonts w:hint="eastAsia"/>
        </w:rPr>
        <w:instrText xml:space="preserve">TOC \o "1-2" \h \u </w:instrText>
      </w:r>
      <w:r>
        <w:rPr>
          <w:rFonts w:hint="eastAsia"/>
        </w:rPr>
        <w:fldChar w:fldCharType="separate"/>
      </w:r>
      <w:r>
        <w:fldChar w:fldCharType="begin"/>
      </w:r>
      <w:r>
        <w:instrText xml:space="preserve"> HYPERLINK \l "_Toc10910" </w:instrText>
      </w:r>
      <w:r>
        <w:fldChar w:fldCharType="separate"/>
      </w:r>
      <w:r>
        <w:rPr>
          <w:rFonts w:hint="eastAsia" w:cs="宋体"/>
          <w:bCs/>
          <w:szCs w:val="36"/>
        </w:rPr>
        <w:t>1</w:t>
      </w:r>
      <w:r>
        <w:rPr>
          <w:rFonts w:hint="eastAsia" w:cs="宋体"/>
          <w:szCs w:val="36"/>
        </w:rPr>
        <w:t xml:space="preserve"> </w:t>
      </w:r>
      <w:r>
        <w:rPr>
          <w:rFonts w:hint="eastAsia"/>
        </w:rPr>
        <w:t>General provisions</w:t>
      </w:r>
      <w:r>
        <w:tab/>
      </w:r>
      <w:r>
        <w:fldChar w:fldCharType="begin"/>
      </w:r>
      <w:r>
        <w:instrText xml:space="preserve"> PAGEREF _Toc10910 \h </w:instrText>
      </w:r>
      <w:r>
        <w:fldChar w:fldCharType="separate"/>
      </w:r>
      <w:r>
        <w:t>7</w:t>
      </w:r>
      <w:r>
        <w:fldChar w:fldCharType="end"/>
      </w:r>
      <w:r>
        <w:fldChar w:fldCharType="end"/>
      </w:r>
    </w:p>
    <w:p w14:paraId="1BED5095">
      <w:pPr>
        <w:pStyle w:val="8"/>
        <w:tabs>
          <w:tab w:val="right" w:leader="dot" w:pos="8306"/>
        </w:tabs>
      </w:pPr>
      <w:r>
        <w:fldChar w:fldCharType="begin"/>
      </w:r>
      <w:r>
        <w:instrText xml:space="preserve"> HYPERLINK \l "_Toc9780" </w:instrText>
      </w:r>
      <w:r>
        <w:fldChar w:fldCharType="separate"/>
      </w:r>
      <w:r>
        <w:rPr>
          <w:rFonts w:hint="eastAsia"/>
        </w:rPr>
        <w:t>2 Terms and symbols</w:t>
      </w:r>
      <w:r>
        <w:tab/>
      </w:r>
      <w:r>
        <w:fldChar w:fldCharType="begin"/>
      </w:r>
      <w:r>
        <w:instrText xml:space="preserve"> PAGEREF _Toc9780 \h </w:instrText>
      </w:r>
      <w:r>
        <w:fldChar w:fldCharType="separate"/>
      </w:r>
      <w:r>
        <w:t>2</w:t>
      </w:r>
      <w:r>
        <w:fldChar w:fldCharType="end"/>
      </w:r>
      <w:r>
        <w:fldChar w:fldCharType="end"/>
      </w:r>
    </w:p>
    <w:p w14:paraId="7A392996">
      <w:pPr>
        <w:pStyle w:val="9"/>
        <w:tabs>
          <w:tab w:val="right" w:leader="dot" w:pos="8306"/>
        </w:tabs>
        <w:ind w:left="480"/>
      </w:pPr>
      <w:r>
        <w:fldChar w:fldCharType="begin"/>
      </w:r>
      <w:r>
        <w:instrText xml:space="preserve"> HYPERLINK \l "_Toc14421" </w:instrText>
      </w:r>
      <w:r>
        <w:fldChar w:fldCharType="separate"/>
      </w:r>
      <w:r>
        <w:rPr>
          <w:rFonts w:hint="eastAsia"/>
        </w:rPr>
        <w:t>2.1 Terms</w:t>
      </w:r>
      <w:r>
        <w:tab/>
      </w:r>
      <w:r>
        <w:fldChar w:fldCharType="begin"/>
      </w:r>
      <w:r>
        <w:instrText xml:space="preserve"> PAGEREF _Toc14421 \h </w:instrText>
      </w:r>
      <w:r>
        <w:fldChar w:fldCharType="separate"/>
      </w:r>
      <w:r>
        <w:t>2</w:t>
      </w:r>
      <w:r>
        <w:fldChar w:fldCharType="end"/>
      </w:r>
      <w:r>
        <w:fldChar w:fldCharType="end"/>
      </w:r>
    </w:p>
    <w:p w14:paraId="7DFD47F0">
      <w:pPr>
        <w:pStyle w:val="9"/>
        <w:tabs>
          <w:tab w:val="right" w:leader="dot" w:pos="8306"/>
        </w:tabs>
        <w:ind w:left="480"/>
      </w:pPr>
      <w:r>
        <w:fldChar w:fldCharType="begin"/>
      </w:r>
      <w:r>
        <w:instrText xml:space="preserve"> HYPERLINK \l "_Toc9525" </w:instrText>
      </w:r>
      <w:r>
        <w:fldChar w:fldCharType="separate"/>
      </w:r>
      <w:r>
        <w:rPr>
          <w:rFonts w:hint="eastAsia"/>
        </w:rPr>
        <w:t>2.2 Symbols</w:t>
      </w:r>
      <w:r>
        <w:tab/>
      </w:r>
      <w:r>
        <w:fldChar w:fldCharType="begin"/>
      </w:r>
      <w:r>
        <w:instrText xml:space="preserve"> PAGEREF _Toc9525 \h </w:instrText>
      </w:r>
      <w:r>
        <w:fldChar w:fldCharType="separate"/>
      </w:r>
      <w:r>
        <w:t>4</w:t>
      </w:r>
      <w:r>
        <w:fldChar w:fldCharType="end"/>
      </w:r>
      <w:r>
        <w:fldChar w:fldCharType="end"/>
      </w:r>
    </w:p>
    <w:p w14:paraId="78BDCA7B">
      <w:pPr>
        <w:pStyle w:val="8"/>
        <w:tabs>
          <w:tab w:val="right" w:leader="dot" w:pos="8306"/>
        </w:tabs>
      </w:pPr>
      <w:r>
        <w:fldChar w:fldCharType="begin"/>
      </w:r>
      <w:r>
        <w:instrText xml:space="preserve"> HYPERLINK \l "_Toc7927" </w:instrText>
      </w:r>
      <w:r>
        <w:fldChar w:fldCharType="separate"/>
      </w:r>
      <w:r>
        <w:rPr>
          <w:rFonts w:hint="eastAsia"/>
        </w:rPr>
        <w:t>3 Materials</w:t>
      </w:r>
      <w:r>
        <w:tab/>
      </w:r>
      <w:r>
        <w:fldChar w:fldCharType="begin"/>
      </w:r>
      <w:r>
        <w:instrText xml:space="preserve"> PAGEREF _Toc7927 \h </w:instrText>
      </w:r>
      <w:r>
        <w:fldChar w:fldCharType="separate"/>
      </w:r>
      <w:r>
        <w:t>6</w:t>
      </w:r>
      <w:r>
        <w:fldChar w:fldCharType="end"/>
      </w:r>
      <w:r>
        <w:fldChar w:fldCharType="end"/>
      </w:r>
    </w:p>
    <w:p w14:paraId="240DBA1C">
      <w:pPr>
        <w:pStyle w:val="9"/>
        <w:tabs>
          <w:tab w:val="right" w:leader="dot" w:pos="8306"/>
        </w:tabs>
        <w:ind w:left="480"/>
      </w:pPr>
      <w:r>
        <w:fldChar w:fldCharType="begin"/>
      </w:r>
      <w:r>
        <w:instrText xml:space="preserve"> HYPERLINK \l "_Toc12798" </w:instrText>
      </w:r>
      <w:r>
        <w:fldChar w:fldCharType="separate"/>
      </w:r>
      <w:r>
        <w:rPr>
          <w:rFonts w:hint="eastAsia"/>
        </w:rPr>
        <w:t>3.1 Concrete</w:t>
      </w:r>
      <w:r>
        <w:tab/>
      </w:r>
      <w:r>
        <w:fldChar w:fldCharType="begin"/>
      </w:r>
      <w:r>
        <w:instrText xml:space="preserve"> PAGEREF _Toc12798 \h </w:instrText>
      </w:r>
      <w:r>
        <w:fldChar w:fldCharType="separate"/>
      </w:r>
      <w:r>
        <w:t>6</w:t>
      </w:r>
      <w:r>
        <w:fldChar w:fldCharType="end"/>
      </w:r>
      <w:r>
        <w:fldChar w:fldCharType="end"/>
      </w:r>
    </w:p>
    <w:p w14:paraId="3DA98D87">
      <w:pPr>
        <w:pStyle w:val="9"/>
        <w:tabs>
          <w:tab w:val="right" w:leader="dot" w:pos="8306"/>
        </w:tabs>
        <w:ind w:left="480"/>
      </w:pPr>
      <w:r>
        <w:fldChar w:fldCharType="begin"/>
      </w:r>
      <w:r>
        <w:instrText xml:space="preserve"> HYPERLINK \l "_Toc29623" </w:instrText>
      </w:r>
      <w:r>
        <w:fldChar w:fldCharType="separate"/>
      </w:r>
      <w:r>
        <w:rPr>
          <w:rFonts w:hint="eastAsia" w:cs="宋体"/>
          <w:bCs/>
          <w:szCs w:val="28"/>
        </w:rPr>
        <w:t>3.2</w:t>
      </w:r>
      <w:r>
        <w:rPr>
          <w:rFonts w:hint="eastAsia" w:ascii="黑体" w:eastAsia="黑体" w:cs="黑体"/>
          <w:szCs w:val="28"/>
        </w:rPr>
        <w:t xml:space="preserve"> </w:t>
      </w:r>
      <w:r>
        <w:rPr>
          <w:rFonts w:hint="eastAsia"/>
        </w:rPr>
        <w:t>Structural Reinforcement and steel</w:t>
      </w:r>
      <w:r>
        <w:tab/>
      </w:r>
      <w:r>
        <w:fldChar w:fldCharType="begin"/>
      </w:r>
      <w:r>
        <w:instrText xml:space="preserve"> PAGEREF _Toc29623 \h </w:instrText>
      </w:r>
      <w:r>
        <w:fldChar w:fldCharType="separate"/>
      </w:r>
      <w:r>
        <w:t>6</w:t>
      </w:r>
      <w:r>
        <w:fldChar w:fldCharType="end"/>
      </w:r>
      <w:r>
        <w:fldChar w:fldCharType="end"/>
      </w:r>
    </w:p>
    <w:p w14:paraId="2CA74737">
      <w:pPr>
        <w:pStyle w:val="9"/>
        <w:tabs>
          <w:tab w:val="right" w:leader="dot" w:pos="8306"/>
        </w:tabs>
        <w:ind w:left="480"/>
      </w:pPr>
      <w:r>
        <w:fldChar w:fldCharType="begin"/>
      </w:r>
      <w:r>
        <w:instrText xml:space="preserve"> HYPERLINK \l "_Toc2832" </w:instrText>
      </w:r>
      <w:r>
        <w:fldChar w:fldCharType="separate"/>
      </w:r>
      <w:r>
        <w:rPr>
          <w:rFonts w:hint="eastAsia" w:cs="宋体"/>
          <w:bCs/>
          <w:szCs w:val="28"/>
        </w:rPr>
        <w:t>3.3</w:t>
      </w:r>
      <w:r>
        <w:rPr>
          <w:rFonts w:hint="eastAsia" w:cs="宋体"/>
          <w:szCs w:val="28"/>
        </w:rPr>
        <w:t xml:space="preserve"> </w:t>
      </w:r>
      <w:r>
        <w:rPr>
          <w:rFonts w:hint="eastAsia"/>
        </w:rPr>
        <w:t>Lattice girder</w:t>
      </w:r>
      <w:r>
        <w:tab/>
      </w:r>
      <w:r>
        <w:fldChar w:fldCharType="begin"/>
      </w:r>
      <w:r>
        <w:instrText xml:space="preserve"> PAGEREF _Toc2832 \h </w:instrText>
      </w:r>
      <w:r>
        <w:fldChar w:fldCharType="separate"/>
      </w:r>
      <w:r>
        <w:t>7</w:t>
      </w:r>
      <w:r>
        <w:fldChar w:fldCharType="end"/>
      </w:r>
      <w:r>
        <w:fldChar w:fldCharType="end"/>
      </w:r>
    </w:p>
    <w:p w14:paraId="2863D449">
      <w:pPr>
        <w:pStyle w:val="9"/>
        <w:tabs>
          <w:tab w:val="right" w:leader="dot" w:pos="8306"/>
        </w:tabs>
        <w:ind w:left="480"/>
      </w:pPr>
      <w:r>
        <w:fldChar w:fldCharType="begin"/>
      </w:r>
      <w:r>
        <w:instrText xml:space="preserve"> HYPERLINK \l "_Toc2217" </w:instrText>
      </w:r>
      <w:r>
        <w:fldChar w:fldCharType="separate"/>
      </w:r>
      <w:r>
        <w:rPr>
          <w:rFonts w:hint="eastAsia"/>
        </w:rPr>
        <w:t>3.4 Other materials</w:t>
      </w:r>
      <w:r>
        <w:tab/>
      </w:r>
      <w:r>
        <w:fldChar w:fldCharType="begin"/>
      </w:r>
      <w:r>
        <w:instrText xml:space="preserve"> PAGEREF _Toc2217 \h </w:instrText>
      </w:r>
      <w:r>
        <w:fldChar w:fldCharType="separate"/>
      </w:r>
      <w:r>
        <w:t>7</w:t>
      </w:r>
      <w:r>
        <w:fldChar w:fldCharType="end"/>
      </w:r>
      <w:r>
        <w:fldChar w:fldCharType="end"/>
      </w:r>
    </w:p>
    <w:p w14:paraId="18D3BD0E">
      <w:pPr>
        <w:pStyle w:val="8"/>
        <w:tabs>
          <w:tab w:val="right" w:leader="dot" w:pos="8306"/>
        </w:tabs>
      </w:pPr>
      <w:r>
        <w:fldChar w:fldCharType="begin"/>
      </w:r>
      <w:r>
        <w:instrText xml:space="preserve"> HYPERLINK \l "_Toc31078" </w:instrText>
      </w:r>
      <w:r>
        <w:fldChar w:fldCharType="separate"/>
      </w:r>
      <w:r>
        <w:rPr>
          <w:rFonts w:hint="eastAsia" w:cs="宋体"/>
          <w:bCs/>
          <w:szCs w:val="36"/>
        </w:rPr>
        <w:t>4</w:t>
      </w:r>
      <w:r>
        <w:rPr>
          <w:rFonts w:hint="eastAsia" w:cs="宋体"/>
          <w:szCs w:val="36"/>
        </w:rPr>
        <w:t xml:space="preserve"> Structual Design</w:t>
      </w:r>
      <w:r>
        <w:tab/>
      </w:r>
      <w:r>
        <w:fldChar w:fldCharType="begin"/>
      </w:r>
      <w:r>
        <w:instrText xml:space="preserve"> PAGEREF _Toc31078 \h </w:instrText>
      </w:r>
      <w:r>
        <w:fldChar w:fldCharType="separate"/>
      </w:r>
      <w:r>
        <w:t>9</w:t>
      </w:r>
      <w:r>
        <w:fldChar w:fldCharType="end"/>
      </w:r>
      <w:r>
        <w:fldChar w:fldCharType="end"/>
      </w:r>
    </w:p>
    <w:p w14:paraId="0E086EF9">
      <w:pPr>
        <w:pStyle w:val="9"/>
        <w:tabs>
          <w:tab w:val="right" w:leader="dot" w:pos="8306"/>
        </w:tabs>
        <w:ind w:left="480"/>
      </w:pPr>
      <w:r>
        <w:fldChar w:fldCharType="begin"/>
      </w:r>
      <w:r>
        <w:instrText xml:space="preserve"> HYPERLINK \l "_Toc3395" </w:instrText>
      </w:r>
      <w:r>
        <w:fldChar w:fldCharType="separate"/>
      </w:r>
      <w:r>
        <w:rPr>
          <w:rFonts w:hint="eastAsia" w:cs="宋体"/>
          <w:bCs/>
          <w:szCs w:val="28"/>
        </w:rPr>
        <w:t>4.1</w:t>
      </w:r>
      <w:r>
        <w:rPr>
          <w:rFonts w:hint="eastAsia" w:ascii="黑体" w:eastAsia="黑体" w:cs="黑体"/>
          <w:szCs w:val="28"/>
        </w:rPr>
        <w:t xml:space="preserve"> </w:t>
      </w:r>
      <w:r>
        <w:rPr>
          <w:rFonts w:hint="eastAsia"/>
        </w:rPr>
        <w:t>General requirements</w:t>
      </w:r>
      <w:r>
        <w:tab/>
      </w:r>
      <w:r>
        <w:fldChar w:fldCharType="begin"/>
      </w:r>
      <w:r>
        <w:instrText xml:space="preserve"> PAGEREF _Toc3395 \h </w:instrText>
      </w:r>
      <w:r>
        <w:fldChar w:fldCharType="separate"/>
      </w:r>
      <w:r>
        <w:t>9</w:t>
      </w:r>
      <w:r>
        <w:fldChar w:fldCharType="end"/>
      </w:r>
      <w:r>
        <w:fldChar w:fldCharType="end"/>
      </w:r>
    </w:p>
    <w:p w14:paraId="7495F25D">
      <w:pPr>
        <w:pStyle w:val="9"/>
        <w:tabs>
          <w:tab w:val="right" w:leader="dot" w:pos="8306"/>
        </w:tabs>
        <w:ind w:left="480"/>
      </w:pPr>
      <w:r>
        <w:fldChar w:fldCharType="begin"/>
      </w:r>
      <w:r>
        <w:instrText xml:space="preserve"> HYPERLINK \l "_Toc30558" </w:instrText>
      </w:r>
      <w:r>
        <w:fldChar w:fldCharType="separate"/>
      </w:r>
      <w:r>
        <w:rPr>
          <w:rFonts w:hint="eastAsia" w:cs="宋体"/>
          <w:bCs/>
          <w:szCs w:val="28"/>
        </w:rPr>
        <w:t>4.2</w:t>
      </w:r>
      <w:r>
        <w:rPr>
          <w:rFonts w:hint="eastAsia" w:ascii="黑体" w:eastAsia="黑体" w:cs="黑体"/>
          <w:szCs w:val="28"/>
        </w:rPr>
        <w:t xml:space="preserve"> </w:t>
      </w:r>
      <w:r>
        <w:rPr>
          <w:rFonts w:hint="eastAsia"/>
        </w:rPr>
        <w:t>Design of components</w:t>
      </w:r>
      <w:r>
        <w:tab/>
      </w:r>
      <w:r>
        <w:fldChar w:fldCharType="begin"/>
      </w:r>
      <w:r>
        <w:instrText xml:space="preserve"> PAGEREF _Toc30558 \h </w:instrText>
      </w:r>
      <w:r>
        <w:fldChar w:fldCharType="separate"/>
      </w:r>
      <w:r>
        <w:t>9</w:t>
      </w:r>
      <w:r>
        <w:fldChar w:fldCharType="end"/>
      </w:r>
      <w:r>
        <w:fldChar w:fldCharType="end"/>
      </w:r>
    </w:p>
    <w:p w14:paraId="377FC48F">
      <w:pPr>
        <w:pStyle w:val="9"/>
        <w:tabs>
          <w:tab w:val="right" w:leader="dot" w:pos="8306"/>
        </w:tabs>
        <w:ind w:left="480"/>
      </w:pPr>
      <w:r>
        <w:fldChar w:fldCharType="begin"/>
      </w:r>
      <w:r>
        <w:instrText xml:space="preserve"> HYPERLINK \l "_Toc42" </w:instrText>
      </w:r>
      <w:r>
        <w:fldChar w:fldCharType="separate"/>
      </w:r>
      <w:r>
        <w:rPr>
          <w:rFonts w:hint="eastAsia"/>
        </w:rPr>
        <w:t>4.3 Design of support joints</w:t>
      </w:r>
      <w:r>
        <w:tab/>
      </w:r>
      <w:r>
        <w:fldChar w:fldCharType="begin"/>
      </w:r>
      <w:r>
        <w:instrText xml:space="preserve"> PAGEREF _Toc42 \h </w:instrText>
      </w:r>
      <w:r>
        <w:fldChar w:fldCharType="separate"/>
      </w:r>
      <w:r>
        <w:t>12</w:t>
      </w:r>
      <w:r>
        <w:fldChar w:fldCharType="end"/>
      </w:r>
      <w:r>
        <w:fldChar w:fldCharType="end"/>
      </w:r>
    </w:p>
    <w:p w14:paraId="3BA475A5">
      <w:pPr>
        <w:pStyle w:val="9"/>
        <w:tabs>
          <w:tab w:val="right" w:leader="dot" w:pos="8306"/>
        </w:tabs>
        <w:ind w:left="480"/>
      </w:pPr>
      <w:r>
        <w:fldChar w:fldCharType="begin"/>
      </w:r>
      <w:r>
        <w:instrText xml:space="preserve"> HYPERLINK \l "_Toc10201" </w:instrText>
      </w:r>
      <w:r>
        <w:fldChar w:fldCharType="separate"/>
      </w:r>
      <w:r>
        <w:rPr>
          <w:rFonts w:hint="eastAsia" w:cs="宋体"/>
          <w:bCs/>
          <w:szCs w:val="28"/>
        </w:rPr>
        <w:t>4.4</w:t>
      </w:r>
      <w:r>
        <w:rPr>
          <w:rFonts w:hint="eastAsia" w:ascii="黑体" w:eastAsia="黑体" w:cs="黑体"/>
          <w:szCs w:val="28"/>
        </w:rPr>
        <w:t xml:space="preserve"> </w:t>
      </w:r>
      <w:r>
        <w:rPr>
          <w:rFonts w:hint="eastAsia"/>
        </w:rPr>
        <w:t>Design of slab joints</w:t>
      </w:r>
      <w:r>
        <w:tab/>
      </w:r>
      <w:r>
        <w:fldChar w:fldCharType="begin"/>
      </w:r>
      <w:r>
        <w:instrText xml:space="preserve"> PAGEREF _Toc10201 \h </w:instrText>
      </w:r>
      <w:r>
        <w:fldChar w:fldCharType="separate"/>
      </w:r>
      <w:r>
        <w:t>21</w:t>
      </w:r>
      <w:r>
        <w:fldChar w:fldCharType="end"/>
      </w:r>
      <w:r>
        <w:fldChar w:fldCharType="end"/>
      </w:r>
    </w:p>
    <w:p w14:paraId="2F4210A9">
      <w:pPr>
        <w:pStyle w:val="8"/>
        <w:tabs>
          <w:tab w:val="right" w:leader="dot" w:pos="8306"/>
        </w:tabs>
      </w:pPr>
      <w:r>
        <w:fldChar w:fldCharType="begin"/>
      </w:r>
      <w:r>
        <w:instrText xml:space="preserve"> HYPERLINK \l "_Toc25670" </w:instrText>
      </w:r>
      <w:r>
        <w:fldChar w:fldCharType="separate"/>
      </w:r>
      <w:r>
        <w:rPr>
          <w:rFonts w:hint="eastAsia" w:cs="宋体"/>
          <w:bCs/>
          <w:szCs w:val="36"/>
        </w:rPr>
        <w:t>5</w:t>
      </w:r>
      <w:r>
        <w:rPr>
          <w:rFonts w:hint="eastAsia" w:cs="宋体"/>
          <w:szCs w:val="36"/>
        </w:rPr>
        <w:t xml:space="preserve"> </w:t>
      </w:r>
      <w:r>
        <w:rPr>
          <w:rFonts w:hint="eastAsia"/>
        </w:rPr>
        <w:t>Manufacture,transportation and storage</w:t>
      </w:r>
      <w:r>
        <w:tab/>
      </w:r>
      <w:r>
        <w:fldChar w:fldCharType="begin"/>
      </w:r>
      <w:r>
        <w:instrText xml:space="preserve"> PAGEREF _Toc25670 \h </w:instrText>
      </w:r>
      <w:r>
        <w:fldChar w:fldCharType="separate"/>
      </w:r>
      <w:r>
        <w:t>26</w:t>
      </w:r>
      <w:r>
        <w:fldChar w:fldCharType="end"/>
      </w:r>
      <w:r>
        <w:fldChar w:fldCharType="end"/>
      </w:r>
    </w:p>
    <w:p w14:paraId="1485F572">
      <w:pPr>
        <w:pStyle w:val="9"/>
        <w:tabs>
          <w:tab w:val="right" w:leader="dot" w:pos="8306"/>
        </w:tabs>
        <w:ind w:left="480"/>
      </w:pPr>
      <w:r>
        <w:fldChar w:fldCharType="begin"/>
      </w:r>
      <w:r>
        <w:instrText xml:space="preserve"> HYPERLINK \l "_Toc26502" </w:instrText>
      </w:r>
      <w:r>
        <w:fldChar w:fldCharType="separate"/>
      </w:r>
      <w:r>
        <w:rPr>
          <w:rFonts w:hint="eastAsia" w:cs="宋体"/>
          <w:bCs/>
          <w:szCs w:val="28"/>
        </w:rPr>
        <w:t>5.1</w:t>
      </w:r>
      <w:r>
        <w:rPr>
          <w:rFonts w:hint="eastAsia" w:ascii="黑体" w:eastAsia="黑体" w:cs="黑体"/>
          <w:szCs w:val="28"/>
        </w:rPr>
        <w:t xml:space="preserve"> </w:t>
      </w:r>
      <w:r>
        <w:rPr>
          <w:rFonts w:hint="eastAsia"/>
        </w:rPr>
        <w:t>General requirements</w:t>
      </w:r>
      <w:r>
        <w:tab/>
      </w:r>
      <w:r>
        <w:fldChar w:fldCharType="begin"/>
      </w:r>
      <w:r>
        <w:instrText xml:space="preserve"> PAGEREF _Toc26502 \h </w:instrText>
      </w:r>
      <w:r>
        <w:fldChar w:fldCharType="separate"/>
      </w:r>
      <w:r>
        <w:t>27</w:t>
      </w:r>
      <w:r>
        <w:fldChar w:fldCharType="end"/>
      </w:r>
      <w:r>
        <w:fldChar w:fldCharType="end"/>
      </w:r>
    </w:p>
    <w:p w14:paraId="7225C5EA">
      <w:pPr>
        <w:pStyle w:val="9"/>
        <w:tabs>
          <w:tab w:val="right" w:leader="dot" w:pos="8306"/>
        </w:tabs>
        <w:ind w:left="480"/>
      </w:pPr>
      <w:r>
        <w:fldChar w:fldCharType="begin"/>
      </w:r>
      <w:r>
        <w:instrText xml:space="preserve"> HYPERLINK \l "_Toc31583" </w:instrText>
      </w:r>
      <w:r>
        <w:fldChar w:fldCharType="separate"/>
      </w:r>
      <w:r>
        <w:rPr>
          <w:rFonts w:hint="eastAsia"/>
        </w:rPr>
        <w:t>5.2 Detailed design</w:t>
      </w:r>
      <w:r>
        <w:tab/>
      </w:r>
      <w:r>
        <w:fldChar w:fldCharType="begin"/>
      </w:r>
      <w:r>
        <w:instrText xml:space="preserve"> PAGEREF _Toc31583 \h </w:instrText>
      </w:r>
      <w:r>
        <w:fldChar w:fldCharType="separate"/>
      </w:r>
      <w:r>
        <w:t>27</w:t>
      </w:r>
      <w:r>
        <w:fldChar w:fldCharType="end"/>
      </w:r>
      <w:r>
        <w:fldChar w:fldCharType="end"/>
      </w:r>
    </w:p>
    <w:p w14:paraId="2E26A85B">
      <w:pPr>
        <w:pStyle w:val="9"/>
        <w:tabs>
          <w:tab w:val="right" w:leader="dot" w:pos="8306"/>
        </w:tabs>
        <w:ind w:left="480"/>
      </w:pPr>
      <w:r>
        <w:fldChar w:fldCharType="begin"/>
      </w:r>
      <w:r>
        <w:instrText xml:space="preserve"> HYPERLINK \l "_Toc20859" </w:instrText>
      </w:r>
      <w:r>
        <w:fldChar w:fldCharType="separate"/>
      </w:r>
      <w:r>
        <w:rPr>
          <w:rFonts w:hint="eastAsia" w:cs="宋体"/>
          <w:bCs/>
          <w:szCs w:val="28"/>
        </w:rPr>
        <w:t>5.3</w:t>
      </w:r>
      <w:r>
        <w:rPr>
          <w:rFonts w:hint="eastAsia" w:cs="宋体"/>
          <w:szCs w:val="28"/>
        </w:rPr>
        <w:t xml:space="preserve"> </w:t>
      </w:r>
      <w:r>
        <w:rPr>
          <w:rFonts w:hint="eastAsia"/>
        </w:rPr>
        <w:t>Moulds</w:t>
      </w:r>
      <w:r>
        <w:tab/>
      </w:r>
      <w:r>
        <w:fldChar w:fldCharType="begin"/>
      </w:r>
      <w:r>
        <w:instrText xml:space="preserve"> PAGEREF _Toc20859 \h </w:instrText>
      </w:r>
      <w:r>
        <w:fldChar w:fldCharType="separate"/>
      </w:r>
      <w:r>
        <w:t>28</w:t>
      </w:r>
      <w:r>
        <w:fldChar w:fldCharType="end"/>
      </w:r>
      <w:r>
        <w:fldChar w:fldCharType="end"/>
      </w:r>
    </w:p>
    <w:p w14:paraId="1C1578C3">
      <w:pPr>
        <w:pStyle w:val="9"/>
        <w:tabs>
          <w:tab w:val="right" w:leader="dot" w:pos="8306"/>
        </w:tabs>
        <w:ind w:left="480"/>
      </w:pPr>
      <w:r>
        <w:fldChar w:fldCharType="begin"/>
      </w:r>
      <w:r>
        <w:instrText xml:space="preserve"> HYPERLINK \l "_Toc6879" </w:instrText>
      </w:r>
      <w:r>
        <w:fldChar w:fldCharType="separate"/>
      </w:r>
      <w:r>
        <w:rPr>
          <w:rFonts w:hint="eastAsia" w:cs="宋体"/>
          <w:bCs/>
          <w:szCs w:val="28"/>
        </w:rPr>
        <w:t>5.4</w:t>
      </w:r>
      <w:r>
        <w:rPr>
          <w:rFonts w:hint="eastAsia" w:cs="宋体"/>
          <w:szCs w:val="28"/>
        </w:rPr>
        <w:t xml:space="preserve"> </w:t>
      </w:r>
      <w:r>
        <w:rPr>
          <w:rFonts w:hint="eastAsia"/>
        </w:rPr>
        <w:t>Manufacture</w:t>
      </w:r>
      <w:r>
        <w:tab/>
      </w:r>
      <w:r>
        <w:fldChar w:fldCharType="begin"/>
      </w:r>
      <w:r>
        <w:instrText xml:space="preserve"> PAGEREF _Toc6879 \h </w:instrText>
      </w:r>
      <w:r>
        <w:fldChar w:fldCharType="separate"/>
      </w:r>
      <w:r>
        <w:t>29</w:t>
      </w:r>
      <w:r>
        <w:fldChar w:fldCharType="end"/>
      </w:r>
      <w:r>
        <w:fldChar w:fldCharType="end"/>
      </w:r>
    </w:p>
    <w:p w14:paraId="7EC6922C">
      <w:pPr>
        <w:pStyle w:val="9"/>
        <w:tabs>
          <w:tab w:val="right" w:leader="dot" w:pos="8306"/>
        </w:tabs>
        <w:ind w:left="480"/>
      </w:pPr>
      <w:r>
        <w:fldChar w:fldCharType="begin"/>
      </w:r>
      <w:r>
        <w:instrText xml:space="preserve"> HYPERLINK \l "_Toc6527" </w:instrText>
      </w:r>
      <w:r>
        <w:fldChar w:fldCharType="separate"/>
      </w:r>
      <w:r>
        <w:rPr>
          <w:rFonts w:hint="eastAsia" w:cs="宋体"/>
          <w:bCs/>
          <w:szCs w:val="28"/>
        </w:rPr>
        <w:t>5.5</w:t>
      </w:r>
      <w:r>
        <w:rPr>
          <w:rFonts w:hint="eastAsia" w:cs="宋体"/>
          <w:szCs w:val="28"/>
        </w:rPr>
        <w:t xml:space="preserve"> </w:t>
      </w:r>
      <w:r>
        <w:rPr>
          <w:rFonts w:hint="eastAsia"/>
        </w:rPr>
        <w:t>Transportation and storage</w:t>
      </w:r>
      <w:r>
        <w:tab/>
      </w:r>
      <w:r>
        <w:fldChar w:fldCharType="begin"/>
      </w:r>
      <w:r>
        <w:instrText xml:space="preserve"> PAGEREF _Toc6527 \h </w:instrText>
      </w:r>
      <w:r>
        <w:fldChar w:fldCharType="separate"/>
      </w:r>
      <w:r>
        <w:t>31</w:t>
      </w:r>
      <w:r>
        <w:fldChar w:fldCharType="end"/>
      </w:r>
      <w:r>
        <w:fldChar w:fldCharType="end"/>
      </w:r>
    </w:p>
    <w:p w14:paraId="22E2B12D">
      <w:pPr>
        <w:pStyle w:val="9"/>
        <w:tabs>
          <w:tab w:val="right" w:leader="dot" w:pos="8306"/>
        </w:tabs>
        <w:ind w:left="480"/>
      </w:pPr>
      <w:r>
        <w:fldChar w:fldCharType="begin"/>
      </w:r>
      <w:r>
        <w:instrText xml:space="preserve"> HYPERLINK \l "_Toc4970" </w:instrText>
      </w:r>
      <w:r>
        <w:fldChar w:fldCharType="separate"/>
      </w:r>
      <w:r>
        <w:rPr>
          <w:rFonts w:hint="eastAsia"/>
        </w:rPr>
        <w:t>5.6 Quality inspection</w:t>
      </w:r>
      <w:r>
        <w:tab/>
      </w:r>
      <w:r>
        <w:fldChar w:fldCharType="begin"/>
      </w:r>
      <w:r>
        <w:instrText xml:space="preserve"> PAGEREF _Toc4970 \h </w:instrText>
      </w:r>
      <w:r>
        <w:fldChar w:fldCharType="separate"/>
      </w:r>
      <w:r>
        <w:t>31</w:t>
      </w:r>
      <w:r>
        <w:fldChar w:fldCharType="end"/>
      </w:r>
      <w:r>
        <w:fldChar w:fldCharType="end"/>
      </w:r>
    </w:p>
    <w:p w14:paraId="6DB3C351">
      <w:pPr>
        <w:pStyle w:val="8"/>
        <w:tabs>
          <w:tab w:val="right" w:leader="dot" w:pos="8306"/>
        </w:tabs>
      </w:pPr>
      <w:r>
        <w:fldChar w:fldCharType="begin"/>
      </w:r>
      <w:r>
        <w:instrText xml:space="preserve"> HYPERLINK \l "_Toc29107" </w:instrText>
      </w:r>
      <w:r>
        <w:fldChar w:fldCharType="separate"/>
      </w:r>
      <w:r>
        <w:rPr>
          <w:rFonts w:hint="eastAsia" w:cs="宋体"/>
          <w:bCs/>
          <w:szCs w:val="36"/>
        </w:rPr>
        <w:t>6</w:t>
      </w:r>
      <w:r>
        <w:rPr>
          <w:rFonts w:hint="eastAsia" w:cs="宋体"/>
          <w:szCs w:val="36"/>
        </w:rPr>
        <w:t xml:space="preserve"> </w:t>
      </w:r>
      <w:r>
        <w:rPr>
          <w:rFonts w:hint="eastAsia"/>
        </w:rPr>
        <w:t>Construction and quality acceptance</w:t>
      </w:r>
      <w:r>
        <w:tab/>
      </w:r>
      <w:r>
        <w:fldChar w:fldCharType="begin"/>
      </w:r>
      <w:r>
        <w:instrText xml:space="preserve"> PAGEREF _Toc29107 \h </w:instrText>
      </w:r>
      <w:r>
        <w:fldChar w:fldCharType="separate"/>
      </w:r>
      <w:r>
        <w:t>36</w:t>
      </w:r>
      <w:r>
        <w:fldChar w:fldCharType="end"/>
      </w:r>
      <w:r>
        <w:fldChar w:fldCharType="end"/>
      </w:r>
    </w:p>
    <w:p w14:paraId="2458EE91">
      <w:pPr>
        <w:pStyle w:val="9"/>
        <w:tabs>
          <w:tab w:val="right" w:leader="dot" w:pos="8306"/>
        </w:tabs>
        <w:ind w:left="480"/>
      </w:pPr>
      <w:r>
        <w:fldChar w:fldCharType="begin"/>
      </w:r>
      <w:r>
        <w:instrText xml:space="preserve"> HYPERLINK \l "_Toc10859" </w:instrText>
      </w:r>
      <w:r>
        <w:fldChar w:fldCharType="separate"/>
      </w:r>
      <w:r>
        <w:rPr>
          <w:rFonts w:hint="eastAsia" w:cs="宋体"/>
          <w:bCs/>
          <w:szCs w:val="28"/>
        </w:rPr>
        <w:t>6.1</w:t>
      </w:r>
      <w:r>
        <w:rPr>
          <w:rFonts w:hint="eastAsia" w:ascii="黑体" w:eastAsia="黑体" w:cs="黑体"/>
          <w:bCs/>
          <w:szCs w:val="28"/>
        </w:rPr>
        <w:t xml:space="preserve"> </w:t>
      </w:r>
      <w:r>
        <w:rPr>
          <w:rFonts w:hint="eastAsia"/>
        </w:rPr>
        <w:t>General requirements</w:t>
      </w:r>
      <w:r>
        <w:tab/>
      </w:r>
      <w:r>
        <w:fldChar w:fldCharType="begin"/>
      </w:r>
      <w:r>
        <w:instrText xml:space="preserve"> PAGEREF _Toc10859 \h </w:instrText>
      </w:r>
      <w:r>
        <w:fldChar w:fldCharType="separate"/>
      </w:r>
      <w:r>
        <w:t>37</w:t>
      </w:r>
      <w:r>
        <w:fldChar w:fldCharType="end"/>
      </w:r>
      <w:r>
        <w:fldChar w:fldCharType="end"/>
      </w:r>
    </w:p>
    <w:p w14:paraId="02C4F923">
      <w:pPr>
        <w:pStyle w:val="9"/>
        <w:tabs>
          <w:tab w:val="right" w:leader="dot" w:pos="8306"/>
        </w:tabs>
        <w:ind w:left="480"/>
      </w:pPr>
      <w:r>
        <w:fldChar w:fldCharType="begin"/>
      </w:r>
      <w:r>
        <w:instrText xml:space="preserve"> HYPERLINK \l "_Toc7805" </w:instrText>
      </w:r>
      <w:r>
        <w:fldChar w:fldCharType="separate"/>
      </w:r>
      <w:r>
        <w:rPr>
          <w:rFonts w:hint="eastAsia" w:cs="宋体"/>
          <w:bCs/>
          <w:szCs w:val="28"/>
        </w:rPr>
        <w:t>6.2</w:t>
      </w:r>
      <w:r>
        <w:rPr>
          <w:rFonts w:hint="eastAsia" w:cs="宋体"/>
          <w:szCs w:val="28"/>
        </w:rPr>
        <w:t xml:space="preserve"> </w:t>
      </w:r>
      <w:r>
        <w:rPr>
          <w:rFonts w:hint="eastAsia"/>
        </w:rPr>
        <w:t>Preparation for erection</w:t>
      </w:r>
      <w:r>
        <w:tab/>
      </w:r>
      <w:r>
        <w:fldChar w:fldCharType="begin"/>
      </w:r>
      <w:r>
        <w:instrText xml:space="preserve"> PAGEREF _Toc7805 \h </w:instrText>
      </w:r>
      <w:r>
        <w:fldChar w:fldCharType="separate"/>
      </w:r>
      <w:r>
        <w:t>37</w:t>
      </w:r>
      <w:r>
        <w:fldChar w:fldCharType="end"/>
      </w:r>
      <w:r>
        <w:fldChar w:fldCharType="end"/>
      </w:r>
    </w:p>
    <w:p w14:paraId="599659A1">
      <w:pPr>
        <w:pStyle w:val="9"/>
        <w:tabs>
          <w:tab w:val="right" w:leader="dot" w:pos="8306"/>
        </w:tabs>
        <w:ind w:left="480"/>
      </w:pPr>
      <w:r>
        <w:fldChar w:fldCharType="begin"/>
      </w:r>
      <w:r>
        <w:instrText xml:space="preserve"> HYPERLINK \l "_Toc23748" </w:instrText>
      </w:r>
      <w:r>
        <w:fldChar w:fldCharType="separate"/>
      </w:r>
      <w:r>
        <w:rPr>
          <w:rFonts w:hint="eastAsia" w:cs="宋体"/>
          <w:bCs/>
          <w:szCs w:val="28"/>
        </w:rPr>
        <w:t>6.3</w:t>
      </w:r>
      <w:r>
        <w:rPr>
          <w:rFonts w:hint="eastAsia" w:ascii="黑体" w:eastAsia="黑体" w:cs="黑体"/>
          <w:szCs w:val="21"/>
        </w:rPr>
        <w:t xml:space="preserve"> </w:t>
      </w:r>
      <w:r>
        <w:rPr>
          <w:rFonts w:hint="eastAsia"/>
        </w:rPr>
        <w:t>Erection of precast slabs</w:t>
      </w:r>
      <w:r>
        <w:tab/>
      </w:r>
      <w:r>
        <w:fldChar w:fldCharType="begin"/>
      </w:r>
      <w:r>
        <w:instrText xml:space="preserve"> PAGEREF _Toc23748 \h </w:instrText>
      </w:r>
      <w:r>
        <w:fldChar w:fldCharType="separate"/>
      </w:r>
      <w:r>
        <w:t>37</w:t>
      </w:r>
      <w:r>
        <w:fldChar w:fldCharType="end"/>
      </w:r>
      <w:r>
        <w:fldChar w:fldCharType="end"/>
      </w:r>
    </w:p>
    <w:p w14:paraId="77F94BE1">
      <w:pPr>
        <w:pStyle w:val="9"/>
        <w:tabs>
          <w:tab w:val="right" w:leader="dot" w:pos="8306"/>
        </w:tabs>
        <w:ind w:left="480"/>
      </w:pPr>
      <w:r>
        <w:fldChar w:fldCharType="begin"/>
      </w:r>
      <w:r>
        <w:instrText xml:space="preserve"> HYPERLINK \l "_Toc13033" </w:instrText>
      </w:r>
      <w:r>
        <w:fldChar w:fldCharType="separate"/>
      </w:r>
      <w:r>
        <w:rPr>
          <w:rFonts w:hint="eastAsia" w:cs="宋体"/>
          <w:bCs/>
          <w:szCs w:val="28"/>
        </w:rPr>
        <w:t>6.4</w:t>
      </w:r>
      <w:r>
        <w:rPr>
          <w:rFonts w:hint="eastAsia" w:ascii="黑体" w:eastAsia="黑体" w:cs="黑体"/>
          <w:szCs w:val="21"/>
        </w:rPr>
        <w:t xml:space="preserve"> </w:t>
      </w:r>
      <w:r>
        <w:rPr>
          <w:rFonts w:hint="eastAsia"/>
        </w:rPr>
        <w:t>Casting-in-situ</w:t>
      </w:r>
      <w:r>
        <w:tab/>
      </w:r>
      <w:r>
        <w:fldChar w:fldCharType="begin"/>
      </w:r>
      <w:r>
        <w:instrText xml:space="preserve"> PAGEREF _Toc13033 \h </w:instrText>
      </w:r>
      <w:r>
        <w:fldChar w:fldCharType="separate"/>
      </w:r>
      <w:r>
        <w:t>38</w:t>
      </w:r>
      <w:r>
        <w:fldChar w:fldCharType="end"/>
      </w:r>
      <w:r>
        <w:fldChar w:fldCharType="end"/>
      </w:r>
    </w:p>
    <w:p w14:paraId="31E0F824">
      <w:pPr>
        <w:pStyle w:val="9"/>
        <w:tabs>
          <w:tab w:val="right" w:leader="dot" w:pos="8306"/>
        </w:tabs>
        <w:ind w:left="480"/>
      </w:pPr>
      <w:r>
        <w:fldChar w:fldCharType="begin"/>
      </w:r>
      <w:r>
        <w:instrText xml:space="preserve"> HYPERLINK \l "_Toc7233" </w:instrText>
      </w:r>
      <w:r>
        <w:fldChar w:fldCharType="separate"/>
      </w:r>
      <w:r>
        <w:rPr>
          <w:rFonts w:hint="eastAsia" w:cs="宋体"/>
          <w:bCs/>
          <w:szCs w:val="28"/>
        </w:rPr>
        <w:t>6.5</w:t>
      </w:r>
      <w:r>
        <w:rPr>
          <w:rFonts w:hint="eastAsia" w:ascii="黑体" w:eastAsia="黑体" w:cs="黑体"/>
          <w:szCs w:val="21"/>
        </w:rPr>
        <w:t xml:space="preserve"> </w:t>
      </w:r>
      <w:r>
        <w:rPr>
          <w:rFonts w:hint="eastAsia"/>
        </w:rPr>
        <w:t>Quality acceptance</w:t>
      </w:r>
      <w:r>
        <w:tab/>
      </w:r>
      <w:r>
        <w:fldChar w:fldCharType="begin"/>
      </w:r>
      <w:r>
        <w:instrText xml:space="preserve"> PAGEREF _Toc7233 \h </w:instrText>
      </w:r>
      <w:r>
        <w:fldChar w:fldCharType="separate"/>
      </w:r>
      <w:r>
        <w:t>39</w:t>
      </w:r>
      <w:r>
        <w:fldChar w:fldCharType="end"/>
      </w:r>
      <w:r>
        <w:fldChar w:fldCharType="end"/>
      </w:r>
    </w:p>
    <w:p w14:paraId="1E9C4B3B">
      <w:pPr>
        <w:pStyle w:val="8"/>
        <w:tabs>
          <w:tab w:val="right" w:leader="dot" w:pos="8306"/>
        </w:tabs>
      </w:pPr>
      <w:r>
        <w:fldChar w:fldCharType="begin"/>
      </w:r>
      <w:r>
        <w:instrText xml:space="preserve"> HYPERLINK \l "_Toc209" </w:instrText>
      </w:r>
      <w:r>
        <w:fldChar w:fldCharType="separate"/>
      </w:r>
      <w:r>
        <w:rPr>
          <w:rFonts w:hint="eastAsia"/>
        </w:rPr>
        <w:t>Explanation of wording in this specification</w:t>
      </w:r>
      <w:r>
        <w:tab/>
      </w:r>
      <w:r>
        <w:fldChar w:fldCharType="begin"/>
      </w:r>
      <w:r>
        <w:instrText xml:space="preserve"> PAGEREF _Toc209 \h </w:instrText>
      </w:r>
      <w:r>
        <w:fldChar w:fldCharType="separate"/>
      </w:r>
      <w:r>
        <w:t>43</w:t>
      </w:r>
      <w:r>
        <w:fldChar w:fldCharType="end"/>
      </w:r>
      <w:r>
        <w:fldChar w:fldCharType="end"/>
      </w:r>
    </w:p>
    <w:p w14:paraId="6CFEDB37">
      <w:pPr>
        <w:pStyle w:val="8"/>
        <w:tabs>
          <w:tab w:val="right" w:leader="dot" w:pos="8306"/>
        </w:tabs>
      </w:pPr>
      <w:r>
        <w:fldChar w:fldCharType="begin"/>
      </w:r>
      <w:r>
        <w:instrText xml:space="preserve"> HYPERLINK \l "_Toc1419" </w:instrText>
      </w:r>
      <w:r>
        <w:fldChar w:fldCharType="separate"/>
      </w:r>
      <w:r>
        <w:rPr>
          <w:rFonts w:hint="eastAsia"/>
        </w:rPr>
        <w:t>List of quoted standards</w:t>
      </w:r>
      <w:r>
        <w:tab/>
      </w:r>
      <w:r>
        <w:fldChar w:fldCharType="begin"/>
      </w:r>
      <w:r>
        <w:instrText xml:space="preserve"> PAGEREF _Toc1419 \h </w:instrText>
      </w:r>
      <w:r>
        <w:fldChar w:fldCharType="separate"/>
      </w:r>
      <w:r>
        <w:t>44</w:t>
      </w:r>
      <w:r>
        <w:fldChar w:fldCharType="end"/>
      </w:r>
      <w:r>
        <w:fldChar w:fldCharType="end"/>
      </w:r>
    </w:p>
    <w:p w14:paraId="082CC372">
      <w:r>
        <w:rPr>
          <w:rFonts w:hint="eastAsia"/>
        </w:rPr>
        <w:fldChar w:fldCharType="end"/>
      </w:r>
    </w:p>
    <w:p w14:paraId="3852A6A2"/>
    <w:p w14:paraId="55CF73DC"/>
    <w:p w14:paraId="129CA50D"/>
    <w:p w14:paraId="1E74AD4E"/>
    <w:p w14:paraId="7D294B0B"/>
    <w:p w14:paraId="3430F0AA"/>
    <w:p w14:paraId="548D7369"/>
    <w:p w14:paraId="51917230"/>
    <w:p w14:paraId="53D67C9E"/>
    <w:p w14:paraId="6677A9CA"/>
    <w:p w14:paraId="17B995E8"/>
    <w:p w14:paraId="45B8B1DC"/>
    <w:p w14:paraId="598C10D3">
      <w:pPr>
        <w:pStyle w:val="2"/>
        <w:rPr>
          <w:rFonts w:cs="宋体"/>
          <w:color w:val="000000"/>
          <w:szCs w:val="36"/>
        </w:rPr>
        <w:sectPr>
          <w:footerReference r:id="rId9" w:type="default"/>
          <w:pgSz w:w="11906" w:h="16838"/>
          <w:pgMar w:top="1440" w:right="1800" w:bottom="1440" w:left="1800" w:header="851" w:footer="992" w:gutter="0"/>
          <w:cols w:space="425" w:num="1"/>
          <w:docGrid w:type="lines" w:linePitch="312" w:charSpace="0"/>
        </w:sectPr>
      </w:pPr>
      <w:bookmarkStart w:id="24" w:name="_Toc10910"/>
    </w:p>
    <w:bookmarkEnd w:id="24"/>
    <w:p w14:paraId="6D6E4890">
      <w:pPr>
        <w:pStyle w:val="2"/>
      </w:pPr>
      <w:r>
        <w:rPr>
          <w:rFonts w:hint="eastAsia" w:cs="宋体"/>
          <w:color w:val="000000"/>
          <w:szCs w:val="36"/>
        </w:rPr>
        <w:t>1</w:t>
      </w:r>
      <w:r>
        <w:rPr>
          <w:rFonts w:hint="eastAsia" w:cs="宋体"/>
          <w:b w:val="0"/>
          <w:bCs w:val="0"/>
          <w:color w:val="000000"/>
          <w:szCs w:val="36"/>
        </w:rPr>
        <w:t xml:space="preserve"> </w:t>
      </w:r>
      <w:r>
        <w:rPr>
          <w:rFonts w:hint="eastAsia" w:cs="宋体"/>
          <w:color w:val="000000"/>
          <w:szCs w:val="36"/>
        </w:rPr>
        <w:t>总 则</w:t>
      </w:r>
    </w:p>
    <w:p w14:paraId="3AE2BB51">
      <w:r>
        <w:rPr>
          <w:rFonts w:hint="eastAsia" w:cs="宋体"/>
          <w:b/>
          <w:bCs/>
          <w:color w:val="000000"/>
          <w:szCs w:val="28"/>
        </w:rPr>
        <w:t>1.0.1</w:t>
      </w:r>
      <w:r>
        <w:rPr>
          <w:rFonts w:hint="eastAsia" w:cs="宋体"/>
          <w:color w:val="000000"/>
          <w:szCs w:val="28"/>
        </w:rPr>
        <w:t xml:space="preserve"> 为规范板边不出筋混凝土叠合板应用的技术要求，做到安全适用、技术先进、经济合理，保证工程质量，制定本规程。</w:t>
      </w:r>
    </w:p>
    <w:p w14:paraId="2738E7C5">
      <w:pPr>
        <w:pStyle w:val="17"/>
      </w:pPr>
      <w:r>
        <w:rPr>
          <w:rFonts w:hint="eastAsia"/>
          <w:b/>
          <w:bCs/>
        </w:rPr>
        <w:t>【1.0.1</w:t>
      </w:r>
      <w:r>
        <w:rPr>
          <w:b/>
          <w:bCs/>
        </w:rPr>
        <w:t>条文说明</w:t>
      </w:r>
      <w:r>
        <w:rPr>
          <w:rFonts w:hint="eastAsia"/>
          <w:b/>
          <w:bCs/>
        </w:rPr>
        <w:t xml:space="preserve">】 </w:t>
      </w:r>
      <w:r>
        <w:t>本条为编制本规程的基本方针和原则</w:t>
      </w:r>
      <w:r>
        <w:rPr>
          <w:rFonts w:hint="eastAsia"/>
        </w:rPr>
        <w:t>，为解决钢筋混凝土叠合板预制底板出筋引起的施工效率低、吊装就位难的问题。</w:t>
      </w:r>
    </w:p>
    <w:p w14:paraId="4D204622">
      <w:r>
        <w:rPr>
          <w:rFonts w:hint="eastAsia" w:cs="宋体"/>
          <w:b/>
          <w:bCs/>
          <w:color w:val="000000"/>
          <w:szCs w:val="28"/>
        </w:rPr>
        <w:t>1.0.2</w:t>
      </w:r>
      <w:r>
        <w:rPr>
          <w:rFonts w:hint="eastAsia" w:cs="宋体"/>
          <w:color w:val="000000"/>
          <w:szCs w:val="28"/>
        </w:rPr>
        <w:t xml:space="preserve"> 本规程适用于抗震设防烈度为6度、7度和8度地区的工业与民用建筑中板边不出筋钢筋混凝土叠合板的设计、制作、施工及验收。</w:t>
      </w:r>
    </w:p>
    <w:p w14:paraId="6A2F70D3">
      <w:pPr>
        <w:pStyle w:val="17"/>
      </w:pPr>
      <w:r>
        <w:rPr>
          <w:rFonts w:hint="eastAsia"/>
          <w:b/>
          <w:bCs/>
        </w:rPr>
        <w:t xml:space="preserve">【1.0.2 条文说明】 </w:t>
      </w:r>
      <w:r>
        <w:rPr>
          <w:rFonts w:hint="eastAsia"/>
        </w:rPr>
        <w:t>对于工业建筑，本标准适用于无特殊使用条件下的普通单层或多层工业厂房建筑；当建筑处于特殊使用环境，如高温高湿、腐蚀环境、动力荷载等，应根据具体情况进行专门设计。鉴于目前研究成果和工程实践的局限性，本标准暂不包含抗震设防烈度为 9 度地区的工程应用，如仍需应用，需要专项论证。</w:t>
      </w:r>
    </w:p>
    <w:p w14:paraId="39082CC3">
      <w:r>
        <w:rPr>
          <w:rFonts w:hint="eastAsia" w:cs="宋体"/>
          <w:b/>
          <w:bCs/>
          <w:color w:val="000000"/>
          <w:szCs w:val="28"/>
        </w:rPr>
        <w:t>1.0.3</w:t>
      </w:r>
      <w:r>
        <w:rPr>
          <w:rFonts w:hint="eastAsia" w:cs="宋体"/>
          <w:color w:val="000000"/>
          <w:szCs w:val="28"/>
        </w:rPr>
        <w:t xml:space="preserve"> 板边不出筋钢筋混凝土叠合板的设计、制作、施工及验收除应执行本规程外，尚应符合现行国家有关标准的规定。</w:t>
      </w:r>
    </w:p>
    <w:p w14:paraId="09AA1414">
      <w:pPr>
        <w:pStyle w:val="17"/>
      </w:pPr>
      <w:r>
        <w:rPr>
          <w:rFonts w:hint="eastAsia"/>
          <w:b/>
          <w:bCs/>
        </w:rPr>
        <w:t xml:space="preserve">【1.0.3 条文说明】 </w:t>
      </w:r>
      <w:r>
        <w:rPr>
          <w:rFonts w:hint="eastAsia"/>
        </w:rPr>
        <w:t>不出筋钢筋混凝土叠合板是基于我国各种类型钢筋混凝土叠合板设计与施工标准，通过进一步的研究和实践，提出的一种新形式。尽管本规程中部分具体构造与现行标准中的要求不完全一致，但性能要求是一致的，且符合现行标准中强制性条文的要求。凡本规程未规定的部分应符合其他相关现行国家标准。</w:t>
      </w:r>
    </w:p>
    <w:p w14:paraId="5CD0F192">
      <w:pPr>
        <w:pStyle w:val="17"/>
      </w:pPr>
    </w:p>
    <w:p w14:paraId="56D0519E">
      <w:pPr>
        <w:pStyle w:val="17"/>
      </w:pPr>
    </w:p>
    <w:p w14:paraId="10D8039A">
      <w:pPr>
        <w:pStyle w:val="17"/>
      </w:pPr>
    </w:p>
    <w:p w14:paraId="4A0EDF52">
      <w:pPr>
        <w:pStyle w:val="17"/>
      </w:pPr>
    </w:p>
    <w:p w14:paraId="379A255B">
      <w:pPr>
        <w:pStyle w:val="17"/>
      </w:pPr>
    </w:p>
    <w:p w14:paraId="2F97E25C">
      <w:pPr>
        <w:pStyle w:val="17"/>
      </w:pPr>
    </w:p>
    <w:p w14:paraId="70D3B624">
      <w:pPr>
        <w:pStyle w:val="17"/>
      </w:pPr>
    </w:p>
    <w:p w14:paraId="04FF714D">
      <w:pPr>
        <w:pStyle w:val="17"/>
      </w:pPr>
    </w:p>
    <w:p w14:paraId="56AA51F1">
      <w:pPr>
        <w:pStyle w:val="17"/>
      </w:pPr>
    </w:p>
    <w:p w14:paraId="5F166284">
      <w:pPr>
        <w:pStyle w:val="2"/>
      </w:pPr>
      <w:bookmarkStart w:id="25" w:name="_Toc9780"/>
      <w:r>
        <w:rPr>
          <w:rFonts w:hint="eastAsia"/>
        </w:rPr>
        <w:t>2 术语和符号</w:t>
      </w:r>
      <w:bookmarkEnd w:id="25"/>
    </w:p>
    <w:p w14:paraId="78CE453B">
      <w:pPr>
        <w:pStyle w:val="3"/>
        <w:spacing w:before="312" w:after="312"/>
      </w:pPr>
      <w:bookmarkStart w:id="26" w:name="_Toc14421"/>
      <w:r>
        <w:rPr>
          <w:rFonts w:hint="eastAsia"/>
        </w:rPr>
        <w:t>2.1 术 语</w:t>
      </w:r>
      <w:bookmarkEnd w:id="26"/>
      <w:r>
        <w:rPr>
          <w:rFonts w:hint="eastAsia"/>
        </w:rPr>
        <w:t xml:space="preserve"> </w:t>
      </w:r>
    </w:p>
    <w:p w14:paraId="1C42DC20">
      <w:r>
        <w:rPr>
          <w:rFonts w:hint="eastAsia" w:cs="宋体"/>
          <w:b/>
          <w:bCs/>
          <w:color w:val="000000"/>
          <w:szCs w:val="28"/>
        </w:rPr>
        <w:t>2.1.1</w:t>
      </w:r>
      <w:r>
        <w:rPr>
          <w:rFonts w:hint="eastAsia" w:cs="宋体"/>
          <w:color w:val="000000"/>
          <w:szCs w:val="28"/>
        </w:rPr>
        <w:t>板边不出筋钢筋混凝土叠合板</w:t>
      </w:r>
      <w:r>
        <w:rPr>
          <w:rFonts w:hint="eastAsia" w:cs="宋体"/>
          <w:color w:val="000000"/>
          <w:szCs w:val="28"/>
          <w:lang w:bidi="ar"/>
        </w:rPr>
        <w:t xml:space="preserve"> concrete composite slab without extended bars on the sides</w:t>
      </w:r>
    </w:p>
    <w:p w14:paraId="4C037C7C">
      <w:pPr>
        <w:pStyle w:val="18"/>
        <w:ind w:firstLine="480"/>
        <w:rPr>
          <w:rFonts w:hint="default"/>
        </w:rPr>
      </w:pPr>
      <w:r>
        <w:t>底部采用四周没有外伸钢筋的钢筋桁架预制混凝土底板、顶部采用现场后浇混凝土，在支座、板拼接处设置连接钢筋形成的叠合板，用于楼板、屋面板等，简称</w:t>
      </w:r>
      <w:r>
        <w:rPr>
          <w:b/>
          <w:bCs/>
        </w:rPr>
        <w:t>不出筋叠合板</w:t>
      </w:r>
      <w:r>
        <w:t>。</w:t>
      </w:r>
    </w:p>
    <w:p w14:paraId="3CCB781D">
      <w:pPr>
        <w:pStyle w:val="17"/>
      </w:pPr>
      <w:r>
        <w:rPr>
          <w:rFonts w:hint="eastAsia"/>
          <w:b/>
          <w:bCs/>
        </w:rPr>
        <w:t xml:space="preserve">【2.1.1 条文说明】 </w:t>
      </w:r>
      <w:r>
        <w:rPr>
          <w:rFonts w:hint="eastAsia"/>
        </w:rPr>
        <w:t>目前，我国工程中采用的叠合板基本为板端及板侧出筋的叠合板。出筋的预制板，制作时需要在其边模上预留孔洞，板内预埋钢筋需要从边模孔洞穿出并局部封堵，防止浇筑混凝土时漏浆，这些要求给预制板的加工制作带来了诸多不便，造成制作成本上升，生产效率低等问题；同时，出筋的预制板在吊装和运输过程中容易发生伸出钢筋磕碰弯折的情况；现场安装时，预制板出筋会与支座梁钢筋产生碰撞，安装前需将梁纵筋移位或将板钢筋掰弯，待预制板安装就位后重新将梁、板钢筋复位，如此反复大大降低了施工效率。以上种种不便，导致采用叠合板无法实现装配式建筑缩短工期、提高质量的目标。不出筋叠合板，能够有效提高预制板的生产效率，提高预制板的经济性能，提高预制板的运输和安装效率，解决叠合板出筋与梁顶部纵筋的碰撞问题，提高构件的成型质量，提高侧模的通用性和使用周转次数，可以解决目前出筋叠合板在生产、运输、施工上的不便，促进叠合板的应用，从而能够加速推动我国建筑工业化进程，助力绿色建筑和美丽中国发展战略的实施。</w:t>
      </w:r>
    </w:p>
    <w:p w14:paraId="64CBCCEB">
      <w:r>
        <w:rPr>
          <w:rFonts w:hint="eastAsia" w:cs="宋体"/>
          <w:b/>
          <w:bCs/>
          <w:color w:val="000000"/>
          <w:szCs w:val="28"/>
        </w:rPr>
        <w:t>2.1.2</w:t>
      </w:r>
      <w:r>
        <w:rPr>
          <w:rFonts w:hint="eastAsia" w:cs="宋体"/>
          <w:color w:val="000000"/>
          <w:szCs w:val="28"/>
        </w:rPr>
        <w:t xml:space="preserve"> 钢筋桁架预制混凝土底板 concrete precast slab with lattice girders</w:t>
      </w:r>
    </w:p>
    <w:p w14:paraId="79815226">
      <w:pPr>
        <w:pStyle w:val="18"/>
        <w:ind w:firstLine="480"/>
        <w:rPr>
          <w:rFonts w:hint="default"/>
        </w:rPr>
      </w:pPr>
      <w:r>
        <w:rPr>
          <w:color w:val="000000"/>
        </w:rPr>
        <w:t>带有钢筋桁架的预制混凝土底板，简称</w:t>
      </w:r>
      <w:r>
        <w:rPr>
          <w:b/>
          <w:bCs/>
        </w:rPr>
        <w:t>预制</w:t>
      </w:r>
      <w:r>
        <w:rPr>
          <w:b/>
          <w:bCs/>
          <w:color w:val="000000"/>
        </w:rPr>
        <w:t>底板</w:t>
      </w:r>
      <w:r>
        <w:rPr>
          <w:color w:val="000000"/>
        </w:rPr>
        <w:t>。</w:t>
      </w:r>
    </w:p>
    <w:p w14:paraId="71396287">
      <w:r>
        <w:rPr>
          <w:rFonts w:hint="eastAsia" w:cs="宋体"/>
          <w:b/>
          <w:bCs/>
          <w:color w:val="000000"/>
          <w:szCs w:val="28"/>
        </w:rPr>
        <w:t>2.1.3</w:t>
      </w:r>
      <w:r>
        <w:rPr>
          <w:rFonts w:hint="eastAsia" w:cs="宋体"/>
          <w:color w:val="000000"/>
          <w:szCs w:val="28"/>
        </w:rPr>
        <w:t xml:space="preserve"> 钢筋桁架 lattice girder</w:t>
      </w:r>
    </w:p>
    <w:p w14:paraId="4185D672">
      <w:pPr>
        <w:pStyle w:val="18"/>
        <w:ind w:firstLine="480"/>
        <w:rPr>
          <w:rFonts w:hint="default"/>
        </w:rPr>
      </w:pPr>
      <w:r>
        <w:rPr>
          <w:color w:val="000000"/>
        </w:rPr>
        <w:t>由一根上弦钢筋、两根下弦钢筋和两侧腹杆钢筋经焊接成形的钢筋骨架。</w:t>
      </w:r>
    </w:p>
    <w:p w14:paraId="4680A190">
      <w:r>
        <w:rPr>
          <w:rFonts w:hint="eastAsia" w:cs="宋体"/>
          <w:b/>
          <w:bCs/>
          <w:color w:val="000000"/>
          <w:szCs w:val="28"/>
        </w:rPr>
        <w:t>2.1.4</w:t>
      </w:r>
      <w:r>
        <w:rPr>
          <w:rFonts w:hint="eastAsia" w:cs="宋体"/>
          <w:color w:val="000000"/>
          <w:szCs w:val="28"/>
        </w:rPr>
        <w:t xml:space="preserve"> 支座斜插筋连接</w:t>
      </w:r>
      <w:r>
        <w:rPr>
          <w:rFonts w:hint="eastAsia" w:cs="宋体"/>
          <w:b/>
          <w:bCs/>
          <w:color w:val="000000"/>
          <w:szCs w:val="28"/>
        </w:rPr>
        <w:t xml:space="preserve"> </w:t>
      </w:r>
      <w:r>
        <w:rPr>
          <w:rFonts w:hint="eastAsia" w:cs="宋体"/>
          <w:color w:val="000000"/>
          <w:szCs w:val="28"/>
          <w:lang w:bidi="ar"/>
        </w:rPr>
        <w:t>connection with oblique reinforcements at support joint</w:t>
      </w:r>
    </w:p>
    <w:p w14:paraId="4FC2FC76">
      <w:pPr>
        <w:pStyle w:val="18"/>
        <w:ind w:firstLine="480"/>
        <w:rPr>
          <w:rFonts w:hint="default"/>
        </w:rPr>
      </w:pPr>
      <w:r>
        <w:rPr>
          <w:color w:val="000000"/>
        </w:rPr>
        <w:t>不出筋叠合板中，通过在预制底板的端部预留斜向孔洞或套筒，施工现场在斜向孔洞或套筒中插入连接钢筋，替代预制底板底筋伸入梁的一种新型连接方式。</w:t>
      </w:r>
    </w:p>
    <w:p w14:paraId="065C0AF8">
      <w:r>
        <w:rPr>
          <w:rFonts w:hint="eastAsia" w:cs="宋体"/>
          <w:b/>
          <w:bCs/>
          <w:color w:val="000000"/>
          <w:szCs w:val="28"/>
        </w:rPr>
        <w:t>2.1.5</w:t>
      </w:r>
      <w:r>
        <w:rPr>
          <w:rFonts w:hint="eastAsia" w:cs="宋体"/>
          <w:color w:val="000000"/>
          <w:szCs w:val="28"/>
        </w:rPr>
        <w:t xml:space="preserve"> 支座凹槽连接 connection with steel bars in grooves at support joint</w:t>
      </w:r>
    </w:p>
    <w:p w14:paraId="141D863E">
      <w:pPr>
        <w:pStyle w:val="18"/>
        <w:ind w:firstLine="480"/>
        <w:rPr>
          <w:rFonts w:hint="default"/>
        </w:rPr>
      </w:pPr>
      <w:r>
        <w:rPr>
          <w:color w:val="000000"/>
        </w:rPr>
        <w:t>不出筋叠合板中，</w:t>
      </w:r>
      <w:r>
        <w:t>通过</w:t>
      </w:r>
      <w:r>
        <w:rPr>
          <w:color w:val="000000"/>
        </w:rPr>
        <w:t>在预制底板的端部预留水平凹槽，施工现场在水平凹槽中放置连接钢筋，替代预制底板底筋伸入梁的一种新型连接方式。</w:t>
      </w:r>
    </w:p>
    <w:p w14:paraId="4BB3AA33">
      <w:r>
        <w:rPr>
          <w:rFonts w:hint="eastAsia" w:cs="宋体"/>
          <w:b/>
          <w:bCs/>
          <w:color w:val="000000"/>
          <w:szCs w:val="28"/>
        </w:rPr>
        <w:t>2.1.6</w:t>
      </w:r>
      <w:r>
        <w:rPr>
          <w:rFonts w:hint="eastAsia" w:cs="宋体"/>
          <w:color w:val="000000"/>
          <w:szCs w:val="28"/>
        </w:rPr>
        <w:t xml:space="preserve"> 凹槽拼缝连接 connection with groove splicing joint</w:t>
      </w:r>
    </w:p>
    <w:p w14:paraId="469550C7">
      <w:pPr>
        <w:pStyle w:val="18"/>
        <w:ind w:firstLine="480"/>
        <w:rPr>
          <w:rFonts w:hint="default"/>
        </w:rPr>
      </w:pPr>
      <w:r>
        <w:rPr>
          <w:color w:val="000000"/>
        </w:rPr>
        <w:t>不出筋叠合板中，通过在预制底板端部预留凹槽，施工现场放置U型或C型钢筋，替代后浇带式整体连接的一种新型拼缝连接方式。</w:t>
      </w:r>
    </w:p>
    <w:p w14:paraId="6948AB7F">
      <w:r>
        <w:rPr>
          <w:rFonts w:hint="eastAsia" w:cs="宋体"/>
          <w:b/>
          <w:bCs/>
          <w:color w:val="000000"/>
          <w:szCs w:val="28"/>
        </w:rPr>
        <w:t>2.1.7</w:t>
      </w:r>
      <w:r>
        <w:rPr>
          <w:rFonts w:hint="eastAsia" w:cs="宋体"/>
          <w:color w:val="000000"/>
          <w:szCs w:val="28"/>
        </w:rPr>
        <w:t xml:space="preserve"> 斜插筋孔 reserved oblique reinforcements hole</w:t>
      </w:r>
    </w:p>
    <w:p w14:paraId="23E812BC">
      <w:pPr>
        <w:pStyle w:val="18"/>
        <w:ind w:firstLine="480"/>
        <w:rPr>
          <w:rFonts w:hint="default"/>
          <w:color w:val="000000"/>
        </w:rPr>
      </w:pPr>
      <w:r>
        <w:rPr>
          <w:color w:val="000000"/>
        </w:rPr>
        <w:t>在预制底板的端部预留的用于插入连接钢筋的斜向孔洞或套筒。</w:t>
      </w:r>
    </w:p>
    <w:p w14:paraId="192389D8">
      <w:pPr>
        <w:pStyle w:val="18"/>
        <w:ind w:firstLine="480"/>
        <w:rPr>
          <w:rFonts w:hint="default"/>
          <w:color w:val="000000"/>
        </w:rPr>
      </w:pPr>
    </w:p>
    <w:p w14:paraId="036BEB41">
      <w:pPr>
        <w:pStyle w:val="18"/>
        <w:ind w:firstLine="480"/>
        <w:rPr>
          <w:rFonts w:hint="default"/>
          <w:color w:val="000000"/>
        </w:rPr>
      </w:pPr>
    </w:p>
    <w:p w14:paraId="5E2CD089">
      <w:pPr>
        <w:pStyle w:val="18"/>
        <w:ind w:firstLine="0" w:firstLineChars="0"/>
        <w:rPr>
          <w:rFonts w:hint="default"/>
          <w:color w:val="000000"/>
        </w:rPr>
      </w:pPr>
    </w:p>
    <w:p w14:paraId="78491340">
      <w:pPr>
        <w:pStyle w:val="18"/>
        <w:ind w:firstLine="0" w:firstLineChars="0"/>
        <w:rPr>
          <w:rFonts w:hint="default"/>
          <w:color w:val="000000"/>
        </w:rPr>
      </w:pPr>
    </w:p>
    <w:p w14:paraId="26746547">
      <w:pPr>
        <w:pStyle w:val="18"/>
        <w:ind w:firstLine="0" w:firstLineChars="0"/>
        <w:rPr>
          <w:rFonts w:hint="default"/>
          <w:color w:val="000000"/>
        </w:rPr>
      </w:pPr>
    </w:p>
    <w:p w14:paraId="5A5E2557">
      <w:pPr>
        <w:pStyle w:val="18"/>
        <w:ind w:firstLine="0" w:firstLineChars="0"/>
        <w:rPr>
          <w:rFonts w:hint="default"/>
          <w:color w:val="000000"/>
        </w:rPr>
      </w:pPr>
    </w:p>
    <w:p w14:paraId="68CB5E8F">
      <w:pPr>
        <w:pStyle w:val="18"/>
        <w:ind w:firstLine="0" w:firstLineChars="0"/>
        <w:rPr>
          <w:rFonts w:hint="default"/>
          <w:color w:val="000000"/>
        </w:rPr>
      </w:pPr>
    </w:p>
    <w:p w14:paraId="5CF779A0">
      <w:pPr>
        <w:pStyle w:val="18"/>
        <w:ind w:firstLine="0" w:firstLineChars="0"/>
        <w:rPr>
          <w:rFonts w:hint="default"/>
          <w:color w:val="000000"/>
        </w:rPr>
      </w:pPr>
    </w:p>
    <w:p w14:paraId="1D01DBA0">
      <w:pPr>
        <w:pStyle w:val="18"/>
        <w:ind w:firstLine="0" w:firstLineChars="0"/>
        <w:rPr>
          <w:rFonts w:hint="default"/>
          <w:color w:val="000000"/>
        </w:rPr>
      </w:pPr>
    </w:p>
    <w:p w14:paraId="6B533D33">
      <w:pPr>
        <w:pStyle w:val="18"/>
        <w:ind w:firstLine="0" w:firstLineChars="0"/>
        <w:rPr>
          <w:rFonts w:hint="default"/>
          <w:color w:val="000000"/>
        </w:rPr>
      </w:pPr>
    </w:p>
    <w:p w14:paraId="735FB094">
      <w:pPr>
        <w:pStyle w:val="18"/>
        <w:ind w:firstLine="0" w:firstLineChars="0"/>
        <w:rPr>
          <w:rFonts w:hint="default"/>
          <w:color w:val="000000"/>
        </w:rPr>
      </w:pPr>
    </w:p>
    <w:p w14:paraId="39062310">
      <w:pPr>
        <w:pStyle w:val="18"/>
        <w:ind w:firstLine="0" w:firstLineChars="0"/>
        <w:rPr>
          <w:rFonts w:hint="default"/>
          <w:color w:val="000000"/>
        </w:rPr>
      </w:pPr>
    </w:p>
    <w:p w14:paraId="3B7BFC0C">
      <w:pPr>
        <w:pStyle w:val="18"/>
        <w:ind w:firstLine="0" w:firstLineChars="0"/>
        <w:rPr>
          <w:rFonts w:hint="default"/>
          <w:color w:val="000000"/>
        </w:rPr>
      </w:pPr>
    </w:p>
    <w:p w14:paraId="1E812D08">
      <w:pPr>
        <w:pStyle w:val="18"/>
        <w:ind w:firstLine="0" w:firstLineChars="0"/>
        <w:rPr>
          <w:rFonts w:hint="default"/>
          <w:color w:val="000000"/>
        </w:rPr>
      </w:pPr>
    </w:p>
    <w:p w14:paraId="5CA9491F">
      <w:pPr>
        <w:pStyle w:val="18"/>
        <w:ind w:firstLine="0" w:firstLineChars="0"/>
        <w:rPr>
          <w:rFonts w:hint="default"/>
          <w:color w:val="000000"/>
        </w:rPr>
      </w:pPr>
    </w:p>
    <w:p w14:paraId="65671376">
      <w:pPr>
        <w:pStyle w:val="18"/>
        <w:ind w:firstLine="0" w:firstLineChars="0"/>
        <w:rPr>
          <w:rFonts w:hint="default"/>
          <w:color w:val="000000"/>
        </w:rPr>
      </w:pPr>
    </w:p>
    <w:p w14:paraId="3E62709B">
      <w:pPr>
        <w:pStyle w:val="18"/>
        <w:ind w:firstLine="0" w:firstLineChars="0"/>
        <w:rPr>
          <w:rFonts w:hint="default"/>
          <w:color w:val="000000"/>
        </w:rPr>
      </w:pPr>
    </w:p>
    <w:p w14:paraId="6186C2DF">
      <w:pPr>
        <w:pStyle w:val="18"/>
        <w:ind w:firstLine="0" w:firstLineChars="0"/>
        <w:rPr>
          <w:rFonts w:hint="default"/>
          <w:color w:val="000000"/>
        </w:rPr>
      </w:pPr>
    </w:p>
    <w:p w14:paraId="09EED9AE">
      <w:pPr>
        <w:pStyle w:val="18"/>
        <w:ind w:firstLine="0" w:firstLineChars="0"/>
        <w:rPr>
          <w:rFonts w:hint="default"/>
          <w:color w:val="000000"/>
        </w:rPr>
      </w:pPr>
    </w:p>
    <w:p w14:paraId="2B219492">
      <w:pPr>
        <w:pStyle w:val="18"/>
        <w:ind w:firstLine="0" w:firstLineChars="0"/>
        <w:rPr>
          <w:rFonts w:hint="default"/>
          <w:color w:val="000000"/>
        </w:rPr>
      </w:pPr>
    </w:p>
    <w:p w14:paraId="424D6CE5">
      <w:pPr>
        <w:pStyle w:val="18"/>
        <w:ind w:firstLine="0" w:firstLineChars="0"/>
        <w:rPr>
          <w:rFonts w:hint="default"/>
          <w:color w:val="000000"/>
        </w:rPr>
      </w:pPr>
    </w:p>
    <w:p w14:paraId="2F576E73">
      <w:pPr>
        <w:pStyle w:val="3"/>
        <w:spacing w:before="312" w:after="312"/>
      </w:pPr>
      <w:bookmarkStart w:id="27" w:name="_Toc9525"/>
      <w:r>
        <w:rPr>
          <w:rFonts w:hint="eastAsia"/>
        </w:rPr>
        <w:t>2.2 符 号</w:t>
      </w:r>
      <w:bookmarkEnd w:id="27"/>
    </w:p>
    <w:p w14:paraId="483502C6">
      <w:r>
        <w:rPr>
          <w:rFonts w:hint="eastAsia" w:cs="宋体"/>
          <w:b/>
          <w:bCs/>
          <w:color w:val="000000"/>
          <w:szCs w:val="28"/>
        </w:rPr>
        <w:t>2.2.1</w:t>
      </w:r>
      <w:r>
        <w:rPr>
          <w:rFonts w:hint="eastAsia" w:cs="宋体"/>
          <w:color w:val="000000"/>
          <w:szCs w:val="28"/>
        </w:rPr>
        <w:t xml:space="preserve"> 材料性能</w:t>
      </w:r>
    </w:p>
    <w:p w14:paraId="34B84D55">
      <w:pPr>
        <w:pStyle w:val="18"/>
        <w:ind w:firstLine="480"/>
        <w:rPr>
          <w:rFonts w:hint="default"/>
          <w:color w:val="auto"/>
        </w:rPr>
      </w:pPr>
      <w:r>
        <w:rPr>
          <w:color w:val="auto"/>
          <w:lang w:bidi="ar"/>
        </w:rPr>
        <w:object>
          <v:shape id="_x0000_i1025" o:spt="75" type="#_x0000_t75" style="height:19pt;width:13pt;" o:ole="t" filled="f" o:preferrelative="t" stroked="f" coordsize="21600,21600">
            <v:path/>
            <v:fill on="f" focussize="0,0"/>
            <v:stroke on="f" joinstyle="miter"/>
            <v:imagedata r:id="rId14" o:title=""/>
            <o:lock v:ext="edit" aspectratio="t"/>
            <w10:wrap type="none"/>
            <w10:anchorlock/>
          </v:shape>
          <o:OLEObject Type="Embed" ProgID="" ShapeID="_x0000_i1025" DrawAspect="Content" ObjectID="_1468075725" r:id="rId13">
            <o:LockedField>false</o:LockedField>
          </o:OLEObject>
        </w:object>
      </w:r>
      <w:r>
        <w:t>——</w:t>
      </w:r>
      <w:r>
        <w:rPr>
          <w:rFonts w:hint="default" w:cstheme="minorBidi"/>
          <w:color w:val="auto"/>
          <w:szCs w:val="24"/>
          <w:lang w:bidi="ar"/>
        </w:rPr>
        <w:t>后浇叠合层混凝土轴心抗压强度设计值；</w:t>
      </w:r>
    </w:p>
    <w:p w14:paraId="1D7B82D5">
      <w:pPr>
        <w:pStyle w:val="18"/>
        <w:ind w:firstLine="480"/>
        <w:rPr>
          <w:rFonts w:hint="default"/>
          <w:color w:val="auto"/>
        </w:rPr>
      </w:pPr>
      <w:r>
        <w:rPr>
          <w:color w:val="auto"/>
          <w:lang w:bidi="ar"/>
        </w:rPr>
        <w:object>
          <v:shape id="_x0000_i1026" o:spt="75" type="#_x0000_t75" style="height:19pt;width:14pt;" o:ole="t" filled="f" o:preferrelative="t" stroked="f" coordsize="21600,21600">
            <v:path/>
            <v:fill on="f" focussize="0,0"/>
            <v:stroke on="f" joinstyle="miter"/>
            <v:imagedata r:id="rId16" o:title=""/>
            <o:lock v:ext="edit" aspectratio="t"/>
            <w10:wrap type="none"/>
            <w10:anchorlock/>
          </v:shape>
          <o:OLEObject Type="Embed" ProgID="" ShapeID="_x0000_i1026" DrawAspect="Content" ObjectID="_1468075726" r:id="rId15">
            <o:LockedField>false</o:LockedField>
          </o:OLEObject>
        </w:object>
      </w:r>
      <w:r>
        <w:t>——</w:t>
      </w:r>
      <w:r>
        <w:rPr>
          <w:rFonts w:hint="default" w:cstheme="minorBidi"/>
          <w:color w:val="auto"/>
          <w:szCs w:val="24"/>
          <w:lang w:bidi="ar"/>
        </w:rPr>
        <w:t>后浇叠合层支座处普通钢筋抗拉强度设计值；</w:t>
      </w:r>
    </w:p>
    <w:p w14:paraId="2656EDC3">
      <w:pPr>
        <w:pStyle w:val="18"/>
        <w:ind w:firstLine="480"/>
        <w:rPr>
          <w:rFonts w:hint="default" w:cstheme="minorBidi"/>
          <w:color w:val="auto"/>
          <w:szCs w:val="24"/>
          <w:lang w:bidi="ar"/>
        </w:rPr>
      </w:pPr>
      <w:r>
        <w:rPr>
          <w:color w:val="auto"/>
          <w:lang w:bidi="ar"/>
        </w:rPr>
        <w:object>
          <v:shape id="_x0000_i1027" o:spt="75" type="#_x0000_t75" style="height:19pt;width:14pt;" o:ole="t" filled="f" o:preferrelative="t" stroked="f" coordsize="21600,21600">
            <v:path/>
            <v:fill on="f" focussize="0,0"/>
            <v:stroke on="f" joinstyle="miter"/>
            <v:imagedata r:id="rId18" o:title=""/>
            <o:lock v:ext="edit" aspectratio="t"/>
            <w10:wrap type="none"/>
            <w10:anchorlock/>
          </v:shape>
          <o:OLEObject Type="Embed" ProgID="" ShapeID="_x0000_i1027" DrawAspect="Content" ObjectID="_1468075727" r:id="rId17">
            <o:LockedField>false</o:LockedField>
          </o:OLEObject>
        </w:object>
      </w:r>
      <w:r>
        <w:t>——</w:t>
      </w:r>
      <w:r>
        <w:rPr>
          <w:rFonts w:hint="default" w:cstheme="minorBidi"/>
          <w:color w:val="auto"/>
          <w:szCs w:val="24"/>
          <w:lang w:bidi="ar"/>
        </w:rPr>
        <w:t>斜插筋的抗拉强度设计值。</w:t>
      </w:r>
    </w:p>
    <w:p w14:paraId="6FEC1725">
      <w:pPr>
        <w:widowControl/>
        <w:jc w:val="left"/>
        <w:rPr>
          <w:rFonts w:cs="宋体"/>
          <w:b/>
          <w:bCs/>
          <w:color w:val="000000"/>
          <w:szCs w:val="28"/>
        </w:rPr>
      </w:pPr>
      <w:r>
        <w:rPr>
          <w:rFonts w:hint="eastAsia" w:cs="宋体"/>
          <w:b/>
          <w:bCs/>
          <w:color w:val="000000"/>
          <w:szCs w:val="28"/>
          <w:lang w:bidi="ar"/>
        </w:rPr>
        <w:t xml:space="preserve">2.2.2 </w:t>
      </w:r>
      <w:r>
        <w:rPr>
          <w:rFonts w:hint="eastAsia" w:cs="宋体"/>
          <w:color w:val="000000"/>
          <w:szCs w:val="28"/>
          <w:lang w:bidi="ar"/>
        </w:rPr>
        <w:t>作用和作用效应</w:t>
      </w:r>
    </w:p>
    <w:p w14:paraId="4F40E751">
      <w:pPr>
        <w:pStyle w:val="18"/>
        <w:ind w:firstLine="480"/>
        <w:jc w:val="left"/>
        <w:rPr>
          <w:rFonts w:hint="default"/>
          <w:color w:val="auto"/>
          <w:lang w:bidi="ar"/>
        </w:rPr>
      </w:pPr>
      <w:r>
        <w:rPr>
          <w:color w:val="auto"/>
          <w:lang w:bidi="ar"/>
        </w:rPr>
        <w:object>
          <v:shape id="_x0000_i1028" o:spt="75" type="#_x0000_t75" style="height:19pt;width:23pt;" o:ole="t" filled="f" o:preferrelative="t" stroked="f" coordsize="21600,21600">
            <v:path/>
            <v:fill on="f" focussize="0,0"/>
            <v:stroke on="f" joinstyle="miter"/>
            <v:imagedata r:id="rId20" o:title=""/>
            <o:lock v:ext="edit" aspectratio="t"/>
            <w10:wrap type="none"/>
            <w10:anchorlock/>
          </v:shape>
          <o:OLEObject Type="Embed" ProgID="" ShapeID="_x0000_i1028" DrawAspect="Content" ObjectID="_1468075728" r:id="rId19">
            <o:LockedField>false</o:LockedField>
          </o:OLEObject>
        </w:object>
      </w:r>
      <w:r>
        <w:rPr>
          <w:color w:val="auto"/>
          <w:lang w:bidi="ar"/>
        </w:rPr>
        <w:t>——调整后支座处受弯承载力设计值；</w:t>
      </w:r>
    </w:p>
    <w:p w14:paraId="07F6F874">
      <w:pPr>
        <w:pStyle w:val="18"/>
        <w:ind w:firstLine="480"/>
        <w:jc w:val="left"/>
        <w:rPr>
          <w:rFonts w:hint="default"/>
          <w:color w:val="auto"/>
          <w:lang w:bidi="ar"/>
        </w:rPr>
      </w:pPr>
      <w:r>
        <w:rPr>
          <w:color w:val="auto"/>
          <w:lang w:bidi="ar"/>
        </w:rPr>
        <w:object>
          <v:shape id="_x0000_i1029" o:spt="75" type="#_x0000_t75" style="height:17pt;width:23pt;" o:ole="t" filled="f" o:preferrelative="t" stroked="f" coordsize="21600,21600">
            <v:path/>
            <v:fill on="f" focussize="0,0"/>
            <v:stroke on="f" joinstyle="miter"/>
            <v:imagedata r:id="rId22" o:title=""/>
            <o:lock v:ext="edit" aspectratio="t"/>
            <w10:wrap type="none"/>
            <w10:anchorlock/>
          </v:shape>
          <o:OLEObject Type="Embed" ProgID="" ShapeID="_x0000_i1029" DrawAspect="Content" ObjectID="_1468075729" r:id="rId21">
            <o:LockedField>false</o:LockedField>
          </o:OLEObject>
        </w:object>
      </w:r>
      <w:r>
        <w:rPr>
          <w:color w:val="auto"/>
          <w:lang w:bidi="ar"/>
        </w:rPr>
        <w:t>——支座处受弯承载力设计值；</w:t>
      </w:r>
    </w:p>
    <w:p w14:paraId="28A62E71">
      <w:pPr>
        <w:pStyle w:val="18"/>
        <w:ind w:firstLine="480"/>
        <w:jc w:val="left"/>
        <w:rPr>
          <w:rFonts w:hint="default"/>
          <w:color w:val="auto"/>
          <w:lang w:bidi="ar"/>
        </w:rPr>
      </w:pPr>
      <w:r>
        <w:rPr>
          <w:color w:val="auto"/>
          <w:lang w:bidi="ar"/>
        </w:rPr>
        <w:object>
          <v:shape id="_x0000_i1030" o:spt="75" type="#_x0000_t75" style="height:19pt;width:24pt;" o:ole="t" filled="f" o:preferrelative="t" stroked="f" coordsize="21600,21600">
            <v:path/>
            <v:fill on="f" focussize="0,0"/>
            <v:stroke on="f" joinstyle="miter"/>
            <v:imagedata r:id="rId24" o:title=""/>
            <o:lock v:ext="edit" aspectratio="t"/>
            <w10:wrap type="none"/>
            <w10:anchorlock/>
          </v:shape>
          <o:OLEObject Type="Embed" ProgID="" ShapeID="_x0000_i1030" DrawAspect="Content" ObjectID="_1468075730" r:id="rId23">
            <o:LockedField>false</o:LockedField>
          </o:OLEObject>
        </w:object>
      </w:r>
      <w:r>
        <w:rPr>
          <w:color w:val="auto"/>
          <w:lang w:bidi="ar"/>
        </w:rPr>
        <w:t>——调整后拼缝处受弯承载力设计值；</w:t>
      </w:r>
    </w:p>
    <w:p w14:paraId="0A5076A7">
      <w:pPr>
        <w:pStyle w:val="18"/>
        <w:ind w:firstLine="480"/>
        <w:jc w:val="left"/>
        <w:rPr>
          <w:rFonts w:hint="default"/>
          <w:color w:val="auto"/>
          <w:lang w:bidi="ar"/>
        </w:rPr>
      </w:pPr>
      <w:r>
        <w:rPr>
          <w:color w:val="auto"/>
          <w:lang w:bidi="ar"/>
        </w:rPr>
        <w:object>
          <v:shape id="_x0000_i1031" o:spt="75" type="#_x0000_t75" style="height:17pt;width:24pt;" o:ole="t" filled="f" o:preferrelative="t" stroked="f" coordsize="21600,21600">
            <v:path/>
            <v:fill on="f" focussize="0,0"/>
            <v:stroke on="f" joinstyle="miter"/>
            <v:imagedata r:id="rId26" o:title=""/>
            <o:lock v:ext="edit" aspectratio="t"/>
            <w10:wrap type="none"/>
            <w10:anchorlock/>
          </v:shape>
          <o:OLEObject Type="Embed" ProgID="" ShapeID="_x0000_i1031" DrawAspect="Content" ObjectID="_1468075731" r:id="rId25">
            <o:LockedField>false</o:LockedField>
          </o:OLEObject>
        </w:object>
      </w:r>
      <w:r>
        <w:rPr>
          <w:color w:val="auto"/>
          <w:lang w:bidi="ar"/>
        </w:rPr>
        <w:t>——拼缝处受弯承载力设计值；</w:t>
      </w:r>
    </w:p>
    <w:p w14:paraId="4BE490BA">
      <w:pPr>
        <w:pStyle w:val="18"/>
        <w:ind w:firstLine="480"/>
        <w:jc w:val="left"/>
        <w:rPr>
          <w:rFonts w:hint="default"/>
          <w:color w:val="auto"/>
          <w:lang w:bidi="ar"/>
        </w:rPr>
      </w:pPr>
      <w:r>
        <w:rPr>
          <w:color w:val="auto"/>
          <w:lang w:bidi="ar"/>
        </w:rPr>
        <w:object>
          <v:shape id="_x0000_i1032" o:spt="75" type="#_x0000_t75" style="height:18pt;width:13pt;" o:ole="t" filled="f" o:preferrelative="t" stroked="f" coordsize="21600,21600">
            <v:path/>
            <v:fill on="f" focussize="0,0"/>
            <v:stroke on="f" joinstyle="miter"/>
            <v:imagedata r:id="rId28" o:title=""/>
            <o:lock v:ext="edit" aspectratio="t"/>
            <w10:wrap type="none"/>
            <w10:anchorlock/>
          </v:shape>
          <o:OLEObject Type="Embed" ProgID="" ShapeID="_x0000_i1032" DrawAspect="Content" ObjectID="_1468075732" r:id="rId27">
            <o:LockedField>false</o:LockedField>
          </o:OLEObject>
        </w:object>
      </w:r>
      <w:r>
        <w:rPr>
          <w:color w:val="auto"/>
          <w:lang w:bidi="ar"/>
        </w:rPr>
        <w:t>——支座剪力设计值；</w:t>
      </w:r>
    </w:p>
    <w:p w14:paraId="1A9101EB">
      <w:pPr>
        <w:pStyle w:val="18"/>
        <w:ind w:firstLine="480"/>
        <w:rPr>
          <w:rFonts w:hint="default"/>
          <w:color w:val="auto"/>
          <w:lang w:bidi="ar"/>
        </w:rPr>
      </w:pPr>
      <w:r>
        <w:rPr>
          <w:color w:val="auto"/>
          <w:lang w:bidi="ar"/>
        </w:rPr>
        <w:object>
          <v:shape id="_x0000_i1033" o:spt="75" type="#_x0000_t75" style="height:17pt;width:15pt;" o:ole="t" filled="f" o:preferrelative="t" stroked="f" coordsize="21600,21600">
            <v:path/>
            <v:fill on="f" focussize="0,0"/>
            <v:stroke on="f" joinstyle="miter"/>
            <v:imagedata r:id="rId30" o:title=""/>
            <o:lock v:ext="edit" aspectratio="t"/>
            <w10:wrap type="none"/>
            <w10:anchorlock/>
          </v:shape>
          <o:OLEObject Type="Embed" ProgID="" ShapeID="_x0000_i1033" DrawAspect="Content" ObjectID="_1468075733" r:id="rId29">
            <o:LockedField>false</o:LockedField>
          </o:OLEObject>
        </w:object>
      </w:r>
      <w:r>
        <w:rPr>
          <w:color w:val="auto"/>
          <w:lang w:bidi="ar"/>
        </w:rPr>
        <w:t>——支座受剪承载力设计值。</w:t>
      </w:r>
    </w:p>
    <w:p w14:paraId="48035FC0">
      <w:r>
        <w:rPr>
          <w:rFonts w:hint="eastAsia" w:cs="宋体"/>
          <w:b/>
          <w:bCs/>
          <w:color w:val="000000"/>
          <w:szCs w:val="28"/>
        </w:rPr>
        <w:t>2.2.3</w:t>
      </w:r>
      <w:r>
        <w:rPr>
          <w:rFonts w:hint="eastAsia" w:cs="宋体"/>
          <w:color w:val="000000"/>
          <w:szCs w:val="28"/>
        </w:rPr>
        <w:t xml:space="preserve"> 几何参数</w:t>
      </w:r>
    </w:p>
    <w:p w14:paraId="447D1840">
      <w:pPr>
        <w:pStyle w:val="18"/>
        <w:ind w:firstLine="480"/>
        <w:rPr>
          <w:rFonts w:hint="default"/>
          <w:color w:val="auto"/>
          <w:lang w:bidi="ar"/>
        </w:rPr>
      </w:pPr>
      <w:r>
        <w:rPr>
          <w:color w:val="auto"/>
          <w:lang w:bidi="ar"/>
        </w:rPr>
        <w:object>
          <v:shape id="_x0000_i1034" o:spt="75" type="#_x0000_t75" style="height:18pt;width:19pt;" o:ole="t" filled="f" o:preferrelative="t" stroked="f" coordsize="21600,21600">
            <v:path/>
            <v:fill on="f" focussize="0,0"/>
            <v:stroke on="f" joinstyle="miter"/>
            <v:imagedata r:id="rId32" o:title=""/>
            <o:lock v:ext="edit" aspectratio="t"/>
            <w10:wrap type="none"/>
            <w10:anchorlock/>
          </v:shape>
          <o:OLEObject Type="Embed" ProgID="" ShapeID="_x0000_i1034" DrawAspect="Content" ObjectID="_1468075734" r:id="rId31">
            <o:LockedField>false</o:LockedField>
          </o:OLEObject>
        </w:object>
      </w:r>
      <w:r>
        <w:rPr>
          <w:color w:val="auto"/>
          <w:lang w:bidi="ar"/>
        </w:rPr>
        <w:t>——叠合层支座处混凝土截面积；</w:t>
      </w:r>
    </w:p>
    <w:p w14:paraId="0E181E61">
      <w:pPr>
        <w:pStyle w:val="18"/>
        <w:ind w:firstLine="480"/>
        <w:rPr>
          <w:rFonts w:hint="default"/>
          <w:color w:val="auto"/>
          <w:lang w:bidi="ar"/>
        </w:rPr>
      </w:pPr>
      <w:r>
        <w:rPr>
          <w:color w:val="auto"/>
          <w:lang w:bidi="ar"/>
        </w:rPr>
        <w:object>
          <v:shape id="_x0000_i1035" o:spt="75" type="#_x0000_t75" style="height:18pt;width:19pt;" o:ole="t" filled="f" o:preferrelative="t" stroked="f" coordsize="21600,21600">
            <v:path/>
            <v:fill on="f" focussize="0,0"/>
            <v:stroke on="f" joinstyle="miter"/>
            <v:imagedata r:id="rId34" o:title=""/>
            <o:lock v:ext="edit" aspectratio="t"/>
            <w10:wrap type="none"/>
            <w10:anchorlock/>
          </v:shape>
          <o:OLEObject Type="Embed" ProgID="" ShapeID="_x0000_i1035" DrawAspect="Content" ObjectID="_1468075735" r:id="rId33">
            <o:LockedField>false</o:LockedField>
          </o:OLEObject>
        </w:object>
      </w:r>
      <w:r>
        <w:rPr>
          <w:color w:val="auto"/>
          <w:lang w:bidi="ar"/>
        </w:rPr>
        <w:t>——穿过不出筋叠合板支座竖向接缝的钢筋面积；</w:t>
      </w:r>
    </w:p>
    <w:p w14:paraId="4E521B85">
      <w:pPr>
        <w:pStyle w:val="18"/>
        <w:ind w:firstLine="480"/>
        <w:rPr>
          <w:rFonts w:hint="default"/>
          <w:color w:val="auto"/>
          <w:lang w:bidi="ar"/>
        </w:rPr>
      </w:pPr>
      <w:r>
        <w:rPr>
          <w:color w:val="auto"/>
          <w:lang w:bidi="ar"/>
        </w:rPr>
        <w:object>
          <v:shape id="_x0000_i1036" o:spt="75" type="#_x0000_t75" style="height:18pt;width:17pt;" o:ole="t" filled="f" o:preferrelative="t" stroked="f" coordsize="21600,21600">
            <v:path/>
            <v:fill on="f" focussize="0,0"/>
            <v:stroke on="f" joinstyle="miter"/>
            <v:imagedata r:id="rId36" o:title=""/>
            <o:lock v:ext="edit" aspectratio="t"/>
            <w10:wrap type="none"/>
            <w10:anchorlock/>
          </v:shape>
          <o:OLEObject Type="Embed" ProgID="" ShapeID="_x0000_i1036" DrawAspect="Content" ObjectID="_1468075736" r:id="rId35">
            <o:LockedField>false</o:LockedField>
          </o:OLEObject>
        </w:object>
      </w:r>
      <w:r>
        <w:rPr>
          <w:color w:val="auto"/>
          <w:lang w:bidi="ar"/>
        </w:rPr>
        <w:t>——穿过不出筋叠合板支座竖向接缝的斜插筋面积。</w:t>
      </w:r>
    </w:p>
    <w:p w14:paraId="3EF6A491">
      <w:pPr>
        <w:pStyle w:val="18"/>
        <w:ind w:firstLine="480"/>
        <w:rPr>
          <w:rFonts w:hint="default"/>
          <w:color w:val="auto"/>
          <w:lang w:bidi="ar"/>
        </w:rPr>
      </w:pPr>
      <w:r>
        <w:rPr>
          <w:color w:val="auto"/>
          <w:lang w:bidi="ar"/>
        </w:rPr>
        <w:object>
          <v:shape id="_x0000_i1037" o:spt="75" type="#_x0000_t75" style="height:14pt;width:11pt;" o:ole="t" filled="f" o:preferrelative="t" stroked="f" coordsize="21600,21600">
            <v:path/>
            <v:fill on="f" focussize="0,0"/>
            <v:stroke on="f" joinstyle="miter"/>
            <v:imagedata r:id="rId38" o:title=""/>
            <o:lock v:ext="edit" aspectratio="t"/>
            <w10:wrap type="none"/>
            <w10:anchorlock/>
          </v:shape>
          <o:OLEObject Type="Embed" ProgID="Equation.KSEE3" ShapeID="_x0000_i1037" DrawAspect="Content" ObjectID="_1468075737" r:id="rId37">
            <o:LockedField>false</o:LockedField>
          </o:OLEObject>
        </w:object>
      </w:r>
      <w:r>
        <w:rPr>
          <w:color w:val="auto"/>
          <w:lang w:bidi="ar"/>
        </w:rPr>
        <w:t>——钢筋公称直径（简称钢筋直径）；</w:t>
      </w:r>
    </w:p>
    <w:p w14:paraId="1714340E">
      <w:pPr>
        <w:pStyle w:val="18"/>
        <w:ind w:firstLine="480"/>
        <w:rPr>
          <w:rFonts w:hint="default"/>
          <w:color w:val="auto"/>
          <w:lang w:bidi="ar"/>
        </w:rPr>
      </w:pPr>
      <w:r>
        <w:rPr>
          <w:color w:val="auto"/>
          <w:lang w:bidi="ar"/>
        </w:rPr>
        <w:object>
          <v:shape id="_x0000_i1038" o:spt="75" type="#_x0000_t75" style="height:14pt;width:10pt;" o:ole="t" filled="f" o:preferrelative="t" stroked="f" coordsize="21600,21600">
            <v:path/>
            <v:fill on="f" focussize="0,0"/>
            <v:stroke on="f" joinstyle="miter"/>
            <v:imagedata r:id="rId40" o:title=""/>
            <o:lock v:ext="edit" aspectratio="t"/>
            <w10:wrap type="none"/>
            <w10:anchorlock/>
          </v:shape>
          <o:OLEObject Type="Embed" ProgID="Equation.KSEE3" ShapeID="_x0000_i1038" DrawAspect="Content" ObjectID="_1468075738" r:id="rId39">
            <o:LockedField>false</o:LockedField>
          </o:OLEObject>
        </w:object>
      </w:r>
      <w:r>
        <w:rPr>
          <w:color w:val="auto"/>
          <w:lang w:bidi="ar"/>
        </w:rPr>
        <w:t>——设置凹槽后底板剩余厚度；</w:t>
      </w:r>
    </w:p>
    <w:p w14:paraId="7D1DCDB5">
      <w:pPr>
        <w:pStyle w:val="18"/>
        <w:ind w:firstLine="480"/>
        <w:rPr>
          <w:rFonts w:hint="default"/>
          <w:color w:val="auto"/>
          <w:lang w:bidi="ar"/>
        </w:rPr>
      </w:pPr>
      <w:r>
        <w:rPr>
          <w:color w:val="auto"/>
          <w:lang w:bidi="ar"/>
        </w:rPr>
        <w:object>
          <v:shape id="_x0000_i1039" o:spt="75" type="#_x0000_t75" style="height:14pt;width:7pt;" o:ole="t" filled="f" o:preferrelative="t" stroked="f" coordsize="21600,21600">
            <v:path/>
            <v:fill on="f" focussize="0,0"/>
            <v:stroke on="f" joinstyle="miter"/>
            <v:imagedata r:id="rId42" o:title=""/>
            <o:lock v:ext="edit" aspectratio="t"/>
            <w10:wrap type="none"/>
            <w10:anchorlock/>
          </v:shape>
          <o:OLEObject Type="Embed" ProgID="Equation.KSEE3" ShapeID="_x0000_i1039" DrawAspect="Content" ObjectID="_1468075739" r:id="rId41">
            <o:LockedField>false</o:LockedField>
          </o:OLEObject>
        </w:object>
      </w:r>
      <w:r>
        <w:rPr>
          <w:color w:val="auto"/>
          <w:lang w:bidi="ar"/>
        </w:rPr>
        <w:t>——凹槽开口长度；</w:t>
      </w:r>
    </w:p>
    <w:p w14:paraId="7B6983AC">
      <w:pPr>
        <w:pStyle w:val="18"/>
        <w:ind w:firstLine="480"/>
        <w:rPr>
          <w:rFonts w:hint="default"/>
          <w:color w:val="auto"/>
          <w:lang w:bidi="ar"/>
        </w:rPr>
      </w:pPr>
      <w:r>
        <w:rPr>
          <w:color w:val="auto"/>
          <w:lang w:bidi="ar"/>
        </w:rPr>
        <w:object>
          <v:shape id="_x0000_i1040" o:spt="75" type="#_x0000_t75" style="height:12pt;width:7pt;" o:ole="t" filled="f" o:preferrelative="t" stroked="f" coordsize="21600,21600">
            <v:path/>
            <v:fill on="f" focussize="0,0"/>
            <v:stroke on="f" joinstyle="miter"/>
            <v:imagedata r:id="rId44" o:title=""/>
            <o:lock v:ext="edit" aspectratio="t"/>
            <w10:wrap type="none"/>
            <w10:anchorlock/>
          </v:shape>
          <o:OLEObject Type="Embed" ProgID="Equation.KSEE3" ShapeID="_x0000_i1040" DrawAspect="Content" ObjectID="_1468075740" r:id="rId43">
            <o:LockedField>false</o:LockedField>
          </o:OLEObject>
        </w:object>
      </w:r>
      <w:r>
        <w:rPr>
          <w:color w:val="auto"/>
          <w:lang w:bidi="ar"/>
        </w:rPr>
        <w:t>——凹槽开口宽度；</w:t>
      </w:r>
    </w:p>
    <w:p w14:paraId="19ED657B">
      <w:pPr>
        <w:pStyle w:val="18"/>
        <w:ind w:firstLine="480"/>
        <w:rPr>
          <w:rFonts w:hint="default"/>
          <w:color w:val="auto"/>
          <w:lang w:bidi="ar"/>
        </w:rPr>
      </w:pPr>
      <w:r>
        <w:rPr>
          <w:color w:val="auto"/>
          <w:lang w:bidi="ar"/>
        </w:rPr>
        <w:object>
          <v:shape id="_x0000_i1041" o:spt="75" type="#_x0000_t75" style="height:11pt;width:13pt;" o:ole="t" filled="f" o:preferrelative="t" stroked="f" coordsize="21600,21600">
            <v:path/>
            <v:fill on="f" focussize="0,0"/>
            <v:stroke on="f" joinstyle="miter"/>
            <v:imagedata r:id="rId46" o:title=""/>
            <o:lock v:ext="edit" aspectratio="t"/>
            <w10:wrap type="none"/>
            <w10:anchorlock/>
          </v:shape>
          <o:OLEObject Type="Embed" ProgID="" ShapeID="_x0000_i1041" DrawAspect="Content" ObjectID="_1468075741" r:id="rId45">
            <o:LockedField>false</o:LockedField>
          </o:OLEObject>
        </w:object>
      </w:r>
      <w:r>
        <w:rPr>
          <w:color w:val="auto"/>
          <w:lang w:bidi="ar"/>
        </w:rPr>
        <w:t>——斜插筋斜向段与预制底板面夹角；</w:t>
      </w:r>
    </w:p>
    <w:p w14:paraId="435AED3C">
      <w:pPr>
        <w:pStyle w:val="18"/>
        <w:ind w:firstLine="480"/>
        <w:rPr>
          <w:rFonts w:hint="default"/>
          <w:color w:val="auto"/>
          <w:lang w:bidi="ar"/>
        </w:rPr>
      </w:pPr>
      <w:r>
        <w:rPr>
          <w:color w:val="auto"/>
          <w:lang w:bidi="ar"/>
        </w:rPr>
        <w:object>
          <v:shape id="_x0000_i1042" o:spt="75" type="#_x0000_t75" style="height:17pt;width:13pt;" o:ole="t" filled="f" o:preferrelative="t" stroked="f" coordsize="21600,21600">
            <v:path/>
            <v:fill on="f" focussize="0,0"/>
            <v:stroke on="f" joinstyle="miter"/>
            <v:imagedata r:id="rId48" o:title=""/>
            <o:lock v:ext="edit" aspectratio="t"/>
            <w10:wrap type="none"/>
            <w10:anchorlock/>
          </v:shape>
          <o:OLEObject Type="Embed" ProgID="" ShapeID="_x0000_i1042" DrawAspect="Content" ObjectID="_1468075742" r:id="rId47">
            <o:LockedField>false</o:LockedField>
          </o:OLEObject>
        </w:object>
      </w:r>
      <w:r>
        <w:rPr>
          <w:color w:val="auto"/>
          <w:lang w:bidi="ar"/>
        </w:rPr>
        <w:t>——凹槽侧壁与预制底板夹角；</w:t>
      </w:r>
    </w:p>
    <w:p w14:paraId="124BF090">
      <w:pPr>
        <w:pStyle w:val="18"/>
        <w:ind w:firstLine="480"/>
        <w:rPr>
          <w:rFonts w:hint="default"/>
          <w:color w:val="auto"/>
          <w:lang w:bidi="ar"/>
        </w:rPr>
      </w:pPr>
      <w:r>
        <w:rPr>
          <w:color w:val="auto"/>
          <w:lang w:bidi="ar"/>
        </w:rPr>
        <w:object>
          <v:shape id="_x0000_i1043" o:spt="75" type="#_x0000_t75" style="height:13pt;width:10pt;" o:ole="t" filled="f" o:preferrelative="t" stroked="f" coordsize="21600,21600">
            <v:path/>
            <v:fill on="f" focussize="0,0"/>
            <v:stroke on="f" joinstyle="miter"/>
            <v:imagedata r:id="rId50" o:title=""/>
            <o:lock v:ext="edit" aspectratio="t"/>
            <w10:wrap type="none"/>
            <w10:anchorlock/>
          </v:shape>
          <o:OLEObject Type="Embed" ProgID="" ShapeID="_x0000_i1043" DrawAspect="Content" ObjectID="_1468075743" r:id="rId49">
            <o:LockedField>false</o:LockedField>
          </o:OLEObject>
        </w:object>
      </w:r>
      <w:r>
        <w:rPr>
          <w:color w:val="auto"/>
          <w:lang w:bidi="ar"/>
        </w:rPr>
        <w:t>——凹槽拼缝时预制底板侧边的倾角；</w:t>
      </w:r>
    </w:p>
    <w:p w14:paraId="06588F05">
      <w:pPr>
        <w:widowControl/>
        <w:jc w:val="left"/>
        <w:rPr>
          <w:rFonts w:cs="宋体"/>
          <w:b/>
          <w:bCs/>
          <w:color w:val="000000"/>
          <w:szCs w:val="28"/>
        </w:rPr>
      </w:pPr>
      <w:r>
        <w:rPr>
          <w:rFonts w:hint="eastAsia" w:cs="宋体"/>
          <w:b/>
          <w:bCs/>
          <w:color w:val="000000"/>
          <w:szCs w:val="28"/>
          <w:lang w:bidi="ar"/>
        </w:rPr>
        <w:t xml:space="preserve">2.2.4 </w:t>
      </w:r>
      <w:r>
        <w:rPr>
          <w:rFonts w:hint="eastAsia" w:cs="宋体"/>
          <w:color w:val="000000"/>
          <w:szCs w:val="28"/>
          <w:lang w:bidi="ar"/>
        </w:rPr>
        <w:t>计算系数及其他</w:t>
      </w:r>
    </w:p>
    <w:p w14:paraId="0E7369F8">
      <w:pPr>
        <w:pStyle w:val="18"/>
        <w:ind w:firstLine="480"/>
        <w:jc w:val="left"/>
        <w:rPr>
          <w:rFonts w:hint="default"/>
          <w:color w:val="auto"/>
          <w:lang w:bidi="ar"/>
        </w:rPr>
      </w:pPr>
      <w:r>
        <w:rPr>
          <w:color w:val="auto"/>
          <w:lang w:bidi="ar"/>
        </w:rPr>
        <w:object>
          <v:shape id="_x0000_i1044" o:spt="75" type="#_x0000_t75" style="height:17pt;width:13pt;" o:ole="t" filled="f" o:preferrelative="t" stroked="f" coordsize="21600,21600">
            <v:path/>
            <v:fill on="f" focussize="0,0"/>
            <v:stroke on="f" joinstyle="miter"/>
            <v:imagedata r:id="rId52" o:title=""/>
            <o:lock v:ext="edit" aspectratio="t"/>
            <w10:wrap type="none"/>
            <w10:anchorlock/>
          </v:shape>
          <o:OLEObject Type="Embed" ProgID="" ShapeID="_x0000_i1044" DrawAspect="Content" ObjectID="_1468075744" r:id="rId51">
            <o:LockedField>false</o:LockedField>
          </o:OLEObject>
        </w:object>
      </w:r>
      <w:r>
        <w:rPr>
          <w:color w:val="auto"/>
          <w:lang w:bidi="ar"/>
        </w:rPr>
        <w:t>——支座凹槽连接处受弯承载力折减系数；</w:t>
      </w:r>
    </w:p>
    <w:p w14:paraId="7CB4F694">
      <w:pPr>
        <w:pStyle w:val="18"/>
        <w:ind w:firstLine="480"/>
        <w:jc w:val="left"/>
        <w:rPr>
          <w:rFonts w:hint="default"/>
          <w:color w:val="auto"/>
          <w:lang w:bidi="ar"/>
        </w:rPr>
      </w:pPr>
      <w:r>
        <w:rPr>
          <w:color w:val="auto"/>
          <w:lang w:bidi="ar"/>
        </w:rPr>
        <w:object>
          <v:shape id="_x0000_i1045" o:spt="75" type="#_x0000_t75" style="height:17pt;width:14pt;" o:ole="t" filled="f" o:preferrelative="t" stroked="f" coordsize="21600,21600">
            <v:path/>
            <v:fill on="f" focussize="0,0"/>
            <v:stroke on="f" joinstyle="miter"/>
            <v:imagedata r:id="rId54" o:title=""/>
            <o:lock v:ext="edit" aspectratio="t"/>
            <w10:wrap type="none"/>
            <w10:anchorlock/>
          </v:shape>
          <o:OLEObject Type="Embed" ProgID="" ShapeID="_x0000_i1045" DrawAspect="Content" ObjectID="_1468075745" r:id="rId53">
            <o:LockedField>false</o:LockedField>
          </o:OLEObject>
        </w:object>
      </w:r>
      <w:r>
        <w:rPr>
          <w:color w:val="auto"/>
          <w:lang w:bidi="ar"/>
        </w:rPr>
        <w:t>——凹槽拼缝处受弯承载力折减系数。</w:t>
      </w:r>
    </w:p>
    <w:p w14:paraId="45648167"/>
    <w:p w14:paraId="3BC52D27"/>
    <w:p w14:paraId="1661F7C1"/>
    <w:p w14:paraId="476A5EA3"/>
    <w:p w14:paraId="56BD5D8B"/>
    <w:p w14:paraId="39BA7E87"/>
    <w:p w14:paraId="4294E380"/>
    <w:p w14:paraId="64E872E6"/>
    <w:p w14:paraId="448CD3BF"/>
    <w:p w14:paraId="69A41955"/>
    <w:p w14:paraId="576CAEA4"/>
    <w:p w14:paraId="7F749E78"/>
    <w:p w14:paraId="37F05A14"/>
    <w:p w14:paraId="1ABC8E1B"/>
    <w:p w14:paraId="4EA4574F"/>
    <w:p w14:paraId="11B63FB4"/>
    <w:p w14:paraId="17B6933E"/>
    <w:p w14:paraId="523B6380"/>
    <w:p w14:paraId="4B650542"/>
    <w:p w14:paraId="7D87940F"/>
    <w:p w14:paraId="5547F08B"/>
    <w:p w14:paraId="43E3F051"/>
    <w:p w14:paraId="1A873BE1"/>
    <w:p w14:paraId="5110E228"/>
    <w:p w14:paraId="0FC0F3F2"/>
    <w:p w14:paraId="785B5577">
      <w:pPr>
        <w:pStyle w:val="2"/>
      </w:pPr>
      <w:bookmarkStart w:id="28" w:name="_Toc7927"/>
      <w:r>
        <w:rPr>
          <w:rFonts w:hint="eastAsia"/>
        </w:rPr>
        <w:t>3 材 料</w:t>
      </w:r>
      <w:bookmarkEnd w:id="28"/>
    </w:p>
    <w:p w14:paraId="62EAAC2A">
      <w:pPr>
        <w:pStyle w:val="3"/>
        <w:spacing w:before="312" w:after="312"/>
      </w:pPr>
      <w:bookmarkStart w:id="29" w:name="_Toc12798"/>
      <w:r>
        <w:rPr>
          <w:rFonts w:hint="eastAsia"/>
        </w:rPr>
        <w:t>3.1 混凝土</w:t>
      </w:r>
      <w:bookmarkEnd w:id="29"/>
      <w:r>
        <w:rPr>
          <w:rFonts w:hint="eastAsia"/>
        </w:rPr>
        <w:t xml:space="preserve"> </w:t>
      </w:r>
    </w:p>
    <w:p w14:paraId="5FDBC3DD">
      <w:r>
        <w:rPr>
          <w:rFonts w:hint="eastAsia"/>
          <w:b/>
          <w:bCs/>
        </w:rPr>
        <w:t>3.1.1</w:t>
      </w:r>
      <w:r>
        <w:rPr>
          <w:rFonts w:hint="eastAsia"/>
        </w:rPr>
        <w:t xml:space="preserve"> 不出筋叠合板所用的混凝土材料应符合现行国家标准《混凝土结构通用规范》GB 55008和《混凝土结构设计标准》GB</w:t>
      </w:r>
      <w:r>
        <w:t>/</w:t>
      </w:r>
      <w:r>
        <w:rPr>
          <w:rFonts w:hint="eastAsia"/>
        </w:rPr>
        <w:t>T 50010的有关规定。</w:t>
      </w:r>
    </w:p>
    <w:p w14:paraId="0CF5D1C0">
      <w:r>
        <w:rPr>
          <w:rFonts w:hint="eastAsia"/>
          <w:b/>
          <w:bCs/>
        </w:rPr>
        <w:t>3.1.2</w:t>
      </w:r>
      <w:r>
        <w:rPr>
          <w:rFonts w:hint="eastAsia"/>
        </w:rPr>
        <w:t xml:space="preserve"> 预制底板所用混凝土中的粗骨料应采用连续级配，且最大粒径不大于20mm。</w:t>
      </w:r>
    </w:p>
    <w:p w14:paraId="4D7C6BC5">
      <w:r>
        <w:rPr>
          <w:rFonts w:hint="eastAsia"/>
          <w:b/>
          <w:bCs/>
        </w:rPr>
        <w:t xml:space="preserve">3.1.3 </w:t>
      </w:r>
      <w:r>
        <w:rPr>
          <w:rFonts w:hint="eastAsia"/>
        </w:rPr>
        <w:t>预制底板的混凝土强度等级不宜低于C30，后浇混凝土强度等级不宜低于预制构件的混凝土强度等级。</w:t>
      </w:r>
    </w:p>
    <w:p w14:paraId="393F472C">
      <w:pPr>
        <w:pStyle w:val="3"/>
        <w:spacing w:before="312" w:after="312"/>
      </w:pPr>
      <w:bookmarkStart w:id="30" w:name="_Toc29623"/>
      <w:r>
        <w:rPr>
          <w:rFonts w:hint="eastAsia"/>
        </w:rPr>
        <w:t>3.2 钢筋和钢材</w:t>
      </w:r>
      <w:bookmarkEnd w:id="30"/>
    </w:p>
    <w:p w14:paraId="4B9A3E52">
      <w:r>
        <w:rPr>
          <w:rFonts w:hint="eastAsia"/>
          <w:b/>
          <w:bCs/>
        </w:rPr>
        <w:t xml:space="preserve">3.2.1 </w:t>
      </w:r>
      <w:r>
        <w:rPr>
          <w:rFonts w:hint="eastAsia"/>
        </w:rPr>
        <w:t>不出筋叠合板中钢筋的力学性能和工艺性能应符合下列规定：</w:t>
      </w:r>
    </w:p>
    <w:p w14:paraId="7755B9BC">
      <w:pPr>
        <w:pStyle w:val="18"/>
        <w:ind w:firstLine="482"/>
        <w:rPr>
          <w:rFonts w:hint="default"/>
        </w:rPr>
      </w:pPr>
      <w:r>
        <w:rPr>
          <w:rFonts w:cstheme="minorBidi"/>
          <w:b/>
          <w:bCs/>
          <w:color w:val="auto"/>
          <w:szCs w:val="24"/>
        </w:rPr>
        <w:t>1</w:t>
      </w:r>
      <w:r>
        <w:t xml:space="preserve"> 钢筋应符合现行国家标准《混凝土结构通用规范》GB 55008和《混凝土结构设计标准》GB</w:t>
      </w:r>
      <w:r>
        <w:rPr>
          <w:rFonts w:hint="default"/>
        </w:rPr>
        <w:t>/</w:t>
      </w:r>
      <w:r>
        <w:t>T 50010的有关规定；</w:t>
      </w:r>
    </w:p>
    <w:p w14:paraId="2EC35B5B">
      <w:pPr>
        <w:pStyle w:val="18"/>
        <w:ind w:firstLine="482"/>
        <w:rPr>
          <w:rFonts w:hint="default"/>
        </w:rPr>
      </w:pPr>
      <w:r>
        <w:rPr>
          <w:rFonts w:cstheme="minorBidi"/>
          <w:b/>
          <w:bCs/>
          <w:color w:val="auto"/>
          <w:szCs w:val="24"/>
        </w:rPr>
        <w:t>2</w:t>
      </w:r>
      <w:r>
        <w:t xml:space="preserve"> 冷轧带肋钢筋应符合现行行业标准《冷轧带肋钢筋混凝土结构技术规程》JGJ 95的有关规定；</w:t>
      </w:r>
    </w:p>
    <w:p w14:paraId="179487DB">
      <w:pPr>
        <w:pStyle w:val="18"/>
        <w:ind w:firstLine="482"/>
        <w:rPr>
          <w:rFonts w:hint="default"/>
        </w:rPr>
      </w:pPr>
      <w:r>
        <w:rPr>
          <w:rFonts w:cstheme="minorBidi"/>
          <w:b/>
          <w:bCs/>
          <w:color w:val="auto"/>
          <w:szCs w:val="24"/>
        </w:rPr>
        <w:t>3</w:t>
      </w:r>
      <w:r>
        <w:t xml:space="preserve"> 钢筋焊接网应符合现行行业标准《钢筋焊接网混凝土结构技术规程》JGJ 114的有关规定。</w:t>
      </w:r>
    </w:p>
    <w:p w14:paraId="382C8F36">
      <w:r>
        <w:rPr>
          <w:rFonts w:hint="eastAsia"/>
          <w:b/>
          <w:bCs/>
        </w:rPr>
        <w:t xml:space="preserve">3.2.2 </w:t>
      </w:r>
      <w:r>
        <w:rPr>
          <w:rFonts w:hint="eastAsia" w:cs="宋体"/>
          <w:color w:val="000000"/>
          <w:szCs w:val="28"/>
        </w:rPr>
        <w:t>不出筋叠合板中的纵向受力钢筋、支座斜插筋、支座凹槽连接钢筋和凹槽拼缝连接钢筋宜采用HRB400、HRB500钢筋。钢筋桁架的上弦钢筋与下弦钢筋可采用HRB400、HRB500、CRB550或CRB600H钢筋；腹杆钢筋宜采用HPB300、HRB400、HRB500、CRB550或CRB600H钢筋，也可采用CPB550钢筋。</w:t>
      </w:r>
    </w:p>
    <w:p w14:paraId="207EDC5E">
      <w:r>
        <w:rPr>
          <w:rFonts w:hint="eastAsia" w:cs="宋体"/>
          <w:b/>
          <w:bCs/>
          <w:color w:val="000000"/>
          <w:szCs w:val="28"/>
        </w:rPr>
        <w:t>3.2.3</w:t>
      </w:r>
      <w:r>
        <w:rPr>
          <w:rFonts w:hint="eastAsia" w:cs="宋体"/>
          <w:color w:val="000000"/>
          <w:szCs w:val="28"/>
        </w:rPr>
        <w:t xml:space="preserve"> 不出筋叠合板中钢筋的公称直径应符合表3</w:t>
      </w:r>
      <w:r>
        <w:rPr>
          <w:rFonts w:cs="宋体"/>
          <w:color w:val="000000"/>
          <w:szCs w:val="28"/>
        </w:rPr>
        <w:t>.2.3</w:t>
      </w:r>
      <w:r>
        <w:rPr>
          <w:rFonts w:hint="eastAsia" w:cs="宋体"/>
          <w:color w:val="000000"/>
          <w:szCs w:val="28"/>
        </w:rPr>
        <w:t>的规定。</w:t>
      </w:r>
    </w:p>
    <w:p w14:paraId="3DD8BC25">
      <w:pPr>
        <w:pStyle w:val="19"/>
      </w:pPr>
      <w:r>
        <w:rPr>
          <w:rFonts w:hint="eastAsia"/>
        </w:rPr>
        <w:t>表 3.2.3 不出筋叠合板中钢筋的公称直径（mm）</w:t>
      </w:r>
    </w:p>
    <w:tbl>
      <w:tblPr>
        <w:tblStyle w:val="11"/>
        <w:tblW w:w="0" w:type="auto"/>
        <w:tblInd w:w="0" w:type="dxa"/>
        <w:tblLayout w:type="fixed"/>
        <w:tblCellMar>
          <w:top w:w="15" w:type="dxa"/>
          <w:left w:w="15" w:type="dxa"/>
          <w:bottom w:w="15" w:type="dxa"/>
          <w:right w:w="15" w:type="dxa"/>
        </w:tblCellMar>
      </w:tblPr>
      <w:tblGrid>
        <w:gridCol w:w="1440"/>
        <w:gridCol w:w="1300"/>
        <w:gridCol w:w="1925"/>
        <w:gridCol w:w="1825"/>
        <w:gridCol w:w="1869"/>
      </w:tblGrid>
      <w:tr w14:paraId="71E136DC">
        <w:tblPrEx>
          <w:tblCellMar>
            <w:top w:w="15" w:type="dxa"/>
            <w:left w:w="15" w:type="dxa"/>
            <w:bottom w:w="15" w:type="dxa"/>
            <w:right w:w="15" w:type="dxa"/>
          </w:tblCellMar>
        </w:tblPrEx>
        <w:trPr>
          <w:trHeight w:val="23" w:hRule="atLeast"/>
        </w:trPr>
        <w:tc>
          <w:tcPr>
            <w:tcW w:w="2740" w:type="dxa"/>
            <w:gridSpan w:val="2"/>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3EB6A18C">
            <w:pPr>
              <w:pStyle w:val="20"/>
            </w:pPr>
            <w:r>
              <w:t>类别</w:t>
            </w:r>
          </w:p>
        </w:tc>
        <w:tc>
          <w:tcPr>
            <w:tcW w:w="1925"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7F6043FC">
            <w:pPr>
              <w:pStyle w:val="20"/>
            </w:pPr>
            <w:r>
              <w:t>热轧钢筋</w:t>
            </w:r>
          </w:p>
        </w:tc>
        <w:tc>
          <w:tcPr>
            <w:tcW w:w="1825"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2B1D095E">
            <w:pPr>
              <w:pStyle w:val="20"/>
            </w:pPr>
            <w:r>
              <w:t>冷轧带肋钢筋</w:t>
            </w:r>
          </w:p>
        </w:tc>
        <w:tc>
          <w:tcPr>
            <w:tcW w:w="1869"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13FD2781">
            <w:pPr>
              <w:pStyle w:val="20"/>
            </w:pPr>
            <w:r>
              <w:t>冷拔光面钢筋</w:t>
            </w:r>
          </w:p>
        </w:tc>
      </w:tr>
      <w:tr w14:paraId="76C0F96D">
        <w:tblPrEx>
          <w:tblCellMar>
            <w:top w:w="15" w:type="dxa"/>
            <w:left w:w="15" w:type="dxa"/>
            <w:bottom w:w="15" w:type="dxa"/>
            <w:right w:w="15" w:type="dxa"/>
          </w:tblCellMar>
        </w:tblPrEx>
        <w:trPr>
          <w:trHeight w:val="23" w:hRule="atLeast"/>
        </w:trPr>
        <w:tc>
          <w:tcPr>
            <w:tcW w:w="2740" w:type="dxa"/>
            <w:gridSpan w:val="2"/>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68027C32">
            <w:pPr>
              <w:pStyle w:val="20"/>
            </w:pPr>
            <w:r>
              <w:t>纵向钢筋</w:t>
            </w:r>
          </w:p>
        </w:tc>
        <w:tc>
          <w:tcPr>
            <w:tcW w:w="1925"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4263881E">
            <w:pPr>
              <w:pStyle w:val="20"/>
            </w:pPr>
            <w:r>
              <w:t>6～16</w:t>
            </w:r>
          </w:p>
        </w:tc>
        <w:tc>
          <w:tcPr>
            <w:tcW w:w="1825"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7F69CDB2">
            <w:pPr>
              <w:pStyle w:val="20"/>
            </w:pPr>
            <w:r>
              <w:rPr>
                <w:rFonts w:hint="eastAsia"/>
              </w:rPr>
              <w:t>-</w:t>
            </w:r>
          </w:p>
        </w:tc>
        <w:tc>
          <w:tcPr>
            <w:tcW w:w="1869"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19052DF6">
            <w:pPr>
              <w:pStyle w:val="20"/>
            </w:pPr>
            <w:r>
              <w:t>-</w:t>
            </w:r>
          </w:p>
        </w:tc>
      </w:tr>
      <w:tr w14:paraId="2DFF2D35">
        <w:tblPrEx>
          <w:tblCellMar>
            <w:top w:w="15" w:type="dxa"/>
            <w:left w:w="15" w:type="dxa"/>
            <w:bottom w:w="15" w:type="dxa"/>
            <w:right w:w="15" w:type="dxa"/>
          </w:tblCellMar>
        </w:tblPrEx>
        <w:trPr>
          <w:trHeight w:val="23" w:hRule="atLeast"/>
        </w:trPr>
        <w:tc>
          <w:tcPr>
            <w:tcW w:w="1440" w:type="dxa"/>
            <w:vMerge w:val="restart"/>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642DBA3D">
            <w:pPr>
              <w:pStyle w:val="20"/>
            </w:pPr>
            <w:r>
              <w:t>钢筋桁架</w:t>
            </w:r>
          </w:p>
        </w:tc>
        <w:tc>
          <w:tcPr>
            <w:tcW w:w="1300"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494EA8E0">
            <w:pPr>
              <w:pStyle w:val="20"/>
            </w:pPr>
            <w:r>
              <w:t>上弦钢筋</w:t>
            </w:r>
          </w:p>
        </w:tc>
        <w:tc>
          <w:tcPr>
            <w:tcW w:w="1925"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69B176BC">
            <w:pPr>
              <w:pStyle w:val="20"/>
            </w:pPr>
            <w:r>
              <w:t>8～16</w:t>
            </w:r>
          </w:p>
        </w:tc>
        <w:tc>
          <w:tcPr>
            <w:tcW w:w="1825"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5824F093">
            <w:pPr>
              <w:pStyle w:val="20"/>
            </w:pPr>
            <w:r>
              <w:t>8～12</w:t>
            </w:r>
          </w:p>
        </w:tc>
        <w:tc>
          <w:tcPr>
            <w:tcW w:w="1869"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1C2E0EEC">
            <w:pPr>
              <w:pStyle w:val="20"/>
            </w:pPr>
            <w:r>
              <w:t>-</w:t>
            </w:r>
          </w:p>
        </w:tc>
      </w:tr>
      <w:tr w14:paraId="5726A8D2">
        <w:tblPrEx>
          <w:tblCellMar>
            <w:top w:w="15" w:type="dxa"/>
            <w:left w:w="15" w:type="dxa"/>
            <w:bottom w:w="15" w:type="dxa"/>
            <w:right w:w="15" w:type="dxa"/>
          </w:tblCellMar>
        </w:tblPrEx>
        <w:trPr>
          <w:trHeight w:val="23" w:hRule="atLeast"/>
        </w:trPr>
        <w:tc>
          <w:tcPr>
            <w:tcW w:w="1440" w:type="dxa"/>
            <w:vMerge w:val="continue"/>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317609F2">
            <w:pPr>
              <w:pStyle w:val="20"/>
            </w:pPr>
          </w:p>
        </w:tc>
        <w:tc>
          <w:tcPr>
            <w:tcW w:w="1300"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18684B87">
            <w:pPr>
              <w:pStyle w:val="20"/>
            </w:pPr>
            <w:r>
              <w:t>下弦钢筋</w:t>
            </w:r>
          </w:p>
        </w:tc>
        <w:tc>
          <w:tcPr>
            <w:tcW w:w="1925"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74263FE0">
            <w:pPr>
              <w:pStyle w:val="20"/>
            </w:pPr>
            <w:r>
              <w:t>6～14</w:t>
            </w:r>
          </w:p>
        </w:tc>
        <w:tc>
          <w:tcPr>
            <w:tcW w:w="1825"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7A6D594D">
            <w:pPr>
              <w:pStyle w:val="20"/>
            </w:pPr>
            <w:r>
              <w:t>6～12</w:t>
            </w:r>
          </w:p>
        </w:tc>
        <w:tc>
          <w:tcPr>
            <w:tcW w:w="1869"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5007D296">
            <w:pPr>
              <w:pStyle w:val="20"/>
            </w:pPr>
            <w:r>
              <w:t>-</w:t>
            </w:r>
          </w:p>
        </w:tc>
      </w:tr>
      <w:tr w14:paraId="44D4ED71">
        <w:tblPrEx>
          <w:tblCellMar>
            <w:top w:w="15" w:type="dxa"/>
            <w:left w:w="15" w:type="dxa"/>
            <w:bottom w:w="15" w:type="dxa"/>
            <w:right w:w="15" w:type="dxa"/>
          </w:tblCellMar>
        </w:tblPrEx>
        <w:trPr>
          <w:trHeight w:val="23" w:hRule="atLeast"/>
        </w:trPr>
        <w:tc>
          <w:tcPr>
            <w:tcW w:w="1440" w:type="dxa"/>
            <w:vMerge w:val="continue"/>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01276273">
            <w:pPr>
              <w:pStyle w:val="20"/>
            </w:pPr>
          </w:p>
        </w:tc>
        <w:tc>
          <w:tcPr>
            <w:tcW w:w="1300"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5EF8874E">
            <w:pPr>
              <w:pStyle w:val="20"/>
            </w:pPr>
            <w:r>
              <w:t>腹杆钢筋</w:t>
            </w:r>
          </w:p>
        </w:tc>
        <w:tc>
          <w:tcPr>
            <w:tcW w:w="1925"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7F6B97A5">
            <w:pPr>
              <w:pStyle w:val="20"/>
            </w:pPr>
            <w:r>
              <w:t>6～8</w:t>
            </w:r>
          </w:p>
        </w:tc>
        <w:tc>
          <w:tcPr>
            <w:tcW w:w="1825"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5DA59837">
            <w:pPr>
              <w:pStyle w:val="20"/>
            </w:pPr>
            <w:r>
              <w:t>6～8</w:t>
            </w:r>
          </w:p>
        </w:tc>
        <w:tc>
          <w:tcPr>
            <w:tcW w:w="1869"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34CD58D0">
            <w:pPr>
              <w:pStyle w:val="20"/>
            </w:pPr>
            <w:r>
              <w:t>6～8</w:t>
            </w:r>
          </w:p>
        </w:tc>
      </w:tr>
      <w:tr w14:paraId="26916629">
        <w:tblPrEx>
          <w:tblCellMar>
            <w:top w:w="15" w:type="dxa"/>
            <w:left w:w="15" w:type="dxa"/>
            <w:bottom w:w="15" w:type="dxa"/>
            <w:right w:w="15" w:type="dxa"/>
          </w:tblCellMar>
        </w:tblPrEx>
        <w:trPr>
          <w:trHeight w:val="23" w:hRule="atLeast"/>
        </w:trPr>
        <w:tc>
          <w:tcPr>
            <w:tcW w:w="2740" w:type="dxa"/>
            <w:gridSpan w:val="2"/>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37A5E5A3">
            <w:pPr>
              <w:pStyle w:val="20"/>
            </w:pPr>
            <w:r>
              <w:t>支座斜插筋</w:t>
            </w:r>
          </w:p>
        </w:tc>
        <w:tc>
          <w:tcPr>
            <w:tcW w:w="1925"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72677308">
            <w:pPr>
              <w:pStyle w:val="20"/>
            </w:pPr>
            <w:r>
              <w:t>6～16</w:t>
            </w:r>
          </w:p>
        </w:tc>
        <w:tc>
          <w:tcPr>
            <w:tcW w:w="1825"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05B4EB6D">
            <w:pPr>
              <w:pStyle w:val="20"/>
            </w:pPr>
            <w:r>
              <w:rPr>
                <w:rFonts w:hint="eastAsia"/>
              </w:rPr>
              <w:t>-</w:t>
            </w:r>
          </w:p>
        </w:tc>
        <w:tc>
          <w:tcPr>
            <w:tcW w:w="1869"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08B86F45">
            <w:pPr>
              <w:pStyle w:val="20"/>
            </w:pPr>
            <w:r>
              <w:t>-</w:t>
            </w:r>
          </w:p>
        </w:tc>
      </w:tr>
      <w:tr w14:paraId="380E90CD">
        <w:tblPrEx>
          <w:tblCellMar>
            <w:top w:w="15" w:type="dxa"/>
            <w:left w:w="15" w:type="dxa"/>
            <w:bottom w:w="15" w:type="dxa"/>
            <w:right w:w="15" w:type="dxa"/>
          </w:tblCellMar>
        </w:tblPrEx>
        <w:trPr>
          <w:trHeight w:val="23" w:hRule="atLeast"/>
        </w:trPr>
        <w:tc>
          <w:tcPr>
            <w:tcW w:w="2740" w:type="dxa"/>
            <w:gridSpan w:val="2"/>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3309004C">
            <w:pPr>
              <w:pStyle w:val="20"/>
            </w:pPr>
            <w:r>
              <w:t>支座凹槽连接钢筋</w:t>
            </w:r>
          </w:p>
        </w:tc>
        <w:tc>
          <w:tcPr>
            <w:tcW w:w="1925"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7B5D2F6F">
            <w:pPr>
              <w:pStyle w:val="20"/>
            </w:pPr>
            <w:r>
              <w:t>6～16</w:t>
            </w:r>
          </w:p>
        </w:tc>
        <w:tc>
          <w:tcPr>
            <w:tcW w:w="1825"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40F1AEA2">
            <w:pPr>
              <w:pStyle w:val="20"/>
            </w:pPr>
            <w:r>
              <w:rPr>
                <w:rFonts w:hint="eastAsia"/>
              </w:rPr>
              <w:t>-</w:t>
            </w:r>
          </w:p>
        </w:tc>
        <w:tc>
          <w:tcPr>
            <w:tcW w:w="1869"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12C559B1">
            <w:pPr>
              <w:pStyle w:val="20"/>
            </w:pPr>
            <w:r>
              <w:t>-</w:t>
            </w:r>
          </w:p>
        </w:tc>
      </w:tr>
      <w:tr w14:paraId="28BB55B6">
        <w:tblPrEx>
          <w:tblCellMar>
            <w:top w:w="15" w:type="dxa"/>
            <w:left w:w="15" w:type="dxa"/>
            <w:bottom w:w="15" w:type="dxa"/>
            <w:right w:w="15" w:type="dxa"/>
          </w:tblCellMar>
        </w:tblPrEx>
        <w:trPr>
          <w:trHeight w:val="23" w:hRule="atLeast"/>
        </w:trPr>
        <w:tc>
          <w:tcPr>
            <w:tcW w:w="2740" w:type="dxa"/>
            <w:gridSpan w:val="2"/>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21D5D67A">
            <w:pPr>
              <w:pStyle w:val="20"/>
            </w:pPr>
            <w:r>
              <w:t>凹槽拼缝连接钢筋</w:t>
            </w:r>
          </w:p>
        </w:tc>
        <w:tc>
          <w:tcPr>
            <w:tcW w:w="1925"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2391BD2B">
            <w:pPr>
              <w:pStyle w:val="20"/>
            </w:pPr>
            <w:r>
              <w:t>6～16</w:t>
            </w:r>
          </w:p>
        </w:tc>
        <w:tc>
          <w:tcPr>
            <w:tcW w:w="1825"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2912F2F7">
            <w:pPr>
              <w:pStyle w:val="20"/>
            </w:pPr>
            <w:r>
              <w:rPr>
                <w:rFonts w:hint="eastAsia"/>
              </w:rPr>
              <w:t>-</w:t>
            </w:r>
          </w:p>
        </w:tc>
        <w:tc>
          <w:tcPr>
            <w:tcW w:w="1869"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56FFA720">
            <w:pPr>
              <w:pStyle w:val="20"/>
            </w:pPr>
            <w:r>
              <w:t>-</w:t>
            </w:r>
          </w:p>
        </w:tc>
      </w:tr>
    </w:tbl>
    <w:p w14:paraId="35D3EDDA">
      <w:pPr>
        <w:spacing w:before="312" w:after="312"/>
        <w:rPr>
          <w:rFonts w:eastAsia="黑体"/>
        </w:rPr>
      </w:pPr>
      <w:bookmarkStart w:id="31" w:name="_Toc2832"/>
      <w:r>
        <w:rPr>
          <w:rFonts w:hint="eastAsia"/>
          <w:b/>
          <w:bCs/>
        </w:rPr>
        <w:t>3.2.4</w:t>
      </w:r>
      <w:r>
        <w:rPr>
          <w:rFonts w:hint="eastAsia"/>
        </w:rPr>
        <w:t xml:space="preserve"> 处于三类环境中的不出筋叠合板，可采用阻锈剂、环氧树脂涂层钢筋或其他具有耐腐蚀性能的钢筋等措施。</w:t>
      </w:r>
    </w:p>
    <w:p w14:paraId="1E5889A8">
      <w:pPr>
        <w:pStyle w:val="3"/>
        <w:spacing w:before="312" w:after="312"/>
      </w:pPr>
      <w:r>
        <w:rPr>
          <w:rFonts w:hint="eastAsia"/>
        </w:rPr>
        <w:t>3.3 钢筋桁架</w:t>
      </w:r>
      <w:bookmarkEnd w:id="31"/>
      <w:r>
        <w:rPr>
          <w:rFonts w:hint="eastAsia"/>
        </w:rPr>
        <w:t xml:space="preserve"> </w:t>
      </w:r>
    </w:p>
    <w:p w14:paraId="45A5B41E">
      <w:r>
        <w:rPr>
          <w:rFonts w:hint="eastAsia" w:cs="宋体"/>
          <w:b/>
          <w:bCs/>
          <w:color w:val="000000"/>
          <w:szCs w:val="28"/>
        </w:rPr>
        <w:t>3.3.1</w:t>
      </w:r>
      <w:r>
        <w:rPr>
          <w:rFonts w:hint="eastAsia" w:cs="宋体"/>
          <w:color w:val="000000"/>
          <w:szCs w:val="28"/>
        </w:rPr>
        <w:t xml:space="preserve"> 钢筋桁架宜采用专用自动化机械设备制作。腹杆钢筋与上、下弦钢筋的焊点应采用电阻点焊方式焊接。</w:t>
      </w:r>
    </w:p>
    <w:p w14:paraId="00FBC4AF">
      <w:r>
        <w:rPr>
          <w:rFonts w:hint="eastAsia" w:cs="宋体"/>
          <w:b/>
          <w:bCs/>
          <w:color w:val="000000"/>
          <w:szCs w:val="28"/>
        </w:rPr>
        <w:t xml:space="preserve">3.3.2 </w:t>
      </w:r>
      <w:r>
        <w:rPr>
          <w:rFonts w:hint="eastAsia" w:cs="宋体"/>
          <w:color w:val="000000"/>
          <w:szCs w:val="28"/>
        </w:rPr>
        <w:t>钢筋桁架的尺寸及质量检验应符合中国工程建设标准化协会标准《钢筋桁架混凝土叠合板应用技术规程》T/CECS 715的有关规定。</w:t>
      </w:r>
    </w:p>
    <w:p w14:paraId="55B5229F">
      <w:pPr>
        <w:pStyle w:val="3"/>
        <w:spacing w:before="312" w:after="312"/>
      </w:pPr>
      <w:bookmarkStart w:id="32" w:name="_Toc2217"/>
      <w:r>
        <w:rPr>
          <w:rFonts w:hint="eastAsia"/>
        </w:rPr>
        <w:t>3.4 其他材料</w:t>
      </w:r>
      <w:bookmarkEnd w:id="32"/>
      <w:r>
        <w:rPr>
          <w:rFonts w:hint="eastAsia"/>
        </w:rPr>
        <w:t xml:space="preserve"> </w:t>
      </w:r>
    </w:p>
    <w:p w14:paraId="20FE1EAF">
      <w:r>
        <w:rPr>
          <w:rFonts w:hint="eastAsia" w:cs="宋体"/>
          <w:b/>
          <w:bCs/>
          <w:color w:val="000000"/>
          <w:szCs w:val="28"/>
        </w:rPr>
        <w:t xml:space="preserve">3.4.1 </w:t>
      </w:r>
      <w:r>
        <w:rPr>
          <w:rFonts w:hint="eastAsia" w:cs="宋体"/>
          <w:color w:val="000000"/>
          <w:szCs w:val="28"/>
        </w:rPr>
        <w:t>预埋件锚板、锚筋及吊环材料应符合现行国家标准《混凝土结构设计标准》GB</w:t>
      </w:r>
      <w:r>
        <w:rPr>
          <w:rFonts w:cs="宋体"/>
          <w:color w:val="000000"/>
          <w:szCs w:val="28"/>
        </w:rPr>
        <w:t>/</w:t>
      </w:r>
      <w:r>
        <w:rPr>
          <w:rFonts w:hint="eastAsia" w:cs="宋体"/>
          <w:color w:val="000000"/>
          <w:szCs w:val="28"/>
        </w:rPr>
        <w:t>T 50010的有关规定。</w:t>
      </w:r>
    </w:p>
    <w:p w14:paraId="4FEBD440">
      <w:r>
        <w:rPr>
          <w:rFonts w:hint="eastAsia" w:cs="宋体"/>
          <w:b/>
          <w:bCs/>
          <w:color w:val="000000"/>
          <w:szCs w:val="28"/>
        </w:rPr>
        <w:t>3.4.2</w:t>
      </w:r>
      <w:r>
        <w:rPr>
          <w:rFonts w:hint="eastAsia" w:cs="宋体"/>
          <w:color w:val="000000"/>
          <w:szCs w:val="28"/>
        </w:rPr>
        <w:t xml:space="preserve"> 连接用焊接材料，螺栓、锚栓和铆钉等紧固件的材料应符合现行国家标准《钢结构设计标准》GB 50017、《钢结构焊接规范》GB 50661和现行行业标准《钢筋焊接及验收规范》JGJ 18等要求。</w:t>
      </w:r>
    </w:p>
    <w:p w14:paraId="253A6954">
      <w:r>
        <w:rPr>
          <w:rFonts w:hint="eastAsia"/>
          <w:b/>
          <w:bCs/>
        </w:rPr>
        <w:t>3.4.3</w:t>
      </w:r>
      <w:r>
        <w:rPr>
          <w:rFonts w:hint="eastAsia" w:cs="宋体"/>
          <w:color w:val="000000"/>
          <w:szCs w:val="28"/>
        </w:rPr>
        <w:t xml:space="preserve"> 凹槽拼缝连接宜采用聚合物改性水泥砂浆嵌缝，聚合物改性水泥砂浆的物理力学性能应符合表3.4.3的规定。</w:t>
      </w:r>
    </w:p>
    <w:p w14:paraId="4CE77955">
      <w:pPr>
        <w:pStyle w:val="19"/>
      </w:pPr>
      <w:r>
        <w:rPr>
          <w:rFonts w:hint="eastAsia"/>
        </w:rPr>
        <w:t>表3.4.3 聚合物改性水泥砂浆的物理力学性能</w:t>
      </w:r>
    </w:p>
    <w:tbl>
      <w:tblPr>
        <w:tblStyle w:val="11"/>
        <w:tblW w:w="8338" w:type="dxa"/>
        <w:tblInd w:w="0" w:type="dxa"/>
        <w:tblLayout w:type="fixed"/>
        <w:tblCellMar>
          <w:top w:w="15" w:type="dxa"/>
          <w:left w:w="15" w:type="dxa"/>
          <w:bottom w:w="15" w:type="dxa"/>
          <w:right w:w="15" w:type="dxa"/>
        </w:tblCellMar>
      </w:tblPr>
      <w:tblGrid>
        <w:gridCol w:w="3979"/>
        <w:gridCol w:w="2067"/>
        <w:gridCol w:w="2292"/>
      </w:tblGrid>
      <w:tr w14:paraId="486236FC">
        <w:tblPrEx>
          <w:tblCellMar>
            <w:top w:w="15" w:type="dxa"/>
            <w:left w:w="15" w:type="dxa"/>
            <w:bottom w:w="15" w:type="dxa"/>
            <w:right w:w="15" w:type="dxa"/>
          </w:tblCellMar>
        </w:tblPrEx>
        <w:trPr>
          <w:trHeight w:val="23" w:hRule="atLeast"/>
        </w:trPr>
        <w:tc>
          <w:tcPr>
            <w:tcW w:w="3979"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67268619">
            <w:pPr>
              <w:pStyle w:val="20"/>
            </w:pPr>
            <w:r>
              <w:t>项目</w:t>
            </w:r>
          </w:p>
        </w:tc>
        <w:tc>
          <w:tcPr>
            <w:tcW w:w="2067"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4BF34D37">
            <w:pPr>
              <w:pStyle w:val="20"/>
            </w:pPr>
            <w:r>
              <w:t>技术指标</w:t>
            </w:r>
          </w:p>
        </w:tc>
        <w:tc>
          <w:tcPr>
            <w:tcW w:w="2292"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4FE6128B">
            <w:pPr>
              <w:pStyle w:val="20"/>
            </w:pPr>
            <w:r>
              <w:t>试验方法标准</w:t>
            </w:r>
          </w:p>
        </w:tc>
      </w:tr>
      <w:tr w14:paraId="0BA2A224">
        <w:tblPrEx>
          <w:tblCellMar>
            <w:top w:w="15" w:type="dxa"/>
            <w:left w:w="15" w:type="dxa"/>
            <w:bottom w:w="15" w:type="dxa"/>
            <w:right w:w="15" w:type="dxa"/>
          </w:tblCellMar>
        </w:tblPrEx>
        <w:trPr>
          <w:trHeight w:val="23" w:hRule="atLeast"/>
        </w:trPr>
        <w:tc>
          <w:tcPr>
            <w:tcW w:w="3979"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7AE44F3D">
            <w:pPr>
              <w:pStyle w:val="20"/>
            </w:pPr>
            <w:r>
              <w:t>保水率（%）</w:t>
            </w:r>
          </w:p>
        </w:tc>
        <w:tc>
          <w:tcPr>
            <w:tcW w:w="2067"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23C0D45E">
            <w:pPr>
              <w:pStyle w:val="20"/>
            </w:pPr>
            <w:r>
              <w:t>≥92</w:t>
            </w:r>
          </w:p>
        </w:tc>
        <w:tc>
          <w:tcPr>
            <w:tcW w:w="2292" w:type="dxa"/>
            <w:vMerge w:val="restart"/>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379FE1B5">
            <w:pPr>
              <w:pStyle w:val="20"/>
            </w:pPr>
            <w:r>
              <w:t>现行行业标准《建筑砂浆基本性能试验方法标准》JGJ/T 70</w:t>
            </w:r>
          </w:p>
        </w:tc>
      </w:tr>
      <w:tr w14:paraId="651CDD0E">
        <w:tblPrEx>
          <w:tblCellMar>
            <w:top w:w="15" w:type="dxa"/>
            <w:left w:w="15" w:type="dxa"/>
            <w:bottom w:w="15" w:type="dxa"/>
            <w:right w:w="15" w:type="dxa"/>
          </w:tblCellMar>
        </w:tblPrEx>
        <w:trPr>
          <w:trHeight w:val="23" w:hRule="atLeast"/>
        </w:trPr>
        <w:tc>
          <w:tcPr>
            <w:tcW w:w="3979"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7932FA32">
            <w:pPr>
              <w:pStyle w:val="20"/>
            </w:pPr>
            <w:r>
              <w:t>凝结时间（h）</w:t>
            </w:r>
          </w:p>
        </w:tc>
        <w:tc>
          <w:tcPr>
            <w:tcW w:w="2067"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33B53611">
            <w:pPr>
              <w:pStyle w:val="20"/>
            </w:pPr>
            <w:r>
              <w:t>≤5</w:t>
            </w:r>
          </w:p>
        </w:tc>
        <w:tc>
          <w:tcPr>
            <w:tcW w:w="2292" w:type="dxa"/>
            <w:vMerge w:val="continue"/>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49E80537">
            <w:pPr>
              <w:jc w:val="center"/>
            </w:pPr>
          </w:p>
        </w:tc>
      </w:tr>
      <w:tr w14:paraId="7136CB35">
        <w:tblPrEx>
          <w:tblCellMar>
            <w:top w:w="15" w:type="dxa"/>
            <w:left w:w="15" w:type="dxa"/>
            <w:bottom w:w="15" w:type="dxa"/>
            <w:right w:w="15" w:type="dxa"/>
          </w:tblCellMar>
        </w:tblPrEx>
        <w:trPr>
          <w:trHeight w:val="23" w:hRule="atLeast"/>
        </w:trPr>
        <w:tc>
          <w:tcPr>
            <w:tcW w:w="3979"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1F594644">
            <w:pPr>
              <w:pStyle w:val="20"/>
            </w:pPr>
            <w:r>
              <w:t>2h稠度损失率（%）</w:t>
            </w:r>
          </w:p>
        </w:tc>
        <w:tc>
          <w:tcPr>
            <w:tcW w:w="2067"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3EE972EC">
            <w:pPr>
              <w:pStyle w:val="20"/>
            </w:pPr>
            <w:r>
              <w:t>≤20</w:t>
            </w:r>
          </w:p>
        </w:tc>
        <w:tc>
          <w:tcPr>
            <w:tcW w:w="2292" w:type="dxa"/>
            <w:vMerge w:val="continue"/>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1CEAA7DF">
            <w:pPr>
              <w:jc w:val="center"/>
            </w:pPr>
          </w:p>
        </w:tc>
      </w:tr>
      <w:tr w14:paraId="45F9DC20">
        <w:tblPrEx>
          <w:tblCellMar>
            <w:top w:w="15" w:type="dxa"/>
            <w:left w:w="15" w:type="dxa"/>
            <w:bottom w:w="15" w:type="dxa"/>
            <w:right w:w="15" w:type="dxa"/>
          </w:tblCellMar>
        </w:tblPrEx>
        <w:trPr>
          <w:trHeight w:val="23" w:hRule="atLeast"/>
        </w:trPr>
        <w:tc>
          <w:tcPr>
            <w:tcW w:w="3979"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5E1EAF1B">
            <w:pPr>
              <w:pStyle w:val="20"/>
            </w:pPr>
            <w:r>
              <w:t>14d拉伸粘结强度（MPa）</w:t>
            </w:r>
          </w:p>
        </w:tc>
        <w:tc>
          <w:tcPr>
            <w:tcW w:w="2067"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5A308C94">
            <w:pPr>
              <w:pStyle w:val="20"/>
            </w:pPr>
            <w:r>
              <w:t>≥0.6</w:t>
            </w:r>
          </w:p>
        </w:tc>
        <w:tc>
          <w:tcPr>
            <w:tcW w:w="2292" w:type="dxa"/>
            <w:vMerge w:val="continue"/>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138DE794">
            <w:pPr>
              <w:jc w:val="center"/>
            </w:pPr>
          </w:p>
        </w:tc>
      </w:tr>
      <w:tr w14:paraId="3663598B">
        <w:tblPrEx>
          <w:tblCellMar>
            <w:top w:w="15" w:type="dxa"/>
            <w:left w:w="15" w:type="dxa"/>
            <w:bottom w:w="15" w:type="dxa"/>
            <w:right w:w="15" w:type="dxa"/>
          </w:tblCellMar>
        </w:tblPrEx>
        <w:trPr>
          <w:trHeight w:val="23" w:hRule="atLeast"/>
        </w:trPr>
        <w:tc>
          <w:tcPr>
            <w:tcW w:w="3979"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1D7E9CC8">
            <w:pPr>
              <w:pStyle w:val="20"/>
            </w:pPr>
            <w:r>
              <w:t>28d收缩率（%）</w:t>
            </w:r>
          </w:p>
        </w:tc>
        <w:tc>
          <w:tcPr>
            <w:tcW w:w="2067"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1D516060">
            <w:pPr>
              <w:pStyle w:val="20"/>
            </w:pPr>
            <w:r>
              <w:t>≤0.12</w:t>
            </w:r>
          </w:p>
        </w:tc>
        <w:tc>
          <w:tcPr>
            <w:tcW w:w="2292" w:type="dxa"/>
            <w:vMerge w:val="continue"/>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55EB13CC">
            <w:pPr>
              <w:jc w:val="center"/>
            </w:pPr>
          </w:p>
        </w:tc>
      </w:tr>
      <w:tr w14:paraId="64F4D48E">
        <w:tblPrEx>
          <w:tblCellMar>
            <w:top w:w="15" w:type="dxa"/>
            <w:left w:w="15" w:type="dxa"/>
            <w:bottom w:w="15" w:type="dxa"/>
            <w:right w:w="15" w:type="dxa"/>
          </w:tblCellMar>
        </w:tblPrEx>
        <w:trPr>
          <w:trHeight w:val="23" w:hRule="atLeast"/>
        </w:trPr>
        <w:tc>
          <w:tcPr>
            <w:tcW w:w="3979"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1C6EFA92">
            <w:pPr>
              <w:pStyle w:val="20"/>
            </w:pPr>
            <w:r>
              <w:t>质量损失率（%）</w:t>
            </w:r>
          </w:p>
        </w:tc>
        <w:tc>
          <w:tcPr>
            <w:tcW w:w="2067"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688F7B0B">
            <w:pPr>
              <w:pStyle w:val="20"/>
            </w:pPr>
            <w:r>
              <w:t>≤2</w:t>
            </w:r>
          </w:p>
        </w:tc>
        <w:tc>
          <w:tcPr>
            <w:tcW w:w="2292" w:type="dxa"/>
            <w:vMerge w:val="continue"/>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63704430">
            <w:pPr>
              <w:jc w:val="center"/>
            </w:pPr>
          </w:p>
        </w:tc>
      </w:tr>
      <w:tr w14:paraId="13E8F576">
        <w:tblPrEx>
          <w:tblCellMar>
            <w:top w:w="15" w:type="dxa"/>
            <w:left w:w="15" w:type="dxa"/>
            <w:bottom w:w="15" w:type="dxa"/>
            <w:right w:w="15" w:type="dxa"/>
          </w:tblCellMar>
        </w:tblPrEx>
        <w:trPr>
          <w:trHeight w:val="23" w:hRule="atLeast"/>
        </w:trPr>
        <w:tc>
          <w:tcPr>
            <w:tcW w:w="3979"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1F8B33BD">
            <w:pPr>
              <w:pStyle w:val="20"/>
            </w:pPr>
            <w:r>
              <w:t>28d抗压强度（MPa）</w:t>
            </w:r>
          </w:p>
        </w:tc>
        <w:tc>
          <w:tcPr>
            <w:tcW w:w="2067"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3A4C9F92">
            <w:pPr>
              <w:pStyle w:val="20"/>
            </w:pPr>
            <w:r>
              <w:t>≥20</w:t>
            </w:r>
          </w:p>
        </w:tc>
        <w:tc>
          <w:tcPr>
            <w:tcW w:w="2292" w:type="dxa"/>
            <w:vMerge w:val="continue"/>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tcPr>
          <w:p w14:paraId="28926993"/>
        </w:tc>
      </w:tr>
    </w:tbl>
    <w:p w14:paraId="6B1D6729">
      <w:bookmarkStart w:id="33" w:name="_Toc31078"/>
    </w:p>
    <w:p w14:paraId="620B920B"/>
    <w:p w14:paraId="70EE9D77"/>
    <w:p w14:paraId="0D1BC689"/>
    <w:p w14:paraId="7D9C233F"/>
    <w:p w14:paraId="6A0131E7"/>
    <w:p w14:paraId="4AE45B3C"/>
    <w:p w14:paraId="358CF15A"/>
    <w:p w14:paraId="7B13DA64"/>
    <w:p w14:paraId="43AE2038"/>
    <w:p w14:paraId="0A16E1C8"/>
    <w:p w14:paraId="2AE07C8A"/>
    <w:p w14:paraId="01168D88"/>
    <w:p w14:paraId="59405440"/>
    <w:p w14:paraId="13ECFDC9"/>
    <w:p w14:paraId="05D0C17E"/>
    <w:p w14:paraId="349BBE77"/>
    <w:p w14:paraId="55E69DD7"/>
    <w:p w14:paraId="0B422D4E"/>
    <w:p w14:paraId="04D0C7E8"/>
    <w:p w14:paraId="5891B618"/>
    <w:p w14:paraId="69039401"/>
    <w:p w14:paraId="4951C9AC"/>
    <w:p w14:paraId="61B2A71F"/>
    <w:p w14:paraId="1DC22FB9"/>
    <w:p w14:paraId="3DAD8F6B"/>
    <w:p w14:paraId="4663D316">
      <w:pPr>
        <w:pStyle w:val="2"/>
      </w:pPr>
      <w:r>
        <w:rPr>
          <w:rFonts w:hint="eastAsia" w:cs="宋体"/>
          <w:color w:val="000000"/>
          <w:szCs w:val="36"/>
        </w:rPr>
        <w:t>4</w:t>
      </w:r>
      <w:r>
        <w:rPr>
          <w:rFonts w:hint="eastAsia" w:cs="宋体"/>
          <w:b w:val="0"/>
          <w:bCs w:val="0"/>
          <w:color w:val="000000"/>
          <w:szCs w:val="36"/>
        </w:rPr>
        <w:t xml:space="preserve"> </w:t>
      </w:r>
      <w:r>
        <w:rPr>
          <w:rFonts w:hint="eastAsia" w:cs="宋体"/>
          <w:color w:val="000000"/>
          <w:szCs w:val="36"/>
        </w:rPr>
        <w:t>结构设计</w:t>
      </w:r>
      <w:bookmarkEnd w:id="33"/>
    </w:p>
    <w:p w14:paraId="7EA5DD50">
      <w:pPr>
        <w:pStyle w:val="3"/>
        <w:spacing w:before="312" w:after="312"/>
      </w:pPr>
      <w:bookmarkStart w:id="34" w:name="_Toc3395"/>
      <w:r>
        <w:rPr>
          <w:rFonts w:hint="eastAsia"/>
        </w:rPr>
        <w:t>4.1 一般规定</w:t>
      </w:r>
      <w:bookmarkEnd w:id="34"/>
    </w:p>
    <w:p w14:paraId="3C283C9A">
      <w:r>
        <w:rPr>
          <w:rFonts w:hint="eastAsia" w:cs="宋体"/>
          <w:b/>
          <w:bCs/>
          <w:color w:val="000000"/>
          <w:szCs w:val="28"/>
        </w:rPr>
        <w:t>4.1.1</w:t>
      </w:r>
      <w:r>
        <w:rPr>
          <w:rFonts w:hint="eastAsia" w:cs="宋体"/>
          <w:color w:val="000000"/>
          <w:szCs w:val="28"/>
        </w:rPr>
        <w:t xml:space="preserve"> 对于平面规则的结构，采用不出筋叠合板时，在整体结构分析中可假定楼板在平面内无限刚性。</w:t>
      </w:r>
    </w:p>
    <w:p w14:paraId="6EA9A135">
      <w:r>
        <w:rPr>
          <w:rFonts w:hint="eastAsia" w:cs="宋体"/>
          <w:b/>
          <w:bCs/>
          <w:color w:val="000000"/>
          <w:szCs w:val="28"/>
        </w:rPr>
        <w:t xml:space="preserve">4.1.2 </w:t>
      </w:r>
      <w:r>
        <w:rPr>
          <w:rFonts w:hint="eastAsia" w:cs="宋体"/>
          <w:color w:val="333333"/>
          <w:szCs w:val="28"/>
        </w:rPr>
        <w:t>在结构转换层、平面凹凸</w:t>
      </w:r>
      <w:r>
        <w:rPr>
          <w:rFonts w:hint="eastAsia" w:cs="宋体"/>
          <w:color w:val="000000"/>
          <w:szCs w:val="28"/>
        </w:rPr>
        <w:t>不规则</w:t>
      </w:r>
      <w:r>
        <w:rPr>
          <w:rFonts w:hint="eastAsia" w:cs="宋体"/>
          <w:color w:val="333333"/>
          <w:szCs w:val="28"/>
        </w:rPr>
        <w:t>或楼板局部不连续等薄弱部位，以及作为上部结构嵌固部位的地下室楼板宜采用现浇楼板。当采用不出筋叠合板时，应适当增大后浇叠合层厚度并加强叠合板与支承结构的连接，也可</w:t>
      </w:r>
      <w:r>
        <w:rPr>
          <w:rFonts w:hint="eastAsia" w:cs="宋体"/>
          <w:color w:val="000000"/>
          <w:szCs w:val="28"/>
        </w:rPr>
        <w:t>将预制底板仅作为</w:t>
      </w:r>
      <w:r>
        <w:rPr>
          <w:rFonts w:hint="eastAsia" w:cs="宋体"/>
          <w:color w:val="333333"/>
          <w:szCs w:val="28"/>
        </w:rPr>
        <w:t>模板使用。</w:t>
      </w:r>
    </w:p>
    <w:p w14:paraId="7C9A501B">
      <w:pPr>
        <w:pStyle w:val="17"/>
      </w:pPr>
      <w:r>
        <w:rPr>
          <w:rFonts w:hint="eastAsia"/>
          <w:b/>
          <w:bCs/>
        </w:rPr>
        <w:t xml:space="preserve">【4.1.2条文说明】 </w:t>
      </w:r>
      <w:r>
        <w:rPr>
          <w:rFonts w:hint="eastAsia"/>
        </w:rPr>
        <w:t>结构转换层、平面凹凸不规则、楼板局部不连续等楼板薄弱部位，以及作为上部结构嵌固部位的地下室楼板等部位的楼盖整体性和平面内刚度要求较高，采用叠合楼板时，为保障结构整体性能，需采取增大后浇叠合层厚度、加强支座配筋等措施，同时预制底板与支座连接的斜插筋、凹槽连接钢筋应满足钢筋的锚固要求；或者将预制底板仅作为模板使用，不参与结构受力。</w:t>
      </w:r>
    </w:p>
    <w:p w14:paraId="470024B4">
      <w:r>
        <w:rPr>
          <w:rFonts w:hint="eastAsia" w:cs="宋体"/>
          <w:b/>
          <w:bCs/>
          <w:color w:val="000000"/>
          <w:szCs w:val="28"/>
        </w:rPr>
        <w:t xml:space="preserve">4.1.3 </w:t>
      </w:r>
      <w:r>
        <w:rPr>
          <w:rFonts w:hint="eastAsia" w:cs="宋体"/>
          <w:color w:val="000000"/>
          <w:szCs w:val="28"/>
        </w:rPr>
        <w:t>不出筋叠合板可根据预制底板接缝构造、支座构造、长宽比按单向板或双向板设计，并应符合下列规定：</w:t>
      </w:r>
    </w:p>
    <w:p w14:paraId="6B8CE1D5">
      <w:pPr>
        <w:pStyle w:val="18"/>
        <w:ind w:firstLine="482"/>
        <w:rPr>
          <w:rFonts w:hint="default"/>
        </w:rPr>
      </w:pPr>
      <w:r>
        <w:rPr>
          <w:rFonts w:cstheme="minorBidi"/>
          <w:b/>
          <w:bCs/>
          <w:color w:val="auto"/>
          <w:szCs w:val="24"/>
        </w:rPr>
        <w:t>1</w:t>
      </w:r>
      <w:r>
        <w:t xml:space="preserve"> 当预制底板之间采用分离式接缝，宜按单向板设计；</w:t>
      </w:r>
    </w:p>
    <w:p w14:paraId="16C09D6B">
      <w:pPr>
        <w:pStyle w:val="18"/>
        <w:ind w:firstLine="482"/>
        <w:rPr>
          <w:rFonts w:hint="default"/>
        </w:rPr>
      </w:pPr>
      <w:r>
        <w:rPr>
          <w:b/>
          <w:bCs/>
        </w:rPr>
        <w:t>2</w:t>
      </w:r>
      <w:r>
        <w:t xml:space="preserve"> 对长宽比不大于3的四边支承叠合板，当其预制底板之间采用后浇带式整体接缝、凹槽拼缝或无拼缝时，可按双向板设计；</w:t>
      </w:r>
    </w:p>
    <w:p w14:paraId="7663E138">
      <w:pPr>
        <w:pStyle w:val="18"/>
        <w:ind w:firstLine="482"/>
        <w:rPr>
          <w:rFonts w:hint="default"/>
        </w:rPr>
      </w:pPr>
      <w:r>
        <w:rPr>
          <w:rFonts w:cstheme="minorBidi"/>
          <w:b/>
          <w:bCs/>
          <w:color w:val="auto"/>
          <w:szCs w:val="24"/>
        </w:rPr>
        <w:t>3</w:t>
      </w:r>
      <w:r>
        <w:t xml:space="preserve"> 板与支座可采用斜插筋连接或凹槽连接。</w:t>
      </w:r>
    </w:p>
    <w:p w14:paraId="70C408E4">
      <w:r>
        <w:rPr>
          <w:rFonts w:hint="eastAsia"/>
          <w:b/>
          <w:bCs/>
        </w:rPr>
        <w:t>4.1.4</w:t>
      </w:r>
      <w:r>
        <w:rPr>
          <w:rFonts w:hint="eastAsia"/>
        </w:rPr>
        <w:t xml:space="preserve"> 不出筋叠合板构件及节点应进行承载能力极限状态及正常使用极限状态设计，并应符合现行国家标准《混凝土结构设计标准》GB</w:t>
      </w:r>
      <w:r>
        <w:t>/</w:t>
      </w:r>
      <w:r>
        <w:rPr>
          <w:rFonts w:hint="eastAsia"/>
        </w:rPr>
        <w:t>T 50010和《混凝土结构工程施工规范》GB 50666 的有关规定。</w:t>
      </w:r>
    </w:p>
    <w:p w14:paraId="2B96143B">
      <w:pPr>
        <w:pStyle w:val="3"/>
        <w:spacing w:before="312" w:after="312"/>
      </w:pPr>
      <w:bookmarkStart w:id="35" w:name="_Toc30558"/>
      <w:r>
        <w:rPr>
          <w:rFonts w:hint="eastAsia"/>
        </w:rPr>
        <w:t>4.2 构件设计</w:t>
      </w:r>
      <w:bookmarkEnd w:id="35"/>
    </w:p>
    <w:p w14:paraId="3792E996">
      <w:r>
        <w:rPr>
          <w:rFonts w:hint="eastAsia"/>
          <w:b/>
          <w:bCs/>
        </w:rPr>
        <w:t>4.2.1</w:t>
      </w:r>
      <w:r>
        <w:rPr>
          <w:rFonts w:hint="eastAsia"/>
        </w:rPr>
        <w:t xml:space="preserve"> 不出筋叠合板的预制底板厚度不宜</w:t>
      </w:r>
      <w:r>
        <w:rPr>
          <w:rFonts w:hint="eastAsia" w:cs="宋体"/>
          <w:color w:val="000000"/>
          <w:szCs w:val="28"/>
        </w:rPr>
        <w:t>小于</w:t>
      </w:r>
      <w:r>
        <w:rPr>
          <w:rFonts w:hint="eastAsia"/>
        </w:rPr>
        <w:t>60mm，且不应小于50mm；后浇混凝土叠合层厚度不应小于60mm。</w:t>
      </w:r>
    </w:p>
    <w:p w14:paraId="1A17E447">
      <w:r>
        <w:rPr>
          <w:rFonts w:hint="eastAsia"/>
          <w:b/>
          <w:bCs/>
        </w:rPr>
        <w:t>4.2.2</w:t>
      </w:r>
      <w:r>
        <w:rPr>
          <w:rFonts w:hint="eastAsia"/>
        </w:rPr>
        <w:t xml:space="preserve"> 预制底板中受力钢筋布置应符合下列规定：</w:t>
      </w:r>
    </w:p>
    <w:p w14:paraId="219D47E5">
      <w:pPr>
        <w:pStyle w:val="18"/>
        <w:ind w:firstLine="482"/>
        <w:rPr>
          <w:rFonts w:hint="default"/>
        </w:rPr>
      </w:pPr>
      <w:r>
        <w:rPr>
          <w:rFonts w:cstheme="minorBidi"/>
          <w:b/>
          <w:bCs/>
          <w:color w:val="auto"/>
          <w:szCs w:val="24"/>
        </w:rPr>
        <w:t>1</w:t>
      </w:r>
      <w:r>
        <w:t xml:space="preserve"> 钢筋的混凝土保护层厚度应符合现行国家标准《混凝土结构通用规范》GB 55008和《混凝土结构设计标准》GB</w:t>
      </w:r>
      <w:r>
        <w:rPr>
          <w:rFonts w:hint="default"/>
        </w:rPr>
        <w:t>/</w:t>
      </w:r>
      <w:r>
        <w:t>T 50010的有关规定；</w:t>
      </w:r>
    </w:p>
    <w:p w14:paraId="29DBD656">
      <w:pPr>
        <w:pStyle w:val="18"/>
        <w:ind w:firstLine="482"/>
        <w:rPr>
          <w:rFonts w:hint="default"/>
        </w:rPr>
      </w:pPr>
      <w:r>
        <w:rPr>
          <w:rFonts w:cstheme="minorBidi"/>
          <w:b/>
          <w:bCs/>
          <w:color w:val="auto"/>
          <w:szCs w:val="24"/>
        </w:rPr>
        <w:t xml:space="preserve">2 </w:t>
      </w:r>
      <w:r>
        <w:t>纵向受力钢筋可采用钢筋焊接网。当采用钢筋焊接网时，应符合现行行业标准《钢筋焊接网混凝土结构技术规程》JGJ 114 的有关规定；</w:t>
      </w:r>
    </w:p>
    <w:p w14:paraId="71BA7948">
      <w:pPr>
        <w:pStyle w:val="18"/>
        <w:ind w:firstLine="482"/>
        <w:rPr>
          <w:rFonts w:hint="default"/>
        </w:rPr>
      </w:pPr>
      <w:r>
        <w:rPr>
          <w:rFonts w:cstheme="minorBidi"/>
          <w:b/>
          <w:bCs/>
          <w:color w:val="auto"/>
          <w:szCs w:val="24"/>
        </w:rPr>
        <w:t>3</w:t>
      </w:r>
      <w:r>
        <w:t xml:space="preserve"> 最外侧纵向钢筋中心线至板边的距离不宜大于50mm。</w:t>
      </w:r>
    </w:p>
    <w:p w14:paraId="19CBA968">
      <w:r>
        <w:rPr>
          <w:rFonts w:hint="eastAsia"/>
          <w:b/>
          <w:bCs/>
        </w:rPr>
        <w:t>4.2.3</w:t>
      </w:r>
      <w:r>
        <w:rPr>
          <w:rFonts w:hint="eastAsia"/>
        </w:rPr>
        <w:t xml:space="preserve"> 钢筋桁架的布置宜符合下列规定：</w:t>
      </w:r>
    </w:p>
    <w:p w14:paraId="352EC423">
      <w:pPr>
        <w:pStyle w:val="18"/>
        <w:ind w:firstLine="482"/>
        <w:rPr>
          <w:rFonts w:hint="default"/>
        </w:rPr>
      </w:pPr>
      <w:r>
        <w:rPr>
          <w:rFonts w:cstheme="minorBidi"/>
          <w:b/>
          <w:bCs/>
          <w:color w:val="auto"/>
          <w:szCs w:val="24"/>
        </w:rPr>
        <w:t xml:space="preserve">1 </w:t>
      </w:r>
      <w:r>
        <w:t>钢筋桁架宜沿预制底板短暂设计状况的主要受力方向布置；</w:t>
      </w:r>
    </w:p>
    <w:p w14:paraId="5E2745E2">
      <w:pPr>
        <w:pStyle w:val="18"/>
        <w:ind w:firstLine="482"/>
        <w:rPr>
          <w:rFonts w:hint="default"/>
        </w:rPr>
      </w:pPr>
      <w:r>
        <w:rPr>
          <w:rFonts w:cstheme="minorBidi"/>
          <w:b/>
          <w:bCs/>
          <w:color w:val="auto"/>
          <w:szCs w:val="24"/>
        </w:rPr>
        <w:t>2</w:t>
      </w:r>
      <w:r>
        <w:t xml:space="preserve"> 钢筋桁架上弦钢筋至预制底板板边的水平距离不宜大于300mm，相邻钢筋桁架上弦钢筋的间距不宜大于600mm（图4.2.3）；</w:t>
      </w:r>
    </w:p>
    <w:p w14:paraId="23B0E0C5">
      <w:pPr>
        <w:jc w:val="center"/>
      </w:pPr>
      <w:r>
        <w:rPr>
          <w:rFonts w:hint="eastAsia" w:cs="Times New Roman"/>
          <w:lang w:bidi="ar"/>
        </w:rPr>
        <w:drawing>
          <wp:inline distT="0" distB="0" distL="114300" distR="114300">
            <wp:extent cx="5276850" cy="2901950"/>
            <wp:effectExtent l="0" t="0" r="6350" b="635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55"/>
                    <a:stretch>
                      <a:fillRect/>
                    </a:stretch>
                  </pic:blipFill>
                  <pic:spPr>
                    <a:xfrm>
                      <a:off x="0" y="0"/>
                      <a:ext cx="5276850" cy="2901950"/>
                    </a:xfrm>
                    <a:prstGeom prst="rect">
                      <a:avLst/>
                    </a:prstGeom>
                    <a:noFill/>
                    <a:ln>
                      <a:noFill/>
                    </a:ln>
                  </pic:spPr>
                </pic:pic>
              </a:graphicData>
            </a:graphic>
          </wp:inline>
        </w:drawing>
      </w:r>
    </w:p>
    <w:p w14:paraId="53ABAE19">
      <w:pPr>
        <w:pStyle w:val="19"/>
      </w:pPr>
      <w:r>
        <w:rPr>
          <w:rFonts w:hint="eastAsia"/>
        </w:rPr>
        <w:t>图4.2.3 钢筋桁架边距与间距示意</w:t>
      </w:r>
    </w:p>
    <w:p w14:paraId="7C42C853">
      <w:pPr>
        <w:pStyle w:val="20"/>
      </w:pPr>
      <w:r>
        <w:t>1－预制</w:t>
      </w:r>
      <w:r>
        <w:rPr>
          <w:rFonts w:hint="eastAsia"/>
        </w:rPr>
        <w:t>底</w:t>
      </w:r>
      <w:r>
        <w:t>板；2－钢筋桁架</w:t>
      </w:r>
    </w:p>
    <w:p w14:paraId="290C10CA">
      <w:pPr>
        <w:pStyle w:val="18"/>
        <w:ind w:firstLine="482"/>
        <w:rPr>
          <w:rFonts w:hint="default"/>
        </w:rPr>
      </w:pPr>
      <w:r>
        <w:rPr>
          <w:rFonts w:cstheme="minorBidi"/>
          <w:b/>
          <w:bCs/>
          <w:color w:val="auto"/>
          <w:szCs w:val="24"/>
        </w:rPr>
        <w:t>3</w:t>
      </w:r>
      <w:r>
        <w:t xml:space="preserve"> 在持久设计状况下，钢筋桁架的钢筋参与受力计算时，上、下弦钢筋宜与不出筋叠合板内同方向受力钢筋位于同一平面。</w:t>
      </w:r>
    </w:p>
    <w:p w14:paraId="4EECD9F1">
      <w:pPr>
        <w:pStyle w:val="17"/>
      </w:pPr>
      <w:r>
        <w:rPr>
          <w:rFonts w:hint="eastAsia"/>
          <w:b/>
          <w:bCs/>
        </w:rPr>
        <w:t>【4.2.3条文说明】</w:t>
      </w:r>
      <w:r>
        <w:rPr>
          <w:rFonts w:hint="eastAsia"/>
        </w:rPr>
        <w:t xml:space="preserve"> 预制底板短暂设计状况指在生产、施工、使用过程中出现概率较大，而与设计工作年限相比，其持续期很短的设计状况，包括脱模、运输、堆放、吊运、安装和混凝土浇筑等；持久设计状况指使用过程中一定出现，且持续期很长的设计状况，其持续期一般与设计工作年限为同一数量级，包括正常使用承载状况等。</w:t>
      </w:r>
    </w:p>
    <w:p w14:paraId="6F71D41B">
      <w:r>
        <w:rPr>
          <w:rFonts w:hint="eastAsia"/>
          <w:b/>
          <w:bCs/>
        </w:rPr>
        <w:t xml:space="preserve">4.2.4 </w:t>
      </w:r>
      <w:r>
        <w:rPr>
          <w:rFonts w:hint="eastAsia"/>
        </w:rPr>
        <w:t>当不出筋叠合板开洞时，应符合下列规定：</w:t>
      </w:r>
    </w:p>
    <w:p w14:paraId="7CE2FCAD">
      <w:pPr>
        <w:pStyle w:val="18"/>
        <w:ind w:firstLine="482"/>
        <w:rPr>
          <w:rFonts w:hint="default"/>
        </w:rPr>
      </w:pPr>
      <w:r>
        <w:rPr>
          <w:rFonts w:cstheme="minorBidi"/>
          <w:b/>
          <w:bCs/>
          <w:color w:val="auto"/>
          <w:szCs w:val="24"/>
        </w:rPr>
        <w:t>1</w:t>
      </w:r>
      <w:r>
        <w:t xml:space="preserve"> 洞口大小、位置及洞口周边加强措施应符合《混凝土结构设计标准》GB</w:t>
      </w:r>
      <w:r>
        <w:rPr>
          <w:rFonts w:hint="default"/>
        </w:rPr>
        <w:t>/</w:t>
      </w:r>
      <w:r>
        <w:t>T 50010的有关规定；</w:t>
      </w:r>
    </w:p>
    <w:p w14:paraId="2B047634">
      <w:pPr>
        <w:pStyle w:val="18"/>
        <w:ind w:firstLine="482"/>
        <w:rPr>
          <w:rFonts w:hint="default"/>
        </w:rPr>
      </w:pPr>
      <w:r>
        <w:rPr>
          <w:rFonts w:cstheme="minorBidi"/>
          <w:b/>
          <w:bCs/>
          <w:color w:val="auto"/>
          <w:szCs w:val="24"/>
        </w:rPr>
        <w:t>2</w:t>
      </w:r>
      <w:r>
        <w:t xml:space="preserve"> 预制底板中钢筋桁架宜避开楼板开洞位置。</w:t>
      </w:r>
    </w:p>
    <w:p w14:paraId="65377E62">
      <w:r>
        <w:rPr>
          <w:rFonts w:hint="eastAsia"/>
          <w:b/>
          <w:bCs/>
        </w:rPr>
        <w:t>4.2.5</w:t>
      </w:r>
      <w:r>
        <w:rPr>
          <w:rFonts w:hint="eastAsia"/>
        </w:rPr>
        <w:t xml:space="preserve"> 预制底板与后浇混凝土之间的结合面应符合下列规定：</w:t>
      </w:r>
    </w:p>
    <w:p w14:paraId="1CF8591C">
      <w:pPr>
        <w:pStyle w:val="18"/>
        <w:ind w:firstLine="482"/>
        <w:rPr>
          <w:rFonts w:hint="default"/>
        </w:rPr>
      </w:pPr>
      <w:r>
        <w:rPr>
          <w:rFonts w:cstheme="minorBidi"/>
          <w:b/>
          <w:bCs/>
          <w:color w:val="auto"/>
          <w:szCs w:val="24"/>
        </w:rPr>
        <w:t>1</w:t>
      </w:r>
      <w:r>
        <w:t xml:space="preserve"> 预制底板与后浇混凝土叠合层之间的结合面应设置粗糙面；</w:t>
      </w:r>
    </w:p>
    <w:p w14:paraId="7E7F4309">
      <w:pPr>
        <w:pStyle w:val="18"/>
        <w:ind w:firstLine="482"/>
        <w:rPr>
          <w:rFonts w:hint="default"/>
        </w:rPr>
      </w:pPr>
      <w:r>
        <w:rPr>
          <w:rFonts w:cstheme="minorBidi"/>
          <w:b/>
          <w:bCs/>
          <w:color w:val="auto"/>
          <w:szCs w:val="24"/>
        </w:rPr>
        <w:t xml:space="preserve">2 </w:t>
      </w:r>
      <w:r>
        <w:t>板端支座处预制底板侧面宜设置粗糙面；</w:t>
      </w:r>
    </w:p>
    <w:p w14:paraId="733BB57D">
      <w:pPr>
        <w:pStyle w:val="18"/>
        <w:ind w:firstLine="482"/>
        <w:rPr>
          <w:rFonts w:hint="default"/>
        </w:rPr>
      </w:pPr>
      <w:r>
        <w:rPr>
          <w:rFonts w:cstheme="minorBidi"/>
          <w:b/>
          <w:bCs/>
          <w:color w:val="auto"/>
          <w:szCs w:val="24"/>
        </w:rPr>
        <w:t>3</w:t>
      </w:r>
      <w:r>
        <w:t xml:space="preserve"> 粗糙面面积不宜小于结合面的80%，凹凸深度不应小于4mm。</w:t>
      </w:r>
    </w:p>
    <w:p w14:paraId="54AE7B1D">
      <w:r>
        <w:rPr>
          <w:rFonts w:hint="eastAsia"/>
          <w:b/>
          <w:bCs/>
        </w:rPr>
        <w:t>4.2.6</w:t>
      </w:r>
      <w:r>
        <w:rPr>
          <w:rFonts w:hint="eastAsia"/>
        </w:rPr>
        <w:t xml:space="preserve"> 预制底板的吊点数量及布置应根据预制底板尺寸、重量及起吊方式通过计算确定，吊点宜对称布置且不应少于4 个。对于异形、大开洞的预制底板，宜采用专用吊具或采取专门的加强措施。</w:t>
      </w:r>
    </w:p>
    <w:p w14:paraId="44B5E75E">
      <w:r>
        <w:rPr>
          <w:rFonts w:hint="eastAsia"/>
          <w:b/>
          <w:bCs/>
        </w:rPr>
        <w:t>4.2.7</w:t>
      </w:r>
      <w:r>
        <w:rPr>
          <w:rFonts w:hint="eastAsia"/>
        </w:rPr>
        <w:t xml:space="preserve"> 施工时，预制底板宜将钢筋桁架兼作吊点。钢筋桁架兼作吊点时，吊点承载力标准值可按表4.2.7采用，并应符合下列规定：</w:t>
      </w:r>
    </w:p>
    <w:p w14:paraId="1179E734">
      <w:pPr>
        <w:pStyle w:val="18"/>
        <w:ind w:firstLine="482"/>
        <w:rPr>
          <w:rFonts w:hint="default"/>
        </w:rPr>
      </w:pPr>
      <w:r>
        <w:rPr>
          <w:rFonts w:cstheme="minorBidi"/>
          <w:b/>
          <w:bCs/>
          <w:color w:val="auto"/>
          <w:szCs w:val="24"/>
        </w:rPr>
        <w:t>1</w:t>
      </w:r>
      <w:r>
        <w:t xml:space="preserve"> 吊点应选择在上弦钢筋焊点所在位置，焊点不应脱焊；吊点位置应设置明显标识；</w:t>
      </w:r>
    </w:p>
    <w:p w14:paraId="0CA77881">
      <w:pPr>
        <w:pStyle w:val="18"/>
        <w:ind w:firstLine="482"/>
        <w:rPr>
          <w:rFonts w:hint="default"/>
        </w:rPr>
      </w:pPr>
      <w:r>
        <w:rPr>
          <w:rFonts w:cstheme="minorBidi"/>
          <w:b/>
          <w:bCs/>
          <w:color w:val="auto"/>
          <w:szCs w:val="24"/>
        </w:rPr>
        <w:t>2</w:t>
      </w:r>
      <w:r>
        <w:t xml:space="preserve"> 起吊时，吊钩应穿过上弦钢筋和两侧腹杆钢筋，吊索与预制底板水平夹角不应小于60°；</w:t>
      </w:r>
    </w:p>
    <w:p w14:paraId="0FC6B2B3">
      <w:pPr>
        <w:pStyle w:val="18"/>
        <w:ind w:firstLine="482"/>
        <w:rPr>
          <w:rFonts w:hint="default"/>
        </w:rPr>
      </w:pPr>
      <w:r>
        <w:rPr>
          <w:rFonts w:cstheme="minorBidi"/>
          <w:b/>
          <w:bCs/>
          <w:color w:val="auto"/>
          <w:szCs w:val="24"/>
        </w:rPr>
        <w:t xml:space="preserve">3 </w:t>
      </w:r>
      <w:r>
        <w:t>当钢筋桁架下弦钢筋位于板内纵向钢筋上方时，应在吊点位置钢筋桁架下弦钢筋上方设置至少2根附加钢筋（图4.2.7），附加钢筋直径不宜小于8mm，在吊点两侧的长度不宜小于150mm；</w:t>
      </w:r>
    </w:p>
    <w:p w14:paraId="54C23B97">
      <w:pPr>
        <w:pStyle w:val="18"/>
        <w:ind w:firstLine="482"/>
        <w:rPr>
          <w:rFonts w:hint="default"/>
        </w:rPr>
      </w:pPr>
      <w:r>
        <w:rPr>
          <w:rFonts w:cstheme="minorBidi"/>
          <w:b/>
          <w:bCs/>
          <w:color w:val="auto"/>
          <w:szCs w:val="24"/>
        </w:rPr>
        <w:t>4</w:t>
      </w:r>
      <w:r>
        <w:t xml:space="preserve"> 起吊时同条件养护的混凝土立方体试块抗压强度不应低于20MPa；</w:t>
      </w:r>
    </w:p>
    <w:p w14:paraId="3A750365">
      <w:pPr>
        <w:pStyle w:val="18"/>
        <w:ind w:firstLine="482"/>
        <w:rPr>
          <w:rFonts w:hint="default"/>
        </w:rPr>
      </w:pPr>
      <w:r>
        <w:rPr>
          <w:rFonts w:cstheme="minorBidi"/>
          <w:b/>
          <w:bCs/>
          <w:color w:val="auto"/>
          <w:szCs w:val="24"/>
        </w:rPr>
        <w:t>5</w:t>
      </w:r>
      <w:r>
        <w:t xml:space="preserve"> 施工安全系数应满足现行国家标准《混凝土结构工程施工规范》 GB 50666 相关要求，且不应小于 4.0；</w:t>
      </w:r>
    </w:p>
    <w:p w14:paraId="361016FA">
      <w:pPr>
        <w:pStyle w:val="18"/>
        <w:ind w:firstLine="482"/>
        <w:rPr>
          <w:rFonts w:hint="default"/>
        </w:rPr>
      </w:pPr>
      <w:r>
        <w:rPr>
          <w:rFonts w:cstheme="minorBidi"/>
          <w:b/>
          <w:bCs/>
          <w:color w:val="auto"/>
          <w:szCs w:val="24"/>
        </w:rPr>
        <w:t>6</w:t>
      </w:r>
      <w:r>
        <w:t xml:space="preserve"> 当不符合本条第 1 款～第 4 款的规定时，吊点的承载力应通过试验确定。</w:t>
      </w:r>
    </w:p>
    <w:p w14:paraId="224E5422">
      <w:pPr>
        <w:jc w:val="center"/>
      </w:pPr>
      <w:r>
        <w:rPr>
          <w:rFonts w:hint="eastAsia" w:cs="Times New Roman"/>
          <w:lang w:bidi="ar"/>
        </w:rPr>
        <w:drawing>
          <wp:inline distT="0" distB="0" distL="114300" distR="114300">
            <wp:extent cx="3517900" cy="1619250"/>
            <wp:effectExtent l="0" t="0" r="0" b="635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56"/>
                    <a:stretch>
                      <a:fillRect/>
                    </a:stretch>
                  </pic:blipFill>
                  <pic:spPr>
                    <a:xfrm>
                      <a:off x="0" y="0"/>
                      <a:ext cx="3517900" cy="1619250"/>
                    </a:xfrm>
                    <a:prstGeom prst="rect">
                      <a:avLst/>
                    </a:prstGeom>
                    <a:noFill/>
                    <a:ln>
                      <a:noFill/>
                    </a:ln>
                  </pic:spPr>
                </pic:pic>
              </a:graphicData>
            </a:graphic>
          </wp:inline>
        </w:drawing>
      </w:r>
    </w:p>
    <w:p w14:paraId="31FE51A0">
      <w:pPr>
        <w:pStyle w:val="19"/>
      </w:pPr>
      <w:r>
        <w:rPr>
          <w:rFonts w:hint="eastAsia"/>
        </w:rPr>
        <w:t>图4.2.7 吊点处附加钢筋示意</w:t>
      </w:r>
    </w:p>
    <w:p w14:paraId="048E4696">
      <w:pPr>
        <w:pStyle w:val="20"/>
      </w:pPr>
      <w:r>
        <w:t>1－预制底板；2－附加钢筋；3－下弦钢筋；4－预制底板内纵向钢筋</w:t>
      </w:r>
    </w:p>
    <w:p w14:paraId="6136ABB3">
      <w:pPr>
        <w:pStyle w:val="19"/>
      </w:pPr>
      <w:r>
        <w:rPr>
          <w:rFonts w:hint="eastAsia"/>
        </w:rPr>
        <w:t>表4.2.7 吊点承载力标准值</w:t>
      </w:r>
    </w:p>
    <w:tbl>
      <w:tblPr>
        <w:tblStyle w:val="11"/>
        <w:tblW w:w="0" w:type="auto"/>
        <w:jc w:val="center"/>
        <w:tblLayout w:type="fixed"/>
        <w:tblCellMar>
          <w:top w:w="15" w:type="dxa"/>
          <w:left w:w="15" w:type="dxa"/>
          <w:bottom w:w="15" w:type="dxa"/>
          <w:right w:w="15" w:type="dxa"/>
        </w:tblCellMar>
      </w:tblPr>
      <w:tblGrid>
        <w:gridCol w:w="4428"/>
        <w:gridCol w:w="2236"/>
      </w:tblGrid>
      <w:tr w14:paraId="4819D206">
        <w:tblPrEx>
          <w:tblCellMar>
            <w:top w:w="15" w:type="dxa"/>
            <w:left w:w="15" w:type="dxa"/>
            <w:bottom w:w="15" w:type="dxa"/>
            <w:right w:w="15" w:type="dxa"/>
          </w:tblCellMar>
        </w:tblPrEx>
        <w:trPr>
          <w:trHeight w:val="23" w:hRule="atLeast"/>
          <w:jc w:val="center"/>
        </w:trPr>
        <w:tc>
          <w:tcPr>
            <w:tcW w:w="4428"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0965EF9C">
            <w:pPr>
              <w:pStyle w:val="20"/>
            </w:pPr>
            <w:r>
              <w:t>腹杆钢筋类别</w:t>
            </w:r>
          </w:p>
        </w:tc>
        <w:tc>
          <w:tcPr>
            <w:tcW w:w="2236"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26A5F7A2">
            <w:pPr>
              <w:pStyle w:val="20"/>
            </w:pPr>
            <w:r>
              <w:t>承载力标准值（kN）</w:t>
            </w:r>
          </w:p>
        </w:tc>
      </w:tr>
      <w:tr w14:paraId="27BF63E7">
        <w:tblPrEx>
          <w:tblCellMar>
            <w:top w:w="15" w:type="dxa"/>
            <w:left w:w="15" w:type="dxa"/>
            <w:bottom w:w="15" w:type="dxa"/>
            <w:right w:w="15" w:type="dxa"/>
          </w:tblCellMar>
        </w:tblPrEx>
        <w:trPr>
          <w:trHeight w:val="23" w:hRule="atLeast"/>
          <w:jc w:val="center"/>
        </w:trPr>
        <w:tc>
          <w:tcPr>
            <w:tcW w:w="4428"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219B17A8">
            <w:pPr>
              <w:pStyle w:val="20"/>
            </w:pPr>
            <w:r>
              <w:t>HRB400、HRB500、CRB550 或CRB600H</w:t>
            </w:r>
          </w:p>
        </w:tc>
        <w:tc>
          <w:tcPr>
            <w:tcW w:w="2236"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55E75BF3">
            <w:pPr>
              <w:pStyle w:val="20"/>
            </w:pPr>
            <w:r>
              <w:t>20</w:t>
            </w:r>
          </w:p>
        </w:tc>
      </w:tr>
      <w:tr w14:paraId="625978AE">
        <w:tblPrEx>
          <w:tblCellMar>
            <w:top w:w="15" w:type="dxa"/>
            <w:left w:w="15" w:type="dxa"/>
            <w:bottom w:w="15" w:type="dxa"/>
            <w:right w:w="15" w:type="dxa"/>
          </w:tblCellMar>
        </w:tblPrEx>
        <w:trPr>
          <w:trHeight w:val="23" w:hRule="atLeast"/>
          <w:jc w:val="center"/>
        </w:trPr>
        <w:tc>
          <w:tcPr>
            <w:tcW w:w="4428"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74685A99">
            <w:pPr>
              <w:pStyle w:val="20"/>
            </w:pPr>
            <w:r>
              <w:t>HPB300、CPB550</w:t>
            </w:r>
          </w:p>
        </w:tc>
        <w:tc>
          <w:tcPr>
            <w:tcW w:w="2236" w:type="dxa"/>
            <w:tcBorders>
              <w:top w:val="single" w:color="auto" w:sz="2" w:space="0"/>
              <w:left w:val="single" w:color="auto" w:sz="2" w:space="0"/>
              <w:bottom w:val="single" w:color="auto" w:sz="2" w:space="0"/>
              <w:right w:val="single" w:color="auto" w:sz="2" w:space="0"/>
            </w:tcBorders>
            <w:tcMar>
              <w:top w:w="0" w:type="dxa"/>
              <w:left w:w="72" w:type="dxa"/>
              <w:bottom w:w="0" w:type="dxa"/>
              <w:right w:w="72" w:type="dxa"/>
            </w:tcMar>
            <w:vAlign w:val="center"/>
          </w:tcPr>
          <w:p w14:paraId="62689CEF">
            <w:pPr>
              <w:pStyle w:val="20"/>
            </w:pPr>
            <w:r>
              <w:t>15</w:t>
            </w:r>
          </w:p>
        </w:tc>
      </w:tr>
    </w:tbl>
    <w:p w14:paraId="1D778EB8">
      <w:r>
        <w:rPr>
          <w:rFonts w:hint="eastAsia"/>
          <w:b/>
          <w:bCs/>
        </w:rPr>
        <w:t>4.2.8</w:t>
      </w:r>
      <w:r>
        <w:rPr>
          <w:rFonts w:hint="eastAsia"/>
        </w:rPr>
        <w:t xml:space="preserve"> 预制底板在脱模、运输、堆放、吊运、安装和混凝土浇筑等短暂设计状况下的承载力、挠度及抗裂验算时，等效静力荷载标准值应符合下列规定：</w:t>
      </w:r>
    </w:p>
    <w:p w14:paraId="0EAAE4B7">
      <w:pPr>
        <w:pStyle w:val="18"/>
        <w:ind w:firstLine="482"/>
        <w:rPr>
          <w:rFonts w:hint="default"/>
        </w:rPr>
      </w:pPr>
      <w:r>
        <w:rPr>
          <w:rFonts w:cstheme="minorBidi"/>
          <w:b/>
          <w:bCs/>
          <w:color w:val="auto"/>
          <w:szCs w:val="24"/>
        </w:rPr>
        <w:t xml:space="preserve">1 </w:t>
      </w:r>
      <w:r>
        <w:t>脱模验算时，等效静力荷载标准值应取构件自重标准值乘以动力系数后与脱模吸附力之和，且不宜小于构件自重标准值的1.5倍；其中，动力系数不宜小于1.2；脱模吸附力应根据实际状况取用，且不宜小于1.5kN/m</w:t>
      </w:r>
      <w:r>
        <w:rPr>
          <w:vertAlign w:val="superscript"/>
        </w:rPr>
        <w:t>2</w:t>
      </w:r>
      <w:r>
        <w:t>；</w:t>
      </w:r>
    </w:p>
    <w:p w14:paraId="4D14F8FA">
      <w:pPr>
        <w:pStyle w:val="18"/>
        <w:ind w:firstLine="482"/>
        <w:rPr>
          <w:rFonts w:hint="default"/>
        </w:rPr>
      </w:pPr>
      <w:r>
        <w:rPr>
          <w:rFonts w:cstheme="minorBidi"/>
          <w:b/>
          <w:bCs/>
          <w:color w:val="auto"/>
          <w:szCs w:val="24"/>
        </w:rPr>
        <w:t>2</w:t>
      </w:r>
      <w:r>
        <w:t xml:space="preserve"> 运输和吊运验算时，等效静力荷载标准值应取构件自重标准值乘以动力系数，动力系数宜取1.5；</w:t>
      </w:r>
    </w:p>
    <w:p w14:paraId="38A06703">
      <w:pPr>
        <w:pStyle w:val="18"/>
        <w:ind w:firstLine="482"/>
        <w:rPr>
          <w:rFonts w:hint="default"/>
        </w:rPr>
      </w:pPr>
      <w:r>
        <w:rPr>
          <w:rFonts w:cstheme="minorBidi"/>
          <w:b/>
          <w:bCs/>
          <w:color w:val="auto"/>
          <w:szCs w:val="24"/>
        </w:rPr>
        <w:t xml:space="preserve">3 </w:t>
      </w:r>
      <w:r>
        <w:t>堆放和安装验算时，等效静力荷载标准值应取构件自重标准值乘以动力系数，动力系数可取1.2；</w:t>
      </w:r>
    </w:p>
    <w:p w14:paraId="7C9CAFE8">
      <w:pPr>
        <w:pStyle w:val="18"/>
        <w:ind w:firstLine="482"/>
        <w:rPr>
          <w:rFonts w:hint="default"/>
        </w:rPr>
      </w:pPr>
      <w:r>
        <w:rPr>
          <w:rFonts w:cstheme="minorBidi"/>
          <w:b/>
          <w:bCs/>
          <w:color w:val="auto"/>
          <w:szCs w:val="24"/>
        </w:rPr>
        <w:t xml:space="preserve">4 </w:t>
      </w:r>
      <w:r>
        <w:t>混凝土浇筑验算时，作用在预制底板上的施工活荷载标准值可按实际情况计算，且不宜小于1.5kN/m</w:t>
      </w:r>
      <w:r>
        <w:rPr>
          <w:vertAlign w:val="superscript"/>
        </w:rPr>
        <w:t>2</w:t>
      </w:r>
      <w:r>
        <w:t>。</w:t>
      </w:r>
    </w:p>
    <w:p w14:paraId="221564F9">
      <w:r>
        <w:rPr>
          <w:rFonts w:hint="eastAsia"/>
          <w:b/>
          <w:bCs/>
        </w:rPr>
        <w:t xml:space="preserve">4.2.9 </w:t>
      </w:r>
      <w:r>
        <w:rPr>
          <w:rFonts w:hint="eastAsia"/>
        </w:rPr>
        <w:t>施工阶段预制底板下方临时支撑布置应符合下列规定：</w:t>
      </w:r>
    </w:p>
    <w:p w14:paraId="29CF6A84">
      <w:pPr>
        <w:pStyle w:val="18"/>
        <w:ind w:firstLine="482"/>
        <w:rPr>
          <w:rFonts w:hint="default"/>
        </w:rPr>
      </w:pPr>
      <w:r>
        <w:rPr>
          <w:rFonts w:cstheme="minorBidi"/>
          <w:b/>
          <w:bCs/>
          <w:color w:val="auto"/>
          <w:szCs w:val="24"/>
        </w:rPr>
        <w:t>1</w:t>
      </w:r>
      <w:r>
        <w:t xml:space="preserve"> 预制底板两端应支承于支座构件或临时支撑上；</w:t>
      </w:r>
    </w:p>
    <w:p w14:paraId="15361D6D">
      <w:pPr>
        <w:pStyle w:val="18"/>
        <w:ind w:firstLine="482"/>
        <w:rPr>
          <w:rFonts w:hint="default"/>
        </w:rPr>
      </w:pPr>
      <w:r>
        <w:rPr>
          <w:rFonts w:cstheme="minorBidi"/>
          <w:b/>
          <w:bCs/>
          <w:color w:val="auto"/>
          <w:szCs w:val="24"/>
        </w:rPr>
        <w:t xml:space="preserve">2 </w:t>
      </w:r>
      <w:r>
        <w:t>当预制底板跨中不加临时支撑时，应按现行国家标准《混凝土结构设计标准》GB</w:t>
      </w:r>
      <w:r>
        <w:rPr>
          <w:rFonts w:hint="default"/>
        </w:rPr>
        <w:t>/</w:t>
      </w:r>
      <w:r>
        <w:t>T 50010 的有关规定对不出筋叠合板进行二阶段受力计算。</w:t>
      </w:r>
    </w:p>
    <w:p w14:paraId="58139F69">
      <w:pPr>
        <w:pStyle w:val="3"/>
        <w:spacing w:before="312" w:after="312"/>
      </w:pPr>
      <w:bookmarkStart w:id="36" w:name="_Toc42"/>
      <w:r>
        <w:rPr>
          <w:rFonts w:hint="eastAsia"/>
        </w:rPr>
        <w:t>4.3 支座节点设计</w:t>
      </w:r>
      <w:bookmarkEnd w:id="36"/>
    </w:p>
    <w:p w14:paraId="03D75D8F">
      <w:r>
        <w:rPr>
          <w:rFonts w:hint="eastAsia"/>
          <w:b/>
          <w:bCs/>
        </w:rPr>
        <w:t xml:space="preserve">4.3.1 </w:t>
      </w:r>
      <w:r>
        <w:rPr>
          <w:rFonts w:hint="eastAsia"/>
        </w:rPr>
        <w:t>不出筋叠合板支座处的受弯承载力验算应符合下列规定：</w:t>
      </w:r>
    </w:p>
    <w:p w14:paraId="782CE554">
      <w:pPr>
        <w:pStyle w:val="18"/>
        <w:ind w:firstLine="482"/>
        <w:rPr>
          <w:rFonts w:hint="default"/>
        </w:rPr>
      </w:pPr>
      <w:r>
        <w:rPr>
          <w:rFonts w:cstheme="minorBidi"/>
          <w:b/>
          <w:bCs/>
          <w:color w:val="auto"/>
          <w:szCs w:val="24"/>
        </w:rPr>
        <w:t xml:space="preserve">1 </w:t>
      </w:r>
      <w:r>
        <w:t>板端截面承担负弯矩作用时，截面高度可取不出筋叠合板的厚度；</w:t>
      </w:r>
    </w:p>
    <w:p w14:paraId="6D66B210">
      <w:pPr>
        <w:pStyle w:val="18"/>
        <w:ind w:firstLine="482"/>
        <w:rPr>
          <w:rFonts w:hint="default"/>
          <w:lang w:bidi="ar"/>
        </w:rPr>
      </w:pPr>
      <w:r>
        <w:rPr>
          <w:rFonts w:cstheme="minorBidi"/>
          <w:b/>
          <w:bCs/>
          <w:color w:val="auto"/>
          <w:szCs w:val="24"/>
        </w:rPr>
        <w:t xml:space="preserve">2 </w:t>
      </w:r>
      <w:r>
        <w:t>板端截面承担正弯矩作用时，</w:t>
      </w:r>
      <w:r>
        <w:rPr>
          <w:lang w:bidi="ar"/>
        </w:rPr>
        <w:t>当采用斜插筋连接方式时，截面高度可取叠合层厚度；当采用凹槽连接方式时，截面高度取不出筋叠合板厚度；</w:t>
      </w:r>
    </w:p>
    <w:p w14:paraId="17C9F50B">
      <w:pPr>
        <w:pStyle w:val="18"/>
        <w:ind w:firstLine="482"/>
        <w:rPr>
          <w:rFonts w:hint="default"/>
        </w:rPr>
      </w:pPr>
      <w:r>
        <w:rPr>
          <w:rFonts w:cstheme="minorBidi"/>
          <w:b/>
          <w:bCs/>
          <w:color w:val="auto"/>
          <w:szCs w:val="24"/>
        </w:rPr>
        <w:t xml:space="preserve">3 </w:t>
      </w:r>
      <w:r>
        <w:t>当不出筋叠合板中预制底板与后浇叠合层的混凝土强度等级不相同时，应按受压区位置处混凝土的强度等级计算受弯承载力。</w:t>
      </w:r>
    </w:p>
    <w:p w14:paraId="39CA69C2">
      <w:pPr>
        <w:pStyle w:val="17"/>
      </w:pPr>
      <w:r>
        <w:rPr>
          <w:rFonts w:hint="eastAsia"/>
          <w:b/>
          <w:bCs/>
        </w:rPr>
        <w:t xml:space="preserve">【4.3.1条文说明】 </w:t>
      </w:r>
      <w:r>
        <w:rPr>
          <w:rFonts w:hint="eastAsia"/>
        </w:rPr>
        <w:t>浙江大学龚顺风团队通过一系列支座连接的滞回试验表明，在构造合理的前提下，支座采用斜插筋和凹槽连接方式均可以承受一定的板端正弯矩；凹槽连接的承载能力、变形延性和耗能能力等抗震性能均优于斜插筋连接方式。采用斜插筋和凹槽连接方式的板端截面承担正弯矩作用时，不出筋叠合板的预制底板内部纵向钢筋受拉，支座接缝处混凝土开裂后承载力下降，此后斜插筋和凹槽内搭接钢筋开始受拉。采用斜插筋连接方式时，截面高度偏保守地按照叠合层厚度取值，截面有效高度为斜插筋水平段中心线到叠合层上表面的距离。采用凹槽连接方式时，截面高度取不出筋叠合板厚度，截面有效高度为凹槽连接钢筋中心线至叠合层上表面距离。</w:t>
      </w:r>
    </w:p>
    <w:p w14:paraId="25480B40">
      <w:pPr>
        <w:pStyle w:val="17"/>
      </w:pPr>
      <w:r>
        <w:rPr>
          <w:rFonts w:hint="eastAsia"/>
        </w:rPr>
        <w:t>因叠合板二次浇筑，后浇叠合层与预制底板混凝土强度可能不同，此时应采用受压区混凝土的实际强度进行计算。</w:t>
      </w:r>
    </w:p>
    <w:p w14:paraId="57E44C92">
      <w:r>
        <w:rPr>
          <w:rFonts w:hint="eastAsia"/>
          <w:b/>
          <w:bCs/>
        </w:rPr>
        <w:t xml:space="preserve">4.3.2 </w:t>
      </w:r>
      <w:r>
        <w:rPr>
          <w:rFonts w:hint="eastAsia"/>
        </w:rPr>
        <w:t>不出筋叠合板支座处的受弯承载力应符合现行国家标准《混凝土结构设计标准》GB/T 50010 的有关规定。当采用支座凹槽连接方式时，支座处截面受弯承载力设计值应满足下式：</w:t>
      </w:r>
    </w:p>
    <w:p w14:paraId="6C5A7153">
      <w:pPr>
        <w:ind w:firstLine="480" w:firstLineChars="200"/>
        <w:jc w:val="right"/>
      </w:pPr>
      <w:r>
        <w:rPr>
          <w:rFonts w:hint="eastAsia" w:cs="宋体"/>
          <w:szCs w:val="28"/>
          <w:lang w:bidi="ar"/>
        </w:rPr>
        <w:object>
          <v:shape id="_x0000_i1046" o:spt="75" type="#_x0000_t75" style="height:18pt;width:64pt;" o:ole="t" filled="f" o:preferrelative="t" stroked="f" coordsize="21600,21600">
            <v:path/>
            <v:fill on="f" focussize="0,0"/>
            <v:stroke on="f" joinstyle="miter"/>
            <v:imagedata r:id="rId58" o:title=""/>
            <o:lock v:ext="edit" aspectratio="t"/>
            <w10:wrap type="none"/>
            <w10:anchorlock/>
          </v:shape>
          <o:OLEObject Type="Embed" ProgID="" ShapeID="_x0000_i1046" DrawAspect="Content" ObjectID="_1468075746" r:id="rId57">
            <o:LockedField>false</o:LockedField>
          </o:OLEObject>
        </w:object>
      </w:r>
      <w:r>
        <w:rPr>
          <w:rFonts w:hint="eastAsia"/>
        </w:rPr>
        <w:t xml:space="preserve">               </w:t>
      </w:r>
      <w:r>
        <w:rPr>
          <w:rFonts w:hint="eastAsia"/>
          <w:lang w:bidi="ar"/>
        </w:rPr>
        <w:t xml:space="preserve">  (4.3.2-1)</w:t>
      </w:r>
    </w:p>
    <w:p w14:paraId="64BA79C2">
      <w:r>
        <w:rPr>
          <w:lang w:bidi="ar"/>
        </w:rPr>
        <w:t>式中：</w:t>
      </w:r>
      <w:r>
        <w:rPr>
          <w:rFonts w:hint="eastAsia" w:cs="宋体"/>
          <w:i/>
          <w:iCs/>
          <w:szCs w:val="28"/>
          <w:lang w:bidi="ar"/>
        </w:rPr>
        <w:t>M</w:t>
      </w:r>
      <w:r>
        <w:rPr>
          <w:rFonts w:cs="宋体"/>
          <w:i/>
          <w:iCs/>
          <w:szCs w:val="28"/>
          <w:lang w:bidi="ar"/>
        </w:rPr>
        <w:t>’</w:t>
      </w:r>
      <w:r>
        <w:rPr>
          <w:rFonts w:hint="eastAsia" w:cs="宋体"/>
          <w:i/>
          <w:iCs/>
          <w:szCs w:val="28"/>
          <w:vertAlign w:val="subscript"/>
          <w:lang w:bidi="ar"/>
        </w:rPr>
        <w:t>R1</w:t>
      </w:r>
      <w:r>
        <w:rPr>
          <w:lang w:bidi="ar"/>
        </w:rPr>
        <w:t>——调整后支座处受弯承载力设计值；</w:t>
      </w:r>
    </w:p>
    <w:p w14:paraId="60DDE403">
      <w:pPr>
        <w:pStyle w:val="18"/>
        <w:ind w:left="1560" w:leftChars="300" w:hanging="840" w:hangingChars="350"/>
        <w:rPr>
          <w:rFonts w:hint="default"/>
        </w:rPr>
      </w:pPr>
      <w:r>
        <w:rPr>
          <w:i/>
          <w:iCs/>
          <w:lang w:bidi="ar"/>
        </w:rPr>
        <w:t>M</w:t>
      </w:r>
      <w:r>
        <w:rPr>
          <w:i/>
          <w:iCs/>
          <w:vertAlign w:val="subscript"/>
          <w:lang w:bidi="ar"/>
        </w:rPr>
        <w:t>R1</w:t>
      </w:r>
      <w:r>
        <w:rPr>
          <w:lang w:bidi="ar"/>
        </w:rPr>
        <w:t>——支座处受弯承载力设计值，按《混凝土结构设计标准》GB/T 50010的有关规定执行；</w:t>
      </w:r>
    </w:p>
    <w:p w14:paraId="3B812D71">
      <w:pPr>
        <w:ind w:left="1560" w:leftChars="300" w:hanging="840" w:hangingChars="350"/>
        <w:jc w:val="left"/>
        <w:rPr>
          <w:lang w:bidi="ar"/>
        </w:rPr>
      </w:pPr>
      <w:r>
        <w:rPr>
          <w:rFonts w:hint="eastAsia" w:cs="宋体"/>
          <w:szCs w:val="28"/>
          <w:lang w:bidi="ar"/>
        </w:rPr>
        <w:object>
          <v:shape id="_x0000_i1047" o:spt="75" type="#_x0000_t75" style="height:17pt;width:12pt;" o:ole="t" filled="f" o:preferrelative="t" stroked="f" coordsize="21600,21600">
            <v:path/>
            <v:fill on="f" focussize="0,0"/>
            <v:stroke on="f" joinstyle="miter"/>
            <v:imagedata r:id="rId52" o:title=""/>
            <o:lock v:ext="edit" aspectratio="t"/>
            <w10:wrap type="none"/>
            <w10:anchorlock/>
          </v:shape>
          <o:OLEObject Type="Embed" ProgID="" ShapeID="_x0000_i1047" DrawAspect="Content" ObjectID="_1468075747" r:id="rId59">
            <o:LockedField>false</o:LockedField>
          </o:OLEObject>
        </w:object>
      </w:r>
      <w:r>
        <w:rPr>
          <w:rFonts w:hint="eastAsia" w:cs="宋体"/>
          <w:szCs w:val="28"/>
          <w:lang w:bidi="ar"/>
        </w:rPr>
        <w:t xml:space="preserve"> </w:t>
      </w:r>
      <w:r>
        <w:rPr>
          <w:rFonts w:hint="eastAsia"/>
          <w:lang w:bidi="ar"/>
        </w:rPr>
        <w:t>——</w:t>
      </w:r>
      <w:bookmarkStart w:id="37" w:name="_Hlk202795931"/>
      <w:r>
        <w:rPr>
          <w:rFonts w:hint="eastAsia"/>
          <w:lang w:bidi="ar"/>
        </w:rPr>
        <w:t>支座凹槽连接处受弯承载力折减系数</w:t>
      </w:r>
      <w:bookmarkEnd w:id="37"/>
      <w:r>
        <w:rPr>
          <w:rFonts w:hint="eastAsia"/>
          <w:lang w:bidi="ar"/>
        </w:rPr>
        <w:t>，板端截面承担负弯矩作用时取1.0，板端截面承担正弯矩作用时取0.8。</w:t>
      </w:r>
    </w:p>
    <w:p w14:paraId="65B92689">
      <w:pPr>
        <w:widowControl/>
        <w:jc w:val="left"/>
        <w:rPr>
          <w:rFonts w:hint="eastAsia" w:ascii="华文楷体" w:hAnsi="华文楷体" w:eastAsia="华文楷体" w:cs="华文楷体"/>
          <w:i/>
          <w:color w:val="2E54A1" w:themeColor="accent1" w:themeShade="BF"/>
        </w:rPr>
      </w:pPr>
      <w:r>
        <w:rPr>
          <w:rFonts w:hint="eastAsia" w:cs="华文楷体"/>
          <w:b/>
          <w:bCs/>
          <w:color w:val="2E54A1" w:themeColor="accent1" w:themeShade="BF"/>
        </w:rPr>
        <w:t xml:space="preserve">【4.3.2条文说明】 </w:t>
      </w:r>
      <w:r>
        <w:rPr>
          <w:rStyle w:val="26"/>
        </w:rPr>
        <w:t>不出筋叠合板支座凹槽连接的滞回试验表明，凹槽连接钢筋采用与预制底板相同的纵筋直径和数量时，叠合板承受正负方向弯矩作用下的滞回形状基本保持一致。受凹槽深度、凹槽内粗糙面程度等因素影响，骨架曲线中正弯矩作用下不出筋叠合板的受弯承载力峰值为负弯矩作用下受弯承载力峰值的81.3%。因此，引入支座凹槽连接处受弯承载力折减系数，当采用凹槽连接的不出筋叠合板板端截面承担正弯矩作用时取0.8。</w:t>
      </w:r>
    </w:p>
    <w:p w14:paraId="0B08317C">
      <w:r>
        <w:rPr>
          <w:rFonts w:hint="eastAsia"/>
          <w:b/>
          <w:bCs/>
        </w:rPr>
        <w:t>4.3.3</w:t>
      </w:r>
      <w:r>
        <w:rPr>
          <w:rFonts w:hint="eastAsia"/>
        </w:rPr>
        <w:t>不出筋叠合板支座处受剪承载力应满足下列公式要求：</w:t>
      </w:r>
    </w:p>
    <w:p w14:paraId="545F221C">
      <w:pPr>
        <w:jc w:val="right"/>
      </w:pPr>
      <w:r>
        <w:rPr>
          <w:rFonts w:hint="eastAsia" w:cs="宋体"/>
          <w:color w:val="000000"/>
          <w:szCs w:val="28"/>
        </w:rPr>
        <w:t xml:space="preserve"> </w:t>
      </w:r>
      <w:r>
        <w:rPr>
          <w:rFonts w:hint="eastAsia" w:cs="宋体"/>
          <w:color w:val="000000"/>
          <w:position w:val="-12"/>
          <w:szCs w:val="28"/>
        </w:rPr>
        <w:object>
          <v:shape id="_x0000_i1048" o:spt="75" type="#_x0000_t75" style="height:18pt;width:38pt;" o:ole="t" filled="f" o:preferrelative="t" stroked="f" coordsize="21600,21600">
            <v:path/>
            <v:fill on="f" focussize="0,0"/>
            <v:stroke on="f" joinstyle="miter"/>
            <v:imagedata r:id="rId61" o:title=""/>
            <o:lock v:ext="edit" aspectratio="t"/>
            <w10:wrap type="none"/>
            <w10:anchorlock/>
          </v:shape>
          <o:OLEObject Type="Embed" ProgID="Equation.KSEE3" ShapeID="_x0000_i1048" DrawAspect="Content" ObjectID="_1468075748" r:id="rId60">
            <o:LockedField>false</o:LockedField>
          </o:OLEObject>
        </w:object>
      </w:r>
      <w:r>
        <w:rPr>
          <w:rFonts w:hint="eastAsia" w:cs="宋体"/>
          <w:color w:val="000000"/>
          <w:szCs w:val="28"/>
        </w:rPr>
        <w:t xml:space="preserve">                 (4.3.3-1)</w:t>
      </w:r>
    </w:p>
    <w:p w14:paraId="60AC71A0">
      <w:pPr>
        <w:jc w:val="right"/>
      </w:pPr>
      <w:r>
        <w:rPr>
          <w:rFonts w:hint="eastAsia"/>
        </w:rPr>
        <w:t xml:space="preserve"> </w:t>
      </w:r>
      <w:r>
        <w:rPr>
          <w:rFonts w:hint="eastAsia"/>
          <w:position w:val="-16"/>
        </w:rPr>
        <w:object>
          <v:shape id="_x0000_i1049" o:spt="75" type="#_x0000_t75" style="height:22pt;width:230pt;" o:ole="t" filled="f" o:preferrelative="t" stroked="f" coordsize="21600,21600">
            <v:path/>
            <v:fill on="f" focussize="0,0"/>
            <v:stroke on="f" joinstyle="miter"/>
            <v:imagedata r:id="rId63" o:title=""/>
            <o:lock v:ext="edit" aspectratio="t"/>
            <w10:wrap type="none"/>
            <w10:anchorlock/>
          </v:shape>
          <o:OLEObject Type="Embed" ProgID="Equation.KSEE3" ShapeID="_x0000_i1049" DrawAspect="Content" ObjectID="_1468075749" r:id="rId62">
            <o:LockedField>false</o:LockedField>
          </o:OLEObject>
        </w:object>
      </w:r>
      <w:r>
        <w:rPr>
          <w:rFonts w:hint="eastAsia"/>
        </w:rPr>
        <w:t xml:space="preserve">       (4.3.3-2)</w:t>
      </w:r>
    </w:p>
    <w:p w14:paraId="528FDEB7">
      <w:r>
        <w:rPr>
          <w:rFonts w:hint="eastAsia" w:cs="宋体"/>
          <w:color w:val="000000"/>
          <w:szCs w:val="28"/>
        </w:rPr>
        <w:t>式中：</w:t>
      </w:r>
      <w:r>
        <w:rPr>
          <w:rFonts w:hint="eastAsia"/>
          <w:i/>
          <w:iCs/>
          <w:lang w:bidi="ar"/>
        </w:rPr>
        <w:t>V</w:t>
      </w:r>
      <w:r>
        <w:rPr>
          <w:rFonts w:hint="eastAsia"/>
          <w:i/>
          <w:iCs/>
          <w:vertAlign w:val="subscript"/>
          <w:lang w:bidi="ar"/>
        </w:rPr>
        <w:t>S</w:t>
      </w:r>
      <w:r>
        <w:rPr>
          <w:rFonts w:hint="eastAsia" w:cs="宋体"/>
          <w:szCs w:val="28"/>
        </w:rPr>
        <w:t>——支座剪力设计值；</w:t>
      </w:r>
    </w:p>
    <w:p w14:paraId="745FF947">
      <w:pPr>
        <w:ind w:firstLine="720" w:firstLineChars="300"/>
      </w:pPr>
      <w:r>
        <w:rPr>
          <w:rFonts w:hint="eastAsia"/>
          <w:i/>
          <w:iCs/>
          <w:lang w:bidi="ar"/>
        </w:rPr>
        <w:t>V</w:t>
      </w:r>
      <w:r>
        <w:rPr>
          <w:rFonts w:hint="eastAsia"/>
          <w:i/>
          <w:iCs/>
          <w:vertAlign w:val="subscript"/>
          <w:lang w:bidi="ar"/>
        </w:rPr>
        <w:t>R</w:t>
      </w:r>
      <w:r>
        <w:rPr>
          <w:rFonts w:hint="eastAsia"/>
        </w:rPr>
        <w:t>——支座受剪承载力设计值；</w:t>
      </w:r>
    </w:p>
    <w:p w14:paraId="20EB2117">
      <w:pPr>
        <w:ind w:firstLine="720" w:firstLineChars="300"/>
      </w:pPr>
      <w:r>
        <w:rPr>
          <w:lang w:bidi="ar"/>
        </w:rPr>
        <w:object>
          <v:shape id="_x0000_i1050" o:spt="75" type="#_x0000_t75" style="height:19pt;width:13pt;" o:ole="t" filled="f" o:preferrelative="t" stroked="f" coordsize="21600,21600">
            <v:path/>
            <v:fill on="f" focussize="0,0"/>
            <v:stroke on="f" joinstyle="miter"/>
            <v:imagedata r:id="rId14" o:title=""/>
            <o:lock v:ext="edit" aspectratio="t"/>
            <w10:wrap type="none"/>
            <w10:anchorlock/>
          </v:shape>
          <o:OLEObject Type="Embed" ProgID="" ShapeID="_x0000_i1050" DrawAspect="Content" ObjectID="_1468075750" r:id="rId64">
            <o:LockedField>false</o:LockedField>
          </o:OLEObject>
        </w:object>
      </w:r>
      <w:r>
        <w:rPr>
          <w:rFonts w:hint="eastAsia"/>
          <w:lang w:bidi="ar"/>
        </w:rPr>
        <w:t>——</w:t>
      </w:r>
      <w:bookmarkStart w:id="38" w:name="_Hlk202796759"/>
      <w:r>
        <w:rPr>
          <w:rFonts w:hint="eastAsia"/>
          <w:lang w:bidi="ar"/>
        </w:rPr>
        <w:t>后浇叠合层</w:t>
      </w:r>
      <w:bookmarkEnd w:id="38"/>
      <w:r>
        <w:rPr>
          <w:rFonts w:hint="eastAsia"/>
          <w:lang w:bidi="ar"/>
        </w:rPr>
        <w:t>混凝土轴心抗压强度设计值；</w:t>
      </w:r>
    </w:p>
    <w:p w14:paraId="7761326A">
      <w:pPr>
        <w:ind w:firstLine="720" w:firstLineChars="300"/>
      </w:pPr>
      <w:r>
        <w:rPr>
          <w:lang w:bidi="ar"/>
        </w:rPr>
        <w:object>
          <v:shape id="_x0000_i1051" o:spt="75" type="#_x0000_t75" style="height:19pt;width:14pt;" o:ole="t" filled="f" o:preferrelative="t" stroked="f" coordsize="21600,21600">
            <v:path/>
            <v:fill on="f" focussize="0,0"/>
            <v:stroke on="f" joinstyle="miter"/>
            <v:imagedata r:id="rId16" o:title=""/>
            <o:lock v:ext="edit" aspectratio="t"/>
            <w10:wrap type="none"/>
            <w10:anchorlock/>
          </v:shape>
          <o:OLEObject Type="Embed" ProgID="" ShapeID="_x0000_i1051" DrawAspect="Content" ObjectID="_1468075751" r:id="rId65">
            <o:LockedField>false</o:LockedField>
          </o:OLEObject>
        </w:object>
      </w:r>
      <w:r>
        <w:rPr>
          <w:rFonts w:hint="eastAsia"/>
          <w:lang w:bidi="ar"/>
        </w:rPr>
        <w:t>——</w:t>
      </w:r>
      <w:bookmarkStart w:id="39" w:name="_Hlk202796777"/>
      <w:r>
        <w:rPr>
          <w:rFonts w:hint="eastAsia"/>
          <w:lang w:bidi="ar"/>
        </w:rPr>
        <w:t>后浇叠合层支座处</w:t>
      </w:r>
      <w:bookmarkEnd w:id="39"/>
      <w:r>
        <w:rPr>
          <w:rFonts w:hint="eastAsia"/>
          <w:lang w:bidi="ar"/>
        </w:rPr>
        <w:t>纵向钢筋抗拉强度设计值；</w:t>
      </w:r>
    </w:p>
    <w:p w14:paraId="66D7FC26">
      <w:pPr>
        <w:ind w:firstLine="720" w:firstLineChars="300"/>
      </w:pPr>
      <w:r>
        <w:rPr>
          <w:lang w:bidi="ar"/>
        </w:rPr>
        <w:object>
          <v:shape id="_x0000_i1052" o:spt="75" type="#_x0000_t75" style="height:18pt;width:19pt;" o:ole="t" filled="f" o:preferrelative="t" stroked="f" coordsize="21600,21600">
            <v:path/>
            <v:fill on="f" focussize="0,0"/>
            <v:stroke on="f" joinstyle="miter"/>
            <v:imagedata r:id="rId32" o:title=""/>
            <o:lock v:ext="edit" aspectratio="t"/>
            <w10:wrap type="none"/>
            <w10:anchorlock/>
          </v:shape>
          <o:OLEObject Type="Embed" ProgID="" ShapeID="_x0000_i1052" DrawAspect="Content" ObjectID="_1468075752" r:id="rId66">
            <o:LockedField>false</o:LockedField>
          </o:OLEObject>
        </w:object>
      </w:r>
      <w:r>
        <w:rPr>
          <w:rFonts w:hint="eastAsia"/>
          <w:lang w:bidi="ar"/>
        </w:rPr>
        <w:t>——后浇叠合层支座处混凝土截面积；</w:t>
      </w:r>
    </w:p>
    <w:p w14:paraId="06F13086">
      <w:pPr>
        <w:ind w:left="1560" w:leftChars="300" w:hanging="840" w:hangingChars="350"/>
      </w:pPr>
      <w:r>
        <w:rPr>
          <w:lang w:bidi="ar"/>
        </w:rPr>
        <w:object>
          <v:shape id="_x0000_i1053" o:spt="75" type="#_x0000_t75" style="height:18pt;width:19pt;" o:ole="t" filled="f" o:preferrelative="t" stroked="f" coordsize="21600,21600">
            <v:path/>
            <v:fill on="f" focussize="0,0"/>
            <v:stroke on="f" joinstyle="miter"/>
            <v:imagedata r:id="rId34" o:title=""/>
            <o:lock v:ext="edit" aspectratio="t"/>
            <w10:wrap type="none"/>
            <w10:anchorlock/>
          </v:shape>
          <o:OLEObject Type="Embed" ProgID="" ShapeID="_x0000_i1053" DrawAspect="Content" ObjectID="_1468075753" r:id="rId67">
            <o:LockedField>false</o:LockedField>
          </o:OLEObject>
        </w:object>
      </w:r>
      <w:r>
        <w:rPr>
          <w:rFonts w:hint="eastAsia"/>
        </w:rPr>
        <w:t>——穿过不出筋叠合板支座竖向接缝的钢筋面积，包括叠合层内纵向钢筋和支座凹槽连接钢筋的面积，不包括支座斜插筋的面积；</w:t>
      </w:r>
    </w:p>
    <w:p w14:paraId="6DDF3BAD">
      <w:pPr>
        <w:ind w:firstLine="720" w:firstLineChars="300"/>
      </w:pPr>
      <w:r>
        <w:rPr>
          <w:lang w:bidi="ar"/>
        </w:rPr>
        <w:object>
          <v:shape id="_x0000_i1054" o:spt="75" type="#_x0000_t75" style="height:18pt;width:17pt;" o:ole="t" filled="f" o:preferrelative="t" stroked="f" coordsize="21600,21600">
            <v:path/>
            <v:fill on="f" focussize="0,0"/>
            <v:stroke on="f" joinstyle="miter"/>
            <v:imagedata r:id="rId36" o:title=""/>
            <o:lock v:ext="edit" aspectratio="t"/>
            <w10:wrap type="none"/>
            <w10:anchorlock/>
          </v:shape>
          <o:OLEObject Type="Embed" ProgID="" ShapeID="_x0000_i1054" DrawAspect="Content" ObjectID="_1468075754" r:id="rId68">
            <o:LockedField>false</o:LockedField>
          </o:OLEObject>
        </w:object>
      </w:r>
      <w:r>
        <w:rPr>
          <w:rFonts w:hint="eastAsia"/>
          <w:lang w:bidi="ar"/>
        </w:rPr>
        <w:t>——穿过不出筋叠合板支座竖向接缝的斜插筋面积；</w:t>
      </w:r>
    </w:p>
    <w:p w14:paraId="28014220">
      <w:pPr>
        <w:ind w:firstLine="720" w:firstLineChars="300"/>
      </w:pPr>
      <w:r>
        <w:rPr>
          <w:lang w:bidi="ar"/>
        </w:rPr>
        <w:object>
          <v:shape id="_x0000_i1055" o:spt="75" type="#_x0000_t75" style="height:19pt;width:14pt;" o:ole="t" filled="f" o:preferrelative="t" stroked="f" coordsize="21600,21600">
            <v:path/>
            <v:fill on="f" focussize="0,0"/>
            <v:stroke on="f" joinstyle="miter"/>
            <v:imagedata r:id="rId18" o:title=""/>
            <o:lock v:ext="edit" aspectratio="t"/>
            <w10:wrap type="none"/>
            <w10:anchorlock/>
          </v:shape>
          <o:OLEObject Type="Embed" ProgID="" ShapeID="_x0000_i1055" DrawAspect="Content" ObjectID="_1468075755" r:id="rId69">
            <o:LockedField>false</o:LockedField>
          </o:OLEObject>
        </w:object>
      </w:r>
      <w:r>
        <w:rPr>
          <w:lang w:bidi="ar"/>
        </w:rPr>
        <w:t>——斜插筋的抗拉强度设计值；</w:t>
      </w:r>
    </w:p>
    <w:p w14:paraId="53529D37">
      <w:pPr>
        <w:ind w:firstLine="720" w:firstLineChars="300"/>
      </w:pPr>
      <m:oMath>
        <m:r>
          <m:rPr>
            <m:sty m:val="p"/>
          </m:rPr>
          <w:rPr>
            <w:rFonts w:ascii="Cambria Math" w:hAnsi="Cambria Math"/>
          </w:rPr>
          <m:t>α</m:t>
        </m:r>
      </m:oMath>
      <w:r>
        <w:rPr>
          <w:rFonts w:hint="eastAsia"/>
        </w:rPr>
        <w:t>——斜插筋与预制底板面夹角。</w:t>
      </w:r>
    </w:p>
    <w:p w14:paraId="23662DC9">
      <w:pPr>
        <w:pStyle w:val="17"/>
      </w:pPr>
      <w:r>
        <w:rPr>
          <w:rFonts w:hint="eastAsia"/>
          <w:b/>
          <w:bCs/>
        </w:rPr>
        <w:t xml:space="preserve">【4.3.3条文说明】 </w:t>
      </w:r>
      <w:r>
        <w:t>本条给出了</w:t>
      </w:r>
      <w:r>
        <w:rPr>
          <w:rFonts w:hint="eastAsia"/>
        </w:rPr>
        <w:t>不出筋</w:t>
      </w:r>
      <w:r>
        <w:t>叠合板板端受剪承载力计算公式，包含了混凝土叠合层抗剪项、垂直穿过叠合板支座竖向接缝的钢筋销栓项以及斜向穿过叠合板支座竖向接缝的钢筋受拉项分量。其中，斜向穿过叠合板板端竖向接缝的钢筋受拉项分量的计算参考现行</w:t>
      </w:r>
      <w:r>
        <w:rPr>
          <w:rFonts w:hint="eastAsia"/>
        </w:rPr>
        <w:t>《</w:t>
      </w:r>
      <w:r>
        <w:t>混凝土结构设计标准</w:t>
      </w:r>
      <w:r>
        <w:rPr>
          <w:rFonts w:hint="eastAsia"/>
        </w:rPr>
        <w:t>》GB/T 50010</w:t>
      </w:r>
      <w:r>
        <w:t>中弯起钢筋的计算方法。</w:t>
      </w:r>
    </w:p>
    <w:p w14:paraId="21F73397">
      <w:r>
        <w:rPr>
          <w:rFonts w:hint="eastAsia"/>
          <w:b/>
          <w:bCs/>
        </w:rPr>
        <w:t xml:space="preserve">4.3.4 </w:t>
      </w:r>
      <w:r>
        <w:rPr>
          <w:rFonts w:hint="eastAsia"/>
        </w:rPr>
        <w:t>不出筋叠合板支座处构造应符合下列规定：</w:t>
      </w:r>
    </w:p>
    <w:p w14:paraId="2382EAD8">
      <w:pPr>
        <w:pStyle w:val="18"/>
        <w:ind w:firstLine="482"/>
        <w:rPr>
          <w:rFonts w:hint="default"/>
        </w:rPr>
      </w:pPr>
      <w:r>
        <w:rPr>
          <w:b/>
          <w:bCs/>
          <w:color w:val="000000"/>
        </w:rPr>
        <w:t>1</w:t>
      </w:r>
      <w:r>
        <w:rPr>
          <w:color w:val="000000"/>
        </w:rPr>
        <w:t xml:space="preserve"> 搁置在现浇混凝土梁或混凝土剪力墙上时，可采用斜插筋连接或凹槽连接方式，预制底板伸入梁或墙内不应小于10 mm（图4.3.4-a）；不出筋叠合板与现浇混凝土梁底平时，宜采用凹槽连接方式；</w:t>
      </w:r>
    </w:p>
    <w:p w14:paraId="707822C7">
      <w:pPr>
        <w:pStyle w:val="18"/>
        <w:ind w:firstLine="482"/>
        <w:rPr>
          <w:rFonts w:hint="default"/>
        </w:rPr>
      </w:pPr>
      <w:r>
        <w:rPr>
          <w:b/>
          <w:bCs/>
          <w:color w:val="000000"/>
        </w:rPr>
        <w:t>2</w:t>
      </w:r>
      <w:r>
        <w:rPr>
          <w:color w:val="000000"/>
        </w:rPr>
        <w:t xml:space="preserve"> 搁置在钢梁或预制混凝土梁上时，应采用凹槽连接方式，搁置长度不应小于 40 mm（图4.3.4-b）；</w:t>
      </w:r>
    </w:p>
    <w:p w14:paraId="4BDB22FB">
      <w:pPr>
        <w:jc w:val="center"/>
      </w:pPr>
      <w:r>
        <w:rPr>
          <w:rFonts w:hint="eastAsia" w:cs="Times New Roman"/>
          <w:lang w:bidi="ar"/>
        </w:rPr>
        <w:drawing>
          <wp:inline distT="0" distB="0" distL="114300" distR="114300">
            <wp:extent cx="5143500" cy="2305050"/>
            <wp:effectExtent l="0" t="0" r="0" b="6350"/>
            <wp:docPr id="2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9"/>
                    <pic:cNvPicPr>
                      <a:picLocks noChangeAspect="1"/>
                    </pic:cNvPicPr>
                  </pic:nvPicPr>
                  <pic:blipFill>
                    <a:blip r:embed="rId70"/>
                    <a:stretch>
                      <a:fillRect/>
                    </a:stretch>
                  </pic:blipFill>
                  <pic:spPr>
                    <a:xfrm>
                      <a:off x="0" y="0"/>
                      <a:ext cx="5143500" cy="2305050"/>
                    </a:xfrm>
                    <a:prstGeom prst="rect">
                      <a:avLst/>
                    </a:prstGeom>
                    <a:noFill/>
                    <a:ln>
                      <a:noFill/>
                    </a:ln>
                  </pic:spPr>
                </pic:pic>
              </a:graphicData>
            </a:graphic>
          </wp:inline>
        </w:drawing>
      </w:r>
    </w:p>
    <w:p w14:paraId="30D9C63C">
      <w:pPr>
        <w:pStyle w:val="19"/>
      </w:pPr>
      <w:r>
        <w:rPr>
          <w:rFonts w:hint="eastAsia"/>
        </w:rPr>
        <w:t>图4.3.4 板端支座构造示意</w:t>
      </w:r>
    </w:p>
    <w:p w14:paraId="2D96B77A">
      <w:pPr>
        <w:pStyle w:val="20"/>
      </w:pPr>
      <w:r>
        <w:t>1－支承混凝土梁或混凝土墙；2－预制底板；3－板底横向钢筋；4－叠合层；</w:t>
      </w:r>
    </w:p>
    <w:p w14:paraId="0A098855">
      <w:pPr>
        <w:pStyle w:val="20"/>
      </w:pPr>
      <w:r>
        <w:t>5－上弦钢筋；6－腹杆钢筋；7－支承钢梁；8-抗剪连接件</w:t>
      </w:r>
    </w:p>
    <w:p w14:paraId="2ABFE385">
      <w:pPr>
        <w:pStyle w:val="17"/>
      </w:pPr>
      <w:r>
        <w:rPr>
          <w:rFonts w:hint="eastAsia"/>
          <w:b/>
          <w:bCs/>
        </w:rPr>
        <w:t>【4.3.4条文说明】</w:t>
      </w:r>
      <w:r>
        <w:rPr>
          <w:rFonts w:hint="eastAsia"/>
        </w:rPr>
        <w:t xml:space="preserve"> 叠合板与钢梁之间的抗剪连接件宜采用栓钉。</w:t>
      </w:r>
    </w:p>
    <w:p w14:paraId="1E883977">
      <w:r>
        <w:rPr>
          <w:rFonts w:hint="eastAsia"/>
          <w:b/>
          <w:bCs/>
        </w:rPr>
        <w:t xml:space="preserve">4.3.5 </w:t>
      </w:r>
      <w:r>
        <w:rPr>
          <w:rFonts w:hint="eastAsia"/>
        </w:rPr>
        <w:t>预制底板的纵筋在距离板端位置20 mm处上弯，上弯高度不应小于80mm，且不应高于现浇层的上层钢筋</w:t>
      </w:r>
      <w:r>
        <w:rPr>
          <w:rFonts w:hint="eastAsia"/>
          <w:color w:val="000000"/>
        </w:rPr>
        <w:t>（图4.3.5）</w:t>
      </w:r>
      <w:r>
        <w:rPr>
          <w:rFonts w:hint="eastAsia"/>
        </w:rPr>
        <w:t>。</w:t>
      </w:r>
    </w:p>
    <w:p w14:paraId="6B113D08">
      <w:r>
        <w:drawing>
          <wp:inline distT="0" distB="0" distL="114300" distR="114300">
            <wp:extent cx="5273040" cy="1755775"/>
            <wp:effectExtent l="0" t="0" r="10160" b="9525"/>
            <wp:docPr id="3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2"/>
                    <pic:cNvPicPr>
                      <a:picLocks noChangeAspect="1"/>
                    </pic:cNvPicPr>
                  </pic:nvPicPr>
                  <pic:blipFill>
                    <a:blip r:embed="rId71"/>
                    <a:stretch>
                      <a:fillRect/>
                    </a:stretch>
                  </pic:blipFill>
                  <pic:spPr>
                    <a:xfrm>
                      <a:off x="0" y="0"/>
                      <a:ext cx="5273040" cy="1755775"/>
                    </a:xfrm>
                    <a:prstGeom prst="rect">
                      <a:avLst/>
                    </a:prstGeom>
                    <a:noFill/>
                    <a:ln>
                      <a:noFill/>
                    </a:ln>
                  </pic:spPr>
                </pic:pic>
              </a:graphicData>
            </a:graphic>
          </wp:inline>
        </w:drawing>
      </w:r>
    </w:p>
    <w:p w14:paraId="0F5F3B98">
      <w:pPr>
        <w:pStyle w:val="19"/>
      </w:pPr>
      <w:r>
        <w:rPr>
          <w:rFonts w:hint="eastAsia"/>
        </w:rPr>
        <w:t>图4.3.5 预制底板纵筋示意</w:t>
      </w:r>
    </w:p>
    <w:p w14:paraId="537DE80C">
      <w:pPr>
        <w:pStyle w:val="20"/>
      </w:pPr>
      <w:r>
        <w:t>1－底板纵筋</w:t>
      </w:r>
    </w:p>
    <w:p w14:paraId="203BE62F">
      <w:r>
        <w:rPr>
          <w:rFonts w:hint="eastAsia"/>
          <w:b/>
          <w:bCs/>
        </w:rPr>
        <w:t xml:space="preserve">4.3.6 </w:t>
      </w:r>
      <w:r>
        <w:rPr>
          <w:rFonts w:hint="eastAsia"/>
        </w:rPr>
        <w:t>支座处采用斜插筋连接时，应满足以下要求：</w:t>
      </w:r>
    </w:p>
    <w:p w14:paraId="34FA5A0A">
      <w:pPr>
        <w:pStyle w:val="18"/>
        <w:ind w:firstLine="482"/>
        <w:rPr>
          <w:rFonts w:hint="default" w:cstheme="minorBidi"/>
          <w:b/>
          <w:bCs/>
          <w:color w:val="auto"/>
          <w:szCs w:val="24"/>
        </w:rPr>
      </w:pPr>
      <w:r>
        <w:rPr>
          <w:rFonts w:cstheme="minorBidi"/>
          <w:b/>
          <w:bCs/>
          <w:color w:val="auto"/>
          <w:szCs w:val="24"/>
        </w:rPr>
        <w:t xml:space="preserve">1 </w:t>
      </w:r>
      <w:r>
        <w:rPr>
          <w:rFonts w:cstheme="minorBidi"/>
          <w:color w:val="auto"/>
          <w:szCs w:val="24"/>
        </w:rPr>
        <w:t>斜插筋</w:t>
      </w:r>
      <w:r>
        <w:t>的截面积应满足承载力计算要求，且不应小于预制底板内跨中同方向受力钢筋截面面积的1/3；斜插筋直径不宜小于8 mm，间距不应大于250 mm，斜插筋距板边不应大于150mm</w:t>
      </w:r>
      <w:r>
        <w:rPr>
          <w:color w:val="000000"/>
        </w:rPr>
        <w:t>（图4.3.6-a）；</w:t>
      </w:r>
    </w:p>
    <w:p w14:paraId="035CF79F">
      <w:pPr>
        <w:pStyle w:val="18"/>
        <w:ind w:firstLine="482"/>
        <w:rPr>
          <w:rFonts w:hint="default" w:cstheme="minorBidi"/>
          <w:b/>
          <w:bCs/>
          <w:color w:val="auto"/>
          <w:szCs w:val="24"/>
        </w:rPr>
      </w:pPr>
      <w:r>
        <w:rPr>
          <w:rFonts w:cstheme="minorBidi"/>
          <w:b/>
          <w:bCs/>
          <w:color w:val="auto"/>
          <w:szCs w:val="24"/>
        </w:rPr>
        <w:t xml:space="preserve">2 </w:t>
      </w:r>
      <w:r>
        <w:t>斜插筋的水平段长度和伸出预制底板的斜插段长度应满足锚固要求</w:t>
      </w:r>
      <w:r>
        <w:rPr>
          <w:color w:val="000000"/>
        </w:rPr>
        <w:t>（图4.3.6-b）；</w:t>
      </w:r>
    </w:p>
    <w:p w14:paraId="209434E7">
      <w:pPr>
        <w:pStyle w:val="18"/>
        <w:ind w:firstLine="482"/>
        <w:rPr>
          <w:rFonts w:hint="default"/>
        </w:rPr>
      </w:pPr>
      <w:r>
        <w:rPr>
          <w:rFonts w:cstheme="minorBidi"/>
          <w:b/>
          <w:bCs/>
          <w:color w:val="auto"/>
          <w:szCs w:val="24"/>
        </w:rPr>
        <w:t xml:space="preserve">3 </w:t>
      </w:r>
      <w:r>
        <w:t>预制底板支座位置应预留斜向钢筋孔。预留孔间距同斜插筋间距，孔径宜比斜插筋直径大2mm～4mm，预留孔角度应与斜插筋角度保持一致，板端预留孔孔底距离预制底板底不应小于钢筋的保护层厚度，不应大于30mm。支座预留孔与预制底板上表面之间应设置通长构造纵筋，直径不应小于6 mm</w:t>
      </w:r>
      <w:r>
        <w:rPr>
          <w:color w:val="000000"/>
        </w:rPr>
        <w:t>（图4.3.6-c）；</w:t>
      </w:r>
    </w:p>
    <w:p w14:paraId="70BE46D9">
      <w:pPr>
        <w:pStyle w:val="18"/>
        <w:ind w:firstLine="482"/>
        <w:rPr>
          <w:rFonts w:hint="default"/>
        </w:rPr>
      </w:pPr>
      <w:r>
        <w:rPr>
          <w:rFonts w:cstheme="minorBidi"/>
          <w:b/>
          <w:bCs/>
          <w:color w:val="auto"/>
          <w:szCs w:val="24"/>
        </w:rPr>
        <w:t xml:space="preserve">4 </w:t>
      </w:r>
      <w:r>
        <w:t>预制底板厚度不大于80mm时，斜插筋斜向段与板面夹角</w:t>
      </w:r>
      <w:r>
        <w:rPr>
          <w:position w:val="-6"/>
        </w:rPr>
        <w:object>
          <v:shape id="_x0000_i1056" o:spt="75" type="#_x0000_t75" style="height:11pt;width:12pt;" o:ole="t" filled="f" o:preferrelative="t" stroked="f" coordsize="21600,21600">
            <v:path/>
            <v:fill on="f" focussize="0,0"/>
            <v:stroke on="f" joinstyle="miter"/>
            <v:imagedata r:id="rId46" o:title=""/>
            <o:lock v:ext="edit" aspectratio="t"/>
            <w10:wrap type="none"/>
            <w10:anchorlock/>
          </v:shape>
          <o:OLEObject Type="Embed" ProgID="Equation.KSEE3" ShapeID="_x0000_i1056" DrawAspect="Content" ObjectID="_1468075756" r:id="rId72">
            <o:LockedField>false</o:LockedField>
          </o:OLEObject>
        </w:object>
      </w:r>
      <w:r>
        <w:t>宜采用25°～30°；预制底板厚度大于80 mm 时，夹角可适当增加，但不应超过45°</w:t>
      </w:r>
      <w:r>
        <w:rPr>
          <w:color w:val="000000"/>
        </w:rPr>
        <w:t>（图4.3.6-d）</w:t>
      </w:r>
      <w:r>
        <w:t>。</w:t>
      </w:r>
    </w:p>
    <w:p w14:paraId="4EB0F73B">
      <w:pPr>
        <w:pStyle w:val="18"/>
        <w:ind w:firstLine="480"/>
        <w:rPr>
          <w:rFonts w:hint="default"/>
        </w:rPr>
      </w:pPr>
    </w:p>
    <w:p w14:paraId="76096AC5">
      <w:pPr>
        <w:jc w:val="center"/>
        <w:rPr>
          <w:rFonts w:cs="Times New Roman"/>
          <w:lang w:bidi="ar"/>
        </w:rPr>
      </w:pPr>
    </w:p>
    <w:p w14:paraId="62520DB0">
      <w:pPr>
        <w:jc w:val="center"/>
        <w:rPr>
          <w:rFonts w:cs="Times New Roman"/>
          <w:lang w:bidi="ar"/>
        </w:rPr>
      </w:pPr>
      <w:r>
        <w:drawing>
          <wp:inline distT="0" distB="0" distL="114300" distR="114300">
            <wp:extent cx="5273040" cy="4297680"/>
            <wp:effectExtent l="0" t="0" r="10160" b="7620"/>
            <wp:docPr id="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pic:cNvPicPr>
                      <a:picLocks noChangeAspect="1"/>
                    </pic:cNvPicPr>
                  </pic:nvPicPr>
                  <pic:blipFill>
                    <a:blip r:embed="rId73"/>
                    <a:stretch>
                      <a:fillRect/>
                    </a:stretch>
                  </pic:blipFill>
                  <pic:spPr>
                    <a:xfrm>
                      <a:off x="0" y="0"/>
                      <a:ext cx="5273040" cy="4297680"/>
                    </a:xfrm>
                    <a:prstGeom prst="rect">
                      <a:avLst/>
                    </a:prstGeom>
                    <a:noFill/>
                    <a:ln>
                      <a:noFill/>
                    </a:ln>
                  </pic:spPr>
                </pic:pic>
              </a:graphicData>
            </a:graphic>
          </wp:inline>
        </w:drawing>
      </w:r>
    </w:p>
    <w:p w14:paraId="00E3F82D">
      <w:pPr>
        <w:pStyle w:val="19"/>
      </w:pPr>
      <w:r>
        <w:rPr>
          <w:rFonts w:hint="eastAsia"/>
        </w:rPr>
        <w:t>图 4.3.6 斜插筋连接方式示意</w:t>
      </w:r>
    </w:p>
    <w:p w14:paraId="44B484A7">
      <w:pPr>
        <w:pStyle w:val="20"/>
      </w:pPr>
      <w:r>
        <w:t>1－斜插筋；2－斜插筋连接预制底板；3－梁；4－通长构造纵筋</w:t>
      </w:r>
    </w:p>
    <w:p w14:paraId="5C51DE3F">
      <w:pPr>
        <w:pStyle w:val="17"/>
      </w:pPr>
      <w:r>
        <w:rPr>
          <w:rFonts w:hint="eastAsia"/>
          <w:b/>
          <w:bCs/>
        </w:rPr>
        <w:t xml:space="preserve">【4.3.6条文说明】 </w:t>
      </w:r>
      <w:r>
        <w:rPr>
          <w:rFonts w:hint="eastAsia"/>
        </w:rPr>
        <w:t>斜插筋的直径和间距要求，是为了保证有足够量的斜插筋能够插入梁内，当板端支座仅承受负弯矩时也没有必要把所有的受力钢筋都插入梁内。</w:t>
      </w:r>
    </w:p>
    <w:p w14:paraId="4BC80B8D">
      <w:pPr>
        <w:pStyle w:val="17"/>
      </w:pPr>
      <w:r>
        <w:rPr>
          <w:rFonts w:hint="eastAsia"/>
        </w:rPr>
        <w:t>斜插筋可在预制工厂中加工制作，也可在施工现场制作。</w:t>
      </w:r>
    </w:p>
    <w:p w14:paraId="546FF2F1">
      <w:pPr>
        <w:pStyle w:val="17"/>
        <w:widowControl w:val="0"/>
        <w:jc w:val="left"/>
      </w:pPr>
      <w:r>
        <w:rPr>
          <w:rFonts w:hint="eastAsia"/>
        </w:rPr>
        <w:t>常规位置的叠合板承受板面恒活荷载作用时，板端支座仅承受负弯矩，斜插筋所在的位置为混凝土受压区，其锚固长度可按受压钢筋锚固长度要求执行。对于4.1.2节中提到的特殊部位使用叠合板时，板端支座可能承受正弯矩，斜钢筋内出现拉力。在此情形下，斜插筋的水平段长度及伸出预制底板的斜插段长度不应小于受拉钢筋的锚固长度要求。</w:t>
      </w:r>
    </w:p>
    <w:p w14:paraId="65C7F5C5">
      <w:r>
        <w:rPr>
          <w:rFonts w:hint="eastAsia"/>
          <w:b/>
          <w:bCs/>
        </w:rPr>
        <w:t xml:space="preserve">4.3.7 </w:t>
      </w:r>
      <w:r>
        <w:rPr>
          <w:rFonts w:hint="eastAsia"/>
        </w:rPr>
        <w:t>支座处采用凹槽连接方式时，应符合下列规定：</w:t>
      </w:r>
    </w:p>
    <w:p w14:paraId="432C67D3">
      <w:pPr>
        <w:pStyle w:val="18"/>
        <w:ind w:firstLine="482"/>
        <w:rPr>
          <w:rFonts w:hint="default"/>
        </w:rPr>
      </w:pPr>
      <w:r>
        <w:rPr>
          <w:rFonts w:cstheme="minorBidi"/>
          <w:b/>
          <w:bCs/>
          <w:color w:val="auto"/>
          <w:szCs w:val="24"/>
        </w:rPr>
        <w:t xml:space="preserve">1 </w:t>
      </w:r>
      <w:r>
        <w:t>凹槽的数量和间距宜与预制底板纵筋数量和间距保持一致；当满足承载力计算要求时，凹槽可间隔设置。凹槽平面形状宜采用矩形，凹槽长度</w:t>
      </w:r>
      <w:r>
        <w:rPr>
          <w:position w:val="-6"/>
        </w:rPr>
        <w:object>
          <v:shape id="_x0000_i1057" o:spt="75" type="#_x0000_t75" style="height:14pt;width:7pt;" o:ole="t" filled="f" o:preferrelative="t" stroked="f" coordsize="21600,21600">
            <v:path/>
            <v:fill on="f" focussize="0,0"/>
            <v:stroke on="f" joinstyle="miter"/>
            <v:imagedata r:id="rId75" o:title=""/>
            <o:lock v:ext="edit" aspectratio="t"/>
            <w10:wrap type="none"/>
            <w10:anchorlock/>
          </v:shape>
          <o:OLEObject Type="Embed" ProgID="Equation.KSEE3" ShapeID="_x0000_i1057" DrawAspect="Content" ObjectID="_1468075757" r:id="rId74">
            <o:LockedField>false</o:LockedField>
          </o:OLEObject>
        </w:object>
      </w:r>
      <w:r>
        <w:t>应满足钢筋搭接要求，且不应小于200 mm，凹槽宽度</w:t>
      </w:r>
      <w:r>
        <w:rPr>
          <w:position w:val="-6"/>
        </w:rPr>
        <w:object>
          <v:shape id="_x0000_i1058" o:spt="75" type="#_x0000_t75" style="height:12pt;width:7pt;" o:ole="t" filled="f" o:preferrelative="t" stroked="f" coordsize="21600,21600">
            <v:path/>
            <v:fill on="f" focussize="0,0"/>
            <v:stroke on="f" joinstyle="miter"/>
            <v:imagedata r:id="rId77" o:title=""/>
            <o:lock v:ext="edit" aspectratio="t"/>
            <w10:wrap type="none"/>
            <w10:anchorlock/>
          </v:shape>
          <o:OLEObject Type="Embed" ProgID="Equation.KSEE3" ShapeID="_x0000_i1058" DrawAspect="Content" ObjectID="_1468075758" r:id="rId76">
            <o:LockedField>false</o:LockedField>
          </o:OLEObject>
        </w:object>
      </w:r>
      <w:r>
        <w:t>为50 mm～100 mm。凹槽之间净间距不宜小于50 mm。凹槽侧壁与预制底板宜采用倒角过渡，角度</w:t>
      </w:r>
      <w:r>
        <w:rPr>
          <w:position w:val="-10"/>
        </w:rPr>
        <w:object>
          <v:shape id="_x0000_i1059" o:spt="75" type="#_x0000_t75" style="height:16pt;width:12pt;" o:ole="t" filled="f" o:preferrelative="t" stroked="f" coordsize="21600,21600">
            <v:path/>
            <v:fill on="f" focussize="0,0"/>
            <v:stroke on="f" joinstyle="miter"/>
            <v:imagedata r:id="rId48" o:title=""/>
            <o:lock v:ext="edit" aspectratio="t"/>
            <w10:wrap type="none"/>
            <w10:anchorlock/>
          </v:shape>
          <o:OLEObject Type="Embed" ProgID="Equation.KSEE3" ShapeID="_x0000_i1059" DrawAspect="Content" ObjectID="_1468075759" r:id="rId78">
            <o:LockedField>false</o:LockedField>
          </o:OLEObject>
        </w:object>
      </w:r>
      <w:r>
        <w:t>为60°～90°。设置凹槽后底板剩余厚度</w:t>
      </w:r>
      <w:r>
        <w:rPr>
          <w:position w:val="-6"/>
        </w:rPr>
        <w:object>
          <v:shape id="_x0000_i1060" o:spt="75" type="#_x0000_t75" style="height:14pt;width:10pt;" o:ole="t" filled="f" o:preferrelative="t" stroked="f" coordsize="21600,21600">
            <v:path/>
            <v:fill on="f" focussize="0,0"/>
            <v:stroke on="f" joinstyle="miter"/>
            <v:imagedata r:id="rId40" o:title=""/>
            <o:lock v:ext="edit" aspectratio="t"/>
            <w10:wrap type="none"/>
            <w10:anchorlock/>
          </v:shape>
          <o:OLEObject Type="Embed" ProgID="Equation.KSEE3" ShapeID="_x0000_i1060" DrawAspect="Content" ObjectID="_1468075760" r:id="rId79">
            <o:LockedField>false</o:LockedField>
          </o:OLEObject>
        </w:object>
      </w:r>
      <w:r>
        <w:t>不应小于钢筋的保护层厚度</w:t>
      </w:r>
      <w:r>
        <w:rPr>
          <w:color w:val="000000"/>
        </w:rPr>
        <w:t>（图4.3.7-1）</w:t>
      </w:r>
      <w:r>
        <w:t>。</w:t>
      </w:r>
    </w:p>
    <w:p w14:paraId="1997DAA7">
      <w:pPr>
        <w:jc w:val="center"/>
        <w:rPr>
          <w:rFonts w:hint="eastAsia" w:ascii="等线" w:hAnsi="等线" w:eastAsia="等线" w:cs="等线"/>
          <w:b/>
          <w:bCs/>
          <w:color w:val="333333"/>
          <w:sz w:val="21"/>
          <w:szCs w:val="21"/>
        </w:rPr>
      </w:pPr>
      <w:r>
        <w:rPr>
          <w:rFonts w:hint="eastAsia" w:cs="Times New Roman"/>
          <w:lang w:bidi="ar"/>
        </w:rPr>
        <w:drawing>
          <wp:inline distT="0" distB="0" distL="114300" distR="114300">
            <wp:extent cx="5156200" cy="3994150"/>
            <wp:effectExtent l="0" t="0" r="0" b="635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80"/>
                    <a:stretch>
                      <a:fillRect/>
                    </a:stretch>
                  </pic:blipFill>
                  <pic:spPr>
                    <a:xfrm>
                      <a:off x="0" y="0"/>
                      <a:ext cx="5156200" cy="3994150"/>
                    </a:xfrm>
                    <a:prstGeom prst="rect">
                      <a:avLst/>
                    </a:prstGeom>
                    <a:noFill/>
                    <a:ln>
                      <a:noFill/>
                    </a:ln>
                  </pic:spPr>
                </pic:pic>
              </a:graphicData>
            </a:graphic>
          </wp:inline>
        </w:drawing>
      </w:r>
    </w:p>
    <w:p w14:paraId="71ABF9B4">
      <w:pPr>
        <w:pStyle w:val="19"/>
      </w:pPr>
      <w:r>
        <w:rPr>
          <w:rFonts w:hint="eastAsia"/>
        </w:rPr>
        <w:t>图4.3.7-1 凹槽尺寸示意</w:t>
      </w:r>
    </w:p>
    <w:p w14:paraId="6D9761B4">
      <w:pPr>
        <w:pStyle w:val="20"/>
      </w:pPr>
      <w:r>
        <w:t>1－板钢筋</w:t>
      </w:r>
    </w:p>
    <w:p w14:paraId="638C2535">
      <w:pPr>
        <w:pStyle w:val="18"/>
        <w:ind w:firstLine="482"/>
        <w:jc w:val="left"/>
        <w:rPr>
          <w:rFonts w:hint="default"/>
        </w:rPr>
      </w:pPr>
      <w:r>
        <w:rPr>
          <w:rFonts w:cstheme="minorBidi"/>
          <w:b/>
          <w:bCs/>
          <w:color w:val="auto"/>
          <w:szCs w:val="24"/>
        </w:rPr>
        <w:t xml:space="preserve">2 </w:t>
      </w:r>
      <w:r>
        <w:t xml:space="preserve">连接钢筋的截面积应满足承载力计算要求，且不应小于预制底板同方向受力钢筋的截面面积的1/3；连接钢筋直径不应小于预制底板同方向受力钢筋的直径，且不应小于6 mm，间距不宜大于300 mm。 </w:t>
      </w:r>
    </w:p>
    <w:p w14:paraId="127C54F9">
      <w:pPr>
        <w:pStyle w:val="18"/>
        <w:ind w:firstLine="482"/>
        <w:rPr>
          <w:rFonts w:hint="default"/>
        </w:rPr>
      </w:pPr>
      <w:r>
        <w:rPr>
          <w:rFonts w:cstheme="minorBidi"/>
          <w:b/>
          <w:bCs/>
          <w:color w:val="auto"/>
          <w:szCs w:val="24"/>
        </w:rPr>
        <w:t xml:space="preserve">3 </w:t>
      </w:r>
      <w:r>
        <w:t>连接钢筋在凹槽一侧应设置90°弯钩，上弯高度不应小于80mm，且不应高于现浇层的上层钢筋。当连接钢筋为构造钢筋时，伸入凹槽的长度不应小于与板底钢筋的受压搭接长度，伸入支座的长度不应小于15d（d为连接钢筋直径）且宜伸过支座中心线；当连接钢筋承受拉力时，伸入凹槽的长度不应小于与板底钢筋的受拉搭接长度,伸入支座的长度不应小于受拉钢筋锚固长度</w:t>
      </w:r>
      <w:r>
        <w:rPr>
          <w:color w:val="000000"/>
        </w:rPr>
        <w:t>（图4.3.7-2）</w:t>
      </w:r>
      <w:r>
        <w:t>；对于中节点支座，连接钢筋在节点区宜采用贯通做法</w:t>
      </w:r>
      <w:r>
        <w:rPr>
          <w:color w:val="000000"/>
        </w:rPr>
        <w:t>（图4.3.7-3）</w:t>
      </w:r>
      <w:r>
        <w:t>。</w:t>
      </w:r>
    </w:p>
    <w:p w14:paraId="46D48B74">
      <w:pPr>
        <w:jc w:val="center"/>
        <w:rPr>
          <w:rFonts w:cs="Times New Roman"/>
          <w:lang w:bidi="ar"/>
        </w:rPr>
      </w:pPr>
    </w:p>
    <w:p w14:paraId="62F6C76A">
      <w:pPr>
        <w:jc w:val="center"/>
      </w:pPr>
    </w:p>
    <w:p w14:paraId="304D2B63">
      <w:pPr>
        <w:jc w:val="center"/>
      </w:pPr>
    </w:p>
    <w:p w14:paraId="1B8654CD">
      <w:pPr>
        <w:jc w:val="center"/>
      </w:pPr>
      <w:r>
        <w:drawing>
          <wp:inline distT="0" distB="0" distL="114300" distR="114300">
            <wp:extent cx="4694555" cy="7432040"/>
            <wp:effectExtent l="0" t="0" r="4445" b="10160"/>
            <wp:docPr id="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2"/>
                    <pic:cNvPicPr>
                      <a:picLocks noChangeAspect="1"/>
                    </pic:cNvPicPr>
                  </pic:nvPicPr>
                  <pic:blipFill>
                    <a:blip r:embed="rId81"/>
                    <a:stretch>
                      <a:fillRect/>
                    </a:stretch>
                  </pic:blipFill>
                  <pic:spPr>
                    <a:xfrm>
                      <a:off x="0" y="0"/>
                      <a:ext cx="4694555" cy="7432040"/>
                    </a:xfrm>
                    <a:prstGeom prst="rect">
                      <a:avLst/>
                    </a:prstGeom>
                    <a:noFill/>
                    <a:ln>
                      <a:noFill/>
                    </a:ln>
                  </pic:spPr>
                </pic:pic>
              </a:graphicData>
            </a:graphic>
          </wp:inline>
        </w:drawing>
      </w:r>
    </w:p>
    <w:p w14:paraId="0B6FFC2A">
      <w:pPr>
        <w:pStyle w:val="19"/>
      </w:pPr>
      <w:r>
        <w:rPr>
          <w:rFonts w:hint="eastAsia"/>
        </w:rPr>
        <w:t>图4.3.7-2端节点凹槽连接示意图</w:t>
      </w:r>
    </w:p>
    <w:p w14:paraId="622999DE">
      <w:pPr>
        <w:pStyle w:val="20"/>
      </w:pPr>
      <w:r>
        <w:t>1－凹槽；2－板钢筋；3－连接钢筋；4－梁；</w:t>
      </w:r>
    </w:p>
    <w:p w14:paraId="7100C5D8">
      <w:pPr>
        <w:pStyle w:val="20"/>
      </w:pPr>
      <w:r>
        <w:t>5－凹槽连接预制底板；6－板纵筋</w:t>
      </w:r>
    </w:p>
    <w:p w14:paraId="45B2D466">
      <w:pPr>
        <w:jc w:val="center"/>
      </w:pPr>
    </w:p>
    <w:p w14:paraId="788B1A4D">
      <w:pPr>
        <w:jc w:val="center"/>
      </w:pPr>
      <w:r>
        <w:drawing>
          <wp:inline distT="0" distB="0" distL="114300" distR="114300">
            <wp:extent cx="3716655" cy="7966075"/>
            <wp:effectExtent l="0" t="0" r="4445" b="9525"/>
            <wp:docPr id="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3"/>
                    <pic:cNvPicPr>
                      <a:picLocks noChangeAspect="1"/>
                    </pic:cNvPicPr>
                  </pic:nvPicPr>
                  <pic:blipFill>
                    <a:blip r:embed="rId82"/>
                    <a:stretch>
                      <a:fillRect/>
                    </a:stretch>
                  </pic:blipFill>
                  <pic:spPr>
                    <a:xfrm>
                      <a:off x="0" y="0"/>
                      <a:ext cx="3716655" cy="7966075"/>
                    </a:xfrm>
                    <a:prstGeom prst="rect">
                      <a:avLst/>
                    </a:prstGeom>
                    <a:noFill/>
                    <a:ln>
                      <a:noFill/>
                    </a:ln>
                  </pic:spPr>
                </pic:pic>
              </a:graphicData>
            </a:graphic>
          </wp:inline>
        </w:drawing>
      </w:r>
    </w:p>
    <w:p w14:paraId="0B7D0698">
      <w:pPr>
        <w:pStyle w:val="19"/>
      </w:pPr>
      <w:r>
        <w:rPr>
          <w:rFonts w:hint="eastAsia"/>
        </w:rPr>
        <w:t>图4.3.7-3中节点凹槽连接贯通方式示意图</w:t>
      </w:r>
    </w:p>
    <w:p w14:paraId="5672AA31">
      <w:pPr>
        <w:pStyle w:val="20"/>
      </w:pPr>
      <w:r>
        <w:t>1－凹槽；2－板钢筋；3－连接钢筋；4－梁；5－凹槽连接预制底板</w:t>
      </w:r>
    </w:p>
    <w:p w14:paraId="07F803C1">
      <w:pPr>
        <w:pStyle w:val="17"/>
      </w:pPr>
      <w:r>
        <w:rPr>
          <w:rFonts w:hint="eastAsia"/>
          <w:b/>
          <w:bCs/>
        </w:rPr>
        <w:t>【4.3.7条文说明】</w:t>
      </w:r>
      <w:r>
        <w:rPr>
          <w:rFonts w:hint="eastAsia"/>
        </w:rPr>
        <w:t xml:space="preserve"> 凹槽的数量和间距要求，是为了保证有足够量的连接钢筋能够伸入梁内，当板端支座仅承受负弯矩时，凹槽也可间隔设置，没有必要与预制底板纵筋数量和间距保持完全一致。</w:t>
      </w:r>
    </w:p>
    <w:p w14:paraId="50B4B072">
      <w:pPr>
        <w:pStyle w:val="17"/>
      </w:pPr>
      <w:r>
        <w:rPr>
          <w:rFonts w:hint="eastAsia"/>
        </w:rPr>
        <w:t>凹槽连接钢筋可在预制工厂中加工制作，也可在施工现场制作。</w:t>
      </w:r>
    </w:p>
    <w:p w14:paraId="3EE1DB22">
      <w:pPr>
        <w:pStyle w:val="17"/>
      </w:pPr>
      <w:r>
        <w:rPr>
          <w:rFonts w:hint="eastAsia"/>
        </w:rPr>
        <w:t>常规位置的叠合板承受板面恒活荷载作用时，板端支座仅承受负弯矩，凹槽连接钢筋所在的位置为混凝土受压区，其搭接长度和锚固长度可按受压钢筋锚固长度要求执行，即支座凹槽连接钢筋伸入凹槽的长度不应小于与预制底板钢筋的受压搭接长度，其伸入支座的长度不应小于15d（d为连接钢筋直径）且宜伸过支座中心线。对于4.1.2条中提到的特殊部位使用叠合板时，板端支座可能承受正弯矩，凹槽连接钢筋内出现拉力。在此情形下，凹槽连接钢筋伸入凹槽的长度不应小于与预制底板钢筋的受拉搭接长度，其伸入支座的长度不应小于受拉钢筋锚固长度要求。 </w:t>
      </w:r>
    </w:p>
    <w:p w14:paraId="79A07965">
      <w:pPr>
        <w:pStyle w:val="3"/>
        <w:spacing w:before="312" w:after="312"/>
      </w:pPr>
      <w:bookmarkStart w:id="40" w:name="_Toc10201"/>
      <w:r>
        <w:rPr>
          <w:rFonts w:hint="eastAsia"/>
        </w:rPr>
        <w:t>4.4 拼缝节点设计</w:t>
      </w:r>
      <w:bookmarkEnd w:id="40"/>
    </w:p>
    <w:p w14:paraId="1C5E13ED">
      <w:r>
        <w:rPr>
          <w:rFonts w:hint="eastAsia"/>
          <w:b/>
          <w:bCs/>
        </w:rPr>
        <w:t>4.4.1</w:t>
      </w:r>
      <w:r>
        <w:rPr>
          <w:rFonts w:hint="eastAsia"/>
        </w:rPr>
        <w:t xml:space="preserve"> 预制底板之间整体式接缝宜采用凹槽拼缝连接。</w:t>
      </w:r>
    </w:p>
    <w:p w14:paraId="602F24DE">
      <w:pPr>
        <w:pStyle w:val="17"/>
      </w:pPr>
      <w:r>
        <w:rPr>
          <w:rFonts w:hint="eastAsia"/>
          <w:b/>
          <w:bCs/>
        </w:rPr>
        <w:t>【4.4.1条文说明】</w:t>
      </w:r>
      <w:r>
        <w:rPr>
          <w:rFonts w:hint="eastAsia"/>
        </w:rPr>
        <w:t xml:space="preserve"> 凹槽拼缝连接可以用于替换后浇带式整体接缝连接、密拼式分离接缝连接等方式。</w:t>
      </w:r>
    </w:p>
    <w:p w14:paraId="0BA63437">
      <w:r>
        <w:rPr>
          <w:rFonts w:hint="eastAsia"/>
          <w:b/>
          <w:bCs/>
        </w:rPr>
        <w:t>4.4.2</w:t>
      </w:r>
      <w:r>
        <w:rPr>
          <w:rFonts w:hint="eastAsia"/>
        </w:rPr>
        <w:t xml:space="preserve"> 不出筋叠合板拼缝处的受弯承载力应符合现行国家标准《混凝土结构设计标准》GB/T 50010 的有关规定，并应符合下列规定：</w:t>
      </w:r>
    </w:p>
    <w:p w14:paraId="022DD41D">
      <w:pPr>
        <w:pStyle w:val="18"/>
        <w:ind w:firstLine="482"/>
        <w:rPr>
          <w:rFonts w:hint="default"/>
        </w:rPr>
      </w:pPr>
      <w:r>
        <w:rPr>
          <w:rFonts w:cstheme="minorBidi"/>
          <w:b/>
          <w:bCs/>
          <w:color w:val="auto"/>
          <w:szCs w:val="24"/>
        </w:rPr>
        <w:t xml:space="preserve">1 </w:t>
      </w:r>
      <w:r>
        <w:t>拼缝截面承担弯矩作用时，截面高度可取不出筋叠合板的厚度；</w:t>
      </w:r>
    </w:p>
    <w:p w14:paraId="332EFD81">
      <w:pPr>
        <w:pStyle w:val="18"/>
        <w:ind w:firstLine="482"/>
        <w:rPr>
          <w:rFonts w:hint="default"/>
        </w:rPr>
      </w:pPr>
      <w:r>
        <w:rPr>
          <w:rFonts w:cstheme="minorBidi"/>
          <w:b/>
          <w:bCs/>
          <w:color w:val="auto"/>
          <w:szCs w:val="24"/>
        </w:rPr>
        <w:t xml:space="preserve">2 </w:t>
      </w:r>
      <w:r>
        <w:t>当不出筋叠合板中预制底板与后浇叠合层的混凝土强度等级不相同时，应按受压区位置处混凝土的强度等级计算受弯承载力；</w:t>
      </w:r>
    </w:p>
    <w:p w14:paraId="2CC014B6">
      <w:pPr>
        <w:pStyle w:val="18"/>
        <w:ind w:firstLine="482"/>
        <w:rPr>
          <w:rFonts w:hint="default"/>
        </w:rPr>
      </w:pPr>
      <w:r>
        <w:rPr>
          <w:rFonts w:cstheme="minorBidi"/>
          <w:b/>
          <w:bCs/>
          <w:color w:val="auto"/>
          <w:szCs w:val="24"/>
        </w:rPr>
        <w:t xml:space="preserve">3 </w:t>
      </w:r>
      <w:r>
        <w:t>拼缝处截面受弯承载力设计值应满足下式要求：</w:t>
      </w:r>
    </w:p>
    <w:p w14:paraId="5FE7423D">
      <w:pPr>
        <w:pStyle w:val="18"/>
        <w:ind w:firstLine="480"/>
        <w:jc w:val="right"/>
        <w:rPr>
          <w:rFonts w:hint="default"/>
          <w:color w:val="000000"/>
          <w:position w:val="-12"/>
        </w:rPr>
      </w:pPr>
      <w:r>
        <w:rPr>
          <w:color w:val="000000"/>
          <w:position w:val="-10"/>
        </w:rPr>
        <w:object>
          <v:shape id="_x0000_i1061" o:spt="75" type="#_x0000_t75" style="height:18pt;width:68pt;" o:ole="t" filled="f" o:preferrelative="t" stroked="f" coordsize="21600,21600">
            <v:path/>
            <v:fill on="f" focussize="0,0"/>
            <v:stroke on="f" joinstyle="miter"/>
            <v:imagedata r:id="rId84" o:title=""/>
            <o:lock v:ext="edit" aspectratio="t"/>
            <w10:wrap type="none"/>
            <w10:anchorlock/>
          </v:shape>
          <o:OLEObject Type="Embed" ProgID="Equation.KSEE3" ShapeID="_x0000_i1061" DrawAspect="Content" ObjectID="_1468075761" r:id="rId83">
            <o:LockedField>false</o:LockedField>
          </o:OLEObject>
        </w:object>
      </w:r>
      <w:r>
        <w:rPr>
          <w:color w:val="000000"/>
          <w:position w:val="-12"/>
        </w:rPr>
        <w:t xml:space="preserve">                 </w:t>
      </w:r>
      <w:r>
        <w:t>(4.4.2-1)</w:t>
      </w:r>
    </w:p>
    <w:p w14:paraId="45E4F9DF">
      <w:pPr>
        <w:rPr>
          <w:color w:val="000000"/>
          <w:position w:val="-12"/>
        </w:rPr>
      </w:pPr>
      <w:r>
        <w:t>式中：</w:t>
      </w:r>
      <w:r>
        <w:rPr>
          <w:color w:val="000000"/>
          <w:position w:val="-10"/>
        </w:rPr>
        <w:object>
          <v:shape id="_x0000_i1062" o:spt="75" type="#_x0000_t75" style="height:18pt;width:24pt;" o:ole="t" filled="f" o:preferrelative="t" stroked="f" coordsize="21600,21600">
            <v:path/>
            <v:fill on="f" focussize="0,0"/>
            <v:stroke on="f" joinstyle="miter"/>
            <v:imagedata r:id="rId24" o:title=""/>
            <o:lock v:ext="edit" aspectratio="t"/>
            <w10:wrap type="none"/>
            <w10:anchorlock/>
          </v:shape>
          <o:OLEObject Type="Embed" ProgID="Equation.KSEE3" ShapeID="_x0000_i1062" DrawAspect="Content" ObjectID="_1468075762" r:id="rId85">
            <o:LockedField>false</o:LockedField>
          </o:OLEObject>
        </w:object>
      </w:r>
      <w:r>
        <w:rPr>
          <w:color w:val="000000"/>
        </w:rPr>
        <w:t>——调整后拼缝处受弯承载力设计值；</w:t>
      </w:r>
    </w:p>
    <w:p w14:paraId="7C52C66F">
      <w:pPr>
        <w:pStyle w:val="18"/>
        <w:ind w:left="1680" w:leftChars="300" w:hanging="960" w:hangingChars="400"/>
        <w:jc w:val="left"/>
        <w:rPr>
          <w:rFonts w:hint="default"/>
          <w:color w:val="000000"/>
        </w:rPr>
      </w:pPr>
      <w:r>
        <w:rPr>
          <w:color w:val="000000"/>
          <w:position w:val="-10"/>
        </w:rPr>
        <w:object>
          <v:shape id="_x0000_i1063" o:spt="75" type="#_x0000_t75" style="height:17pt;width:24pt;" o:ole="t" filled="f" o:preferrelative="t" stroked="f" coordsize="21600,21600">
            <v:path/>
            <v:fill on="f" focussize="0,0"/>
            <v:stroke on="f" joinstyle="miter"/>
            <v:imagedata r:id="rId26" o:title=""/>
            <o:lock v:ext="edit" aspectratio="t"/>
            <w10:wrap type="none"/>
            <w10:anchorlock/>
          </v:shape>
          <o:OLEObject Type="Embed" ProgID="Equation.KSEE3" ShapeID="_x0000_i1063" DrawAspect="Content" ObjectID="_1468075763" r:id="rId86">
            <o:LockedField>false</o:LockedField>
          </o:OLEObject>
        </w:object>
      </w:r>
      <w:r>
        <w:rPr>
          <w:color w:val="000000"/>
        </w:rPr>
        <w:t>——拼缝处受弯承载力设计值，</w:t>
      </w:r>
      <w:r>
        <w:t>按《混凝土结构设计标准》GB 50010的有关规定执行；</w:t>
      </w:r>
    </w:p>
    <w:p w14:paraId="0E939C25">
      <w:pPr>
        <w:pStyle w:val="18"/>
        <w:ind w:firstLine="720" w:firstLineChars="300"/>
        <w:jc w:val="left"/>
        <w:rPr>
          <w:rFonts w:hint="default"/>
        </w:rPr>
      </w:pPr>
      <w:r>
        <w:rPr>
          <w:color w:val="000000"/>
          <w:position w:val="-10"/>
        </w:rPr>
        <w:object>
          <v:shape id="_x0000_i1064" o:spt="75" type="#_x0000_t75" style="height:17pt;width:14pt;" o:ole="t" filled="f" o:preferrelative="t" stroked="f" coordsize="21600,21600">
            <v:path/>
            <v:fill on="f" focussize="0,0"/>
            <v:stroke on="f" joinstyle="miter"/>
            <v:imagedata r:id="rId54" o:title=""/>
            <o:lock v:ext="edit" aspectratio="t"/>
            <w10:wrap type="none"/>
            <w10:anchorlock/>
          </v:shape>
          <o:OLEObject Type="Embed" ProgID="Equation.KSEE3" ShapeID="_x0000_i1064" DrawAspect="Content" ObjectID="_1468075764" r:id="rId87">
            <o:LockedField>false</o:LockedField>
          </o:OLEObject>
        </w:object>
      </w:r>
      <w:r>
        <w:rPr>
          <w:color w:val="000000"/>
          <w:position w:val="-10"/>
        </w:rPr>
        <w:t xml:space="preserve"> </w:t>
      </w:r>
      <w:r>
        <w:rPr>
          <w:color w:val="000000"/>
        </w:rPr>
        <w:t>——凹槽</w:t>
      </w:r>
      <w:r>
        <w:t>拼缝处受弯承载力折减系数，当采用U型凹槽拼缝连接</w:t>
      </w:r>
    </w:p>
    <w:p w14:paraId="4FD9E8D2">
      <w:pPr>
        <w:pStyle w:val="18"/>
        <w:ind w:firstLine="1200" w:firstLineChars="500"/>
        <w:jc w:val="left"/>
        <w:rPr>
          <w:rFonts w:hint="default"/>
        </w:rPr>
      </w:pPr>
      <w:r>
        <w:t>（图4.4.2-1、3）时，取0.8；采用C型凹槽拼缝连接（图4.4.2-2、3）</w:t>
      </w:r>
    </w:p>
    <w:p w14:paraId="75C58EA9">
      <w:pPr>
        <w:pStyle w:val="18"/>
        <w:ind w:firstLine="1440" w:firstLineChars="600"/>
        <w:jc w:val="left"/>
        <w:rPr>
          <w:rFonts w:hint="default"/>
          <w:highlight w:val="yellow"/>
        </w:rPr>
      </w:pPr>
      <w:r>
        <w:t>时，取0.85。</w:t>
      </w:r>
    </w:p>
    <w:p w14:paraId="36FEE973">
      <w:pPr>
        <w:jc w:val="center"/>
        <w:rPr>
          <w:rFonts w:cs="Times New Roman"/>
          <w:lang w:bidi="ar"/>
        </w:rPr>
      </w:pPr>
    </w:p>
    <w:p w14:paraId="6C4EA496">
      <w:pPr>
        <w:jc w:val="center"/>
        <w:rPr>
          <w:rFonts w:cs="Times New Roman"/>
          <w:lang w:bidi="ar"/>
        </w:rPr>
      </w:pPr>
      <w:r>
        <w:drawing>
          <wp:inline distT="0" distB="0" distL="114300" distR="114300">
            <wp:extent cx="3876040" cy="4529455"/>
            <wp:effectExtent l="0" t="0" r="10160" b="4445"/>
            <wp:docPr id="3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7"/>
                    <pic:cNvPicPr>
                      <a:picLocks noChangeAspect="1"/>
                    </pic:cNvPicPr>
                  </pic:nvPicPr>
                  <pic:blipFill>
                    <a:blip r:embed="rId88"/>
                    <a:stretch>
                      <a:fillRect/>
                    </a:stretch>
                  </pic:blipFill>
                  <pic:spPr>
                    <a:xfrm>
                      <a:off x="0" y="0"/>
                      <a:ext cx="3876040" cy="4529455"/>
                    </a:xfrm>
                    <a:prstGeom prst="rect">
                      <a:avLst/>
                    </a:prstGeom>
                    <a:noFill/>
                    <a:ln>
                      <a:noFill/>
                    </a:ln>
                  </pic:spPr>
                </pic:pic>
              </a:graphicData>
            </a:graphic>
          </wp:inline>
        </w:drawing>
      </w:r>
    </w:p>
    <w:p w14:paraId="200CF718">
      <w:pPr>
        <w:pStyle w:val="19"/>
        <w:widowControl w:val="0"/>
      </w:pPr>
      <w:r>
        <w:rPr>
          <w:rFonts w:hint="eastAsia"/>
        </w:rPr>
        <w:t>图4.4.2-1 U型凹槽拼缝连接示意</w:t>
      </w:r>
    </w:p>
    <w:p w14:paraId="2C701D13">
      <w:pPr>
        <w:pStyle w:val="20"/>
      </w:pPr>
      <w:r>
        <w:t>1－凹槽；2－板钢筋；3－连接钢筋；4－凹槽拼缝连接预制底板</w:t>
      </w:r>
    </w:p>
    <w:p w14:paraId="64183512">
      <w:pPr>
        <w:jc w:val="center"/>
      </w:pPr>
    </w:p>
    <w:p w14:paraId="0FB8E535">
      <w:pPr>
        <w:jc w:val="center"/>
      </w:pPr>
      <w:r>
        <w:drawing>
          <wp:inline distT="0" distB="0" distL="114300" distR="114300">
            <wp:extent cx="4360545" cy="5086350"/>
            <wp:effectExtent l="0" t="0" r="8255" b="6350"/>
            <wp:docPr id="3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8"/>
                    <pic:cNvPicPr>
                      <a:picLocks noChangeAspect="1"/>
                    </pic:cNvPicPr>
                  </pic:nvPicPr>
                  <pic:blipFill>
                    <a:blip r:embed="rId89"/>
                    <a:stretch>
                      <a:fillRect/>
                    </a:stretch>
                  </pic:blipFill>
                  <pic:spPr>
                    <a:xfrm>
                      <a:off x="0" y="0"/>
                      <a:ext cx="4360545" cy="5086350"/>
                    </a:xfrm>
                    <a:prstGeom prst="rect">
                      <a:avLst/>
                    </a:prstGeom>
                    <a:noFill/>
                    <a:ln>
                      <a:noFill/>
                    </a:ln>
                  </pic:spPr>
                </pic:pic>
              </a:graphicData>
            </a:graphic>
          </wp:inline>
        </w:drawing>
      </w:r>
    </w:p>
    <w:p w14:paraId="433DEAC9">
      <w:pPr>
        <w:pStyle w:val="19"/>
      </w:pPr>
      <w:r>
        <w:rPr>
          <w:rFonts w:hint="eastAsia"/>
        </w:rPr>
        <w:t>图4.4.2-2 C型凹槽拼缝连接示意</w:t>
      </w:r>
    </w:p>
    <w:p w14:paraId="3964F444">
      <w:pPr>
        <w:jc w:val="center"/>
        <w:rPr>
          <w:rFonts w:cs="Times New Roman"/>
          <w:lang w:bidi="ar"/>
        </w:rPr>
      </w:pPr>
      <w:r>
        <w:rPr>
          <w:rFonts w:hint="eastAsia"/>
        </w:rPr>
        <w:t>1－凹槽；2－板钢筋；3－连接钢筋；4－凹槽拼缝连接预制底板</w:t>
      </w:r>
      <w:r>
        <w:drawing>
          <wp:inline distT="0" distB="0" distL="114300" distR="114300">
            <wp:extent cx="3303905" cy="1627505"/>
            <wp:effectExtent l="0" t="0" r="10795" b="10795"/>
            <wp:docPr id="3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9"/>
                    <pic:cNvPicPr>
                      <a:picLocks noChangeAspect="1"/>
                    </pic:cNvPicPr>
                  </pic:nvPicPr>
                  <pic:blipFill>
                    <a:blip r:embed="rId90"/>
                    <a:stretch>
                      <a:fillRect/>
                    </a:stretch>
                  </pic:blipFill>
                  <pic:spPr>
                    <a:xfrm>
                      <a:off x="0" y="0"/>
                      <a:ext cx="3303905" cy="1627505"/>
                    </a:xfrm>
                    <a:prstGeom prst="rect">
                      <a:avLst/>
                    </a:prstGeom>
                    <a:noFill/>
                    <a:ln>
                      <a:noFill/>
                    </a:ln>
                  </pic:spPr>
                </pic:pic>
              </a:graphicData>
            </a:graphic>
          </wp:inline>
        </w:drawing>
      </w:r>
    </w:p>
    <w:p w14:paraId="70FBA6F9">
      <w:pPr>
        <w:pStyle w:val="19"/>
      </w:pPr>
      <w:r>
        <w:rPr>
          <w:rFonts w:hint="eastAsia"/>
        </w:rPr>
        <w:t>图4.4.2-3 连接钢筋示意</w:t>
      </w:r>
    </w:p>
    <w:p w14:paraId="0141893C">
      <w:pPr>
        <w:pStyle w:val="17"/>
        <w:rPr>
          <w:highlight w:val="yellow"/>
        </w:rPr>
      </w:pPr>
      <w:r>
        <w:rPr>
          <w:rFonts w:hint="eastAsia"/>
          <w:b/>
          <w:bCs/>
        </w:rPr>
        <w:t>【4.4.2条文说明】</w:t>
      </w:r>
      <w:r>
        <w:rPr>
          <w:rFonts w:hint="eastAsia"/>
        </w:rPr>
        <w:t xml:space="preserve"> </w:t>
      </w:r>
      <w:r>
        <w:rPr>
          <w:rFonts w:hint="eastAsia"/>
          <w:lang w:bidi="ar"/>
        </w:rPr>
        <w:t>不出筋叠合板板侧凹槽拼缝连接受弯性能试验表明，当凹槽深度35mm、凹槽长度300mm、采用与楼板钢筋同直径的连接钢筋时，U型凹槽拼缝连接的楼板实测极限试验荷载相对于整体现浇板实测极限试验荷载下降约15.6%，考虑自重影响的实测极限弯矩相对于整体现浇板理论极限弯矩下降约13.9%；C型凹槽拼缝的楼板实测极限试验荷载相对于整体现浇板实测极限试验荷载下降9.3%，考虑自重影响的实测极限弯矩相对于整体现浇板理论极限弯矩下降约8.3%。因此，有必要引入拼缝处受弯承载力折减系数，对拼缝处截面的受弯承载力设计值予以折减，以实现凹槽拼缝节点“等强连接”的目标。此外，浙江大学龚顺风团队通过大量数值计算表明，提升拼缝处截面受弯承载力的措施包括：增加凹槽连接钢筋的直径和锚固长度、加强连接钢筋端部的锚固措施、增加凹槽数量、增大凹槽粗糙面特征等。在设计阶段，建议通过合理的拼缝位置划分（例如拼缝设置在1/3板跨位置），避开楼板最不利弯矩位置，可以一定程度上降低甚至消除受弯承载力折减系数带来的影响。</w:t>
      </w:r>
    </w:p>
    <w:p w14:paraId="4A3A7021">
      <w:r>
        <w:rPr>
          <w:rFonts w:hint="eastAsia"/>
          <w:b/>
          <w:bCs/>
        </w:rPr>
        <w:t>4.4.3</w:t>
      </w:r>
      <w:r>
        <w:rPr>
          <w:rFonts w:hint="eastAsia"/>
        </w:rPr>
        <w:t xml:space="preserve"> 凹槽拼缝连接处预制底板侧边宜设置倾角，倾角</w:t>
      </w:r>
      <w:r>
        <w:rPr>
          <w:rFonts w:hint="eastAsia" w:cs="宋体"/>
          <w:color w:val="333333"/>
          <w:position w:val="-10"/>
          <w:szCs w:val="28"/>
        </w:rPr>
        <w:object>
          <v:shape id="_x0000_i1065" o:spt="75" type="#_x0000_t75" style="height:13pt;width:10pt;" o:ole="t" filled="f" o:preferrelative="t" stroked="f" coordsize="21600,21600">
            <v:path/>
            <v:fill on="f" focussize="0,0"/>
            <v:stroke on="f" joinstyle="miter"/>
            <v:imagedata r:id="rId50" o:title=""/>
            <o:lock v:ext="edit" aspectratio="t"/>
            <w10:wrap type="none"/>
            <w10:anchorlock/>
          </v:shape>
          <o:OLEObject Type="Embed" ProgID="Equation.KSEE3" ShapeID="_x0000_i1065" DrawAspect="Content" ObjectID="_1468075765" r:id="rId91">
            <o:LockedField>false</o:LockedField>
          </o:OLEObject>
        </w:object>
      </w:r>
      <w:r>
        <w:rPr>
          <w:rFonts w:hint="eastAsia"/>
        </w:rPr>
        <w:t>为45°～60°（图4.4.3）。</w:t>
      </w:r>
    </w:p>
    <w:p w14:paraId="3EEC77B5">
      <w:pPr>
        <w:pStyle w:val="19"/>
      </w:pPr>
      <w:r>
        <w:drawing>
          <wp:inline distT="0" distB="0" distL="114300" distR="114300">
            <wp:extent cx="3986530" cy="1005840"/>
            <wp:effectExtent l="0" t="0" r="1270" b="10160"/>
            <wp:docPr id="3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0"/>
                    <pic:cNvPicPr>
                      <a:picLocks noChangeAspect="1"/>
                    </pic:cNvPicPr>
                  </pic:nvPicPr>
                  <pic:blipFill>
                    <a:blip r:embed="rId92"/>
                    <a:stretch>
                      <a:fillRect/>
                    </a:stretch>
                  </pic:blipFill>
                  <pic:spPr>
                    <a:xfrm>
                      <a:off x="0" y="0"/>
                      <a:ext cx="3986530" cy="1005840"/>
                    </a:xfrm>
                    <a:prstGeom prst="rect">
                      <a:avLst/>
                    </a:prstGeom>
                    <a:noFill/>
                    <a:ln>
                      <a:noFill/>
                    </a:ln>
                  </pic:spPr>
                </pic:pic>
              </a:graphicData>
            </a:graphic>
          </wp:inline>
        </w:drawing>
      </w:r>
    </w:p>
    <w:p w14:paraId="10B93845">
      <w:pPr>
        <w:pStyle w:val="19"/>
      </w:pPr>
      <w:r>
        <w:rPr>
          <w:rFonts w:hint="eastAsia"/>
        </w:rPr>
        <w:t>图4.4.3 凹槽拼缝示意</w:t>
      </w:r>
    </w:p>
    <w:p w14:paraId="2CB0568E">
      <w:pPr>
        <w:pStyle w:val="20"/>
      </w:pPr>
      <w:r>
        <w:t>1－凹槽拼缝连接处；2－凹拼缝连接预制底板</w:t>
      </w:r>
    </w:p>
    <w:p w14:paraId="03F554DD">
      <w:r>
        <w:rPr>
          <w:rFonts w:hint="eastAsia"/>
          <w:b/>
          <w:bCs/>
        </w:rPr>
        <w:t>4.4.4</w:t>
      </w:r>
      <w:r>
        <w:rPr>
          <w:rFonts w:hint="eastAsia"/>
        </w:rPr>
        <w:t xml:space="preserve"> 凹槽拼缝连接处，凹槽数量和间距应与预制底板纵筋数量和间距保持一致。凹槽平面形状宜采用矩形，凹槽长度</w:t>
      </w:r>
      <w:r>
        <w:rPr>
          <w:rFonts w:hint="eastAsia"/>
          <w:position w:val="-6"/>
        </w:rPr>
        <w:object>
          <v:shape id="_x0000_i1066" o:spt="75" type="#_x0000_t75" style="height:14pt;width:7pt;" o:ole="t" filled="f" o:preferrelative="t" stroked="f" coordsize="21600,21600">
            <v:path/>
            <v:fill on="f" focussize="0,0"/>
            <v:stroke on="f" joinstyle="miter"/>
            <v:imagedata r:id="rId94" o:title=""/>
            <o:lock v:ext="edit" aspectratio="t"/>
            <w10:wrap type="none"/>
            <w10:anchorlock/>
          </v:shape>
          <o:OLEObject Type="Embed" ProgID="Equation.KSEE3" ShapeID="_x0000_i1066" DrawAspect="Content" ObjectID="_1468075766" r:id="rId93">
            <o:LockedField>false</o:LockedField>
          </o:OLEObject>
        </w:object>
      </w:r>
      <w:r>
        <w:rPr>
          <w:rFonts w:hint="eastAsia"/>
        </w:rPr>
        <w:t>应满足钢筋搭接要求，且不应小于300 mm，凹槽宽度</w:t>
      </w:r>
      <w:r>
        <w:rPr>
          <w:rFonts w:hint="eastAsia"/>
          <w:position w:val="-6"/>
        </w:rPr>
        <w:object>
          <v:shape id="_x0000_i1067" o:spt="75" type="#_x0000_t75" style="height:12pt;width:7pt;" o:ole="t" filled="f" o:preferrelative="t" stroked="f" coordsize="21600,21600">
            <v:path/>
            <v:fill on="f" focussize="0,0"/>
            <v:stroke on="f" joinstyle="miter"/>
            <v:imagedata r:id="rId96" o:title=""/>
            <o:lock v:ext="edit" aspectratio="t"/>
            <w10:wrap type="none"/>
            <w10:anchorlock/>
          </v:shape>
          <o:OLEObject Type="Embed" ProgID="Equation.KSEE3" ShapeID="_x0000_i1067" DrawAspect="Content" ObjectID="_1468075767" r:id="rId95">
            <o:LockedField>false</o:LockedField>
          </o:OLEObject>
        </w:object>
      </w:r>
      <w:r>
        <w:rPr>
          <w:rFonts w:hint="eastAsia"/>
        </w:rPr>
        <w:t>为50mm～100 mm。凹槽侧壁与预制底板宜采用倒角过渡，角度</w:t>
      </w:r>
      <w:r>
        <w:rPr>
          <w:rFonts w:hint="eastAsia" w:cs="宋体"/>
          <w:color w:val="333333"/>
          <w:position w:val="-10"/>
          <w:szCs w:val="28"/>
        </w:rPr>
        <w:object>
          <v:shape id="_x0000_i1068" o:spt="75" type="#_x0000_t75" style="height:16pt;width:12pt;" o:ole="t" filled="f" o:preferrelative="t" stroked="f" coordsize="21600,21600">
            <v:path/>
            <v:fill on="f" focussize="0,0"/>
            <v:stroke on="f" joinstyle="miter"/>
            <v:imagedata r:id="rId48" o:title=""/>
            <o:lock v:ext="edit" aspectratio="t"/>
            <w10:wrap type="none"/>
            <w10:anchorlock/>
          </v:shape>
          <o:OLEObject Type="Embed" ProgID="Equation.KSEE3" ShapeID="_x0000_i1068" DrawAspect="Content" ObjectID="_1468075768" r:id="rId97">
            <o:LockedField>false</o:LockedField>
          </o:OLEObject>
        </w:object>
      </w:r>
      <w:r>
        <w:rPr>
          <w:rFonts w:hint="eastAsia"/>
        </w:rPr>
        <w:t>为60°～90°（图4.4.4）。</w:t>
      </w:r>
    </w:p>
    <w:p w14:paraId="75C55C80">
      <w:pPr>
        <w:jc w:val="center"/>
        <w:rPr>
          <w:rFonts w:hint="eastAsia" w:ascii="等线" w:hAnsi="等线" w:eastAsia="等线" w:cs="等线"/>
          <w:b/>
          <w:bCs/>
          <w:color w:val="333333"/>
          <w:sz w:val="21"/>
          <w:szCs w:val="21"/>
        </w:rPr>
      </w:pPr>
      <w:r>
        <w:drawing>
          <wp:inline distT="0" distB="0" distL="114300" distR="114300">
            <wp:extent cx="3797935" cy="3145790"/>
            <wp:effectExtent l="0" t="0" r="12065" b="3810"/>
            <wp:docPr id="3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1"/>
                    <pic:cNvPicPr>
                      <a:picLocks noChangeAspect="1"/>
                    </pic:cNvPicPr>
                  </pic:nvPicPr>
                  <pic:blipFill>
                    <a:blip r:embed="rId98"/>
                    <a:stretch>
                      <a:fillRect/>
                    </a:stretch>
                  </pic:blipFill>
                  <pic:spPr>
                    <a:xfrm>
                      <a:off x="0" y="0"/>
                      <a:ext cx="3797935" cy="3145790"/>
                    </a:xfrm>
                    <a:prstGeom prst="rect">
                      <a:avLst/>
                    </a:prstGeom>
                    <a:noFill/>
                    <a:ln>
                      <a:noFill/>
                    </a:ln>
                  </pic:spPr>
                </pic:pic>
              </a:graphicData>
            </a:graphic>
          </wp:inline>
        </w:drawing>
      </w:r>
    </w:p>
    <w:p w14:paraId="2F7A9FE0">
      <w:pPr>
        <w:pStyle w:val="19"/>
      </w:pPr>
      <w:r>
        <w:rPr>
          <w:rFonts w:hint="eastAsia"/>
        </w:rPr>
        <w:t>图4.4.4 凹槽尺寸示意</w:t>
      </w:r>
    </w:p>
    <w:p w14:paraId="0E541424">
      <w:pPr>
        <w:pStyle w:val="20"/>
      </w:pPr>
      <w:r>
        <w:t>1－板钢筋</w:t>
      </w:r>
    </w:p>
    <w:p w14:paraId="4A9572A8">
      <w:pPr>
        <w:pStyle w:val="17"/>
        <w:rPr>
          <w:lang w:bidi="ar"/>
        </w:rPr>
      </w:pPr>
      <w:r>
        <w:rPr>
          <w:b/>
          <w:bCs/>
        </w:rPr>
        <w:t>【4.4.4条文说明】</w:t>
      </w:r>
      <w:r>
        <w:rPr>
          <w:rFonts w:hint="eastAsia"/>
          <w:b/>
          <w:bCs/>
        </w:rPr>
        <w:t xml:space="preserve"> </w:t>
      </w:r>
      <w:r>
        <w:rPr>
          <w:lang w:bidi="ar"/>
        </w:rPr>
        <w:t>与板端支座不同，不出筋叠合板在拼缝位置通常需要承受较大的正弯矩，为了保证弯矩的有效传递，凹槽的数量和间距要求</w:t>
      </w:r>
      <w:r>
        <w:rPr>
          <w:rFonts w:hint="eastAsia"/>
          <w:lang w:bidi="ar"/>
        </w:rPr>
        <w:t>可</w:t>
      </w:r>
      <w:r>
        <w:rPr>
          <w:lang w:bidi="ar"/>
        </w:rPr>
        <w:t>与预制底板纵筋数量和间距保持完全一致。</w:t>
      </w:r>
    </w:p>
    <w:p w14:paraId="625C7F1B">
      <w:pPr>
        <w:pStyle w:val="17"/>
        <w:rPr>
          <w:rFonts w:eastAsia="华文楷体"/>
          <w:lang w:bidi="ar"/>
        </w:rPr>
      </w:pPr>
      <w:r>
        <w:rPr>
          <w:rFonts w:hint="eastAsia"/>
          <w:lang w:bidi="ar"/>
        </w:rPr>
        <w:t>设计凹槽长度时，应计入连接钢筋下料长度、构件安装位置等施工偏差的影响，每侧预留的施工偏差不应小于 10 mm。</w:t>
      </w:r>
    </w:p>
    <w:p w14:paraId="1185141D">
      <w:r>
        <w:rPr>
          <w:rFonts w:hint="eastAsia"/>
          <w:b/>
          <w:bCs/>
        </w:rPr>
        <w:t xml:space="preserve">4.4.5 </w:t>
      </w:r>
      <w:r>
        <w:rPr>
          <w:rFonts w:hint="eastAsia"/>
        </w:rPr>
        <w:t>凹槽内预制底板纵筋应在距离板端20 mm处上弯，上弯高度不应小于80mm，且不应高于后浇叠合层的上层钢筋。</w:t>
      </w:r>
      <w:r>
        <w:rPr>
          <w:rFonts w:hint="eastAsia" w:cs="宋体"/>
        </w:rPr>
        <w:t>C型连接时，纵筋</w:t>
      </w:r>
      <w:r>
        <w:rPr>
          <w:rFonts w:hint="eastAsia"/>
        </w:rPr>
        <w:t>水平段长度不应小于50mm（图4.4.5-b）。</w:t>
      </w:r>
    </w:p>
    <w:p w14:paraId="39616631">
      <w:pPr>
        <w:jc w:val="center"/>
      </w:pPr>
      <w:r>
        <w:drawing>
          <wp:inline distT="0" distB="0" distL="114300" distR="114300">
            <wp:extent cx="5242560" cy="2371090"/>
            <wp:effectExtent l="0" t="0" r="2540" b="3810"/>
            <wp:docPr id="4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2"/>
                    <pic:cNvPicPr>
                      <a:picLocks noChangeAspect="1"/>
                    </pic:cNvPicPr>
                  </pic:nvPicPr>
                  <pic:blipFill>
                    <a:blip r:embed="rId99"/>
                    <a:stretch>
                      <a:fillRect/>
                    </a:stretch>
                  </pic:blipFill>
                  <pic:spPr>
                    <a:xfrm>
                      <a:off x="0" y="0"/>
                      <a:ext cx="5242560" cy="2371090"/>
                    </a:xfrm>
                    <a:prstGeom prst="rect">
                      <a:avLst/>
                    </a:prstGeom>
                    <a:noFill/>
                    <a:ln>
                      <a:noFill/>
                    </a:ln>
                  </pic:spPr>
                </pic:pic>
              </a:graphicData>
            </a:graphic>
          </wp:inline>
        </w:drawing>
      </w:r>
    </w:p>
    <w:p w14:paraId="689A2E7B">
      <w:pPr>
        <w:pStyle w:val="19"/>
        <w:widowControl w:val="0"/>
      </w:pPr>
      <w:r>
        <w:rPr>
          <w:rFonts w:hint="eastAsia"/>
        </w:rPr>
        <w:t>图4.4.5凹槽拼缝预制底板示意</w:t>
      </w:r>
    </w:p>
    <w:p w14:paraId="7DF605DD">
      <w:pPr>
        <w:pStyle w:val="20"/>
      </w:pPr>
      <w:r>
        <w:t>1－板纵筋</w:t>
      </w:r>
    </w:p>
    <w:p w14:paraId="624BDFAD">
      <w:r>
        <w:rPr>
          <w:rFonts w:hint="eastAsia"/>
          <w:b/>
          <w:bCs/>
        </w:rPr>
        <w:t xml:space="preserve">4.4.6 </w:t>
      </w:r>
      <w:r>
        <w:rPr>
          <w:rFonts w:hint="eastAsia"/>
        </w:rPr>
        <w:t>连接钢筋两端应伸至凹槽端部，且应采用90°弯钩，上弯高度不应小于80mm，且不应高于后浇叠合层的上层钢筋。C型连接时，弯折后水平段长度不应小于50mm（图4.4.2-3）。</w:t>
      </w:r>
      <w:bookmarkStart w:id="41" w:name="_Toc25670"/>
    </w:p>
    <w:p w14:paraId="13D0DB5F">
      <w:pPr>
        <w:pStyle w:val="17"/>
      </w:pPr>
      <w:r>
        <w:rPr>
          <w:b/>
          <w:bCs/>
        </w:rPr>
        <w:t>【4.4.6条文说明】</w:t>
      </w:r>
      <w:r>
        <w:t xml:space="preserve"> </w:t>
      </w:r>
      <w:r>
        <w:rPr>
          <w:lang w:bidi="ar"/>
        </w:rPr>
        <w:t>凹槽连接钢筋可在预制工厂中加工制作，也可在施工现场制作。凹槽连接钢筋承受拉力时，其伸入两侧凹槽的长度</w:t>
      </w:r>
      <w:r>
        <w:rPr>
          <w:rFonts w:hint="eastAsia"/>
          <w:lang w:bidi="ar"/>
        </w:rPr>
        <w:t>与凹槽长度保持一致，</w:t>
      </w:r>
      <w:r>
        <w:rPr>
          <w:lang w:bidi="ar"/>
        </w:rPr>
        <w:t>不应小于与板底钢筋的受拉搭接长度要求。</w:t>
      </w:r>
    </w:p>
    <w:p w14:paraId="4E7C9816"/>
    <w:p w14:paraId="1CE37643"/>
    <w:p w14:paraId="5D3C9BE4"/>
    <w:p w14:paraId="79355277"/>
    <w:p w14:paraId="0DA99ADE"/>
    <w:p w14:paraId="3EA6DF09"/>
    <w:p w14:paraId="22C73270"/>
    <w:p w14:paraId="4EE6C82E"/>
    <w:p w14:paraId="069A7038"/>
    <w:p w14:paraId="6DCFD036"/>
    <w:p w14:paraId="5873867A"/>
    <w:p w14:paraId="62FACEA9"/>
    <w:p w14:paraId="4AD70927"/>
    <w:p w14:paraId="3686FC41"/>
    <w:p w14:paraId="73881058"/>
    <w:p w14:paraId="45E7EBCA"/>
    <w:p w14:paraId="6D4D8CE8"/>
    <w:p w14:paraId="53238908"/>
    <w:p w14:paraId="154CCF5A"/>
    <w:p w14:paraId="3EBB6233"/>
    <w:p w14:paraId="35B30257"/>
    <w:p w14:paraId="2F6D85D8"/>
    <w:bookmarkEnd w:id="41"/>
    <w:p w14:paraId="17B478D4">
      <w:pPr>
        <w:pStyle w:val="2"/>
      </w:pPr>
      <w:r>
        <w:rPr>
          <w:rFonts w:cs="宋体"/>
          <w:color w:val="000000"/>
          <w:szCs w:val="36"/>
        </w:rPr>
        <w:t>5</w:t>
      </w:r>
      <w:r>
        <w:rPr>
          <w:rFonts w:cs="宋体"/>
          <w:b w:val="0"/>
          <w:bCs w:val="0"/>
          <w:color w:val="000000"/>
          <w:szCs w:val="36"/>
        </w:rPr>
        <w:t xml:space="preserve"> </w:t>
      </w:r>
      <w:r>
        <w:rPr>
          <w:rFonts w:cs="宋体"/>
          <w:color w:val="000000"/>
          <w:szCs w:val="36"/>
        </w:rPr>
        <w:t>制作、运输与堆放</w:t>
      </w:r>
    </w:p>
    <w:p w14:paraId="018C09D4">
      <w:pPr>
        <w:pStyle w:val="3"/>
        <w:spacing w:before="312" w:after="312"/>
      </w:pPr>
      <w:bookmarkStart w:id="42" w:name="_Toc26502"/>
      <w:r>
        <w:t xml:space="preserve">5.1 </w:t>
      </w:r>
      <w:r>
        <w:rPr>
          <w:rFonts w:hint="eastAsia" w:cs="黑体"/>
        </w:rPr>
        <w:t>一般规定</w:t>
      </w:r>
      <w:bookmarkEnd w:id="42"/>
    </w:p>
    <w:p w14:paraId="7461AEF4">
      <w:r>
        <w:rPr>
          <w:rFonts w:hint="eastAsia" w:cs="Times New Roman"/>
          <w:b/>
          <w:bCs/>
          <w:lang w:bidi="ar"/>
        </w:rPr>
        <w:t xml:space="preserve">5.1.1 </w:t>
      </w:r>
      <w:r>
        <w:rPr>
          <w:rFonts w:hint="eastAsia" w:cs="Times New Roman"/>
          <w:lang w:bidi="ar"/>
        </w:rPr>
        <w:t>预制底板生产企业应具有固定的生产场所，生产设备、设施齐全，生产工艺先进，符合环境保护和安全生产要求。</w:t>
      </w:r>
    </w:p>
    <w:p w14:paraId="6281B589">
      <w:pPr>
        <w:pStyle w:val="17"/>
      </w:pPr>
      <w:r>
        <w:rPr>
          <w:rFonts w:hint="eastAsia"/>
          <w:b/>
          <w:bCs/>
        </w:rPr>
        <w:t xml:space="preserve">【5.1.1条文说明】 </w:t>
      </w:r>
      <w:r>
        <w:rPr>
          <w:rFonts w:hint="eastAsia"/>
        </w:rPr>
        <w:t>预制底板生产企业的生产场所应具有充足的构件堆放场地。生产设备至少包括混凝土生产设备、成型设备、养护设备和吊装设备。</w:t>
      </w:r>
    </w:p>
    <w:p w14:paraId="251E278E">
      <w:r>
        <w:rPr>
          <w:b/>
          <w:bCs/>
        </w:rPr>
        <w:t xml:space="preserve">5.1.2 </w:t>
      </w:r>
      <w:r>
        <w:t>预制底板生产企业应建立完善的质量管理体系、安全生产管理制度及检验制度。</w:t>
      </w:r>
    </w:p>
    <w:p w14:paraId="10E043D0">
      <w:pPr>
        <w:pStyle w:val="17"/>
      </w:pPr>
      <w:r>
        <w:rPr>
          <w:rFonts w:hint="eastAsia"/>
          <w:b/>
          <w:bCs/>
        </w:rPr>
        <w:t>【5.1.2条文说明】</w:t>
      </w:r>
      <w:r>
        <w:rPr>
          <w:rFonts w:hint="eastAsia"/>
        </w:rPr>
        <w:t xml:space="preserve"> 完善的质量管理体系和制度是质量管理的前提条件和企业质量管理水平的体现。质量管理体系中应建立并保持与质量管理有关的文件形成和控制工作程序，该程序应包括文件的编制、审核、批准、发放、变更和保存等。</w:t>
      </w:r>
    </w:p>
    <w:p w14:paraId="06963225">
      <w:pPr>
        <w:pStyle w:val="17"/>
      </w:pPr>
      <w:r>
        <w:rPr>
          <w:rFonts w:hint="eastAsia"/>
        </w:rPr>
        <w:t>安全生产管理制度是指生产企业为规范生产经营活动中的安全管理行为、预防和减少事故、保障人员生命财产安全而制定的系统性规章体系。其宜符合现行国家标准《企业安全生产标准化基本规范》GB/T 3 3 000规定的安全生产标准化管理体系，且宜通过三级以上安全生产标准化评审。</w:t>
      </w:r>
    </w:p>
    <w:p w14:paraId="4B0E7607">
      <w:pPr>
        <w:pStyle w:val="17"/>
      </w:pPr>
      <w:r>
        <w:rPr>
          <w:rFonts w:hint="eastAsia"/>
        </w:rPr>
        <w:t>生产企业应对必要的原材料、半成品和成品具有试验检测手段。</w:t>
      </w:r>
    </w:p>
    <w:p w14:paraId="04D2DA6A">
      <w:pPr>
        <w:autoSpaceDE w:val="0"/>
        <w:autoSpaceDN w:val="0"/>
        <w:adjustRightInd w:val="0"/>
        <w:jc w:val="left"/>
      </w:pPr>
      <w:r>
        <w:rPr>
          <w:rFonts w:hint="eastAsia" w:cs="Times New Roman"/>
          <w:b/>
          <w:bCs/>
          <w:lang w:bidi="ar"/>
        </w:rPr>
        <w:t xml:space="preserve">5.1.3 </w:t>
      </w:r>
      <w:r>
        <w:rPr>
          <w:rFonts w:hint="eastAsia" w:cs="Times New Roman"/>
          <w:lang w:bidi="ar"/>
        </w:rPr>
        <w:t>预制底板制作前，应进行深化设计，并组织设计文件交底和图纸会审。</w:t>
      </w:r>
      <w:r>
        <w:t>生产企业应制定生产方案</w:t>
      </w:r>
      <w:r>
        <w:rPr>
          <w:rFonts w:hint="eastAsia"/>
        </w:rPr>
        <w:t>；</w:t>
      </w:r>
      <w:r>
        <w:t>生产方案应包括生产工艺、模具方案、生产计划、技术质量控制措施、成品保护、堆放及运输方案等内容。</w:t>
      </w:r>
    </w:p>
    <w:p w14:paraId="2811CF41">
      <w:pPr>
        <w:pStyle w:val="17"/>
      </w:pPr>
      <w:r>
        <w:rPr>
          <w:rFonts w:hint="eastAsia"/>
          <w:b/>
          <w:bCs/>
        </w:rPr>
        <w:t xml:space="preserve">【5.1.3条文说明】 </w:t>
      </w:r>
      <w:r>
        <w:rPr>
          <w:rFonts w:hint="eastAsia"/>
        </w:rPr>
        <w:t>预制底板的设计需综合考虑制作、脱模、运输、安装的要求，采用标准化的尺寸和构造形式，减少预制底板种类和模具类型，使制作简单，运输和安装便捷。</w:t>
      </w:r>
    </w:p>
    <w:p w14:paraId="4E48B3AC">
      <w:r>
        <w:rPr>
          <w:rFonts w:hint="eastAsia" w:cs="Times New Roman"/>
          <w:b/>
          <w:bCs/>
          <w:lang w:bidi="ar"/>
        </w:rPr>
        <w:t xml:space="preserve">5.1.4 </w:t>
      </w:r>
      <w:r>
        <w:t>预制底板应进行首件试生产，验收合格后方可进行批量生产。</w:t>
      </w:r>
    </w:p>
    <w:p w14:paraId="5621BD20">
      <w:pPr>
        <w:pStyle w:val="3"/>
        <w:spacing w:before="312" w:after="312"/>
      </w:pPr>
      <w:bookmarkStart w:id="43" w:name="_Toc31583"/>
      <w:r>
        <w:t xml:space="preserve">5.2 </w:t>
      </w:r>
      <w:r>
        <w:rPr>
          <w:rFonts w:hint="eastAsia" w:cs="黑体"/>
        </w:rPr>
        <w:t>深化设计</w:t>
      </w:r>
      <w:bookmarkEnd w:id="43"/>
    </w:p>
    <w:p w14:paraId="67616730">
      <w:r>
        <w:rPr>
          <w:rFonts w:hint="eastAsia" w:cs="Times New Roman"/>
          <w:b/>
          <w:bCs/>
          <w:lang w:bidi="ar"/>
        </w:rPr>
        <w:t xml:space="preserve">5.2.1 </w:t>
      </w:r>
      <w:r>
        <w:rPr>
          <w:rFonts w:hint="eastAsia" w:cs="Times New Roman"/>
          <w:lang w:bidi="ar"/>
        </w:rPr>
        <w:t>预制底板在生产前，应基于建筑、结构、装饰、机电等专业设计图纸进行构件深化设计。</w:t>
      </w:r>
    </w:p>
    <w:p w14:paraId="1EC0923A">
      <w:r>
        <w:rPr>
          <w:rFonts w:hint="eastAsia" w:cs="Times New Roman"/>
          <w:b/>
          <w:bCs/>
          <w:lang w:bidi="ar"/>
        </w:rPr>
        <w:t xml:space="preserve">5.2.2 </w:t>
      </w:r>
      <w:r>
        <w:rPr>
          <w:rFonts w:hint="eastAsia" w:cs="Times New Roman"/>
          <w:lang w:bidi="ar"/>
        </w:rPr>
        <w:t>预制底板深化设计应包括下列内容：</w:t>
      </w:r>
    </w:p>
    <w:p w14:paraId="5CB6833A">
      <w:pPr>
        <w:pStyle w:val="18"/>
        <w:ind w:firstLine="482"/>
        <w:rPr>
          <w:rFonts w:hint="default"/>
        </w:rPr>
      </w:pPr>
      <w:r>
        <w:rPr>
          <w:b/>
          <w:bCs/>
        </w:rPr>
        <w:t xml:space="preserve">1 </w:t>
      </w:r>
      <w:r>
        <w:t>模具设计；</w:t>
      </w:r>
    </w:p>
    <w:p w14:paraId="60D51ED6">
      <w:pPr>
        <w:pStyle w:val="18"/>
        <w:ind w:firstLine="482"/>
        <w:rPr>
          <w:rFonts w:hint="default"/>
        </w:rPr>
      </w:pPr>
      <w:r>
        <w:rPr>
          <w:b/>
          <w:bCs/>
        </w:rPr>
        <w:t>2</w:t>
      </w:r>
      <w:r>
        <w:t xml:space="preserve"> 受力及分布钢筋、桁架钢筋、斜插筋等布置和下料明细；</w:t>
      </w:r>
    </w:p>
    <w:p w14:paraId="6B0CDE9E">
      <w:pPr>
        <w:pStyle w:val="18"/>
        <w:ind w:firstLine="482"/>
        <w:rPr>
          <w:rFonts w:hint="default"/>
        </w:rPr>
      </w:pPr>
      <w:r>
        <w:rPr>
          <w:b/>
          <w:bCs/>
        </w:rPr>
        <w:t>3</w:t>
      </w:r>
      <w:r>
        <w:t xml:space="preserve"> 线盒、管线预埋布置；</w:t>
      </w:r>
    </w:p>
    <w:p w14:paraId="67C53C4C">
      <w:pPr>
        <w:pStyle w:val="18"/>
        <w:ind w:firstLine="482"/>
        <w:rPr>
          <w:rFonts w:hint="default"/>
        </w:rPr>
      </w:pPr>
      <w:r>
        <w:rPr>
          <w:b/>
          <w:bCs/>
        </w:rPr>
        <w:t>4</w:t>
      </w:r>
      <w:r>
        <w:t xml:space="preserve"> 管井、斜插筋预留孔洞布置；</w:t>
      </w:r>
    </w:p>
    <w:p w14:paraId="14A714D7">
      <w:pPr>
        <w:pStyle w:val="18"/>
        <w:ind w:firstLine="482"/>
        <w:rPr>
          <w:rFonts w:hint="default"/>
        </w:rPr>
      </w:pPr>
      <w:r>
        <w:rPr>
          <w:b/>
          <w:bCs/>
        </w:rPr>
        <w:t xml:space="preserve">5 </w:t>
      </w:r>
      <w:r>
        <w:t>凹槽布置；</w:t>
      </w:r>
    </w:p>
    <w:p w14:paraId="68D73ECA">
      <w:pPr>
        <w:pStyle w:val="18"/>
        <w:ind w:firstLine="482"/>
        <w:rPr>
          <w:rFonts w:hint="default"/>
        </w:rPr>
      </w:pPr>
      <w:r>
        <w:rPr>
          <w:b/>
          <w:bCs/>
        </w:rPr>
        <w:t>6</w:t>
      </w:r>
      <w:r>
        <w:t xml:space="preserve"> 安装、装修点位布置；</w:t>
      </w:r>
    </w:p>
    <w:p w14:paraId="2490BE8D">
      <w:pPr>
        <w:pStyle w:val="18"/>
        <w:ind w:firstLine="482"/>
        <w:rPr>
          <w:rFonts w:hint="default"/>
        </w:rPr>
      </w:pPr>
      <w:r>
        <w:rPr>
          <w:b/>
          <w:bCs/>
        </w:rPr>
        <w:t>7</w:t>
      </w:r>
      <w:r>
        <w:t xml:space="preserve"> 预埋件和钢筋材料表。</w:t>
      </w:r>
    </w:p>
    <w:p w14:paraId="5FEAE1AA">
      <w:r>
        <w:rPr>
          <w:rFonts w:hint="eastAsia" w:cs="Times New Roman"/>
          <w:b/>
          <w:bCs/>
          <w:lang w:bidi="ar"/>
        </w:rPr>
        <w:t xml:space="preserve">5.2.3 </w:t>
      </w:r>
      <w:r>
        <w:rPr>
          <w:rFonts w:hint="eastAsia" w:cs="Times New Roman"/>
          <w:lang w:bidi="ar"/>
        </w:rPr>
        <w:t>斜插筋预留孔洞布置内容应包括定位、角度、孔径等。</w:t>
      </w:r>
    </w:p>
    <w:p w14:paraId="50E02AAC">
      <w:r>
        <w:rPr>
          <w:rFonts w:hint="eastAsia" w:cs="Times New Roman"/>
          <w:b/>
          <w:bCs/>
          <w:lang w:bidi="ar"/>
        </w:rPr>
        <w:t xml:space="preserve">5.2.4 </w:t>
      </w:r>
      <w:r>
        <w:rPr>
          <w:rFonts w:hint="eastAsia" w:cs="Times New Roman"/>
          <w:lang w:bidi="ar"/>
        </w:rPr>
        <w:t>凹槽预留布置内容应包括定位、形状、尺寸、钢筋连接方式等。</w:t>
      </w:r>
    </w:p>
    <w:p w14:paraId="42D1E240">
      <w:pPr>
        <w:pStyle w:val="3"/>
        <w:spacing w:before="312" w:after="312"/>
      </w:pPr>
      <w:bookmarkStart w:id="44" w:name="_Toc20859"/>
      <w:r>
        <w:t xml:space="preserve">5.3 </w:t>
      </w:r>
      <w:r>
        <w:rPr>
          <w:rFonts w:hint="eastAsia" w:cs="黑体"/>
        </w:rPr>
        <w:t>模</w:t>
      </w:r>
      <w:r>
        <w:t xml:space="preserve"> </w:t>
      </w:r>
      <w:r>
        <w:rPr>
          <w:rFonts w:hint="eastAsia" w:cs="黑体"/>
        </w:rPr>
        <w:t>具</w:t>
      </w:r>
      <w:bookmarkEnd w:id="44"/>
    </w:p>
    <w:p w14:paraId="08E17BF5">
      <w:r>
        <w:rPr>
          <w:b/>
          <w:bCs/>
        </w:rPr>
        <w:t xml:space="preserve">5.3.1 </w:t>
      </w:r>
      <w:r>
        <w:t>模具配置应进行标准化设计，并匹配预制底板类型、生产计划及生产工艺，同时需制定完善的模具验收与使用制度。</w:t>
      </w:r>
      <w:r>
        <w:rPr>
          <w:rFonts w:hint="eastAsia" w:ascii="MS Gothic" w:hAnsi="MS Gothic" w:eastAsia="MS Gothic" w:cs="MS Gothic"/>
        </w:rPr>
        <w:t>​</w:t>
      </w:r>
    </w:p>
    <w:p w14:paraId="4D5D1D27">
      <w:pPr>
        <w:pStyle w:val="17"/>
      </w:pPr>
      <w:r>
        <w:rPr>
          <w:rFonts w:hint="eastAsia"/>
          <w:b/>
          <w:bCs/>
        </w:rPr>
        <w:t>【5.3.1条文说明】</w:t>
      </w:r>
      <w:r>
        <w:rPr>
          <w:rFonts w:hint="eastAsia"/>
        </w:rPr>
        <w:t xml:space="preserve"> 模具设计与配置需综合考虑重复利用。预制底板边模配置数量需满足生产进度要求。</w:t>
      </w:r>
    </w:p>
    <w:p w14:paraId="08342F06">
      <w:pPr>
        <w:rPr>
          <w:rFonts w:cs="宋体"/>
          <w:color w:val="000000"/>
          <w:szCs w:val="28"/>
        </w:rPr>
      </w:pPr>
      <w:r>
        <w:rPr>
          <w:rFonts w:hint="eastAsia" w:cs="宋体"/>
          <w:b/>
          <w:bCs/>
          <w:color w:val="000000"/>
          <w:szCs w:val="28"/>
          <w:lang w:bidi="ar"/>
        </w:rPr>
        <w:t xml:space="preserve">5.3.2 </w:t>
      </w:r>
      <w:r>
        <w:rPr>
          <w:rFonts w:hint="eastAsia" w:cs="宋体"/>
          <w:color w:val="000000"/>
          <w:szCs w:val="28"/>
          <w:lang w:bidi="ar"/>
        </w:rPr>
        <w:t>预制底板模具应满足强度、刚度、</w:t>
      </w:r>
      <w:r>
        <w:rPr>
          <w:rFonts w:cs="宋体"/>
          <w:color w:val="000000"/>
          <w:szCs w:val="28"/>
        </w:rPr>
        <w:t>整体稳定性和平整度要求外，尚应符合下列规定：</w:t>
      </w:r>
    </w:p>
    <w:p w14:paraId="54FCA217">
      <w:pPr>
        <w:ind w:firstLine="420"/>
        <w:rPr>
          <w:rFonts w:cs="宋体"/>
          <w:color w:val="000000"/>
          <w:szCs w:val="28"/>
        </w:rPr>
      </w:pPr>
      <w:r>
        <w:rPr>
          <w:rFonts w:hint="eastAsia" w:cs="宋体"/>
          <w:b/>
          <w:color w:val="000000"/>
          <w:szCs w:val="28"/>
          <w:lang w:bidi="ar"/>
        </w:rPr>
        <w:t>1</w:t>
      </w:r>
      <w:r>
        <w:rPr>
          <w:rFonts w:hint="eastAsia" w:cs="宋体"/>
          <w:color w:val="000000"/>
          <w:szCs w:val="28"/>
          <w:lang w:bidi="ar"/>
        </w:rPr>
        <w:t xml:space="preserve"> 应满足生产工艺和预制底板尺寸精度要求，便于组装和拆卸；</w:t>
      </w:r>
    </w:p>
    <w:p w14:paraId="7AE32CEF">
      <w:pPr>
        <w:ind w:firstLine="420"/>
        <w:rPr>
          <w:rFonts w:cs="宋体"/>
          <w:color w:val="000000"/>
          <w:szCs w:val="28"/>
        </w:rPr>
      </w:pPr>
      <w:r>
        <w:rPr>
          <w:rFonts w:hint="eastAsia" w:cs="宋体"/>
          <w:b/>
          <w:color w:val="000000"/>
          <w:szCs w:val="28"/>
          <w:lang w:bidi="ar"/>
        </w:rPr>
        <w:t>2</w:t>
      </w:r>
      <w:r>
        <w:rPr>
          <w:rFonts w:hint="eastAsia" w:cs="宋体"/>
          <w:color w:val="000000"/>
          <w:szCs w:val="28"/>
          <w:lang w:bidi="ar"/>
        </w:rPr>
        <w:t xml:space="preserve"> 应满足钢筋安装与定位，插筋孔、预留孔洞和预埋件定位，脱模等要求；</w:t>
      </w:r>
    </w:p>
    <w:p w14:paraId="783FD232">
      <w:pPr>
        <w:ind w:firstLine="420"/>
        <w:rPr>
          <w:rFonts w:cs="宋体"/>
          <w:color w:val="000000"/>
          <w:szCs w:val="28"/>
        </w:rPr>
      </w:pPr>
      <w:r>
        <w:rPr>
          <w:rFonts w:cs="宋体"/>
          <w:b/>
          <w:color w:val="000000"/>
          <w:szCs w:val="28"/>
        </w:rPr>
        <w:t>3</w:t>
      </w:r>
      <w:r>
        <w:rPr>
          <w:rFonts w:cs="宋体"/>
          <w:color w:val="000000"/>
          <w:szCs w:val="28"/>
        </w:rPr>
        <w:t xml:space="preserve"> 插筋孔模具应具备足够刚度并固定，避免在预制底板混凝土振捣过程中出现变形、移位和堵孔</w:t>
      </w:r>
      <w:r>
        <w:rPr>
          <w:rFonts w:hint="eastAsia" w:cs="宋体"/>
          <w:color w:val="000000"/>
          <w:szCs w:val="28"/>
        </w:rPr>
        <w:t>；</w:t>
      </w:r>
    </w:p>
    <w:p w14:paraId="436FAE4B">
      <w:pPr>
        <w:ind w:firstLine="420"/>
        <w:rPr>
          <w:rFonts w:cs="宋体"/>
          <w:color w:val="000000"/>
          <w:szCs w:val="28"/>
        </w:rPr>
      </w:pPr>
      <w:r>
        <w:rPr>
          <w:rFonts w:hint="eastAsia" w:cs="宋体"/>
          <w:b/>
          <w:color w:val="000000"/>
          <w:szCs w:val="28"/>
          <w:lang w:bidi="ar"/>
        </w:rPr>
        <w:t>4</w:t>
      </w:r>
      <w:r>
        <w:rPr>
          <w:rFonts w:hint="eastAsia" w:cs="宋体"/>
          <w:color w:val="000000"/>
          <w:szCs w:val="28"/>
          <w:lang w:bidi="ar"/>
        </w:rPr>
        <w:t xml:space="preserve"> 凹槽模具应具备足够刚度并固定，避免在预制底板混凝土振捣过程中出现变形、移位。材质可采用钢材或耐磨塑料，当采用耐磨塑料时，应注意采取措施避免脱模时凹槽边缘出现崩边。</w:t>
      </w:r>
    </w:p>
    <w:p w14:paraId="2E7E3CE7">
      <w:pPr>
        <w:pStyle w:val="17"/>
      </w:pPr>
      <w:r>
        <w:rPr>
          <w:rFonts w:hint="eastAsia"/>
          <w:b/>
          <w:bCs/>
        </w:rPr>
        <w:t xml:space="preserve">【5.3.2条文说明】 </w:t>
      </w:r>
      <w:r>
        <w:rPr>
          <w:rFonts w:hint="eastAsia"/>
        </w:rPr>
        <w:t>预制底板的模具，鼓励采用磁性边模。磁性边模具有安装拆卸简单方便、布置灵活、重复利用率高等优势，能够很好地满足自动化流水线生产节拍及机械臂装拆边模的需要。磁性边模使用时需与模台振动方式相适应，如采用高频振动，振动状态下磁性边模吸力不足，容易造成边模偏移，影响构件尺寸的准确性，此时应采取辅助加固措施。</w:t>
      </w:r>
    </w:p>
    <w:p w14:paraId="3BF33299">
      <w:pPr>
        <w:rPr>
          <w:rFonts w:cs="宋体"/>
          <w:color w:val="000000"/>
          <w:szCs w:val="28"/>
          <w:lang w:bidi="ar"/>
        </w:rPr>
      </w:pPr>
      <w:r>
        <w:rPr>
          <w:rFonts w:hint="eastAsia" w:cs="宋体"/>
          <w:b/>
          <w:bCs/>
          <w:color w:val="000000"/>
          <w:szCs w:val="28"/>
          <w:lang w:bidi="ar"/>
        </w:rPr>
        <w:t>5.3.3</w:t>
      </w:r>
      <w:r>
        <w:rPr>
          <w:rFonts w:hint="eastAsia" w:cs="宋体"/>
          <w:color w:val="000000"/>
          <w:szCs w:val="28"/>
          <w:lang w:bidi="ar"/>
        </w:rPr>
        <w:t xml:space="preserve"> 模具外观质量、拼装要求及拼装完成后的尺寸偏差和检验方法应符合现行中国工程建设标准化协会标准《钢筋桁架混凝土叠合板应用技术规程》T/CECS 715的有关规定。</w:t>
      </w:r>
    </w:p>
    <w:p w14:paraId="7BE8F8C3">
      <w:pPr>
        <w:pStyle w:val="3"/>
        <w:spacing w:before="312" w:after="312"/>
      </w:pPr>
      <w:bookmarkStart w:id="45" w:name="_Toc6879"/>
      <w:r>
        <w:t xml:space="preserve">5.4 </w:t>
      </w:r>
      <w:r>
        <w:rPr>
          <w:rFonts w:hint="eastAsia" w:cs="黑体"/>
        </w:rPr>
        <w:t>预制底板制作</w:t>
      </w:r>
      <w:bookmarkEnd w:id="45"/>
    </w:p>
    <w:p w14:paraId="339C413C">
      <w:pPr>
        <w:jc w:val="center"/>
        <w:rPr>
          <w:rFonts w:hint="eastAsia" w:ascii="仿宋" w:hAnsi="仿宋" w:eastAsia="仿宋" w:cs="仿宋"/>
        </w:rPr>
      </w:pPr>
      <w:r>
        <w:rPr>
          <w:rFonts w:hint="eastAsia" w:ascii="仿宋" w:hAnsi="仿宋" w:eastAsia="仿宋" w:cs="仿宋"/>
          <w:lang w:bidi="ar"/>
        </w:rPr>
        <w:t>Ⅰ 钢筋及预埋件</w:t>
      </w:r>
    </w:p>
    <w:p w14:paraId="0C7F5FF6">
      <w:r>
        <w:rPr>
          <w:rFonts w:cs="宋体"/>
          <w:b/>
          <w:bCs/>
          <w:color w:val="000000"/>
          <w:szCs w:val="28"/>
        </w:rPr>
        <w:t xml:space="preserve">5.4.1 </w:t>
      </w:r>
      <w:r>
        <w:rPr>
          <w:rFonts w:cs="宋体"/>
          <w:color w:val="000000"/>
          <w:szCs w:val="28"/>
        </w:rPr>
        <w:t>生产所用钢筋应具备产品合格证及出厂检验报告，加工时宜采用自动化机械设备，并应符合现行国家标准《混凝土结构工程施工规范》GB 50666的有关规定。</w:t>
      </w:r>
    </w:p>
    <w:p w14:paraId="0D910696">
      <w:pPr>
        <w:pStyle w:val="17"/>
      </w:pPr>
      <w:r>
        <w:rPr>
          <w:rFonts w:hint="eastAsia"/>
          <w:b/>
          <w:bCs/>
        </w:rPr>
        <w:t xml:space="preserve">【5.4.1条文说明】 </w:t>
      </w:r>
      <w:r>
        <w:rPr>
          <w:rFonts w:hint="eastAsia"/>
        </w:rPr>
        <w:t>钢筋对混凝土结构的承重能力至关重要，对其质量应从严要求。钢筋进厂时，应检查质量证明文件，并按有关标准的规定进行抽样检验。钢筋采用专用自动化机械设备调直、切割、弯折和焊接，可有效保证钢筋加工质量和效率。</w:t>
      </w:r>
    </w:p>
    <w:p w14:paraId="0FB64E09">
      <w:pPr>
        <w:rPr>
          <w:rFonts w:cs="宋体"/>
          <w:color w:val="000000"/>
          <w:szCs w:val="28"/>
        </w:rPr>
      </w:pPr>
      <w:r>
        <w:rPr>
          <w:rFonts w:cs="宋体"/>
          <w:b/>
          <w:bCs/>
          <w:color w:val="000000"/>
          <w:szCs w:val="28"/>
        </w:rPr>
        <w:t xml:space="preserve">5.4.2 </w:t>
      </w:r>
      <w:r>
        <w:rPr>
          <w:rFonts w:cs="宋体"/>
          <w:color w:val="000000"/>
          <w:szCs w:val="28"/>
        </w:rPr>
        <w:t>钢筋及预埋件安装应满足以下要求：</w:t>
      </w:r>
    </w:p>
    <w:p w14:paraId="5FDC62D2">
      <w:pPr>
        <w:pStyle w:val="18"/>
        <w:ind w:firstLine="482"/>
        <w:rPr>
          <w:rFonts w:hint="default"/>
        </w:rPr>
      </w:pPr>
      <w:r>
        <w:rPr>
          <w:b/>
          <w:bCs/>
        </w:rPr>
        <w:t xml:space="preserve">1 </w:t>
      </w:r>
      <w:r>
        <w:t>钢筋应位置准确并绑扎牢固，如发生变形或歪斜，应及时修复；</w:t>
      </w:r>
    </w:p>
    <w:p w14:paraId="24C7EAEE">
      <w:pPr>
        <w:pStyle w:val="18"/>
        <w:ind w:firstLine="482"/>
        <w:rPr>
          <w:rFonts w:hint="default"/>
        </w:rPr>
      </w:pPr>
      <w:r>
        <w:rPr>
          <w:b/>
          <w:bCs/>
        </w:rPr>
        <w:t xml:space="preserve">2 </w:t>
      </w:r>
      <w:r>
        <w:t>严禁在其上踩踏行走或堆放杂物；</w:t>
      </w:r>
    </w:p>
    <w:p w14:paraId="248C81BB">
      <w:pPr>
        <w:pStyle w:val="18"/>
        <w:ind w:firstLine="482"/>
        <w:rPr>
          <w:rFonts w:hint="default"/>
        </w:rPr>
      </w:pPr>
      <w:r>
        <w:rPr>
          <w:b/>
          <w:bCs/>
        </w:rPr>
        <w:t>3</w:t>
      </w:r>
      <w:r>
        <w:t xml:space="preserve"> 应采取针对性措施保证钢筋的混凝土保护层厚度符合设计要求；</w:t>
      </w:r>
    </w:p>
    <w:p w14:paraId="3D59B189">
      <w:pPr>
        <w:pStyle w:val="18"/>
        <w:ind w:firstLine="482"/>
        <w:rPr>
          <w:rFonts w:hint="default"/>
        </w:rPr>
      </w:pPr>
      <w:r>
        <w:rPr>
          <w:b/>
          <w:bCs/>
        </w:rPr>
        <w:t xml:space="preserve">4 </w:t>
      </w:r>
      <w:r>
        <w:t>板底钢筋在板端或凹槽处上弯时应垂直预制底板面，上弯形式及高度应符合设计要求；</w:t>
      </w:r>
    </w:p>
    <w:p w14:paraId="34FC9D00">
      <w:pPr>
        <w:pStyle w:val="18"/>
        <w:ind w:firstLine="482"/>
        <w:rPr>
          <w:rFonts w:hint="default"/>
        </w:rPr>
      </w:pPr>
      <w:r>
        <w:rPr>
          <w:b/>
          <w:bCs/>
        </w:rPr>
        <w:t>5</w:t>
      </w:r>
      <w:r>
        <w:t xml:space="preserve"> 应对外露钢筋、预埋件进行保护。</w:t>
      </w:r>
    </w:p>
    <w:p w14:paraId="5A1FE6BC">
      <w:pPr>
        <w:pStyle w:val="17"/>
      </w:pPr>
      <w:r>
        <w:rPr>
          <w:rFonts w:hint="eastAsia"/>
          <w:b/>
          <w:bCs/>
        </w:rPr>
        <w:t xml:space="preserve">【5.4.2条文说明】 </w:t>
      </w:r>
      <w:r>
        <w:rPr>
          <w:rFonts w:hint="eastAsia"/>
        </w:rPr>
        <w:t>保证钢筋的混凝土保护层厚度的针对性措施主要指采用各种定位件。定位件的数量、间距和固定方式，应能保证钢筋的位置偏差符合现行国家有关标准的规定。</w:t>
      </w:r>
    </w:p>
    <w:p w14:paraId="14E39D0E">
      <w:pPr>
        <w:jc w:val="center"/>
        <w:rPr>
          <w:rFonts w:hint="eastAsia" w:ascii="仿宋" w:hAnsi="仿宋" w:eastAsia="仿宋" w:cs="仿宋"/>
          <w:lang w:bidi="ar"/>
        </w:rPr>
      </w:pPr>
      <w:r>
        <w:rPr>
          <w:rFonts w:hint="eastAsia" w:ascii="仿宋" w:hAnsi="仿宋" w:eastAsia="仿宋" w:cs="仿宋"/>
          <w:lang w:bidi="ar"/>
        </w:rPr>
        <w:t>Ⅱ 混凝土</w:t>
      </w:r>
    </w:p>
    <w:p w14:paraId="7B0CE4FE">
      <w:r>
        <w:rPr>
          <w:rFonts w:hint="eastAsia" w:cs="宋体"/>
          <w:b/>
          <w:bCs/>
          <w:color w:val="000000"/>
          <w:szCs w:val="28"/>
          <w:lang w:bidi="ar"/>
        </w:rPr>
        <w:t xml:space="preserve">5.4.3 </w:t>
      </w:r>
      <w:r>
        <w:rPr>
          <w:rFonts w:hint="eastAsia" w:cs="宋体"/>
          <w:color w:val="000000"/>
          <w:szCs w:val="28"/>
          <w:lang w:bidi="ar"/>
        </w:rPr>
        <w:t>混凝土性能指标应满足设计文件要求。</w:t>
      </w:r>
    </w:p>
    <w:p w14:paraId="38B9EC58">
      <w:r>
        <w:rPr>
          <w:rFonts w:hint="eastAsia" w:cs="Times New Roman"/>
          <w:b/>
          <w:bCs/>
          <w:lang w:bidi="ar"/>
        </w:rPr>
        <w:t>5.4.4</w:t>
      </w:r>
      <w:r>
        <w:rPr>
          <w:rFonts w:hint="eastAsia" w:cs="Times New Roman"/>
          <w:lang w:bidi="ar"/>
        </w:rPr>
        <w:t xml:space="preserve"> 混凝土应采用有自动计量装置的强制式搅拌机进行生产，搅拌机应具有生产数据逐盘记录和实时查询功能。</w:t>
      </w:r>
    </w:p>
    <w:p w14:paraId="4FACC06A">
      <w:r>
        <w:rPr>
          <w:b/>
          <w:bCs/>
        </w:rPr>
        <w:t>5.4.</w:t>
      </w:r>
      <w:r>
        <w:rPr>
          <w:rFonts w:hint="eastAsia"/>
          <w:b/>
          <w:bCs/>
        </w:rPr>
        <w:t>5</w:t>
      </w:r>
      <w:r>
        <w:rPr>
          <w:b/>
          <w:bCs/>
        </w:rPr>
        <w:t xml:space="preserve"> </w:t>
      </w:r>
      <w:r>
        <w:t>混凝土应进行抗压强度检验，并应符合</w:t>
      </w:r>
      <w:r>
        <w:rPr>
          <w:rFonts w:hint="eastAsia"/>
        </w:rPr>
        <w:t>现行国家标准</w:t>
      </w:r>
      <w:r>
        <w:t>《混凝土结构工程施工质量验收规范》 GB 50204和《装配式混凝土建筑技术标准》GB/T 51231有关规定。</w:t>
      </w:r>
    </w:p>
    <w:p w14:paraId="315E712F">
      <w:r>
        <w:rPr>
          <w:b/>
          <w:bCs/>
        </w:rPr>
        <w:t>5.4.</w:t>
      </w:r>
      <w:r>
        <w:rPr>
          <w:rFonts w:hint="eastAsia"/>
          <w:b/>
          <w:bCs/>
        </w:rPr>
        <w:t>6</w:t>
      </w:r>
      <w:r>
        <w:t xml:space="preserve"> 混凝土浇筑应符合下列规定：</w:t>
      </w:r>
    </w:p>
    <w:p w14:paraId="0F28E747">
      <w:pPr>
        <w:pStyle w:val="18"/>
        <w:ind w:firstLine="482"/>
        <w:rPr>
          <w:rFonts w:hint="default"/>
        </w:rPr>
      </w:pPr>
      <w:r>
        <w:rPr>
          <w:b/>
          <w:lang w:bidi="ar"/>
        </w:rPr>
        <w:t>1</w:t>
      </w:r>
      <w:r>
        <w:rPr>
          <w:lang w:bidi="ar"/>
        </w:rPr>
        <w:t xml:space="preserve"> 混凝土应连续均匀浇筑，投料高度不宜大于600mm。</w:t>
      </w:r>
    </w:p>
    <w:p w14:paraId="2F3D420C">
      <w:pPr>
        <w:autoSpaceDE w:val="0"/>
        <w:autoSpaceDN w:val="0"/>
        <w:adjustRightInd w:val="0"/>
        <w:ind w:firstLine="482" w:firstLineChars="200"/>
        <w:jc w:val="left"/>
        <w:rPr>
          <w:rFonts w:cs="宋体"/>
          <w:color w:val="333333"/>
          <w:szCs w:val="28"/>
        </w:rPr>
      </w:pPr>
      <w:r>
        <w:rPr>
          <w:rFonts w:hint="eastAsia" w:cs="宋体"/>
          <w:b/>
          <w:color w:val="333333"/>
          <w:szCs w:val="28"/>
          <w:lang w:bidi="ar"/>
        </w:rPr>
        <w:t>2</w:t>
      </w:r>
      <w:r>
        <w:rPr>
          <w:rFonts w:hint="eastAsia" w:cs="宋体"/>
          <w:color w:val="333333"/>
          <w:szCs w:val="28"/>
          <w:lang w:bidi="ar"/>
        </w:rPr>
        <w:t xml:space="preserve"> 投料完成后，宜采用振动平台振捣成型。</w:t>
      </w:r>
    </w:p>
    <w:p w14:paraId="5C1B8320">
      <w:pPr>
        <w:autoSpaceDE w:val="0"/>
        <w:autoSpaceDN w:val="0"/>
        <w:adjustRightInd w:val="0"/>
        <w:ind w:firstLine="482" w:firstLineChars="200"/>
        <w:jc w:val="left"/>
        <w:rPr>
          <w:rFonts w:cs="宋体"/>
          <w:color w:val="333333"/>
          <w:szCs w:val="28"/>
        </w:rPr>
      </w:pPr>
      <w:r>
        <w:rPr>
          <w:rFonts w:hint="eastAsia" w:cs="宋体"/>
          <w:b/>
          <w:color w:val="333333"/>
          <w:szCs w:val="28"/>
          <w:lang w:bidi="ar"/>
        </w:rPr>
        <w:t>3</w:t>
      </w:r>
      <w:r>
        <w:rPr>
          <w:rFonts w:hint="eastAsia" w:cs="宋体"/>
          <w:color w:val="333333"/>
          <w:szCs w:val="28"/>
          <w:lang w:bidi="ar"/>
        </w:rPr>
        <w:t xml:space="preserve"> 振捣完成后应及时测量混凝土浇筑厚度，当浇筑厚度超过偏差允许值时应采取处理措施。</w:t>
      </w:r>
    </w:p>
    <w:p w14:paraId="26824861">
      <w:pPr>
        <w:autoSpaceDE w:val="0"/>
        <w:autoSpaceDN w:val="0"/>
        <w:adjustRightInd w:val="0"/>
        <w:ind w:firstLine="482" w:firstLineChars="200"/>
        <w:jc w:val="left"/>
        <w:rPr>
          <w:rFonts w:cs="宋体"/>
          <w:color w:val="333333"/>
          <w:szCs w:val="28"/>
        </w:rPr>
      </w:pPr>
      <w:r>
        <w:rPr>
          <w:rFonts w:hint="eastAsia" w:cs="宋体"/>
          <w:b/>
          <w:color w:val="333333"/>
          <w:szCs w:val="28"/>
          <w:lang w:bidi="ar"/>
        </w:rPr>
        <w:t>4</w:t>
      </w:r>
      <w:r>
        <w:rPr>
          <w:rFonts w:hint="eastAsia" w:cs="宋体"/>
          <w:color w:val="333333"/>
          <w:szCs w:val="28"/>
          <w:lang w:bidi="ar"/>
        </w:rPr>
        <w:t xml:space="preserve"> 混凝土从出机到浇筑完成的时间，应符合现行国家标准</w:t>
      </w:r>
      <w:r>
        <w:rPr>
          <w:rFonts w:hint="eastAsia" w:cs="宋体"/>
          <w:szCs w:val="28"/>
          <w:lang w:bidi="ar"/>
        </w:rPr>
        <w:t>《混凝土结构工程施工规范》 GB 50666 的有关规定。</w:t>
      </w:r>
    </w:p>
    <w:p w14:paraId="6F1F7E56">
      <w:pPr>
        <w:rPr>
          <w:rFonts w:cs="宋体"/>
          <w:color w:val="000000"/>
          <w:szCs w:val="28"/>
        </w:rPr>
      </w:pPr>
      <w:r>
        <w:rPr>
          <w:rFonts w:cs="宋体"/>
          <w:b/>
          <w:bCs/>
          <w:color w:val="000000"/>
          <w:szCs w:val="28"/>
        </w:rPr>
        <w:t>5.4.</w:t>
      </w:r>
      <w:r>
        <w:rPr>
          <w:rFonts w:hint="eastAsia" w:cs="宋体"/>
          <w:b/>
          <w:bCs/>
          <w:color w:val="000000"/>
          <w:szCs w:val="28"/>
        </w:rPr>
        <w:t>7</w:t>
      </w:r>
      <w:r>
        <w:rPr>
          <w:rFonts w:cs="宋体"/>
          <w:b/>
          <w:bCs/>
          <w:color w:val="000000"/>
          <w:szCs w:val="28"/>
        </w:rPr>
        <w:t xml:space="preserve"> </w:t>
      </w:r>
      <w:r>
        <w:rPr>
          <w:rFonts w:cs="宋体"/>
          <w:color w:val="000000"/>
          <w:szCs w:val="28"/>
        </w:rPr>
        <w:t>预制底板宜采用加热养护，应建立经过试验验证的加热养护制度；宜配备加热养护温度自动控制装置，严格控制升、降温速度及最高温度，并做好温度控制记录。</w:t>
      </w:r>
    </w:p>
    <w:p w14:paraId="263EA5ED">
      <w:pPr>
        <w:pStyle w:val="17"/>
      </w:pPr>
      <w:r>
        <w:rPr>
          <w:rFonts w:hint="eastAsia"/>
          <w:b/>
          <w:bCs/>
        </w:rPr>
        <w:t xml:space="preserve">【5.4.7条文说明】 </w:t>
      </w:r>
      <w:r>
        <w:rPr>
          <w:rFonts w:hint="eastAsia"/>
        </w:rPr>
        <w:t>加热养护可加速混凝土凝结硬化，缩短脱模时间，加快模板的周转，提高生产效率。当采用加热养护时，需通过试验确定合适的养护温度曲线，对静停、升温、恒温、降温时间进行控制，避免产生混凝土收缩裂缝。加热养护制度应通过试验确定，宜采用加热养护温度自动控制装置。宜在常温下预养护2h~6h，升、降温速度不宜超过20℃/h，最高养护温度不应超过70℃ 。预制构件脱模时的表面温度与环境温度的差值不宜超过25℃。</w:t>
      </w:r>
    </w:p>
    <w:p w14:paraId="4C70322A">
      <w:r>
        <w:rPr>
          <w:rFonts w:hint="eastAsia" w:cs="Times New Roman"/>
          <w:b/>
          <w:bCs/>
          <w:lang w:bidi="ar"/>
        </w:rPr>
        <w:t xml:space="preserve">5.4.8 </w:t>
      </w:r>
      <w:r>
        <w:rPr>
          <w:rFonts w:hint="eastAsia" w:cs="Times New Roman"/>
          <w:lang w:bidi="ar"/>
        </w:rPr>
        <w:t>预制底板顶面粗糙面成型宜采用拉毛工艺。</w:t>
      </w:r>
    </w:p>
    <w:p w14:paraId="07415086">
      <w:pPr>
        <w:jc w:val="center"/>
        <w:rPr>
          <w:rFonts w:hint="eastAsia" w:ascii="仿宋" w:hAnsi="仿宋" w:eastAsia="仿宋" w:cs="仿宋"/>
          <w:lang w:bidi="ar"/>
        </w:rPr>
      </w:pPr>
      <w:r>
        <w:rPr>
          <w:rFonts w:hint="eastAsia" w:ascii="仿宋" w:hAnsi="仿宋" w:eastAsia="仿宋" w:cs="仿宋"/>
          <w:lang w:bidi="ar"/>
        </w:rPr>
        <w:t>Ⅲ 脱模与标识</w:t>
      </w:r>
    </w:p>
    <w:p w14:paraId="6FBAE14B">
      <w:pPr>
        <w:rPr>
          <w:rFonts w:cs="宋体"/>
          <w:color w:val="333333"/>
          <w:szCs w:val="28"/>
        </w:rPr>
      </w:pPr>
      <w:r>
        <w:rPr>
          <w:rFonts w:hint="eastAsia" w:cs="Times New Roman"/>
          <w:b/>
          <w:bCs/>
          <w:lang w:bidi="ar"/>
        </w:rPr>
        <w:t>5.4.9</w:t>
      </w:r>
      <w:r>
        <w:rPr>
          <w:rFonts w:hint="eastAsia" w:cs="Times New Roman"/>
          <w:lang w:bidi="ar"/>
        </w:rPr>
        <w:t xml:space="preserve"> </w:t>
      </w:r>
      <w:r>
        <w:rPr>
          <w:rFonts w:cs="宋体"/>
          <w:color w:val="333333"/>
          <w:szCs w:val="28"/>
        </w:rPr>
        <w:t>预制底板脱模前，其同条件养护的混凝土立方体试块抗压强度应符合设计规定；设计文件未具体说明时，抗压强度应不低于15MPa。</w:t>
      </w:r>
    </w:p>
    <w:p w14:paraId="6F61F86C">
      <w:pPr>
        <w:pStyle w:val="17"/>
      </w:pPr>
      <w:r>
        <w:rPr>
          <w:rFonts w:hint="eastAsia"/>
          <w:b/>
          <w:bCs/>
        </w:rPr>
        <w:t xml:space="preserve">【5.4.9条文说明】 </w:t>
      </w:r>
      <w:r>
        <w:rPr>
          <w:rFonts w:hint="eastAsia"/>
        </w:rPr>
        <w:t>预制底板脱模时，通常先从无出筋侧模开始，先拆除固定预埋件的夹具，再拆除其他模板。脱模时，不得使用敲打方式拆模，防止损伤预制底板。确认螺栓、夹具全部拆卸后，将边模平行向外移除，防止边模变形。预制底板脱模强度应根据设计要求确定，当设计无具体要求时，不应低于15MPa，以防止过早脱模造成构件出现过大变形或开裂。</w:t>
      </w:r>
    </w:p>
    <w:p w14:paraId="1C8442F2">
      <w:r>
        <w:rPr>
          <w:rFonts w:hint="eastAsia" w:cs="Times New Roman"/>
          <w:b/>
          <w:bCs/>
          <w:lang w:bidi="ar"/>
        </w:rPr>
        <w:t xml:space="preserve">5.4.10 </w:t>
      </w:r>
      <w:r>
        <w:rPr>
          <w:rFonts w:hint="eastAsia" w:cs="Times New Roman"/>
          <w:lang w:bidi="ar"/>
        </w:rPr>
        <w:t>预制底板成品后，应及时在构件明显位置设置产品标识、吊点位置标识及预制底板安装方向标识。</w:t>
      </w:r>
    </w:p>
    <w:p w14:paraId="1908ED32">
      <w:r>
        <w:rPr>
          <w:rFonts w:hint="eastAsia" w:cs="Times New Roman"/>
          <w:b/>
          <w:bCs/>
          <w:lang w:bidi="ar"/>
        </w:rPr>
        <w:t xml:space="preserve">5.4.11 </w:t>
      </w:r>
      <w:r>
        <w:rPr>
          <w:rFonts w:hint="eastAsia" w:cs="Times New Roman"/>
          <w:lang w:bidi="ar"/>
        </w:rPr>
        <w:t>产品标识宜包括工程名称、构件编号、构件规格、构件重量、生产企业、制作日期、</w:t>
      </w:r>
      <w:r>
        <w:t>合格状态、质检员等信息。</w:t>
      </w:r>
    </w:p>
    <w:p w14:paraId="0680623F">
      <w:pPr>
        <w:pStyle w:val="3"/>
        <w:spacing w:before="312" w:after="312"/>
      </w:pPr>
      <w:bookmarkStart w:id="46" w:name="_Toc6527"/>
      <w:r>
        <w:t xml:space="preserve">5.5 </w:t>
      </w:r>
      <w:r>
        <w:rPr>
          <w:rFonts w:hint="eastAsia" w:cs="黑体"/>
        </w:rPr>
        <w:t>预制底板运输与堆放</w:t>
      </w:r>
      <w:bookmarkEnd w:id="46"/>
    </w:p>
    <w:p w14:paraId="0645BE84">
      <w:pPr>
        <w:autoSpaceDE w:val="0"/>
        <w:autoSpaceDN w:val="0"/>
        <w:adjustRightInd w:val="0"/>
        <w:jc w:val="left"/>
      </w:pPr>
      <w:bookmarkStart w:id="47" w:name="_Toc4970"/>
      <w:r>
        <w:rPr>
          <w:b/>
        </w:rPr>
        <w:t>5.5.1</w:t>
      </w:r>
      <w:r>
        <w:t xml:space="preserve"> 预制底板的运输与堆放应制定专项方案，其内容包括堆放场地、固定要求、堆放支垫、运输时间、次序、路线及成品保护措施等。</w:t>
      </w:r>
    </w:p>
    <w:p w14:paraId="3CAA8733">
      <w:pPr>
        <w:autoSpaceDE w:val="0"/>
        <w:autoSpaceDN w:val="0"/>
        <w:adjustRightInd w:val="0"/>
        <w:jc w:val="left"/>
      </w:pPr>
      <w:r>
        <w:rPr>
          <w:b/>
        </w:rPr>
        <w:t>5.5.2</w:t>
      </w:r>
      <w:r>
        <w:t xml:space="preserve"> 预制底板的堆放应符合下列规定</w:t>
      </w:r>
      <w:r>
        <w:rPr>
          <w:rFonts w:hint="eastAsia"/>
        </w:rPr>
        <w:t>：</w:t>
      </w:r>
    </w:p>
    <w:p w14:paraId="751180AC">
      <w:pPr>
        <w:autoSpaceDE w:val="0"/>
        <w:autoSpaceDN w:val="0"/>
        <w:adjustRightInd w:val="0"/>
        <w:ind w:firstLine="482" w:firstLineChars="200"/>
        <w:jc w:val="left"/>
      </w:pPr>
      <w:r>
        <w:rPr>
          <w:rFonts w:hint="eastAsia" w:cs="Times New Roman"/>
          <w:b/>
          <w:lang w:bidi="ar"/>
        </w:rPr>
        <w:t>1</w:t>
      </w:r>
      <w:r>
        <w:rPr>
          <w:rFonts w:hint="eastAsia" w:cs="Times New Roman"/>
          <w:lang w:bidi="ar"/>
        </w:rPr>
        <w:t xml:space="preserve"> 堆放场地应平整、坚实；</w:t>
      </w:r>
    </w:p>
    <w:p w14:paraId="3B823BD3">
      <w:pPr>
        <w:autoSpaceDE w:val="0"/>
        <w:autoSpaceDN w:val="0"/>
        <w:adjustRightInd w:val="0"/>
        <w:ind w:firstLine="482" w:firstLineChars="200"/>
        <w:jc w:val="left"/>
      </w:pPr>
      <w:r>
        <w:rPr>
          <w:rFonts w:hint="eastAsia" w:cs="Times New Roman"/>
          <w:b/>
          <w:lang w:bidi="ar"/>
        </w:rPr>
        <w:t>2</w:t>
      </w:r>
      <w:r>
        <w:rPr>
          <w:rFonts w:hint="eastAsia" w:cs="Times New Roman"/>
          <w:lang w:bidi="ar"/>
        </w:rPr>
        <w:t xml:space="preserve"> 应按产品品种、规格型号、检验状态分类有序存放，严禁混放；</w:t>
      </w:r>
    </w:p>
    <w:p w14:paraId="0E3DD284">
      <w:pPr>
        <w:autoSpaceDE w:val="0"/>
        <w:autoSpaceDN w:val="0"/>
        <w:adjustRightInd w:val="0"/>
        <w:ind w:firstLine="482" w:firstLineChars="200"/>
        <w:jc w:val="left"/>
      </w:pPr>
      <w:r>
        <w:rPr>
          <w:rFonts w:hint="eastAsia" w:cs="Times New Roman"/>
          <w:b/>
          <w:lang w:bidi="ar"/>
        </w:rPr>
        <w:t>3</w:t>
      </w:r>
      <w:r>
        <w:rPr>
          <w:rFonts w:hint="eastAsia" w:cs="Times New Roman"/>
          <w:lang w:bidi="ar"/>
        </w:rPr>
        <w:t xml:space="preserve"> 预制底板宜平放，钢筋桁架应朝上，严禁倒置，各层之间应设置垫块，位置宜与吊点位置一致并上下对齐；叠放层数不宜大于6层，超过时应采取防止倾覆的措施；</w:t>
      </w:r>
    </w:p>
    <w:p w14:paraId="74C1C2A7">
      <w:pPr>
        <w:autoSpaceDE w:val="0"/>
        <w:autoSpaceDN w:val="0"/>
        <w:adjustRightInd w:val="0"/>
        <w:ind w:firstLine="480" w:firstLineChars="200"/>
        <w:jc w:val="left"/>
      </w:pPr>
      <w:r>
        <w:rPr>
          <w:rFonts w:hint="eastAsia" w:cs="Times New Roman"/>
          <w:lang w:bidi="ar"/>
        </w:rPr>
        <w:t>4 相邻预制底板堆放间距不宜小于50mm。</w:t>
      </w:r>
    </w:p>
    <w:p w14:paraId="4855836B">
      <w:pPr>
        <w:autoSpaceDE w:val="0"/>
        <w:autoSpaceDN w:val="0"/>
        <w:adjustRightInd w:val="0"/>
        <w:jc w:val="left"/>
      </w:pPr>
      <w:r>
        <w:rPr>
          <w:b/>
        </w:rPr>
        <w:t>5.5.3</w:t>
      </w:r>
      <w:r>
        <w:t xml:space="preserve"> 预制底板装车前应进行检查。吊具、专用运输架应完好、齐全</w:t>
      </w:r>
      <w:r>
        <w:rPr>
          <w:rFonts w:hint="eastAsia"/>
        </w:rPr>
        <w:t>；</w:t>
      </w:r>
      <w:r>
        <w:t>吊具与预制底板规格应匹配。吊装时，不应错挂、漏挂。</w:t>
      </w:r>
    </w:p>
    <w:p w14:paraId="139F785D">
      <w:pPr>
        <w:autoSpaceDE w:val="0"/>
        <w:autoSpaceDN w:val="0"/>
        <w:adjustRightInd w:val="0"/>
        <w:jc w:val="left"/>
      </w:pPr>
      <w:r>
        <w:rPr>
          <w:b/>
        </w:rPr>
        <w:t>5.5.</w:t>
      </w:r>
      <w:r>
        <w:rPr>
          <w:rFonts w:hint="eastAsia"/>
          <w:b/>
        </w:rPr>
        <w:t>4</w:t>
      </w:r>
      <w:r>
        <w:t xml:space="preserve"> 预制底板的运输应符合下列规定</w:t>
      </w:r>
      <w:r>
        <w:rPr>
          <w:rFonts w:hint="eastAsia"/>
        </w:rPr>
        <w:t>：</w:t>
      </w:r>
    </w:p>
    <w:p w14:paraId="67D94F1D">
      <w:pPr>
        <w:autoSpaceDE w:val="0"/>
        <w:autoSpaceDN w:val="0"/>
        <w:adjustRightInd w:val="0"/>
        <w:ind w:firstLine="482" w:firstLineChars="200"/>
        <w:jc w:val="left"/>
      </w:pPr>
      <w:r>
        <w:rPr>
          <w:rFonts w:hint="eastAsia" w:cs="Times New Roman"/>
          <w:b/>
          <w:lang w:bidi="ar"/>
        </w:rPr>
        <w:t>1</w:t>
      </w:r>
      <w:r>
        <w:rPr>
          <w:rFonts w:hint="eastAsia" w:cs="Times New Roman"/>
          <w:lang w:bidi="ar"/>
        </w:rPr>
        <w:t xml:space="preserve"> 宜采用专用运输车和专用运输架；</w:t>
      </w:r>
    </w:p>
    <w:p w14:paraId="16BD08BE">
      <w:pPr>
        <w:autoSpaceDE w:val="0"/>
        <w:autoSpaceDN w:val="0"/>
        <w:adjustRightInd w:val="0"/>
        <w:ind w:firstLine="482" w:firstLineChars="200"/>
        <w:jc w:val="left"/>
      </w:pPr>
      <w:r>
        <w:rPr>
          <w:rFonts w:hint="eastAsia" w:cs="Times New Roman"/>
          <w:b/>
          <w:lang w:bidi="ar"/>
        </w:rPr>
        <w:t>2</w:t>
      </w:r>
      <w:r>
        <w:rPr>
          <w:rFonts w:hint="eastAsia" w:cs="Times New Roman"/>
          <w:lang w:bidi="ar"/>
        </w:rPr>
        <w:t xml:space="preserve"> 预制底板宜平放，并用夹具与专用运输架绑扎牢固，预制底板斜插筋孔边角及凹槽和绑扎接触部位应采用柔性垫衬材料保护；专用运输架、车厢板和预制底板间应放入柔性衬垫材料；</w:t>
      </w:r>
    </w:p>
    <w:p w14:paraId="6D052881">
      <w:pPr>
        <w:autoSpaceDE w:val="0"/>
        <w:autoSpaceDN w:val="0"/>
        <w:adjustRightInd w:val="0"/>
        <w:ind w:firstLine="482" w:firstLineChars="200"/>
        <w:jc w:val="left"/>
      </w:pPr>
      <w:r>
        <w:rPr>
          <w:rFonts w:hint="eastAsia" w:cs="Times New Roman"/>
          <w:b/>
          <w:lang w:bidi="ar"/>
        </w:rPr>
        <w:t>3</w:t>
      </w:r>
      <w:r>
        <w:rPr>
          <w:rFonts w:hint="eastAsia" w:cs="Times New Roman"/>
          <w:lang w:bidi="ar"/>
        </w:rPr>
        <w:t xml:space="preserve"> 预制底板的堆放高度应满足运输路线的限高要求。</w:t>
      </w:r>
    </w:p>
    <w:p w14:paraId="79EFC1A3">
      <w:pPr>
        <w:autoSpaceDE w:val="0"/>
        <w:autoSpaceDN w:val="0"/>
        <w:adjustRightInd w:val="0"/>
        <w:jc w:val="left"/>
      </w:pPr>
      <w:r>
        <w:rPr>
          <w:rFonts w:hint="eastAsia" w:cs="Times New Roman"/>
          <w:b/>
          <w:lang w:bidi="ar"/>
        </w:rPr>
        <w:t>5.5.5</w:t>
      </w:r>
      <w:r>
        <w:rPr>
          <w:rFonts w:hint="eastAsia" w:cs="Times New Roman"/>
          <w:lang w:bidi="ar"/>
        </w:rPr>
        <w:t xml:space="preserve"> 预制底板的装车次序和位置，应符合工程施工组织设计要求。</w:t>
      </w:r>
    </w:p>
    <w:p w14:paraId="7DE49641">
      <w:pPr>
        <w:pStyle w:val="3"/>
        <w:spacing w:before="312" w:after="312"/>
      </w:pPr>
      <w:r>
        <w:t xml:space="preserve">5.6 </w:t>
      </w:r>
      <w:r>
        <w:rPr>
          <w:rFonts w:hint="eastAsia" w:cs="黑体"/>
        </w:rPr>
        <w:t>质量检查与检验</w:t>
      </w:r>
      <w:bookmarkEnd w:id="47"/>
    </w:p>
    <w:p w14:paraId="4565282F">
      <w:r>
        <w:rPr>
          <w:rFonts w:hint="eastAsia" w:cs="Times New Roman"/>
          <w:b/>
          <w:bCs/>
          <w:lang w:bidi="ar"/>
        </w:rPr>
        <w:t xml:space="preserve">5.6.1 </w:t>
      </w:r>
      <w:r>
        <w:rPr>
          <w:rFonts w:hint="eastAsia" w:cs="Times New Roman"/>
          <w:lang w:bidi="ar"/>
        </w:rPr>
        <w:t>预制底板的质量检查与检验应符合现行国家有关标准的规定。</w:t>
      </w:r>
    </w:p>
    <w:p w14:paraId="54C3748E">
      <w:pPr>
        <w:pStyle w:val="17"/>
      </w:pPr>
      <w:r>
        <w:rPr>
          <w:rFonts w:hint="eastAsia"/>
          <w:b/>
          <w:bCs/>
        </w:rPr>
        <w:t xml:space="preserve">【5.6.1条文说明】 </w:t>
      </w:r>
      <w:r>
        <w:rPr>
          <w:rFonts w:hint="eastAsia"/>
        </w:rPr>
        <w:t>涉及预制底板质量检查与验收的现行国家有关标准主要有：《混凝土结构工程施工质量验收规范》GB 50204 、《混凝土结构工程施工规范》 GB 50666 、《装配式混凝土建筑技术标准》 GB/T 51231 ,《装配式混凝土结构技术规程》JGJ 1 、《混凝土结构成型钢筋应用技术规程》 JGJ 366 、《工厂预制混凝土构件质量管理标准》JG/T 566 等。</w:t>
      </w:r>
    </w:p>
    <w:p w14:paraId="695B517C">
      <w:r>
        <w:rPr>
          <w:rFonts w:hint="eastAsia" w:cs="Times New Roman"/>
          <w:b/>
          <w:bCs/>
          <w:lang w:bidi="ar"/>
        </w:rPr>
        <w:t xml:space="preserve">5.6.2 </w:t>
      </w:r>
      <w:r>
        <w:rPr>
          <w:rFonts w:hint="eastAsia" w:cs="Times New Roman"/>
          <w:lang w:bidi="ar"/>
        </w:rPr>
        <w:t>预制底板原材料、部品及配件，应按现行国家标准《混凝土结构工程施工质量验收规范》GB 50204 、设计文件及合同约定进行进厂检验。</w:t>
      </w:r>
    </w:p>
    <w:p w14:paraId="6F520372">
      <w:r>
        <w:rPr>
          <w:rFonts w:hint="eastAsia" w:cs="Times New Roman"/>
          <w:b/>
          <w:bCs/>
          <w:lang w:bidi="ar"/>
        </w:rPr>
        <w:t xml:space="preserve">5.6.3 </w:t>
      </w:r>
      <w:r>
        <w:rPr>
          <w:rFonts w:hint="eastAsia" w:cs="Times New Roman"/>
          <w:lang w:bidi="ar"/>
        </w:rPr>
        <w:t>钢筋进厂时，应全数检查外观质量，并应按现行国家标准的有关规定抽样做力学性能和重量偏差检验，检验结果应符合相关产品标准的规定，检查数量应按进厂批次和产品的抽样检验方案确定。</w:t>
      </w:r>
    </w:p>
    <w:p w14:paraId="385B20DA">
      <w:pPr>
        <w:pStyle w:val="17"/>
      </w:pPr>
      <w:r>
        <w:rPr>
          <w:rFonts w:hint="eastAsia"/>
          <w:b/>
          <w:bCs/>
        </w:rPr>
        <w:t xml:space="preserve">【5.6.3条文说明】 </w:t>
      </w:r>
      <w:r>
        <w:rPr>
          <w:rFonts w:hint="eastAsia"/>
        </w:rPr>
        <w:t>钢筋对混凝土结构的承载能力至关重要，对其质量应从严要求。与热轧光圆钢筋、热轧带肋钢筋、余热处理钢筋性能及检验相关的现行国家标准有：《钢筋混凝土用钢第1 部分：热轧光圆钢筋》 GB/T  1499.1 、《钢筋混凝土用钢第2部分：热轧带肋钢筋》 GB/T 1499.2 和《钢筋混凝土用余热处理钢筋》 GB/T13014 等。与冷加工钢筋性能及检验相关的现行国家标准有：《冷轧带肋钢筋》 GB/T 13788 、《高延性冷轧带肋钢筋》 YB/T 4260、《冷轧带肋钢筋混凝土结构技术规程》 JGJ 95 和《冷拔低碳钢丝应用技术规程》JGJ 19 等。</w:t>
      </w:r>
    </w:p>
    <w:p w14:paraId="1B082F87">
      <w:r>
        <w:rPr>
          <w:rFonts w:hint="eastAsia" w:cs="Times New Roman"/>
          <w:b/>
          <w:bCs/>
          <w:lang w:bidi="ar"/>
        </w:rPr>
        <w:t xml:space="preserve">5.6.4 </w:t>
      </w:r>
      <w:r>
        <w:rPr>
          <w:rFonts w:hint="eastAsia" w:cs="Times New Roman"/>
          <w:lang w:bidi="ar"/>
        </w:rPr>
        <w:t>预制底板浇筑混凝土前，应进行隐蔽工程检查，检查应包括下列内容：</w:t>
      </w:r>
    </w:p>
    <w:p w14:paraId="241409D6">
      <w:pPr>
        <w:pStyle w:val="18"/>
        <w:ind w:firstLine="482"/>
        <w:rPr>
          <w:rFonts w:hint="default"/>
        </w:rPr>
      </w:pPr>
      <w:r>
        <w:rPr>
          <w:rFonts w:cs="Times New Roman"/>
          <w:b/>
          <w:bCs/>
          <w:color w:val="auto"/>
          <w:szCs w:val="24"/>
          <w:lang w:bidi="ar"/>
        </w:rPr>
        <w:t xml:space="preserve">1 </w:t>
      </w:r>
      <w:r>
        <w:t>钢筋的牌号、规格、数量、位置、间距、长度等；</w:t>
      </w:r>
    </w:p>
    <w:p w14:paraId="2FCA2EA2">
      <w:pPr>
        <w:pStyle w:val="18"/>
        <w:ind w:firstLine="482"/>
        <w:rPr>
          <w:rFonts w:hint="default"/>
        </w:rPr>
      </w:pPr>
      <w:r>
        <w:rPr>
          <w:b/>
          <w:bCs/>
        </w:rPr>
        <w:t>2</w:t>
      </w:r>
      <w:r>
        <w:t xml:space="preserve"> 预埋件、预留孔洞、插筋孔和凹槽的规格、数量、位置及固定措施；</w:t>
      </w:r>
    </w:p>
    <w:p w14:paraId="7A6BD929">
      <w:pPr>
        <w:pStyle w:val="18"/>
        <w:ind w:firstLine="482"/>
        <w:rPr>
          <w:rFonts w:hint="default"/>
        </w:rPr>
      </w:pPr>
      <w:r>
        <w:rPr>
          <w:b/>
          <w:bCs/>
        </w:rPr>
        <w:t>3</w:t>
      </w:r>
      <w:r>
        <w:t xml:space="preserve"> 钢筋的混凝土保护层厚度。</w:t>
      </w:r>
    </w:p>
    <w:p w14:paraId="1676F1B5">
      <w:pPr>
        <w:pStyle w:val="17"/>
      </w:pPr>
      <w:r>
        <w:rPr>
          <w:rFonts w:hint="eastAsia"/>
          <w:b/>
          <w:bCs/>
        </w:rPr>
        <w:t xml:space="preserve">【5.6.4条文说明】 </w:t>
      </w:r>
      <w:r>
        <w:rPr>
          <w:rFonts w:hint="eastAsia"/>
        </w:rPr>
        <w:t>在预制底板混凝土浇筑前，需按要求对钢筋桁架和纵向受力钢筋、预留孔洞、插筋孔、凹槽、预埋件等进行隐蔽工程质量检查，这是保证预制构件结构性能满足要求的关键质量控制环节。</w:t>
      </w:r>
    </w:p>
    <w:p w14:paraId="6C237150">
      <w:r>
        <w:rPr>
          <w:rFonts w:hint="eastAsia" w:cs="宋体"/>
          <w:b/>
          <w:bCs/>
          <w:color w:val="000000"/>
          <w:szCs w:val="28"/>
          <w:lang w:bidi="ar"/>
        </w:rPr>
        <w:t>5.6.5</w:t>
      </w:r>
      <w:r>
        <w:rPr>
          <w:rFonts w:hint="eastAsia" w:cs="宋体"/>
          <w:color w:val="000000"/>
          <w:szCs w:val="28"/>
          <w:lang w:bidi="ar"/>
        </w:rPr>
        <w:t xml:space="preserve"> 预制底板脱模后，应进行成品质量检查，检查应包括下列内容：</w:t>
      </w:r>
    </w:p>
    <w:p w14:paraId="26BEEB9F">
      <w:pPr>
        <w:pStyle w:val="18"/>
        <w:ind w:firstLine="482"/>
        <w:rPr>
          <w:rFonts w:hint="default"/>
        </w:rPr>
      </w:pPr>
      <w:r>
        <w:rPr>
          <w:b/>
          <w:bCs/>
        </w:rPr>
        <w:t xml:space="preserve">1 </w:t>
      </w:r>
      <w:r>
        <w:t>产品标识；</w:t>
      </w:r>
    </w:p>
    <w:p w14:paraId="0561F96C">
      <w:pPr>
        <w:pStyle w:val="18"/>
        <w:ind w:firstLine="482"/>
        <w:rPr>
          <w:rFonts w:hint="default"/>
        </w:rPr>
      </w:pPr>
      <w:r>
        <w:rPr>
          <w:b/>
          <w:bCs/>
        </w:rPr>
        <w:t>2</w:t>
      </w:r>
      <w:r>
        <w:t xml:space="preserve"> 外观质量；</w:t>
      </w:r>
    </w:p>
    <w:p w14:paraId="1AAA62BA">
      <w:pPr>
        <w:pStyle w:val="18"/>
        <w:ind w:firstLine="482"/>
        <w:rPr>
          <w:rFonts w:hint="default"/>
        </w:rPr>
      </w:pPr>
      <w:r>
        <w:rPr>
          <w:b/>
          <w:bCs/>
        </w:rPr>
        <w:t>3</w:t>
      </w:r>
      <w:r>
        <w:t xml:space="preserve"> 尺寸偏差；</w:t>
      </w:r>
    </w:p>
    <w:p w14:paraId="159A3FC8">
      <w:pPr>
        <w:pStyle w:val="18"/>
        <w:ind w:firstLine="482"/>
        <w:rPr>
          <w:rFonts w:hint="default"/>
        </w:rPr>
      </w:pPr>
      <w:r>
        <w:rPr>
          <w:b/>
          <w:bCs/>
        </w:rPr>
        <w:t>4</w:t>
      </w:r>
      <w:r>
        <w:t xml:space="preserve"> 粗糙面质量；</w:t>
      </w:r>
    </w:p>
    <w:p w14:paraId="598D96B3">
      <w:pPr>
        <w:pStyle w:val="18"/>
        <w:ind w:firstLine="482"/>
        <w:rPr>
          <w:rFonts w:hint="default"/>
        </w:rPr>
      </w:pPr>
      <w:r>
        <w:rPr>
          <w:b/>
          <w:bCs/>
        </w:rPr>
        <w:t>5</w:t>
      </w:r>
      <w:r>
        <w:t xml:space="preserve"> 预埋件、受力钢筋的规格、数量、位置；</w:t>
      </w:r>
    </w:p>
    <w:p w14:paraId="27DB2FF7">
      <w:pPr>
        <w:pStyle w:val="18"/>
        <w:ind w:firstLine="482"/>
        <w:rPr>
          <w:rFonts w:hint="default"/>
        </w:rPr>
      </w:pPr>
      <w:r>
        <w:rPr>
          <w:b/>
          <w:bCs/>
        </w:rPr>
        <w:t>6</w:t>
      </w:r>
      <w:r>
        <w:t xml:space="preserve"> 预留孔洞的规格、数量、位置；</w:t>
      </w:r>
    </w:p>
    <w:p w14:paraId="1ECBCF87">
      <w:pPr>
        <w:pStyle w:val="18"/>
        <w:ind w:firstLine="482"/>
        <w:rPr>
          <w:rFonts w:hint="default"/>
        </w:rPr>
      </w:pPr>
      <w:r>
        <w:rPr>
          <w:b/>
          <w:bCs/>
        </w:rPr>
        <w:t>7</w:t>
      </w:r>
      <w:r>
        <w:t xml:space="preserve"> 预留插筋孔、凹槽的规格、数量、间距、位置。 </w:t>
      </w:r>
    </w:p>
    <w:p w14:paraId="0BE53BBF">
      <w:r>
        <w:rPr>
          <w:rFonts w:hint="eastAsia" w:cs="宋体"/>
          <w:b/>
          <w:bCs/>
          <w:color w:val="000000"/>
          <w:szCs w:val="28"/>
          <w:lang w:bidi="ar"/>
        </w:rPr>
        <w:t>5.6.6</w:t>
      </w:r>
      <w:r>
        <w:rPr>
          <w:rFonts w:hint="eastAsia" w:cs="宋体"/>
          <w:color w:val="000000"/>
          <w:szCs w:val="28"/>
          <w:lang w:bidi="ar"/>
        </w:rPr>
        <w:t xml:space="preserve"> 预制底板的尺寸偏差和检验方法应符合设计文件的规定；当设计无具体规定时，应符合表5.6.6的规定。</w:t>
      </w:r>
    </w:p>
    <w:p w14:paraId="7431CFB9">
      <w:pPr>
        <w:pStyle w:val="19"/>
      </w:pPr>
      <w:r>
        <w:rPr>
          <w:rFonts w:hint="eastAsia"/>
        </w:rPr>
        <w:t>表5.6.6 预制底板的尺寸允许偏差和检验方法</w:t>
      </w:r>
    </w:p>
    <w:tbl>
      <w:tblPr>
        <w:tblStyle w:val="11"/>
        <w:tblW w:w="8417" w:type="dxa"/>
        <w:tblInd w:w="0" w:type="dxa"/>
        <w:tblLayout w:type="fixed"/>
        <w:tblCellMar>
          <w:top w:w="0" w:type="dxa"/>
          <w:left w:w="108" w:type="dxa"/>
          <w:bottom w:w="0" w:type="dxa"/>
          <w:right w:w="108" w:type="dxa"/>
        </w:tblCellMar>
      </w:tblPr>
      <w:tblGrid>
        <w:gridCol w:w="960"/>
        <w:gridCol w:w="804"/>
        <w:gridCol w:w="847"/>
        <w:gridCol w:w="1125"/>
        <w:gridCol w:w="1224"/>
        <w:gridCol w:w="3457"/>
      </w:tblGrid>
      <w:tr w14:paraId="1B30258F">
        <w:tblPrEx>
          <w:tblCellMar>
            <w:top w:w="0" w:type="dxa"/>
            <w:left w:w="108" w:type="dxa"/>
            <w:bottom w:w="0" w:type="dxa"/>
            <w:right w:w="108" w:type="dxa"/>
          </w:tblCellMar>
        </w:tblPrEx>
        <w:trPr>
          <w:trHeight w:val="90" w:hRule="atLeast"/>
        </w:trPr>
        <w:tc>
          <w:tcPr>
            <w:tcW w:w="960"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35FAD508">
            <w:pPr>
              <w:pStyle w:val="20"/>
            </w:pPr>
            <w:r>
              <w:t>项次</w:t>
            </w:r>
          </w:p>
        </w:tc>
        <w:tc>
          <w:tcPr>
            <w:tcW w:w="2776" w:type="dxa"/>
            <w:gridSpan w:val="3"/>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72CB723D">
            <w:pPr>
              <w:pStyle w:val="20"/>
            </w:pPr>
            <w:r>
              <w:t>检验项目</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1EA824E">
            <w:pPr>
              <w:pStyle w:val="20"/>
            </w:pPr>
            <w:r>
              <w:t>允许偏差</w:t>
            </w:r>
          </w:p>
          <w:p w14:paraId="1C958C6E">
            <w:pPr>
              <w:pStyle w:val="20"/>
            </w:pPr>
            <w:r>
              <w:t>(mm)</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3039243E">
            <w:pPr>
              <w:pStyle w:val="20"/>
            </w:pPr>
            <w:r>
              <w:t>检验方法</w:t>
            </w:r>
          </w:p>
        </w:tc>
      </w:tr>
      <w:tr w14:paraId="716AF455">
        <w:tblPrEx>
          <w:tblCellMar>
            <w:top w:w="0" w:type="dxa"/>
            <w:left w:w="108" w:type="dxa"/>
            <w:bottom w:w="0" w:type="dxa"/>
            <w:right w:w="108" w:type="dxa"/>
          </w:tblCellMar>
        </w:tblPrEx>
        <w:trPr>
          <w:trHeight w:val="90" w:hRule="atLeast"/>
        </w:trPr>
        <w:tc>
          <w:tcPr>
            <w:tcW w:w="960"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11D99EC">
            <w:pPr>
              <w:pStyle w:val="20"/>
            </w:pPr>
            <w:r>
              <w:t>1</w:t>
            </w:r>
          </w:p>
        </w:tc>
        <w:tc>
          <w:tcPr>
            <w:tcW w:w="804"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7A6A457">
            <w:pPr>
              <w:pStyle w:val="20"/>
            </w:pPr>
            <w:r>
              <w:t>规格尺寸</w:t>
            </w:r>
          </w:p>
        </w:tc>
        <w:tc>
          <w:tcPr>
            <w:tcW w:w="847"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1EFB5A86">
            <w:pPr>
              <w:pStyle w:val="20"/>
            </w:pPr>
            <w:r>
              <w:t>长度</w:t>
            </w:r>
          </w:p>
        </w:tc>
        <w:tc>
          <w:tcPr>
            <w:tcW w:w="1125"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BCC9402">
            <w:pPr>
              <w:pStyle w:val="20"/>
            </w:pPr>
            <w:r>
              <w:t>≤6m</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6256D595">
            <w:pPr>
              <w:pStyle w:val="20"/>
            </w:pPr>
            <w:r>
              <w:t>±3</w:t>
            </w:r>
          </w:p>
        </w:tc>
        <w:tc>
          <w:tcPr>
            <w:tcW w:w="3457"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384CB28F">
            <w:pPr>
              <w:pStyle w:val="20"/>
              <w:jc w:val="both"/>
            </w:pPr>
            <w:r>
              <w:t>用钢尺或带数字显示的卷尺量两侧边长度，取其中偏差绝对值较大值；或用挡板和激光测距仪量两侧边长度，取其中偏差绝对值较大值</w:t>
            </w:r>
          </w:p>
        </w:tc>
      </w:tr>
      <w:tr w14:paraId="5F68505C">
        <w:tblPrEx>
          <w:tblCellMar>
            <w:top w:w="0" w:type="dxa"/>
            <w:left w:w="108" w:type="dxa"/>
            <w:bottom w:w="0" w:type="dxa"/>
            <w:right w:w="108" w:type="dxa"/>
          </w:tblCellMar>
        </w:tblPrEx>
        <w:trPr>
          <w:trHeight w:val="90" w:hRule="atLeast"/>
        </w:trPr>
        <w:tc>
          <w:tcPr>
            <w:tcW w:w="960"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F2C5FA9">
            <w:pPr>
              <w:pStyle w:val="20"/>
            </w:pPr>
          </w:p>
        </w:tc>
        <w:tc>
          <w:tcPr>
            <w:tcW w:w="804"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45E96C2">
            <w:pPr>
              <w:pStyle w:val="20"/>
            </w:pPr>
          </w:p>
        </w:tc>
        <w:tc>
          <w:tcPr>
            <w:tcW w:w="847"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BCA6B70">
            <w:pPr>
              <w:pStyle w:val="20"/>
            </w:pPr>
          </w:p>
        </w:tc>
        <w:tc>
          <w:tcPr>
            <w:tcW w:w="1125"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F889529">
            <w:pPr>
              <w:pStyle w:val="20"/>
            </w:pPr>
            <w:r>
              <w:t>&gt;6m</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5CF07D5">
            <w:pPr>
              <w:pStyle w:val="20"/>
            </w:pPr>
            <w:r>
              <w:t>±5</w:t>
            </w:r>
          </w:p>
        </w:tc>
        <w:tc>
          <w:tcPr>
            <w:tcW w:w="3457"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126C4A3A">
            <w:pPr>
              <w:pStyle w:val="20"/>
              <w:jc w:val="left"/>
            </w:pPr>
          </w:p>
        </w:tc>
      </w:tr>
      <w:tr w14:paraId="68AE0026">
        <w:tblPrEx>
          <w:tblCellMar>
            <w:top w:w="0" w:type="dxa"/>
            <w:left w:w="108" w:type="dxa"/>
            <w:bottom w:w="0" w:type="dxa"/>
            <w:right w:w="108" w:type="dxa"/>
          </w:tblCellMar>
        </w:tblPrEx>
        <w:trPr>
          <w:trHeight w:val="90" w:hRule="atLeast"/>
        </w:trPr>
        <w:tc>
          <w:tcPr>
            <w:tcW w:w="960"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3FDFC997">
            <w:pPr>
              <w:pStyle w:val="20"/>
            </w:pPr>
            <w:r>
              <w:t>2</w:t>
            </w:r>
          </w:p>
        </w:tc>
        <w:tc>
          <w:tcPr>
            <w:tcW w:w="804"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7457C7A">
            <w:pPr>
              <w:pStyle w:val="20"/>
            </w:pPr>
          </w:p>
        </w:tc>
        <w:tc>
          <w:tcPr>
            <w:tcW w:w="1972" w:type="dxa"/>
            <w:gridSpan w:val="2"/>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FC506E6">
            <w:pPr>
              <w:pStyle w:val="20"/>
            </w:pPr>
            <w:r>
              <w:t>宽度</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14A67056">
            <w:pPr>
              <w:pStyle w:val="20"/>
            </w:pPr>
            <w:r>
              <w:t>±5（密拼或凹槽：+2,-4）</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030515B">
            <w:pPr>
              <w:pStyle w:val="20"/>
              <w:jc w:val="both"/>
            </w:pPr>
            <w:r>
              <w:t>用钢尺或带数字显示的卷尺量两端，取其中偏差绝对值较大值；或用挡板和激光测距仪量两端，取其中偏差绝对值较大值</w:t>
            </w:r>
          </w:p>
        </w:tc>
      </w:tr>
      <w:tr w14:paraId="51034E0F">
        <w:tblPrEx>
          <w:tblCellMar>
            <w:top w:w="0" w:type="dxa"/>
            <w:left w:w="108" w:type="dxa"/>
            <w:bottom w:w="0" w:type="dxa"/>
            <w:right w:w="108" w:type="dxa"/>
          </w:tblCellMar>
        </w:tblPrEx>
        <w:trPr>
          <w:trHeight w:val="90" w:hRule="atLeast"/>
        </w:trPr>
        <w:tc>
          <w:tcPr>
            <w:tcW w:w="960"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7648A7D0">
            <w:pPr>
              <w:pStyle w:val="20"/>
            </w:pPr>
            <w:r>
              <w:t>3</w:t>
            </w:r>
          </w:p>
        </w:tc>
        <w:tc>
          <w:tcPr>
            <w:tcW w:w="804"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C5AD9FC">
            <w:pPr>
              <w:pStyle w:val="20"/>
            </w:pPr>
          </w:p>
        </w:tc>
        <w:tc>
          <w:tcPr>
            <w:tcW w:w="1972" w:type="dxa"/>
            <w:gridSpan w:val="2"/>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4698977">
            <w:pPr>
              <w:pStyle w:val="20"/>
            </w:pPr>
            <w:r>
              <w:t>厚度</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7FCB69CD">
            <w:pPr>
              <w:pStyle w:val="20"/>
            </w:pPr>
            <w:r>
              <w:t>±5</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39A6D9EE">
            <w:pPr>
              <w:pStyle w:val="20"/>
              <w:jc w:val="both"/>
            </w:pPr>
            <w:r>
              <w:t>用钢尺或带数字显示的卷尺、卡尺量四角位置，取其中偏差绝对值较大值；或用挡板和激光测距仪量四角位置，取其中偏差绝对值较大值</w:t>
            </w:r>
          </w:p>
        </w:tc>
      </w:tr>
      <w:tr w14:paraId="4D1A8D61">
        <w:tblPrEx>
          <w:tblCellMar>
            <w:top w:w="0" w:type="dxa"/>
            <w:left w:w="108" w:type="dxa"/>
            <w:bottom w:w="0" w:type="dxa"/>
            <w:right w:w="108" w:type="dxa"/>
          </w:tblCellMar>
        </w:tblPrEx>
        <w:trPr>
          <w:trHeight w:val="90" w:hRule="atLeast"/>
        </w:trPr>
        <w:tc>
          <w:tcPr>
            <w:tcW w:w="960"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6D6840C">
            <w:pPr>
              <w:pStyle w:val="20"/>
            </w:pPr>
            <w:r>
              <w:t>4</w:t>
            </w:r>
          </w:p>
        </w:tc>
        <w:tc>
          <w:tcPr>
            <w:tcW w:w="804"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6E9477BB">
            <w:pPr>
              <w:pStyle w:val="20"/>
            </w:pPr>
          </w:p>
        </w:tc>
        <w:tc>
          <w:tcPr>
            <w:tcW w:w="1972" w:type="dxa"/>
            <w:gridSpan w:val="2"/>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0C223B0">
            <w:pPr>
              <w:pStyle w:val="20"/>
            </w:pPr>
            <w:r>
              <w:t>对角线差</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2E0005D">
            <w:pPr>
              <w:pStyle w:val="20"/>
            </w:pPr>
            <w:r>
              <w:t>6</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67AB911">
            <w:pPr>
              <w:pStyle w:val="20"/>
              <w:jc w:val="both"/>
            </w:pPr>
            <w:r>
              <w:t>用钢尺或带数字显示的卷尺量两对角线，计算差值；或用挡板和激光测距仪量两对角线，计算差值</w:t>
            </w:r>
          </w:p>
        </w:tc>
      </w:tr>
      <w:tr w14:paraId="09B2CF87">
        <w:tblPrEx>
          <w:tblCellMar>
            <w:top w:w="0" w:type="dxa"/>
            <w:left w:w="108" w:type="dxa"/>
            <w:bottom w:w="0" w:type="dxa"/>
            <w:right w:w="108" w:type="dxa"/>
          </w:tblCellMar>
        </w:tblPrEx>
        <w:trPr>
          <w:trHeight w:val="90" w:hRule="atLeast"/>
        </w:trPr>
        <w:tc>
          <w:tcPr>
            <w:tcW w:w="960"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EAE91AA">
            <w:pPr>
              <w:pStyle w:val="20"/>
            </w:pPr>
            <w:r>
              <w:t>5</w:t>
            </w:r>
          </w:p>
        </w:tc>
        <w:tc>
          <w:tcPr>
            <w:tcW w:w="804"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A16EEEA">
            <w:pPr>
              <w:pStyle w:val="20"/>
            </w:pPr>
            <w:r>
              <w:t>外形</w:t>
            </w:r>
          </w:p>
        </w:tc>
        <w:tc>
          <w:tcPr>
            <w:tcW w:w="1972" w:type="dxa"/>
            <w:gridSpan w:val="2"/>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3CD85DC6">
            <w:pPr>
              <w:pStyle w:val="20"/>
            </w:pPr>
            <w:r>
              <w:t>下表面平整度</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3925BCE">
            <w:pPr>
              <w:pStyle w:val="20"/>
            </w:pPr>
            <w:r>
              <w:t>3</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30D8D6BD">
            <w:pPr>
              <w:pStyle w:val="20"/>
              <w:jc w:val="both"/>
            </w:pPr>
            <w:r>
              <w:t>用2m靠尺和塞尺量；或用2m 靠尺和带数字显示的塞尺量</w:t>
            </w:r>
          </w:p>
        </w:tc>
      </w:tr>
      <w:tr w14:paraId="3C289703">
        <w:tblPrEx>
          <w:tblCellMar>
            <w:top w:w="0" w:type="dxa"/>
            <w:left w:w="108" w:type="dxa"/>
            <w:bottom w:w="0" w:type="dxa"/>
            <w:right w:w="108" w:type="dxa"/>
          </w:tblCellMar>
        </w:tblPrEx>
        <w:trPr>
          <w:trHeight w:val="90" w:hRule="atLeast"/>
        </w:trPr>
        <w:tc>
          <w:tcPr>
            <w:tcW w:w="960"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BD030BB">
            <w:pPr>
              <w:pStyle w:val="20"/>
            </w:pPr>
            <w:r>
              <w:t>6</w:t>
            </w:r>
          </w:p>
        </w:tc>
        <w:tc>
          <w:tcPr>
            <w:tcW w:w="804"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6CEA42BC">
            <w:pPr>
              <w:pStyle w:val="20"/>
            </w:pPr>
          </w:p>
        </w:tc>
        <w:tc>
          <w:tcPr>
            <w:tcW w:w="1972" w:type="dxa"/>
            <w:gridSpan w:val="2"/>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720F071A">
            <w:pPr>
              <w:pStyle w:val="20"/>
            </w:pPr>
            <w:r>
              <w:t>侧向弯曲</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590645C">
            <w:pPr>
              <w:pStyle w:val="20"/>
            </w:pPr>
            <w:r>
              <w:t>L1/750且≤20</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F66F743">
            <w:pPr>
              <w:pStyle w:val="20"/>
              <w:jc w:val="both"/>
            </w:pPr>
            <w:r>
              <w:t>拉线，用钢尺或带数字显示的卷尺量侧向弯曲最大处</w:t>
            </w:r>
          </w:p>
        </w:tc>
      </w:tr>
      <w:tr w14:paraId="003022E8">
        <w:tblPrEx>
          <w:tblCellMar>
            <w:top w:w="0" w:type="dxa"/>
            <w:left w:w="108" w:type="dxa"/>
            <w:bottom w:w="0" w:type="dxa"/>
            <w:right w:w="108" w:type="dxa"/>
          </w:tblCellMar>
        </w:tblPrEx>
        <w:trPr>
          <w:trHeight w:val="90" w:hRule="atLeast"/>
        </w:trPr>
        <w:tc>
          <w:tcPr>
            <w:tcW w:w="960"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7C36277A">
            <w:pPr>
              <w:pStyle w:val="20"/>
            </w:pPr>
            <w:r>
              <w:t>7</w:t>
            </w:r>
          </w:p>
        </w:tc>
        <w:tc>
          <w:tcPr>
            <w:tcW w:w="804"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49567E9">
            <w:pPr>
              <w:pStyle w:val="20"/>
            </w:pPr>
          </w:p>
        </w:tc>
        <w:tc>
          <w:tcPr>
            <w:tcW w:w="1972" w:type="dxa"/>
            <w:gridSpan w:val="2"/>
            <w:tcBorders>
              <w:top w:val="single" w:color="auto" w:sz="2" w:space="0"/>
              <w:left w:val="single" w:color="auto" w:sz="2" w:space="0"/>
              <w:bottom w:val="single" w:color="auto" w:sz="4" w:space="0"/>
              <w:right w:val="single" w:color="auto" w:sz="2" w:space="0"/>
            </w:tcBorders>
            <w:tcMar>
              <w:left w:w="72" w:type="dxa"/>
              <w:right w:w="72" w:type="dxa"/>
            </w:tcMar>
            <w:vAlign w:val="center"/>
          </w:tcPr>
          <w:p w14:paraId="32C02166">
            <w:pPr>
              <w:pStyle w:val="20"/>
            </w:pPr>
            <w:r>
              <w:t>翘曲</w:t>
            </w:r>
          </w:p>
        </w:tc>
        <w:tc>
          <w:tcPr>
            <w:tcW w:w="1224" w:type="dxa"/>
            <w:tcBorders>
              <w:top w:val="single" w:color="auto" w:sz="2" w:space="0"/>
              <w:left w:val="single" w:color="auto" w:sz="2" w:space="0"/>
              <w:bottom w:val="single" w:color="auto" w:sz="4" w:space="0"/>
              <w:right w:val="single" w:color="auto" w:sz="2" w:space="0"/>
            </w:tcBorders>
            <w:tcMar>
              <w:left w:w="72" w:type="dxa"/>
              <w:right w:w="72" w:type="dxa"/>
            </w:tcMar>
            <w:vAlign w:val="center"/>
          </w:tcPr>
          <w:p w14:paraId="0FCE1209">
            <w:pPr>
              <w:pStyle w:val="20"/>
            </w:pPr>
            <w:r>
              <w:t>L1/750</w:t>
            </w:r>
          </w:p>
        </w:tc>
        <w:tc>
          <w:tcPr>
            <w:tcW w:w="3457" w:type="dxa"/>
            <w:tcBorders>
              <w:top w:val="single" w:color="auto" w:sz="2" w:space="0"/>
              <w:left w:val="single" w:color="auto" w:sz="2" w:space="0"/>
              <w:bottom w:val="single" w:color="auto" w:sz="4" w:space="0"/>
              <w:right w:val="single" w:color="auto" w:sz="2" w:space="0"/>
            </w:tcBorders>
            <w:tcMar>
              <w:left w:w="72" w:type="dxa"/>
              <w:right w:w="72" w:type="dxa"/>
            </w:tcMar>
            <w:vAlign w:val="center"/>
          </w:tcPr>
          <w:p w14:paraId="6F969DC9">
            <w:pPr>
              <w:pStyle w:val="20"/>
              <w:jc w:val="both"/>
            </w:pPr>
            <w:r>
              <w:t>对角拉线，用钢尺或带数字显示的卷尺量拉线交点间距离，其值的2 倍为翘曲值</w:t>
            </w:r>
          </w:p>
        </w:tc>
      </w:tr>
      <w:tr w14:paraId="1F15A264">
        <w:tblPrEx>
          <w:tblCellMar>
            <w:top w:w="0" w:type="dxa"/>
            <w:left w:w="108" w:type="dxa"/>
            <w:bottom w:w="0" w:type="dxa"/>
            <w:right w:w="108" w:type="dxa"/>
          </w:tblCellMar>
        </w:tblPrEx>
        <w:trPr>
          <w:trHeight w:val="90" w:hRule="atLeast"/>
        </w:trPr>
        <w:tc>
          <w:tcPr>
            <w:tcW w:w="960"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1B7CD8F">
            <w:pPr>
              <w:pStyle w:val="20"/>
            </w:pPr>
            <w:r>
              <w:t>8</w:t>
            </w:r>
          </w:p>
        </w:tc>
        <w:tc>
          <w:tcPr>
            <w:tcW w:w="804" w:type="dxa"/>
            <w:vMerge w:val="restart"/>
            <w:tcBorders>
              <w:top w:val="single" w:color="auto" w:sz="2" w:space="0"/>
              <w:left w:val="single" w:color="auto" w:sz="2" w:space="0"/>
              <w:bottom w:val="single" w:color="auto" w:sz="2" w:space="0"/>
              <w:right w:val="single" w:color="auto" w:sz="4" w:space="0"/>
            </w:tcBorders>
            <w:tcMar>
              <w:left w:w="72" w:type="dxa"/>
              <w:right w:w="72" w:type="dxa"/>
            </w:tcMar>
            <w:vAlign w:val="center"/>
          </w:tcPr>
          <w:p w14:paraId="1355D865">
            <w:pPr>
              <w:pStyle w:val="20"/>
            </w:pPr>
            <w:r>
              <w:t>预埋件</w:t>
            </w:r>
          </w:p>
        </w:tc>
        <w:tc>
          <w:tcPr>
            <w:tcW w:w="847" w:type="dxa"/>
            <w:vMerge w:val="restart"/>
            <w:tcBorders>
              <w:top w:val="single" w:color="auto" w:sz="4" w:space="0"/>
              <w:left w:val="single" w:color="auto" w:sz="4" w:space="0"/>
              <w:bottom w:val="single" w:color="auto" w:sz="4" w:space="0"/>
              <w:right w:val="single" w:color="auto" w:sz="4" w:space="0"/>
            </w:tcBorders>
            <w:tcMar>
              <w:left w:w="72" w:type="dxa"/>
              <w:right w:w="72" w:type="dxa"/>
            </w:tcMar>
            <w:vAlign w:val="center"/>
          </w:tcPr>
          <w:p w14:paraId="5F5B5CB4">
            <w:pPr>
              <w:pStyle w:val="20"/>
            </w:pPr>
            <w:r>
              <w:t>预埋钢板</w:t>
            </w:r>
          </w:p>
        </w:tc>
        <w:tc>
          <w:tcPr>
            <w:tcW w:w="1125" w:type="dxa"/>
            <w:tcBorders>
              <w:top w:val="single" w:color="auto" w:sz="4" w:space="0"/>
              <w:left w:val="single" w:color="auto" w:sz="4" w:space="0"/>
              <w:bottom w:val="single" w:color="auto" w:sz="4" w:space="0"/>
              <w:right w:val="single" w:color="auto" w:sz="4" w:space="0"/>
            </w:tcBorders>
            <w:tcMar>
              <w:left w:w="72" w:type="dxa"/>
              <w:right w:w="72" w:type="dxa"/>
            </w:tcMar>
            <w:vAlign w:val="center"/>
          </w:tcPr>
          <w:p w14:paraId="4F004034">
            <w:pPr>
              <w:pStyle w:val="20"/>
            </w:pPr>
            <w:r>
              <w:t>中心线位置</w:t>
            </w:r>
          </w:p>
        </w:tc>
        <w:tc>
          <w:tcPr>
            <w:tcW w:w="1224" w:type="dxa"/>
            <w:tcBorders>
              <w:top w:val="single" w:color="auto" w:sz="4" w:space="0"/>
              <w:left w:val="single" w:color="auto" w:sz="4" w:space="0"/>
              <w:bottom w:val="single" w:color="auto" w:sz="4" w:space="0"/>
              <w:right w:val="single" w:color="auto" w:sz="4" w:space="0"/>
            </w:tcBorders>
            <w:tcMar>
              <w:left w:w="72" w:type="dxa"/>
              <w:right w:w="72" w:type="dxa"/>
            </w:tcMar>
            <w:vAlign w:val="center"/>
          </w:tcPr>
          <w:p w14:paraId="57ABEA6C">
            <w:pPr>
              <w:pStyle w:val="20"/>
            </w:pPr>
            <w:r>
              <w:t>5</w:t>
            </w:r>
          </w:p>
        </w:tc>
        <w:tc>
          <w:tcPr>
            <w:tcW w:w="3457" w:type="dxa"/>
            <w:tcBorders>
              <w:top w:val="single" w:color="auto" w:sz="4" w:space="0"/>
              <w:left w:val="single" w:color="auto" w:sz="4" w:space="0"/>
              <w:bottom w:val="single" w:color="auto" w:sz="4" w:space="0"/>
              <w:right w:val="single" w:color="auto" w:sz="4" w:space="0"/>
            </w:tcBorders>
            <w:tcMar>
              <w:left w:w="72" w:type="dxa"/>
              <w:right w:w="72" w:type="dxa"/>
            </w:tcMar>
            <w:vAlign w:val="center"/>
          </w:tcPr>
          <w:p w14:paraId="794D21C6">
            <w:pPr>
              <w:pStyle w:val="20"/>
              <w:jc w:val="both"/>
            </w:pPr>
            <w:r>
              <w:t>用钢尺或带数字显示的卷尺量纵横两个方向的中心线位置，取其中偏差较大值</w:t>
            </w:r>
          </w:p>
        </w:tc>
      </w:tr>
      <w:tr w14:paraId="307A8045">
        <w:tblPrEx>
          <w:tblCellMar>
            <w:top w:w="0" w:type="dxa"/>
            <w:left w:w="108" w:type="dxa"/>
            <w:bottom w:w="0" w:type="dxa"/>
            <w:right w:w="108" w:type="dxa"/>
          </w:tblCellMar>
        </w:tblPrEx>
        <w:trPr>
          <w:trHeight w:val="90" w:hRule="atLeast"/>
        </w:trPr>
        <w:tc>
          <w:tcPr>
            <w:tcW w:w="960"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1C039ABD">
            <w:pPr>
              <w:pStyle w:val="20"/>
            </w:pPr>
          </w:p>
        </w:tc>
        <w:tc>
          <w:tcPr>
            <w:tcW w:w="804" w:type="dxa"/>
            <w:vMerge w:val="continue"/>
            <w:tcBorders>
              <w:top w:val="single" w:color="auto" w:sz="2" w:space="0"/>
              <w:left w:val="single" w:color="auto" w:sz="2" w:space="0"/>
              <w:bottom w:val="single" w:color="auto" w:sz="2" w:space="0"/>
              <w:right w:val="single" w:color="auto" w:sz="4" w:space="0"/>
            </w:tcBorders>
            <w:tcMar>
              <w:left w:w="72" w:type="dxa"/>
              <w:right w:w="72" w:type="dxa"/>
            </w:tcMar>
            <w:vAlign w:val="center"/>
          </w:tcPr>
          <w:p w14:paraId="51541848">
            <w:pPr>
              <w:pStyle w:val="20"/>
            </w:pPr>
          </w:p>
        </w:tc>
        <w:tc>
          <w:tcPr>
            <w:tcW w:w="847" w:type="dxa"/>
            <w:vMerge w:val="continue"/>
            <w:tcBorders>
              <w:top w:val="single" w:color="auto" w:sz="4" w:space="0"/>
              <w:left w:val="single" w:color="auto" w:sz="4" w:space="0"/>
              <w:bottom w:val="single" w:color="auto" w:sz="4" w:space="0"/>
              <w:right w:val="single" w:color="auto" w:sz="4" w:space="0"/>
            </w:tcBorders>
            <w:tcMar>
              <w:left w:w="72" w:type="dxa"/>
              <w:right w:w="72" w:type="dxa"/>
            </w:tcMar>
            <w:vAlign w:val="center"/>
          </w:tcPr>
          <w:p w14:paraId="223450E8">
            <w:pPr>
              <w:pStyle w:val="20"/>
            </w:pPr>
          </w:p>
        </w:tc>
        <w:tc>
          <w:tcPr>
            <w:tcW w:w="1125" w:type="dxa"/>
            <w:tcBorders>
              <w:top w:val="single" w:color="auto" w:sz="4" w:space="0"/>
              <w:left w:val="single" w:color="auto" w:sz="4" w:space="0"/>
              <w:bottom w:val="single" w:color="auto" w:sz="4" w:space="0"/>
              <w:right w:val="single" w:color="auto" w:sz="4" w:space="0"/>
            </w:tcBorders>
            <w:tcMar>
              <w:left w:w="72" w:type="dxa"/>
              <w:right w:w="72" w:type="dxa"/>
            </w:tcMar>
            <w:vAlign w:val="center"/>
          </w:tcPr>
          <w:p w14:paraId="4C10AA73">
            <w:pPr>
              <w:pStyle w:val="20"/>
            </w:pPr>
            <w:r>
              <w:t>平面高差</w:t>
            </w:r>
          </w:p>
        </w:tc>
        <w:tc>
          <w:tcPr>
            <w:tcW w:w="1224" w:type="dxa"/>
            <w:tcBorders>
              <w:top w:val="single" w:color="auto" w:sz="4" w:space="0"/>
              <w:left w:val="single" w:color="auto" w:sz="4" w:space="0"/>
              <w:bottom w:val="single" w:color="auto" w:sz="4" w:space="0"/>
              <w:right w:val="single" w:color="auto" w:sz="4" w:space="0"/>
            </w:tcBorders>
            <w:tcMar>
              <w:left w:w="72" w:type="dxa"/>
              <w:right w:w="72" w:type="dxa"/>
            </w:tcMar>
            <w:vAlign w:val="center"/>
          </w:tcPr>
          <w:p w14:paraId="3667D345">
            <w:pPr>
              <w:pStyle w:val="20"/>
            </w:pPr>
            <w:r>
              <w:t>0,-5</w:t>
            </w:r>
          </w:p>
        </w:tc>
        <w:tc>
          <w:tcPr>
            <w:tcW w:w="3457" w:type="dxa"/>
            <w:tcBorders>
              <w:top w:val="single" w:color="auto" w:sz="4" w:space="0"/>
              <w:left w:val="single" w:color="auto" w:sz="4" w:space="0"/>
              <w:bottom w:val="single" w:color="auto" w:sz="4" w:space="0"/>
              <w:right w:val="single" w:color="auto" w:sz="4" w:space="0"/>
            </w:tcBorders>
            <w:tcMar>
              <w:left w:w="72" w:type="dxa"/>
              <w:right w:w="72" w:type="dxa"/>
            </w:tcMar>
            <w:vAlign w:val="center"/>
          </w:tcPr>
          <w:p w14:paraId="4820E192">
            <w:pPr>
              <w:pStyle w:val="20"/>
              <w:jc w:val="both"/>
            </w:pPr>
            <w:r>
              <w:t>用钢尺紧靠在预埋件上，用塞尺或带数字显示的塞尺量预埋件平面与混凝土面的最大缝隙</w:t>
            </w:r>
          </w:p>
        </w:tc>
      </w:tr>
      <w:tr w14:paraId="6F561953">
        <w:tblPrEx>
          <w:tblCellMar>
            <w:top w:w="0" w:type="dxa"/>
            <w:left w:w="108" w:type="dxa"/>
            <w:bottom w:w="0" w:type="dxa"/>
            <w:right w:w="108" w:type="dxa"/>
          </w:tblCellMar>
        </w:tblPrEx>
        <w:trPr>
          <w:trHeight w:val="90" w:hRule="atLeast"/>
        </w:trPr>
        <w:tc>
          <w:tcPr>
            <w:tcW w:w="960"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6697B5EC">
            <w:pPr>
              <w:pStyle w:val="20"/>
            </w:pPr>
            <w:r>
              <w:t>9</w:t>
            </w:r>
          </w:p>
        </w:tc>
        <w:tc>
          <w:tcPr>
            <w:tcW w:w="804" w:type="dxa"/>
            <w:vMerge w:val="restart"/>
            <w:tcBorders>
              <w:top w:val="single" w:color="auto" w:sz="2" w:space="0"/>
              <w:left w:val="single" w:color="auto" w:sz="2" w:space="0"/>
              <w:bottom w:val="single" w:color="auto" w:sz="2" w:space="0"/>
              <w:right w:val="single" w:color="auto" w:sz="4" w:space="0"/>
            </w:tcBorders>
            <w:tcMar>
              <w:left w:w="72" w:type="dxa"/>
              <w:right w:w="72" w:type="dxa"/>
            </w:tcMar>
            <w:vAlign w:val="center"/>
          </w:tcPr>
          <w:p w14:paraId="652B1D49">
            <w:pPr>
              <w:pStyle w:val="20"/>
            </w:pPr>
            <w:r>
              <w:t>预埋件</w:t>
            </w:r>
          </w:p>
        </w:tc>
        <w:tc>
          <w:tcPr>
            <w:tcW w:w="847" w:type="dxa"/>
            <w:vMerge w:val="restart"/>
            <w:tcBorders>
              <w:top w:val="single" w:color="auto" w:sz="4" w:space="0"/>
              <w:left w:val="single" w:color="auto" w:sz="4" w:space="0"/>
              <w:bottom w:val="single" w:color="auto" w:sz="4" w:space="0"/>
              <w:right w:val="single" w:color="auto" w:sz="4" w:space="0"/>
            </w:tcBorders>
            <w:tcMar>
              <w:left w:w="72" w:type="dxa"/>
              <w:right w:w="72" w:type="dxa"/>
            </w:tcMar>
            <w:vAlign w:val="center"/>
          </w:tcPr>
          <w:p w14:paraId="420F71B4">
            <w:pPr>
              <w:pStyle w:val="20"/>
            </w:pPr>
            <w:r>
              <w:t>预埋螺栓</w:t>
            </w:r>
          </w:p>
        </w:tc>
        <w:tc>
          <w:tcPr>
            <w:tcW w:w="1125" w:type="dxa"/>
            <w:tcBorders>
              <w:top w:val="single" w:color="auto" w:sz="4" w:space="0"/>
              <w:left w:val="single" w:color="auto" w:sz="4" w:space="0"/>
              <w:bottom w:val="single" w:color="auto" w:sz="4" w:space="0"/>
              <w:right w:val="single" w:color="auto" w:sz="4" w:space="0"/>
            </w:tcBorders>
            <w:tcMar>
              <w:left w:w="72" w:type="dxa"/>
              <w:right w:w="72" w:type="dxa"/>
            </w:tcMar>
            <w:vAlign w:val="center"/>
          </w:tcPr>
          <w:p w14:paraId="6589EDB7">
            <w:pPr>
              <w:pStyle w:val="20"/>
            </w:pPr>
            <w:r>
              <w:t>中心线位置</w:t>
            </w:r>
          </w:p>
        </w:tc>
        <w:tc>
          <w:tcPr>
            <w:tcW w:w="1224" w:type="dxa"/>
            <w:tcBorders>
              <w:top w:val="single" w:color="auto" w:sz="4" w:space="0"/>
              <w:left w:val="single" w:color="auto" w:sz="4" w:space="0"/>
              <w:bottom w:val="single" w:color="auto" w:sz="4" w:space="0"/>
              <w:right w:val="single" w:color="auto" w:sz="4" w:space="0"/>
            </w:tcBorders>
            <w:tcMar>
              <w:left w:w="72" w:type="dxa"/>
              <w:right w:w="72" w:type="dxa"/>
            </w:tcMar>
            <w:vAlign w:val="center"/>
          </w:tcPr>
          <w:p w14:paraId="777171D3">
            <w:pPr>
              <w:pStyle w:val="20"/>
            </w:pPr>
            <w:r>
              <w:t>2</w:t>
            </w:r>
          </w:p>
        </w:tc>
        <w:tc>
          <w:tcPr>
            <w:tcW w:w="3457" w:type="dxa"/>
            <w:tcBorders>
              <w:top w:val="single" w:color="auto" w:sz="4" w:space="0"/>
              <w:left w:val="single" w:color="auto" w:sz="4" w:space="0"/>
              <w:bottom w:val="single" w:color="auto" w:sz="4" w:space="0"/>
              <w:right w:val="single" w:color="auto" w:sz="4" w:space="0"/>
            </w:tcBorders>
            <w:tcMar>
              <w:left w:w="72" w:type="dxa"/>
              <w:right w:w="72" w:type="dxa"/>
            </w:tcMar>
            <w:vAlign w:val="center"/>
          </w:tcPr>
          <w:p w14:paraId="56289E84">
            <w:pPr>
              <w:pStyle w:val="20"/>
              <w:jc w:val="both"/>
            </w:pPr>
            <w:r>
              <w:t>用钢尺或带数字显示的卷尺量纵横两个方向的中心线位置，取其中偏差较大值</w:t>
            </w:r>
          </w:p>
        </w:tc>
      </w:tr>
      <w:tr w14:paraId="1935FFC9">
        <w:tblPrEx>
          <w:tblCellMar>
            <w:top w:w="0" w:type="dxa"/>
            <w:left w:w="108" w:type="dxa"/>
            <w:bottom w:w="0" w:type="dxa"/>
            <w:right w:w="108" w:type="dxa"/>
          </w:tblCellMar>
        </w:tblPrEx>
        <w:trPr>
          <w:trHeight w:val="90" w:hRule="atLeast"/>
        </w:trPr>
        <w:tc>
          <w:tcPr>
            <w:tcW w:w="960"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5166A28">
            <w:pPr>
              <w:pStyle w:val="20"/>
            </w:pPr>
          </w:p>
        </w:tc>
        <w:tc>
          <w:tcPr>
            <w:tcW w:w="804" w:type="dxa"/>
            <w:vMerge w:val="continue"/>
            <w:tcBorders>
              <w:top w:val="single" w:color="auto" w:sz="2" w:space="0"/>
              <w:left w:val="single" w:color="auto" w:sz="2" w:space="0"/>
              <w:bottom w:val="single" w:color="auto" w:sz="2" w:space="0"/>
              <w:right w:val="single" w:color="auto" w:sz="4" w:space="0"/>
            </w:tcBorders>
            <w:tcMar>
              <w:left w:w="72" w:type="dxa"/>
              <w:right w:w="72" w:type="dxa"/>
            </w:tcMar>
            <w:vAlign w:val="center"/>
          </w:tcPr>
          <w:p w14:paraId="57F354AD">
            <w:pPr>
              <w:pStyle w:val="20"/>
            </w:pPr>
          </w:p>
        </w:tc>
        <w:tc>
          <w:tcPr>
            <w:tcW w:w="847" w:type="dxa"/>
            <w:vMerge w:val="continue"/>
            <w:tcBorders>
              <w:top w:val="single" w:color="auto" w:sz="4" w:space="0"/>
              <w:left w:val="single" w:color="auto" w:sz="4" w:space="0"/>
              <w:bottom w:val="single" w:color="auto" w:sz="4" w:space="0"/>
              <w:right w:val="single" w:color="auto" w:sz="4" w:space="0"/>
            </w:tcBorders>
            <w:tcMar>
              <w:left w:w="72" w:type="dxa"/>
              <w:right w:w="72" w:type="dxa"/>
            </w:tcMar>
            <w:vAlign w:val="center"/>
          </w:tcPr>
          <w:p w14:paraId="2D044A04">
            <w:pPr>
              <w:pStyle w:val="20"/>
            </w:pPr>
          </w:p>
        </w:tc>
        <w:tc>
          <w:tcPr>
            <w:tcW w:w="1125" w:type="dxa"/>
            <w:tcBorders>
              <w:top w:val="single" w:color="auto" w:sz="4" w:space="0"/>
              <w:left w:val="single" w:color="auto" w:sz="4" w:space="0"/>
              <w:bottom w:val="single" w:color="auto" w:sz="4" w:space="0"/>
              <w:right w:val="single" w:color="auto" w:sz="4" w:space="0"/>
            </w:tcBorders>
            <w:tcMar>
              <w:left w:w="72" w:type="dxa"/>
              <w:right w:w="72" w:type="dxa"/>
            </w:tcMar>
            <w:vAlign w:val="center"/>
          </w:tcPr>
          <w:p w14:paraId="189834C7">
            <w:pPr>
              <w:pStyle w:val="20"/>
            </w:pPr>
            <w:r>
              <w:t>外露长度</w:t>
            </w:r>
          </w:p>
        </w:tc>
        <w:tc>
          <w:tcPr>
            <w:tcW w:w="1224" w:type="dxa"/>
            <w:tcBorders>
              <w:top w:val="single" w:color="auto" w:sz="4" w:space="0"/>
              <w:left w:val="single" w:color="auto" w:sz="4" w:space="0"/>
              <w:bottom w:val="single" w:color="auto" w:sz="4" w:space="0"/>
              <w:right w:val="single" w:color="auto" w:sz="4" w:space="0"/>
            </w:tcBorders>
            <w:tcMar>
              <w:left w:w="72" w:type="dxa"/>
              <w:right w:w="72" w:type="dxa"/>
            </w:tcMar>
            <w:vAlign w:val="center"/>
          </w:tcPr>
          <w:p w14:paraId="222D680C">
            <w:pPr>
              <w:pStyle w:val="20"/>
            </w:pPr>
            <w:r>
              <w:t>+10,-5</w:t>
            </w:r>
          </w:p>
        </w:tc>
        <w:tc>
          <w:tcPr>
            <w:tcW w:w="3457" w:type="dxa"/>
            <w:tcBorders>
              <w:top w:val="single" w:color="auto" w:sz="4" w:space="0"/>
              <w:left w:val="single" w:color="auto" w:sz="4" w:space="0"/>
              <w:bottom w:val="single" w:color="auto" w:sz="4" w:space="0"/>
              <w:right w:val="single" w:color="auto" w:sz="4" w:space="0"/>
            </w:tcBorders>
            <w:tcMar>
              <w:left w:w="72" w:type="dxa"/>
              <w:right w:w="72" w:type="dxa"/>
            </w:tcMar>
            <w:vAlign w:val="center"/>
          </w:tcPr>
          <w:p w14:paraId="42FD5F36">
            <w:pPr>
              <w:pStyle w:val="20"/>
              <w:jc w:val="both"/>
            </w:pPr>
            <w:r>
              <w:t>用钢尺或带数字显示的卷</w:t>
            </w:r>
          </w:p>
          <w:p w14:paraId="0D3A8611">
            <w:pPr>
              <w:pStyle w:val="20"/>
              <w:jc w:val="both"/>
            </w:pPr>
            <w:r>
              <w:t>尺、卡尺量</w:t>
            </w:r>
          </w:p>
        </w:tc>
      </w:tr>
      <w:tr w14:paraId="1704AC80">
        <w:tblPrEx>
          <w:tblCellMar>
            <w:top w:w="0" w:type="dxa"/>
            <w:left w:w="108" w:type="dxa"/>
            <w:bottom w:w="0" w:type="dxa"/>
            <w:right w:w="108" w:type="dxa"/>
          </w:tblCellMar>
        </w:tblPrEx>
        <w:trPr>
          <w:trHeight w:val="90" w:hRule="atLeast"/>
        </w:trPr>
        <w:tc>
          <w:tcPr>
            <w:tcW w:w="960"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7A2920B">
            <w:pPr>
              <w:pStyle w:val="20"/>
            </w:pPr>
            <w:r>
              <w:t>10</w:t>
            </w:r>
          </w:p>
        </w:tc>
        <w:tc>
          <w:tcPr>
            <w:tcW w:w="804"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2C98989">
            <w:pPr>
              <w:pStyle w:val="20"/>
            </w:pPr>
          </w:p>
        </w:tc>
        <w:tc>
          <w:tcPr>
            <w:tcW w:w="847" w:type="dxa"/>
            <w:vMerge w:val="restart"/>
            <w:tcBorders>
              <w:top w:val="single" w:color="auto" w:sz="4" w:space="0"/>
              <w:left w:val="single" w:color="auto" w:sz="2" w:space="0"/>
              <w:bottom w:val="single" w:color="auto" w:sz="2" w:space="0"/>
              <w:right w:val="single" w:color="auto" w:sz="2" w:space="0"/>
            </w:tcBorders>
            <w:tcMar>
              <w:left w:w="72" w:type="dxa"/>
              <w:right w:w="72" w:type="dxa"/>
            </w:tcMar>
            <w:vAlign w:val="center"/>
          </w:tcPr>
          <w:p w14:paraId="48AE28EE">
            <w:pPr>
              <w:pStyle w:val="20"/>
            </w:pPr>
            <w:r>
              <w:t>预埋线盒、电盒</w:t>
            </w:r>
          </w:p>
        </w:tc>
        <w:tc>
          <w:tcPr>
            <w:tcW w:w="1125" w:type="dxa"/>
            <w:tcBorders>
              <w:top w:val="single" w:color="auto" w:sz="4" w:space="0"/>
              <w:left w:val="single" w:color="auto" w:sz="2" w:space="0"/>
              <w:bottom w:val="single" w:color="auto" w:sz="2" w:space="0"/>
              <w:right w:val="single" w:color="auto" w:sz="2" w:space="0"/>
            </w:tcBorders>
            <w:tcMar>
              <w:left w:w="72" w:type="dxa"/>
              <w:right w:w="72" w:type="dxa"/>
            </w:tcMar>
            <w:vAlign w:val="center"/>
          </w:tcPr>
          <w:p w14:paraId="5C651C55">
            <w:pPr>
              <w:pStyle w:val="20"/>
            </w:pPr>
            <w:r>
              <w:t>在构件平面的水平方向中心线位置</w:t>
            </w:r>
          </w:p>
        </w:tc>
        <w:tc>
          <w:tcPr>
            <w:tcW w:w="1224" w:type="dxa"/>
            <w:tcBorders>
              <w:top w:val="single" w:color="auto" w:sz="4" w:space="0"/>
              <w:left w:val="single" w:color="auto" w:sz="2" w:space="0"/>
              <w:bottom w:val="single" w:color="auto" w:sz="2" w:space="0"/>
              <w:right w:val="single" w:color="auto" w:sz="2" w:space="0"/>
            </w:tcBorders>
            <w:tcMar>
              <w:left w:w="72" w:type="dxa"/>
              <w:right w:w="72" w:type="dxa"/>
            </w:tcMar>
            <w:vAlign w:val="center"/>
          </w:tcPr>
          <w:p w14:paraId="2DFCDBF8">
            <w:pPr>
              <w:pStyle w:val="20"/>
            </w:pPr>
            <w:r>
              <w:t>10</w:t>
            </w:r>
          </w:p>
        </w:tc>
        <w:tc>
          <w:tcPr>
            <w:tcW w:w="3457" w:type="dxa"/>
            <w:tcBorders>
              <w:top w:val="single" w:color="auto" w:sz="4" w:space="0"/>
              <w:left w:val="single" w:color="auto" w:sz="2" w:space="0"/>
              <w:bottom w:val="single" w:color="auto" w:sz="2" w:space="0"/>
              <w:right w:val="single" w:color="auto" w:sz="2" w:space="0"/>
            </w:tcBorders>
            <w:tcMar>
              <w:left w:w="72" w:type="dxa"/>
              <w:right w:w="72" w:type="dxa"/>
            </w:tcMar>
            <w:vAlign w:val="center"/>
          </w:tcPr>
          <w:p w14:paraId="588F92EE">
            <w:pPr>
              <w:pStyle w:val="20"/>
              <w:jc w:val="both"/>
            </w:pPr>
            <w:r>
              <w:t>用钢尺或带数字显示的卷尺量两对角线，计算差值；或用挡板和激光测距仪量两对角线，计算差值</w:t>
            </w:r>
          </w:p>
        </w:tc>
      </w:tr>
      <w:tr w14:paraId="26F3A884">
        <w:tblPrEx>
          <w:tblCellMar>
            <w:top w:w="0" w:type="dxa"/>
            <w:left w:w="108" w:type="dxa"/>
            <w:bottom w:w="0" w:type="dxa"/>
            <w:right w:w="108" w:type="dxa"/>
          </w:tblCellMar>
        </w:tblPrEx>
        <w:trPr>
          <w:trHeight w:val="90" w:hRule="atLeast"/>
        </w:trPr>
        <w:tc>
          <w:tcPr>
            <w:tcW w:w="960"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95A5D87">
            <w:pPr>
              <w:pStyle w:val="20"/>
            </w:pPr>
          </w:p>
        </w:tc>
        <w:tc>
          <w:tcPr>
            <w:tcW w:w="804"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AC2D246">
            <w:pPr>
              <w:pStyle w:val="20"/>
            </w:pPr>
          </w:p>
        </w:tc>
        <w:tc>
          <w:tcPr>
            <w:tcW w:w="847"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6F096CD1">
            <w:pPr>
              <w:pStyle w:val="20"/>
            </w:pPr>
          </w:p>
        </w:tc>
        <w:tc>
          <w:tcPr>
            <w:tcW w:w="1125"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7A08044">
            <w:pPr>
              <w:pStyle w:val="20"/>
            </w:pPr>
            <w:r>
              <w:t>与构件表面混凝土高差</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36591BC">
            <w:pPr>
              <w:pStyle w:val="20"/>
            </w:pPr>
            <w:r>
              <w:t>0,-5</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A94BBC1">
            <w:pPr>
              <w:pStyle w:val="20"/>
              <w:jc w:val="both"/>
            </w:pPr>
            <w:r>
              <w:t>用钢尺或带数字显示的卷尺量</w:t>
            </w:r>
          </w:p>
        </w:tc>
      </w:tr>
      <w:tr w14:paraId="05C8DB57">
        <w:tblPrEx>
          <w:tblCellMar>
            <w:top w:w="0" w:type="dxa"/>
            <w:left w:w="108" w:type="dxa"/>
            <w:bottom w:w="0" w:type="dxa"/>
            <w:right w:w="108" w:type="dxa"/>
          </w:tblCellMar>
        </w:tblPrEx>
        <w:trPr>
          <w:trHeight w:val="90" w:hRule="atLeast"/>
        </w:trPr>
        <w:tc>
          <w:tcPr>
            <w:tcW w:w="960"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6C949BC7">
            <w:pPr>
              <w:pStyle w:val="20"/>
            </w:pPr>
            <w:r>
              <w:t>11</w:t>
            </w:r>
          </w:p>
          <w:p w14:paraId="1C291A9B">
            <w:pPr>
              <w:pStyle w:val="20"/>
            </w:pPr>
            <w:r>
              <w:t> </w:t>
            </w:r>
          </w:p>
        </w:tc>
        <w:tc>
          <w:tcPr>
            <w:tcW w:w="804"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6FEE62C7">
            <w:pPr>
              <w:pStyle w:val="20"/>
            </w:pPr>
            <w:r>
              <w:t>预留孔</w:t>
            </w:r>
          </w:p>
        </w:tc>
        <w:tc>
          <w:tcPr>
            <w:tcW w:w="1972" w:type="dxa"/>
            <w:gridSpan w:val="2"/>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7506E85">
            <w:pPr>
              <w:pStyle w:val="20"/>
            </w:pPr>
            <w:r>
              <w:t>中心线位置</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3ACB277">
            <w:pPr>
              <w:pStyle w:val="20"/>
            </w:pPr>
            <w:r>
              <w:t>5</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3476A61">
            <w:pPr>
              <w:pStyle w:val="20"/>
              <w:jc w:val="both"/>
            </w:pPr>
            <w:r>
              <w:t>用钢尺或带数字显示的卷尺量纵横两个方向的中心线位置，取其中偏差较大值</w:t>
            </w:r>
          </w:p>
        </w:tc>
      </w:tr>
      <w:tr w14:paraId="45FBC6C5">
        <w:tblPrEx>
          <w:tblCellMar>
            <w:top w:w="0" w:type="dxa"/>
            <w:left w:w="108" w:type="dxa"/>
            <w:bottom w:w="0" w:type="dxa"/>
            <w:right w:w="108" w:type="dxa"/>
          </w:tblCellMar>
        </w:tblPrEx>
        <w:trPr>
          <w:trHeight w:val="90" w:hRule="atLeast"/>
        </w:trPr>
        <w:tc>
          <w:tcPr>
            <w:tcW w:w="960"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59352C1">
            <w:pPr>
              <w:pStyle w:val="20"/>
            </w:pPr>
          </w:p>
        </w:tc>
        <w:tc>
          <w:tcPr>
            <w:tcW w:w="804"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7FDA67CA">
            <w:pPr>
              <w:pStyle w:val="20"/>
            </w:pPr>
          </w:p>
        </w:tc>
        <w:tc>
          <w:tcPr>
            <w:tcW w:w="1972" w:type="dxa"/>
            <w:gridSpan w:val="2"/>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78CC9AA1">
            <w:pPr>
              <w:pStyle w:val="20"/>
            </w:pPr>
            <w:r>
              <w:t>孔尺寸</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C550234">
            <w:pPr>
              <w:pStyle w:val="20"/>
            </w:pPr>
            <w:r>
              <w:t>±5</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4427E80">
            <w:pPr>
              <w:pStyle w:val="20"/>
              <w:jc w:val="both"/>
            </w:pPr>
            <w:r>
              <w:t>用钢尺或带数字显示的卡尺量纵横两个方向尺寸，取其中偏差较大值</w:t>
            </w:r>
          </w:p>
        </w:tc>
      </w:tr>
      <w:tr w14:paraId="11140F25">
        <w:tblPrEx>
          <w:tblCellMar>
            <w:top w:w="0" w:type="dxa"/>
            <w:left w:w="108" w:type="dxa"/>
            <w:bottom w:w="0" w:type="dxa"/>
            <w:right w:w="108" w:type="dxa"/>
          </w:tblCellMar>
        </w:tblPrEx>
        <w:trPr>
          <w:trHeight w:val="90" w:hRule="atLeast"/>
        </w:trPr>
        <w:tc>
          <w:tcPr>
            <w:tcW w:w="960"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67055E56">
            <w:pPr>
              <w:pStyle w:val="20"/>
            </w:pPr>
            <w:r>
              <w:t>12</w:t>
            </w:r>
          </w:p>
        </w:tc>
        <w:tc>
          <w:tcPr>
            <w:tcW w:w="804"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4010339">
            <w:pPr>
              <w:pStyle w:val="20"/>
            </w:pPr>
            <w:r>
              <w:t>预留洞</w:t>
            </w:r>
          </w:p>
        </w:tc>
        <w:tc>
          <w:tcPr>
            <w:tcW w:w="1972" w:type="dxa"/>
            <w:gridSpan w:val="2"/>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5E596D2">
            <w:pPr>
              <w:pStyle w:val="20"/>
            </w:pPr>
            <w:r>
              <w:t>中心线位置</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13D7CC76">
            <w:pPr>
              <w:pStyle w:val="20"/>
            </w:pPr>
            <w:r>
              <w:t>5</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8CB79FF">
            <w:pPr>
              <w:pStyle w:val="20"/>
              <w:jc w:val="both"/>
            </w:pPr>
            <w:r>
              <w:t>用钢尺或带数字显示的卷尺量纵横两个方向的中心线位置，取其中偏差较大值</w:t>
            </w:r>
          </w:p>
        </w:tc>
      </w:tr>
      <w:tr w14:paraId="31118516">
        <w:tblPrEx>
          <w:tblCellMar>
            <w:top w:w="0" w:type="dxa"/>
            <w:left w:w="108" w:type="dxa"/>
            <w:bottom w:w="0" w:type="dxa"/>
            <w:right w:w="108" w:type="dxa"/>
          </w:tblCellMar>
        </w:tblPrEx>
        <w:trPr>
          <w:trHeight w:val="90" w:hRule="atLeast"/>
        </w:trPr>
        <w:tc>
          <w:tcPr>
            <w:tcW w:w="960"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995BA4F">
            <w:pPr>
              <w:pStyle w:val="20"/>
            </w:pPr>
          </w:p>
        </w:tc>
        <w:tc>
          <w:tcPr>
            <w:tcW w:w="804"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10194790">
            <w:pPr>
              <w:pStyle w:val="20"/>
            </w:pPr>
          </w:p>
        </w:tc>
        <w:tc>
          <w:tcPr>
            <w:tcW w:w="1972" w:type="dxa"/>
            <w:gridSpan w:val="2"/>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34DB1124">
            <w:pPr>
              <w:pStyle w:val="20"/>
            </w:pPr>
            <w:r>
              <w:t>洞口尺寸、深度</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32D63E6">
            <w:pPr>
              <w:pStyle w:val="20"/>
            </w:pPr>
            <w:r>
              <w:t>±5</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F5E55E2">
            <w:pPr>
              <w:pStyle w:val="20"/>
              <w:jc w:val="both"/>
            </w:pPr>
            <w:r>
              <w:t>用钢尺或带数字显示的卷尺、卡尺量纵横两个方向尺寸，取其中偏差较大值</w:t>
            </w:r>
          </w:p>
        </w:tc>
      </w:tr>
      <w:tr w14:paraId="4C5F0BF9">
        <w:tblPrEx>
          <w:tblCellMar>
            <w:top w:w="0" w:type="dxa"/>
            <w:left w:w="108" w:type="dxa"/>
            <w:bottom w:w="0" w:type="dxa"/>
            <w:right w:w="108" w:type="dxa"/>
          </w:tblCellMar>
        </w:tblPrEx>
        <w:trPr>
          <w:trHeight w:val="90" w:hRule="atLeast"/>
        </w:trPr>
        <w:tc>
          <w:tcPr>
            <w:tcW w:w="960"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82B697F">
            <w:pPr>
              <w:pStyle w:val="20"/>
            </w:pPr>
            <w:r>
              <w:t>13</w:t>
            </w:r>
          </w:p>
          <w:p w14:paraId="047AF213">
            <w:pPr>
              <w:pStyle w:val="20"/>
            </w:pPr>
            <w:r>
              <w:t> </w:t>
            </w:r>
          </w:p>
        </w:tc>
        <w:tc>
          <w:tcPr>
            <w:tcW w:w="804"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7BA57A92">
            <w:pPr>
              <w:pStyle w:val="20"/>
            </w:pPr>
            <w:r>
              <w:t>预留插筋孔</w:t>
            </w:r>
          </w:p>
          <w:p w14:paraId="165C31AC">
            <w:pPr>
              <w:pStyle w:val="20"/>
            </w:pPr>
            <w:r>
              <w:t> </w:t>
            </w:r>
          </w:p>
        </w:tc>
        <w:tc>
          <w:tcPr>
            <w:tcW w:w="1972" w:type="dxa"/>
            <w:gridSpan w:val="2"/>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69EA460F">
            <w:pPr>
              <w:pStyle w:val="20"/>
            </w:pPr>
            <w:r>
              <w:t>中心线位置</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B8E9E97">
            <w:pPr>
              <w:pStyle w:val="20"/>
            </w:pPr>
            <w:r>
              <w:t>3</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966EB57">
            <w:pPr>
              <w:pStyle w:val="20"/>
              <w:jc w:val="both"/>
            </w:pPr>
            <w:r>
              <w:t>用钢尺或带数字显示的卷尺量纵横两个方向的中心线位置，取其中偏差较大值</w:t>
            </w:r>
          </w:p>
        </w:tc>
      </w:tr>
      <w:tr w14:paraId="6307D53C">
        <w:tblPrEx>
          <w:tblCellMar>
            <w:top w:w="0" w:type="dxa"/>
            <w:left w:w="108" w:type="dxa"/>
            <w:bottom w:w="0" w:type="dxa"/>
            <w:right w:w="108" w:type="dxa"/>
          </w:tblCellMar>
        </w:tblPrEx>
        <w:trPr>
          <w:trHeight w:val="90" w:hRule="atLeast"/>
        </w:trPr>
        <w:tc>
          <w:tcPr>
            <w:tcW w:w="960"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755B1F1A">
            <w:pPr>
              <w:pStyle w:val="20"/>
            </w:pPr>
          </w:p>
        </w:tc>
        <w:tc>
          <w:tcPr>
            <w:tcW w:w="804"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3C52BDF">
            <w:pPr>
              <w:pStyle w:val="20"/>
            </w:pPr>
          </w:p>
        </w:tc>
        <w:tc>
          <w:tcPr>
            <w:tcW w:w="1972" w:type="dxa"/>
            <w:gridSpan w:val="2"/>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7E30D490">
            <w:pPr>
              <w:pStyle w:val="20"/>
            </w:pPr>
            <w:r>
              <w:t>孔径</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32578E40">
            <w:pPr>
              <w:pStyle w:val="20"/>
            </w:pPr>
            <w:r>
              <w:t>1</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63F9037E">
            <w:pPr>
              <w:pStyle w:val="20"/>
              <w:jc w:val="both"/>
            </w:pPr>
            <w:r>
              <w:t>用设计要求规格钢筋检测能否顺利插入，是否存在堵孔现象</w:t>
            </w:r>
          </w:p>
        </w:tc>
      </w:tr>
      <w:tr w14:paraId="0E1D6EFD">
        <w:tblPrEx>
          <w:tblCellMar>
            <w:top w:w="0" w:type="dxa"/>
            <w:left w:w="108" w:type="dxa"/>
            <w:bottom w:w="0" w:type="dxa"/>
            <w:right w:w="108" w:type="dxa"/>
          </w:tblCellMar>
        </w:tblPrEx>
        <w:trPr>
          <w:trHeight w:val="90" w:hRule="atLeast"/>
        </w:trPr>
        <w:tc>
          <w:tcPr>
            <w:tcW w:w="960"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3E8C3E2E">
            <w:pPr>
              <w:pStyle w:val="20"/>
            </w:pPr>
            <w:r>
              <w:t>14</w:t>
            </w:r>
          </w:p>
        </w:tc>
        <w:tc>
          <w:tcPr>
            <w:tcW w:w="804"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53A4D52">
            <w:pPr>
              <w:pStyle w:val="20"/>
            </w:pPr>
            <w:r>
              <w:t>预留凹槽</w:t>
            </w:r>
          </w:p>
        </w:tc>
        <w:tc>
          <w:tcPr>
            <w:tcW w:w="1972" w:type="dxa"/>
            <w:gridSpan w:val="2"/>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8B4F7C3">
            <w:pPr>
              <w:pStyle w:val="20"/>
            </w:pPr>
            <w:r>
              <w:t>中心线位置</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6191DDC9">
            <w:pPr>
              <w:pStyle w:val="20"/>
            </w:pPr>
            <w:r>
              <w:t>5</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33F66214">
            <w:pPr>
              <w:pStyle w:val="20"/>
              <w:jc w:val="both"/>
            </w:pPr>
            <w:r>
              <w:t>用钢尺或带数字显示的卷尺量纵横两个方向的中心线位置，取其中偏差较大值</w:t>
            </w:r>
          </w:p>
        </w:tc>
      </w:tr>
      <w:tr w14:paraId="59CAED63">
        <w:tblPrEx>
          <w:tblCellMar>
            <w:top w:w="0" w:type="dxa"/>
            <w:left w:w="108" w:type="dxa"/>
            <w:bottom w:w="0" w:type="dxa"/>
            <w:right w:w="108" w:type="dxa"/>
          </w:tblCellMar>
        </w:tblPrEx>
        <w:trPr>
          <w:trHeight w:val="90" w:hRule="atLeast"/>
        </w:trPr>
        <w:tc>
          <w:tcPr>
            <w:tcW w:w="960"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1A378B99">
            <w:pPr>
              <w:pStyle w:val="20"/>
            </w:pPr>
          </w:p>
        </w:tc>
        <w:tc>
          <w:tcPr>
            <w:tcW w:w="804"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FF31C16">
            <w:pPr>
              <w:pStyle w:val="20"/>
            </w:pPr>
          </w:p>
        </w:tc>
        <w:tc>
          <w:tcPr>
            <w:tcW w:w="1972" w:type="dxa"/>
            <w:gridSpan w:val="2"/>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C8957FB">
            <w:pPr>
              <w:pStyle w:val="20"/>
            </w:pPr>
            <w:r>
              <w:t>凹槽尺寸、深度</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C00DF73">
            <w:pPr>
              <w:pStyle w:val="20"/>
            </w:pPr>
            <w:r>
              <w:t>±5</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1888F926">
            <w:pPr>
              <w:pStyle w:val="20"/>
              <w:jc w:val="both"/>
            </w:pPr>
            <w:r>
              <w:t>用钢尺或带数字显示的卷尺、卡尺量纵横两个方向尺寸，取其中偏差较大值</w:t>
            </w:r>
          </w:p>
        </w:tc>
      </w:tr>
      <w:tr w14:paraId="231040AA">
        <w:tblPrEx>
          <w:tblCellMar>
            <w:top w:w="0" w:type="dxa"/>
            <w:left w:w="108" w:type="dxa"/>
            <w:bottom w:w="0" w:type="dxa"/>
            <w:right w:w="108" w:type="dxa"/>
          </w:tblCellMar>
        </w:tblPrEx>
        <w:trPr>
          <w:trHeight w:val="90" w:hRule="atLeast"/>
        </w:trPr>
        <w:tc>
          <w:tcPr>
            <w:tcW w:w="960"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901CCD9">
            <w:pPr>
              <w:pStyle w:val="20"/>
            </w:pPr>
            <w:r>
              <w:t>15</w:t>
            </w:r>
          </w:p>
        </w:tc>
        <w:tc>
          <w:tcPr>
            <w:tcW w:w="804" w:type="dxa"/>
            <w:vMerge w:val="restart"/>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351C9186">
            <w:pPr>
              <w:pStyle w:val="20"/>
            </w:pPr>
            <w:r>
              <w:t>受力钢筋</w:t>
            </w:r>
          </w:p>
        </w:tc>
        <w:tc>
          <w:tcPr>
            <w:tcW w:w="1972" w:type="dxa"/>
            <w:gridSpan w:val="2"/>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407A2B7">
            <w:pPr>
              <w:pStyle w:val="20"/>
            </w:pPr>
            <w:r>
              <w:t>间距</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3FA0292">
            <w:pPr>
              <w:pStyle w:val="20"/>
            </w:pPr>
            <w:r>
              <w:t>±5</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39418ECE">
            <w:pPr>
              <w:pStyle w:val="20"/>
              <w:jc w:val="both"/>
            </w:pPr>
            <w:r>
              <w:t>用钢尺或带数字显示的卷尺量</w:t>
            </w:r>
          </w:p>
        </w:tc>
      </w:tr>
      <w:tr w14:paraId="1A565426">
        <w:tblPrEx>
          <w:tblCellMar>
            <w:top w:w="0" w:type="dxa"/>
            <w:left w:w="108" w:type="dxa"/>
            <w:bottom w:w="0" w:type="dxa"/>
            <w:right w:w="108" w:type="dxa"/>
          </w:tblCellMar>
        </w:tblPrEx>
        <w:trPr>
          <w:trHeight w:val="90" w:hRule="atLeast"/>
        </w:trPr>
        <w:tc>
          <w:tcPr>
            <w:tcW w:w="960"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18D8CB4">
            <w:pPr>
              <w:pStyle w:val="20"/>
            </w:pPr>
          </w:p>
        </w:tc>
        <w:tc>
          <w:tcPr>
            <w:tcW w:w="804"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6E5BB226">
            <w:pPr>
              <w:pStyle w:val="20"/>
            </w:pPr>
          </w:p>
        </w:tc>
        <w:tc>
          <w:tcPr>
            <w:tcW w:w="1972" w:type="dxa"/>
            <w:gridSpan w:val="2"/>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ECE5710">
            <w:pPr>
              <w:pStyle w:val="20"/>
            </w:pPr>
            <w:r>
              <w:t>保护层厚度</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CEED302">
            <w:pPr>
              <w:pStyle w:val="20"/>
            </w:pPr>
            <w:r>
              <w:t>+5,-3</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121D788">
            <w:pPr>
              <w:pStyle w:val="20"/>
              <w:jc w:val="both"/>
            </w:pPr>
            <w:r>
              <w:t>用钢尺或钢筋保护层厚度测定仪量</w:t>
            </w:r>
          </w:p>
        </w:tc>
      </w:tr>
      <w:tr w14:paraId="2F0F7EF8">
        <w:tblPrEx>
          <w:tblCellMar>
            <w:top w:w="0" w:type="dxa"/>
            <w:left w:w="108" w:type="dxa"/>
            <w:bottom w:w="0" w:type="dxa"/>
            <w:right w:w="108" w:type="dxa"/>
          </w:tblCellMar>
        </w:tblPrEx>
        <w:trPr>
          <w:trHeight w:val="90" w:hRule="atLeast"/>
        </w:trPr>
        <w:tc>
          <w:tcPr>
            <w:tcW w:w="960"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7CE7042D">
            <w:pPr>
              <w:pStyle w:val="20"/>
            </w:pPr>
          </w:p>
        </w:tc>
        <w:tc>
          <w:tcPr>
            <w:tcW w:w="804" w:type="dxa"/>
            <w:vMerge w:val="continue"/>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5983266">
            <w:pPr>
              <w:pStyle w:val="20"/>
            </w:pPr>
          </w:p>
        </w:tc>
        <w:tc>
          <w:tcPr>
            <w:tcW w:w="1972" w:type="dxa"/>
            <w:gridSpan w:val="2"/>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7AD25D3A">
            <w:pPr>
              <w:pStyle w:val="20"/>
            </w:pPr>
            <w:r>
              <w:t>外伸长度</w:t>
            </w:r>
          </w:p>
          <w:p w14:paraId="734F62AB">
            <w:pPr>
              <w:pStyle w:val="20"/>
            </w:pPr>
            <w:r>
              <w:t>（后浇带式整体连接处）</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78929D7">
            <w:pPr>
              <w:pStyle w:val="20"/>
            </w:pPr>
            <w:r>
              <w:t>+5,0</w:t>
            </w: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7416F059">
            <w:pPr>
              <w:pStyle w:val="20"/>
              <w:jc w:val="both"/>
            </w:pPr>
            <w:r>
              <w:t>用钢尺或带数字显示的卷尺量</w:t>
            </w:r>
          </w:p>
        </w:tc>
      </w:tr>
      <w:tr w14:paraId="5C857B1B">
        <w:tblPrEx>
          <w:tblCellMar>
            <w:top w:w="0" w:type="dxa"/>
            <w:left w:w="108" w:type="dxa"/>
            <w:bottom w:w="0" w:type="dxa"/>
            <w:right w:w="108" w:type="dxa"/>
          </w:tblCellMar>
        </w:tblPrEx>
        <w:trPr>
          <w:trHeight w:val="90" w:hRule="atLeast"/>
        </w:trPr>
        <w:tc>
          <w:tcPr>
            <w:tcW w:w="960" w:type="dxa"/>
            <w:tcBorders>
              <w:top w:val="nil"/>
              <w:left w:val="single" w:color="auto" w:sz="2" w:space="0"/>
              <w:bottom w:val="single" w:color="auto" w:sz="2" w:space="0"/>
              <w:right w:val="single" w:color="auto" w:sz="2" w:space="0"/>
            </w:tcBorders>
            <w:tcMar>
              <w:left w:w="72" w:type="dxa"/>
              <w:right w:w="72" w:type="dxa"/>
            </w:tcMar>
            <w:vAlign w:val="center"/>
          </w:tcPr>
          <w:p w14:paraId="0086B4A8">
            <w:pPr>
              <w:pStyle w:val="20"/>
            </w:pPr>
            <w:r>
              <w:t>16</w:t>
            </w:r>
          </w:p>
        </w:tc>
        <w:tc>
          <w:tcPr>
            <w:tcW w:w="804" w:type="dxa"/>
            <w:tcBorders>
              <w:top w:val="nil"/>
              <w:left w:val="single" w:color="auto" w:sz="2" w:space="0"/>
              <w:bottom w:val="single" w:color="auto" w:sz="2" w:space="0"/>
              <w:right w:val="single" w:color="auto" w:sz="2" w:space="0"/>
            </w:tcBorders>
            <w:tcMar>
              <w:left w:w="72" w:type="dxa"/>
              <w:right w:w="72" w:type="dxa"/>
            </w:tcMar>
            <w:vAlign w:val="center"/>
          </w:tcPr>
          <w:p w14:paraId="4ACD4C39">
            <w:pPr>
              <w:pStyle w:val="20"/>
            </w:pPr>
            <w:r>
              <w:t>钢筋桁架高度</w:t>
            </w:r>
          </w:p>
        </w:tc>
        <w:tc>
          <w:tcPr>
            <w:tcW w:w="1972" w:type="dxa"/>
            <w:gridSpan w:val="2"/>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0F21394">
            <w:pPr>
              <w:pStyle w:val="20"/>
            </w:pPr>
            <w:r>
              <w:t>+5,0</w:t>
            </w:r>
          </w:p>
        </w:tc>
        <w:tc>
          <w:tcPr>
            <w:tcW w:w="1224"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1E5F726">
            <w:pPr>
              <w:pStyle w:val="20"/>
            </w:pPr>
          </w:p>
        </w:tc>
        <w:tc>
          <w:tcPr>
            <w:tcW w:w="3457"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E47333E">
            <w:pPr>
              <w:pStyle w:val="20"/>
              <w:jc w:val="both"/>
            </w:pPr>
            <w:r>
              <w:t>用钢尺或带数字显示的卷尺量</w:t>
            </w:r>
          </w:p>
        </w:tc>
      </w:tr>
    </w:tbl>
    <w:p w14:paraId="07D0B3BF">
      <w:pPr>
        <w:pStyle w:val="20"/>
        <w:jc w:val="both"/>
      </w:pPr>
      <w:r>
        <w:t>注： L1为预制底板长边边长。</w:t>
      </w:r>
    </w:p>
    <w:p w14:paraId="6C8C604E">
      <w:pPr>
        <w:pStyle w:val="17"/>
      </w:pPr>
      <w:r>
        <w:rPr>
          <w:rFonts w:hint="eastAsia"/>
          <w:b/>
          <w:bCs/>
        </w:rPr>
        <w:t xml:space="preserve">【5.6.6条文说明】 </w:t>
      </w:r>
      <w:r>
        <w:rPr>
          <w:rFonts w:hint="eastAsia"/>
        </w:rPr>
        <w:t>表5.6.6基于国家标准《装配式混凝土建筑技术标准》GB/T 51231 - 2016 的表9.7.4-1制定，考虑到预制底板的实际尺寸范围，对预制底板长度分档做了调整并细化了允许偏差；当预制底板采用密拼或凹槽连接时，考虑到安装需求，对预制底板宽度应从严控制，表5.6.6 对密拼或凹槽预制底板宽度允许偏差适当加严。采用激光测距仪测量预制底板有关尺寸时，可利用挡板或其他辅助措施固定激光测距仪并配合测量。</w:t>
      </w:r>
    </w:p>
    <w:p w14:paraId="605779D5">
      <w:r>
        <w:rPr>
          <w:rFonts w:hint="eastAsia" w:cs="宋体"/>
          <w:b/>
          <w:bCs/>
          <w:color w:val="000000"/>
          <w:szCs w:val="28"/>
          <w:lang w:bidi="ar"/>
        </w:rPr>
        <w:t xml:space="preserve">5.6.7 </w:t>
      </w:r>
      <w:r>
        <w:rPr>
          <w:rFonts w:hint="eastAsia" w:cs="宋体"/>
          <w:color w:val="333333"/>
          <w:szCs w:val="28"/>
          <w:lang w:bidi="ar"/>
        </w:rPr>
        <w:t>预制底板出厂前应</w:t>
      </w:r>
      <w:r>
        <w:rPr>
          <w:rFonts w:hint="eastAsia" w:cs="Times New Roman"/>
          <w:lang w:bidi="ar"/>
        </w:rPr>
        <w:t>进行</w:t>
      </w:r>
      <w:r>
        <w:rPr>
          <w:rFonts w:hint="eastAsia" w:cs="宋体"/>
          <w:color w:val="333333"/>
          <w:szCs w:val="28"/>
          <w:lang w:bidi="ar"/>
        </w:rPr>
        <w:t>质量检验，质量检验完成后，应完善产品标识合格状态信息，并形成质量证明文件，质量证明文件应包括下列内容：</w:t>
      </w:r>
    </w:p>
    <w:p w14:paraId="16E9D6FE">
      <w:pPr>
        <w:pStyle w:val="18"/>
        <w:ind w:firstLine="482"/>
        <w:rPr>
          <w:rFonts w:hint="default"/>
        </w:rPr>
      </w:pPr>
      <w:r>
        <w:rPr>
          <w:b/>
          <w:bCs/>
        </w:rPr>
        <w:t xml:space="preserve">1 </w:t>
      </w:r>
      <w:r>
        <w:t>出厂合格证；</w:t>
      </w:r>
    </w:p>
    <w:p w14:paraId="23E9965B">
      <w:pPr>
        <w:pStyle w:val="18"/>
        <w:ind w:firstLine="482"/>
        <w:rPr>
          <w:rFonts w:hint="default"/>
        </w:rPr>
      </w:pPr>
      <w:r>
        <w:rPr>
          <w:b/>
          <w:bCs/>
        </w:rPr>
        <w:t>2</w:t>
      </w:r>
      <w:r>
        <w:t xml:space="preserve"> 钢筋和钢筋桁架检验报告；</w:t>
      </w:r>
    </w:p>
    <w:p w14:paraId="5339F0DB">
      <w:pPr>
        <w:pStyle w:val="18"/>
        <w:ind w:firstLine="482"/>
        <w:rPr>
          <w:rFonts w:hint="default"/>
        </w:rPr>
      </w:pPr>
      <w:r>
        <w:rPr>
          <w:b/>
          <w:bCs/>
        </w:rPr>
        <w:t>3</w:t>
      </w:r>
      <w:r>
        <w:t xml:space="preserve"> 混凝土强度检验报告；</w:t>
      </w:r>
    </w:p>
    <w:p w14:paraId="70D9EC8E">
      <w:pPr>
        <w:pStyle w:val="18"/>
        <w:ind w:firstLine="482"/>
        <w:rPr>
          <w:rFonts w:hint="default"/>
        </w:rPr>
      </w:pPr>
      <w:r>
        <w:rPr>
          <w:b/>
          <w:bCs/>
        </w:rPr>
        <w:t xml:space="preserve">4 </w:t>
      </w:r>
      <w:r>
        <w:t>合同要求的其他质量证明文件。</w:t>
      </w:r>
    </w:p>
    <w:p w14:paraId="7354EC1C">
      <w:pPr>
        <w:pStyle w:val="17"/>
      </w:pPr>
      <w:r>
        <w:rPr>
          <w:rFonts w:hint="eastAsia"/>
          <w:b/>
          <w:bCs/>
        </w:rPr>
        <w:t xml:space="preserve">【5.6.7条文说明】 </w:t>
      </w:r>
      <w:r>
        <w:rPr>
          <w:rFonts w:hint="eastAsia"/>
        </w:rPr>
        <w:t>质量证明文件除本条规定的内容外，也可由供需双方协商补充。</w:t>
      </w:r>
    </w:p>
    <w:p w14:paraId="1BF2D700">
      <w:pPr>
        <w:pStyle w:val="17"/>
      </w:pPr>
    </w:p>
    <w:p w14:paraId="4E2ED2F9">
      <w:pPr>
        <w:pStyle w:val="17"/>
      </w:pPr>
    </w:p>
    <w:p w14:paraId="7560683B">
      <w:pPr>
        <w:pStyle w:val="17"/>
      </w:pPr>
    </w:p>
    <w:p w14:paraId="0E8B8E1B">
      <w:pPr>
        <w:pStyle w:val="17"/>
      </w:pPr>
    </w:p>
    <w:p w14:paraId="1AD7603A">
      <w:pPr>
        <w:pStyle w:val="17"/>
      </w:pPr>
    </w:p>
    <w:p w14:paraId="5393504F">
      <w:pPr>
        <w:pStyle w:val="17"/>
      </w:pPr>
    </w:p>
    <w:p w14:paraId="557CCC3A">
      <w:pPr>
        <w:pStyle w:val="17"/>
      </w:pPr>
    </w:p>
    <w:p w14:paraId="2FB3ABA2">
      <w:pPr>
        <w:pStyle w:val="17"/>
      </w:pPr>
    </w:p>
    <w:p w14:paraId="1ACC222C">
      <w:pPr>
        <w:pStyle w:val="17"/>
      </w:pPr>
    </w:p>
    <w:p w14:paraId="2447ADEE">
      <w:pPr>
        <w:pStyle w:val="17"/>
      </w:pPr>
    </w:p>
    <w:p w14:paraId="6CE842EC">
      <w:pPr>
        <w:pStyle w:val="17"/>
      </w:pPr>
    </w:p>
    <w:p w14:paraId="255C522B">
      <w:pPr>
        <w:pStyle w:val="17"/>
      </w:pPr>
    </w:p>
    <w:p w14:paraId="61C90DF7">
      <w:pPr>
        <w:pStyle w:val="17"/>
      </w:pPr>
    </w:p>
    <w:p w14:paraId="7929AE78">
      <w:pPr>
        <w:pStyle w:val="17"/>
      </w:pPr>
    </w:p>
    <w:p w14:paraId="4F172775">
      <w:pPr>
        <w:pStyle w:val="17"/>
      </w:pPr>
    </w:p>
    <w:p w14:paraId="465182B4">
      <w:pPr>
        <w:pStyle w:val="17"/>
      </w:pPr>
    </w:p>
    <w:p w14:paraId="40100D01">
      <w:pPr>
        <w:pStyle w:val="17"/>
      </w:pPr>
    </w:p>
    <w:p w14:paraId="42CFC27E">
      <w:pPr>
        <w:pStyle w:val="17"/>
      </w:pPr>
    </w:p>
    <w:p w14:paraId="37654187">
      <w:pPr>
        <w:pStyle w:val="17"/>
      </w:pPr>
    </w:p>
    <w:p w14:paraId="428FA525">
      <w:pPr>
        <w:pStyle w:val="17"/>
      </w:pPr>
    </w:p>
    <w:p w14:paraId="1BBF52C3">
      <w:pPr>
        <w:pStyle w:val="17"/>
      </w:pPr>
    </w:p>
    <w:p w14:paraId="15D6BFE9">
      <w:pPr>
        <w:pStyle w:val="17"/>
      </w:pPr>
    </w:p>
    <w:p w14:paraId="6A8D028B">
      <w:pPr>
        <w:pStyle w:val="17"/>
      </w:pPr>
    </w:p>
    <w:p w14:paraId="3EA7717A">
      <w:pPr>
        <w:pStyle w:val="17"/>
      </w:pPr>
    </w:p>
    <w:p w14:paraId="38B92D23">
      <w:pPr>
        <w:widowControl/>
        <w:spacing w:line="240" w:lineRule="auto"/>
        <w:jc w:val="left"/>
        <w:rPr>
          <w:rFonts w:cs="华文楷体"/>
          <w:color w:val="2D53A0"/>
          <w:lang w:bidi="ar"/>
        </w:rPr>
      </w:pPr>
      <w:r>
        <w:rPr>
          <w:color w:val="2D53A0"/>
          <w:lang w:bidi="ar"/>
        </w:rPr>
        <w:br w:type="page"/>
      </w:r>
    </w:p>
    <w:p w14:paraId="344C4BB3">
      <w:pPr>
        <w:pStyle w:val="17"/>
        <w:rPr>
          <w:color w:val="2D53A0"/>
          <w:lang w:bidi="ar"/>
        </w:rPr>
      </w:pPr>
    </w:p>
    <w:p w14:paraId="33056D0F">
      <w:pPr>
        <w:pStyle w:val="2"/>
      </w:pPr>
      <w:bookmarkStart w:id="48" w:name="_Toc29107"/>
      <w:r>
        <w:rPr>
          <w:rFonts w:cs="宋体"/>
          <w:color w:val="000000"/>
          <w:szCs w:val="36"/>
        </w:rPr>
        <w:t>6</w:t>
      </w:r>
      <w:r>
        <w:rPr>
          <w:rFonts w:cs="宋体"/>
          <w:b w:val="0"/>
          <w:bCs w:val="0"/>
          <w:color w:val="000000"/>
          <w:szCs w:val="36"/>
        </w:rPr>
        <w:t xml:space="preserve"> </w:t>
      </w:r>
      <w:r>
        <w:rPr>
          <w:rFonts w:cs="宋体"/>
          <w:color w:val="000000"/>
          <w:szCs w:val="36"/>
        </w:rPr>
        <w:t>施工与验收</w:t>
      </w:r>
      <w:bookmarkEnd w:id="48"/>
    </w:p>
    <w:p w14:paraId="7235AE04">
      <w:pPr>
        <w:pStyle w:val="3"/>
        <w:spacing w:before="312" w:after="312"/>
      </w:pPr>
      <w:bookmarkStart w:id="49" w:name="_Toc10859"/>
      <w:r>
        <w:t xml:space="preserve">6.1 </w:t>
      </w:r>
      <w:r>
        <w:rPr>
          <w:rFonts w:hint="eastAsia" w:cs="黑体"/>
        </w:rPr>
        <w:t>一般规定</w:t>
      </w:r>
      <w:bookmarkEnd w:id="49"/>
    </w:p>
    <w:p w14:paraId="1061B9EE">
      <w:r>
        <w:rPr>
          <w:rFonts w:hint="eastAsia" w:cs="宋体"/>
          <w:b/>
          <w:bCs/>
          <w:color w:val="000000"/>
          <w:szCs w:val="28"/>
          <w:lang w:bidi="ar"/>
        </w:rPr>
        <w:t xml:space="preserve">6.1.1 </w:t>
      </w:r>
      <w:r>
        <w:rPr>
          <w:rFonts w:hint="eastAsia" w:cs="宋体"/>
          <w:color w:val="000000"/>
          <w:szCs w:val="28"/>
          <w:lang w:bidi="ar"/>
        </w:rPr>
        <w:t>预制底板吊装施工前应</w:t>
      </w:r>
      <w:r>
        <w:rPr>
          <w:rFonts w:hint="eastAsia" w:cs="Times New Roman"/>
          <w:lang w:bidi="ar"/>
        </w:rPr>
        <w:t>编制包含</w:t>
      </w:r>
      <w:r>
        <w:rPr>
          <w:rFonts w:hint="eastAsia" w:cs="宋体"/>
          <w:color w:val="000000"/>
          <w:szCs w:val="28"/>
          <w:lang w:bidi="ar"/>
        </w:rPr>
        <w:t>保障安全措施的专项施工方案，并应对施工人员进行质量安全技术交底。</w:t>
      </w:r>
    </w:p>
    <w:p w14:paraId="10269749">
      <w:pPr>
        <w:pStyle w:val="17"/>
      </w:pPr>
      <w:r>
        <w:rPr>
          <w:b/>
          <w:bCs/>
          <w:lang w:bidi="ar"/>
        </w:rPr>
        <w:t xml:space="preserve">【6.1.1条文说明】 </w:t>
      </w:r>
      <w:r>
        <w:rPr>
          <w:lang w:bidi="ar"/>
        </w:rPr>
        <w:t>专项施工方案应按规定程序审批。专项施工方案应包含施工现场平面布置、预制底板场内转运路线、道路条件及吊装方案等；对涉及结构安全和人身安全的内容，应有明确的规定和相应的措施。对施工人员进行技术交底时，应确保施工人员正确理解斜插筋和连接钢筋的加工及布置要求。</w:t>
      </w:r>
    </w:p>
    <w:p w14:paraId="33868B5C">
      <w:pPr>
        <w:rPr>
          <w:rFonts w:cs="宋体"/>
          <w:color w:val="000000"/>
          <w:szCs w:val="28"/>
        </w:rPr>
      </w:pPr>
      <w:r>
        <w:rPr>
          <w:rFonts w:hint="eastAsia" w:cs="宋体"/>
          <w:b/>
          <w:bCs/>
          <w:color w:val="000000"/>
          <w:szCs w:val="28"/>
          <w:lang w:bidi="ar"/>
        </w:rPr>
        <w:t xml:space="preserve">6.1.2 </w:t>
      </w:r>
      <w:r>
        <w:rPr>
          <w:rFonts w:hint="eastAsia" w:cs="宋体"/>
          <w:color w:val="000000"/>
          <w:szCs w:val="28"/>
          <w:lang w:bidi="ar"/>
        </w:rPr>
        <w:t>施工过程中，不应在预制底板上集中堆放大量施工材料，不应使预制底板承受较大的冲击荷载，施工材料自重及施工荷载不应大于设计允许值。板端凹槽部位禁止堆放施工材料。</w:t>
      </w:r>
    </w:p>
    <w:p w14:paraId="4B9D18F8">
      <w:pPr>
        <w:pStyle w:val="17"/>
      </w:pPr>
      <w:r>
        <w:rPr>
          <w:b/>
          <w:bCs/>
          <w:lang w:bidi="ar"/>
        </w:rPr>
        <w:t>【6.1.2条文说明】</w:t>
      </w:r>
      <w:r>
        <w:rPr>
          <w:rFonts w:hint="eastAsia"/>
          <w:lang w:bidi="ar"/>
        </w:rPr>
        <w:t xml:space="preserve"> </w:t>
      </w:r>
      <w:r>
        <w:rPr>
          <w:lang w:bidi="ar"/>
        </w:rPr>
        <w:t>设计允许值由设计明确，当设计不明确时，按施工标准确定。</w:t>
      </w:r>
    </w:p>
    <w:p w14:paraId="64D3C60C">
      <w:pPr>
        <w:rPr>
          <w:rFonts w:cs="宋体"/>
          <w:color w:val="000000"/>
          <w:szCs w:val="28"/>
        </w:rPr>
      </w:pPr>
      <w:r>
        <w:rPr>
          <w:rFonts w:hint="eastAsia" w:cs="宋体"/>
          <w:b/>
          <w:bCs/>
          <w:color w:val="000000"/>
          <w:szCs w:val="28"/>
          <w:lang w:bidi="ar"/>
        </w:rPr>
        <w:t xml:space="preserve">6.1.3 </w:t>
      </w:r>
      <w:r>
        <w:rPr>
          <w:rFonts w:hint="eastAsia" w:cs="宋体"/>
          <w:color w:val="000000"/>
          <w:szCs w:val="28"/>
          <w:lang w:bidi="ar"/>
        </w:rPr>
        <w:t>施工现场的运输道路、堆放场地、吊装、现浇层预埋水电管线等应符合现行国家标准《装配式混凝土建筑技术标准》GB/T 51231 的有关规定。</w:t>
      </w:r>
    </w:p>
    <w:p w14:paraId="2B61A00A">
      <w:r>
        <w:rPr>
          <w:rFonts w:hint="eastAsia" w:cs="宋体"/>
          <w:b/>
          <w:bCs/>
          <w:color w:val="000000"/>
          <w:szCs w:val="28"/>
          <w:lang w:bidi="ar"/>
        </w:rPr>
        <w:t xml:space="preserve">6.1.4 </w:t>
      </w:r>
      <w:r>
        <w:rPr>
          <w:rFonts w:hint="eastAsia" w:cs="Times New Roman"/>
          <w:lang w:bidi="ar"/>
        </w:rPr>
        <w:t>未经设计允许不得对预制底板进行切割、开洞。</w:t>
      </w:r>
    </w:p>
    <w:p w14:paraId="5B4565C4">
      <w:pPr>
        <w:pStyle w:val="3"/>
        <w:spacing w:before="312" w:after="312"/>
      </w:pPr>
      <w:bookmarkStart w:id="50" w:name="_Toc7805"/>
      <w:r>
        <w:t xml:space="preserve">6.2 </w:t>
      </w:r>
      <w:r>
        <w:rPr>
          <w:rFonts w:hint="eastAsia" w:cs="黑体"/>
        </w:rPr>
        <w:t>预制底板安装准备</w:t>
      </w:r>
      <w:bookmarkEnd w:id="50"/>
    </w:p>
    <w:p w14:paraId="105DEAA5">
      <w:r>
        <w:rPr>
          <w:rFonts w:hint="eastAsia" w:cs="宋体"/>
          <w:b/>
          <w:bCs/>
          <w:color w:val="000000"/>
          <w:szCs w:val="28"/>
          <w:lang w:bidi="ar"/>
        </w:rPr>
        <w:t xml:space="preserve">6.2.1 </w:t>
      </w:r>
      <w:r>
        <w:rPr>
          <w:rFonts w:hint="eastAsia" w:cs="宋体"/>
          <w:bCs/>
          <w:color w:val="000000"/>
          <w:szCs w:val="28"/>
          <w:lang w:bidi="ar"/>
        </w:rPr>
        <w:t>安</w:t>
      </w:r>
      <w:r>
        <w:rPr>
          <w:rFonts w:hint="eastAsia" w:cs="宋体"/>
          <w:color w:val="000000"/>
          <w:szCs w:val="28"/>
          <w:lang w:bidi="ar"/>
        </w:rPr>
        <w:t>装作业前应明确吊装次序，核对预制底板的规格和编号。</w:t>
      </w:r>
    </w:p>
    <w:p w14:paraId="7DFF78A1">
      <w:pPr>
        <w:rPr>
          <w:rFonts w:cs="宋体"/>
          <w:color w:val="000000"/>
          <w:szCs w:val="28"/>
        </w:rPr>
      </w:pPr>
      <w:r>
        <w:rPr>
          <w:rFonts w:hint="eastAsia" w:cs="宋体"/>
          <w:b/>
          <w:bCs/>
          <w:color w:val="000000"/>
          <w:szCs w:val="28"/>
          <w:lang w:bidi="ar"/>
        </w:rPr>
        <w:t xml:space="preserve">6.2.2 </w:t>
      </w:r>
      <w:r>
        <w:rPr>
          <w:rFonts w:hint="eastAsia" w:cs="宋体"/>
          <w:color w:val="000000"/>
          <w:szCs w:val="28"/>
          <w:lang w:bidi="ar"/>
        </w:rPr>
        <w:t>安装作业前应进行测量放线、</w:t>
      </w:r>
      <w:r>
        <w:rPr>
          <w:rFonts w:hint="eastAsia" w:cs="Times New Roman"/>
          <w:lang w:bidi="ar"/>
        </w:rPr>
        <w:t>设置</w:t>
      </w:r>
      <w:r>
        <w:rPr>
          <w:rFonts w:hint="eastAsia" w:cs="宋体"/>
          <w:color w:val="000000"/>
          <w:szCs w:val="28"/>
          <w:lang w:bidi="ar"/>
        </w:rPr>
        <w:t>预制底板安装定位标识。测量放线应符合现行国家标准《工程测量规范》GB 50026的有关规定。</w:t>
      </w:r>
    </w:p>
    <w:p w14:paraId="4CC3BDA3">
      <w:pPr>
        <w:pStyle w:val="17"/>
      </w:pPr>
      <w:r>
        <w:rPr>
          <w:b/>
          <w:bCs/>
          <w:lang w:bidi="ar"/>
        </w:rPr>
        <w:t>【6.2.2条文说明】 为</w:t>
      </w:r>
      <w:r>
        <w:rPr>
          <w:lang w:bidi="ar"/>
        </w:rPr>
        <w:t>了保证预制底板安装就位准确，吊装前应在预制底板和相应的安装位置上做出必要的控制标志。</w:t>
      </w:r>
    </w:p>
    <w:p w14:paraId="0C4EE784">
      <w:r>
        <w:rPr>
          <w:rFonts w:hint="eastAsia" w:cs="宋体"/>
          <w:b/>
          <w:bCs/>
          <w:color w:val="000000"/>
          <w:szCs w:val="28"/>
          <w:lang w:bidi="ar"/>
        </w:rPr>
        <w:t xml:space="preserve">6.2.3 </w:t>
      </w:r>
      <w:r>
        <w:rPr>
          <w:rFonts w:hint="eastAsia" w:cs="宋体"/>
          <w:color w:val="000000"/>
          <w:szCs w:val="28"/>
          <w:lang w:bidi="ar"/>
        </w:rPr>
        <w:t>安装作业前应复核吊装设备的吊装能力。应按现行行业标准《建筑机械使用安全技术规程》JGJ 33的规定，检查复核吊装设备及吊具处于安全操作状态，确认现场环境、天气、道路状况等满足吊装施工要求。</w:t>
      </w:r>
    </w:p>
    <w:p w14:paraId="4A146980">
      <w:r>
        <w:rPr>
          <w:rFonts w:hint="eastAsia" w:cs="宋体"/>
          <w:b/>
          <w:bCs/>
          <w:color w:val="000000"/>
          <w:szCs w:val="28"/>
          <w:lang w:bidi="ar"/>
        </w:rPr>
        <w:t xml:space="preserve">6.2.4 </w:t>
      </w:r>
      <w:r>
        <w:rPr>
          <w:rFonts w:hint="eastAsia" w:cs="宋体"/>
          <w:color w:val="000000"/>
          <w:szCs w:val="28"/>
          <w:lang w:bidi="ar"/>
        </w:rPr>
        <w:t>吊装作业区应设置警戒线和警戒标识，实施隔离封闭管理；对无法隔离封闭的，应采取专项防护措施。</w:t>
      </w:r>
    </w:p>
    <w:p w14:paraId="0C203655">
      <w:pPr>
        <w:pStyle w:val="3"/>
        <w:spacing w:before="312" w:after="312"/>
      </w:pPr>
      <w:bookmarkStart w:id="51" w:name="_Toc23748"/>
      <w:r>
        <w:t xml:space="preserve">6.3 </w:t>
      </w:r>
      <w:r>
        <w:rPr>
          <w:rFonts w:hint="eastAsia" w:cs="黑体"/>
        </w:rPr>
        <w:t>预制底板安装与连接</w:t>
      </w:r>
      <w:bookmarkEnd w:id="51"/>
    </w:p>
    <w:p w14:paraId="4AD124C2">
      <w:r>
        <w:rPr>
          <w:rFonts w:hint="eastAsia" w:cs="宋体"/>
          <w:b/>
          <w:bCs/>
          <w:color w:val="000000"/>
          <w:szCs w:val="28"/>
          <w:lang w:bidi="ar"/>
        </w:rPr>
        <w:t>6.3.1</w:t>
      </w:r>
      <w:r>
        <w:rPr>
          <w:rFonts w:hint="eastAsia" w:cs="宋体"/>
          <w:b/>
          <w:bCs/>
          <w:color w:val="000000"/>
          <w:sz w:val="21"/>
          <w:szCs w:val="21"/>
          <w:lang w:bidi="ar"/>
        </w:rPr>
        <w:t xml:space="preserve"> </w:t>
      </w:r>
      <w:r>
        <w:rPr>
          <w:rFonts w:hint="eastAsia" w:cs="宋体"/>
          <w:color w:val="000000"/>
          <w:szCs w:val="28"/>
          <w:lang w:bidi="ar"/>
        </w:rPr>
        <w:t>预制底板起吊脱离运输</w:t>
      </w:r>
      <w:r>
        <w:rPr>
          <w:rFonts w:hint="eastAsia" w:cs="Times New Roman"/>
          <w:lang w:bidi="ar"/>
        </w:rPr>
        <w:t>车辆</w:t>
      </w:r>
      <w:r>
        <w:rPr>
          <w:rFonts w:hint="eastAsia" w:cs="宋体"/>
          <w:color w:val="000000"/>
          <w:szCs w:val="28"/>
          <w:lang w:bidi="ar"/>
        </w:rPr>
        <w:t>或堆放点时，应适当停顿，确认起吊系统安全可靠后方可继续提升。</w:t>
      </w:r>
    </w:p>
    <w:p w14:paraId="547C0410">
      <w:pPr>
        <w:pStyle w:val="17"/>
      </w:pPr>
      <w:r>
        <w:rPr>
          <w:b/>
          <w:bCs/>
          <w:lang w:bidi="ar"/>
        </w:rPr>
        <w:t xml:space="preserve">【6.3.1条文说明】 </w:t>
      </w:r>
      <w:r>
        <w:rPr>
          <w:lang w:bidi="ar"/>
        </w:rPr>
        <w:t>开始起吊时，将预制构件吊离运输车辆或堆放点200mm~300mm后停止起吊，检查预制构件平衡性和吊点位置情况、起重设备的稳定性、制动系统的可靠性等，确认系统安全可靠后方可继续起吊。</w:t>
      </w:r>
    </w:p>
    <w:p w14:paraId="34B4AEA2">
      <w:r>
        <w:rPr>
          <w:rFonts w:hint="eastAsia" w:cs="宋体"/>
          <w:b/>
          <w:bCs/>
          <w:color w:val="000000"/>
          <w:szCs w:val="28"/>
          <w:lang w:bidi="ar"/>
        </w:rPr>
        <w:t>6.3.2</w:t>
      </w:r>
      <w:r>
        <w:rPr>
          <w:rFonts w:hint="eastAsia" w:cs="宋体"/>
          <w:b/>
          <w:bCs/>
          <w:color w:val="000000"/>
          <w:sz w:val="21"/>
          <w:szCs w:val="21"/>
          <w:lang w:bidi="ar"/>
        </w:rPr>
        <w:t xml:space="preserve"> </w:t>
      </w:r>
      <w:r>
        <w:rPr>
          <w:rFonts w:hint="eastAsia" w:cs="宋体"/>
          <w:color w:val="000000"/>
          <w:szCs w:val="28"/>
          <w:lang w:bidi="ar"/>
        </w:rPr>
        <w:t>预制底板起吊、移动、就位、安装等全过程应符合现行国家标准《装配式混凝土建筑技术标准》GB/T 51231 的有关规定。预制底板如需调整就位，必须重新起吊后进行。</w:t>
      </w:r>
    </w:p>
    <w:p w14:paraId="129C4802">
      <w:r>
        <w:rPr>
          <w:rFonts w:hint="eastAsia" w:cs="宋体"/>
          <w:b/>
          <w:bCs/>
          <w:color w:val="000000"/>
          <w:szCs w:val="28"/>
          <w:lang w:bidi="ar"/>
        </w:rPr>
        <w:t xml:space="preserve">6.3.3 </w:t>
      </w:r>
      <w:r>
        <w:rPr>
          <w:rFonts w:hint="eastAsia" w:cs="宋体"/>
          <w:color w:val="000000"/>
          <w:szCs w:val="28"/>
          <w:lang w:bidi="ar"/>
        </w:rPr>
        <w:t>在预制</w:t>
      </w:r>
      <w:r>
        <w:rPr>
          <w:rFonts w:hint="eastAsia" w:cs="Times New Roman"/>
          <w:lang w:bidi="ar"/>
        </w:rPr>
        <w:t>底板</w:t>
      </w:r>
      <w:r>
        <w:rPr>
          <w:rFonts w:hint="eastAsia" w:cs="宋体"/>
          <w:color w:val="000000"/>
          <w:szCs w:val="28"/>
          <w:lang w:bidi="ar"/>
        </w:rPr>
        <w:t>定位校准和临时支撑安装完成前不得拆除吊具。</w:t>
      </w:r>
    </w:p>
    <w:p w14:paraId="10832F53">
      <w:r>
        <w:rPr>
          <w:rFonts w:hint="eastAsia" w:cs="宋体"/>
          <w:b/>
          <w:bCs/>
          <w:color w:val="000000"/>
          <w:szCs w:val="28"/>
          <w:lang w:bidi="ar"/>
        </w:rPr>
        <w:t xml:space="preserve">6.3.4 </w:t>
      </w:r>
      <w:r>
        <w:rPr>
          <w:rFonts w:hint="eastAsia" w:cs="宋体"/>
          <w:color w:val="000000"/>
          <w:szCs w:val="28"/>
          <w:lang w:bidi="ar"/>
        </w:rPr>
        <w:t>预制底板安装的临时支撑除应符合本规程第 4.2.9 条规定外，尚应符合现行国家标准《装配式混凝土建筑技术标准》GB /T 51231 的有关规定。</w:t>
      </w:r>
    </w:p>
    <w:p w14:paraId="13BB3848">
      <w:r>
        <w:rPr>
          <w:rFonts w:hint="eastAsia" w:cs="宋体"/>
          <w:b/>
          <w:bCs/>
          <w:color w:val="000000"/>
          <w:szCs w:val="28"/>
          <w:lang w:bidi="ar"/>
        </w:rPr>
        <w:t>6.3.5</w:t>
      </w:r>
      <w:r>
        <w:rPr>
          <w:rFonts w:hint="eastAsia" w:cs="宋体"/>
          <w:color w:val="000000"/>
          <w:sz w:val="21"/>
          <w:szCs w:val="21"/>
          <w:lang w:bidi="ar"/>
        </w:rPr>
        <w:t xml:space="preserve"> </w:t>
      </w:r>
      <w:r>
        <w:rPr>
          <w:rFonts w:hint="eastAsia" w:cs="宋体"/>
          <w:color w:val="000000"/>
          <w:szCs w:val="28"/>
          <w:lang w:bidi="ar"/>
        </w:rPr>
        <w:t>采用凹槽拼接或后浇带式整体接缝时，宜采用工具式支架和定型模板。模板与预制底板接缝处应采用粘贴密封</w:t>
      </w:r>
      <w:r>
        <w:rPr>
          <w:rFonts w:hint="eastAsia" w:cs="宋体"/>
          <w:color w:val="333333"/>
          <w:szCs w:val="28"/>
          <w:lang w:bidi="ar"/>
        </w:rPr>
        <w:t>胶</w:t>
      </w:r>
      <w:r>
        <w:rPr>
          <w:rFonts w:hint="eastAsia" w:cs="宋体"/>
          <w:color w:val="000000"/>
          <w:szCs w:val="28"/>
          <w:lang w:bidi="ar"/>
        </w:rPr>
        <w:t>条等措施防止漏浆，安装过程中不得破坏密封胶条。</w:t>
      </w:r>
    </w:p>
    <w:p w14:paraId="106ACD51">
      <w:pPr>
        <w:rPr>
          <w:rFonts w:cs="宋体"/>
          <w:color w:val="333333"/>
          <w:szCs w:val="28"/>
        </w:rPr>
      </w:pPr>
      <w:r>
        <w:rPr>
          <w:rFonts w:hint="eastAsia" w:cs="宋体"/>
          <w:b/>
          <w:bCs/>
          <w:color w:val="333333"/>
          <w:szCs w:val="28"/>
          <w:lang w:bidi="ar"/>
        </w:rPr>
        <w:t xml:space="preserve">6.3.6 </w:t>
      </w:r>
      <w:r>
        <w:rPr>
          <w:rFonts w:hint="eastAsia" w:cs="宋体"/>
          <w:color w:val="333333"/>
          <w:szCs w:val="28"/>
          <w:lang w:bidi="ar"/>
        </w:rPr>
        <w:t>预制底板吊装前，宜先绑扎梁钢筋。在预制底板斜插筋或连接钢筋施工完成后，方可进行板面钢筋的施工。</w:t>
      </w:r>
    </w:p>
    <w:p w14:paraId="6C5367E0">
      <w:pPr>
        <w:rPr>
          <w:rFonts w:cs="宋体"/>
          <w:color w:val="333333"/>
          <w:szCs w:val="28"/>
          <w:lang w:bidi="ar"/>
        </w:rPr>
      </w:pPr>
      <w:r>
        <w:rPr>
          <w:rFonts w:hint="eastAsia" w:cs="宋体"/>
          <w:b/>
          <w:bCs/>
          <w:color w:val="333333"/>
          <w:szCs w:val="28"/>
          <w:lang w:bidi="ar"/>
        </w:rPr>
        <w:t xml:space="preserve">6.3.7 </w:t>
      </w:r>
      <w:r>
        <w:rPr>
          <w:rFonts w:hint="eastAsia" w:cs="宋体"/>
          <w:color w:val="333333"/>
          <w:szCs w:val="28"/>
          <w:lang w:bidi="ar"/>
        </w:rPr>
        <w:t>采用斜插筋连接时，应确保预留斜插筋孔洞畅通。</w:t>
      </w:r>
    </w:p>
    <w:p w14:paraId="56C4F934">
      <w:pPr>
        <w:pStyle w:val="17"/>
      </w:pPr>
      <w:r>
        <w:rPr>
          <w:b/>
          <w:bCs/>
        </w:rPr>
        <w:t>【6.3.1条文说明】</w:t>
      </w:r>
      <w:r>
        <w:t xml:space="preserve"> </w:t>
      </w:r>
      <w:r>
        <w:rPr>
          <w:rFonts w:hint="eastAsia"/>
        </w:rPr>
        <w:t>若孔洞堵塞，应采用疏通高压气枪或电钻等工具清理，严禁疏通过程中破坏孔壁。</w:t>
      </w:r>
    </w:p>
    <w:p w14:paraId="5D993168">
      <w:pPr>
        <w:rPr>
          <w:rFonts w:cs="宋体"/>
          <w:color w:val="333333"/>
          <w:szCs w:val="28"/>
        </w:rPr>
      </w:pPr>
      <w:r>
        <w:rPr>
          <w:rFonts w:hint="eastAsia" w:cs="宋体"/>
          <w:b/>
          <w:bCs/>
          <w:color w:val="333333"/>
          <w:szCs w:val="28"/>
          <w:lang w:bidi="ar"/>
        </w:rPr>
        <w:t xml:space="preserve">6.3.8 </w:t>
      </w:r>
      <w:r>
        <w:rPr>
          <w:rFonts w:hint="eastAsia" w:cs="宋体"/>
          <w:color w:val="333333"/>
          <w:szCs w:val="28"/>
          <w:lang w:bidi="ar"/>
        </w:rPr>
        <w:t>采用凹槽连接或凹槽拼缝连接时，应将凹槽清理干净，且不得积水。</w:t>
      </w:r>
    </w:p>
    <w:p w14:paraId="590943BD">
      <w:pPr>
        <w:pStyle w:val="3"/>
        <w:spacing w:before="312" w:after="312"/>
      </w:pPr>
      <w:bookmarkStart w:id="52" w:name="_Toc13033"/>
      <w:r>
        <w:t xml:space="preserve">6.4 </w:t>
      </w:r>
      <w:r>
        <w:rPr>
          <w:rFonts w:hint="eastAsia" w:cs="黑体"/>
        </w:rPr>
        <w:t>混凝土浇筑</w:t>
      </w:r>
      <w:bookmarkEnd w:id="52"/>
    </w:p>
    <w:p w14:paraId="53788526">
      <w:r>
        <w:rPr>
          <w:rFonts w:hint="eastAsia" w:cs="宋体"/>
          <w:b/>
          <w:bCs/>
          <w:color w:val="000000"/>
          <w:szCs w:val="28"/>
          <w:lang w:bidi="ar"/>
        </w:rPr>
        <w:t>6.4.1</w:t>
      </w:r>
      <w:r>
        <w:rPr>
          <w:rFonts w:hint="eastAsia" w:cs="宋体"/>
          <w:b/>
          <w:bCs/>
          <w:color w:val="000000"/>
          <w:sz w:val="21"/>
          <w:szCs w:val="21"/>
          <w:lang w:bidi="ar"/>
        </w:rPr>
        <w:t xml:space="preserve"> </w:t>
      </w:r>
      <w:r>
        <w:rPr>
          <w:rFonts w:hint="eastAsia" w:cs="宋体"/>
          <w:color w:val="000000"/>
          <w:szCs w:val="28"/>
          <w:lang w:bidi="ar"/>
        </w:rPr>
        <w:t>预制底板板面钢筋、斜插筋、连接钢筋的牌号、规格和数量应符合设计文件的规定。</w:t>
      </w:r>
    </w:p>
    <w:p w14:paraId="5198D453">
      <w:r>
        <w:rPr>
          <w:b/>
          <w:bCs/>
          <w:color w:val="000000"/>
          <w:lang w:bidi="ar"/>
        </w:rPr>
        <w:t xml:space="preserve">6.4.2 </w:t>
      </w:r>
      <w:r>
        <w:rPr>
          <w:lang w:bidi="ar"/>
        </w:rPr>
        <w:t>斜插筋连接及凹槽连接处附近，混凝土应进行二次振捣，并采取措施防止模板移位。</w:t>
      </w:r>
    </w:p>
    <w:p w14:paraId="6F1665F7">
      <w:r>
        <w:rPr>
          <w:rFonts w:hint="eastAsia" w:cs="宋体"/>
          <w:b/>
          <w:bCs/>
          <w:color w:val="000000"/>
          <w:szCs w:val="28"/>
          <w:lang w:bidi="ar"/>
        </w:rPr>
        <w:t xml:space="preserve">6.4.3 </w:t>
      </w:r>
      <w:r>
        <w:rPr>
          <w:rFonts w:hint="eastAsia" w:cs="宋体"/>
          <w:color w:val="000000"/>
          <w:szCs w:val="28"/>
          <w:lang w:bidi="ar"/>
        </w:rPr>
        <w:t>采用泵送混凝土浇筑时，应采取措施防止泵送设备超重或冲击力过大影响预制底板及临时支撑的安全。</w:t>
      </w:r>
    </w:p>
    <w:p w14:paraId="4952B190">
      <w:r>
        <w:rPr>
          <w:rFonts w:hint="eastAsia" w:cs="宋体"/>
          <w:b/>
          <w:bCs/>
          <w:color w:val="000000"/>
          <w:szCs w:val="28"/>
          <w:lang w:bidi="ar"/>
        </w:rPr>
        <w:t xml:space="preserve">6.4.4 </w:t>
      </w:r>
      <w:r>
        <w:rPr>
          <w:rFonts w:hint="eastAsia" w:cs="Times New Roman"/>
          <w:lang w:bidi="ar"/>
        </w:rPr>
        <w:t>混凝土浇筑后12h内应进行覆盖养护或洒水养护。当日平均气温低于5℃ 时，宜采用覆盖薄膜养护，养护时间不少于7d 。</w:t>
      </w:r>
    </w:p>
    <w:p w14:paraId="0472AC78">
      <w:r>
        <w:rPr>
          <w:rFonts w:hint="eastAsia" w:cs="宋体"/>
          <w:b/>
          <w:bCs/>
          <w:color w:val="000000"/>
          <w:szCs w:val="28"/>
          <w:lang w:bidi="ar"/>
        </w:rPr>
        <w:t xml:space="preserve">6.4.5 </w:t>
      </w:r>
      <w:r>
        <w:rPr>
          <w:rFonts w:hint="eastAsia" w:cs="宋体"/>
          <w:color w:val="000000"/>
          <w:szCs w:val="28"/>
          <w:lang w:bidi="ar"/>
        </w:rPr>
        <w:t>临时支撑拆除时，叠合层的混凝土强度应符合现行国家标准《混凝土结构工程施工规范》GB 50666 的有关规定。</w:t>
      </w:r>
    </w:p>
    <w:p w14:paraId="3E4F3230">
      <w:pPr>
        <w:pStyle w:val="17"/>
      </w:pPr>
      <w:r>
        <w:rPr>
          <w:b/>
          <w:bCs/>
          <w:lang w:bidi="ar"/>
        </w:rPr>
        <w:t xml:space="preserve">【6.4.5条文说明】 </w:t>
      </w:r>
      <w:r>
        <w:rPr>
          <w:lang w:bidi="ar"/>
        </w:rPr>
        <w:t>临时支撑架体的拆除应严格按照施工方案执行。临时支撑架体拆除时，要检查支撑对象即预制底板的连接情况，确认其已与主体结构形成稳定的受力体系后，方可拆除临时支撑架体。</w:t>
      </w:r>
    </w:p>
    <w:p w14:paraId="7F4536EC">
      <w:r>
        <w:rPr>
          <w:rFonts w:hint="eastAsia" w:cs="宋体"/>
          <w:b/>
          <w:bCs/>
          <w:color w:val="000000"/>
          <w:szCs w:val="28"/>
          <w:lang w:bidi="ar"/>
        </w:rPr>
        <w:t xml:space="preserve">6.4.6 </w:t>
      </w:r>
      <w:r>
        <w:rPr>
          <w:rFonts w:hint="eastAsia" w:cs="宋体"/>
          <w:color w:val="000000"/>
          <w:szCs w:val="28"/>
          <w:lang w:bidi="ar"/>
        </w:rPr>
        <w:t>密拼式接缝、</w:t>
      </w:r>
      <w:r>
        <w:rPr>
          <w:rFonts w:hint="eastAsia" w:cs="宋体"/>
          <w:color w:val="333333"/>
          <w:szCs w:val="28"/>
          <w:lang w:bidi="ar"/>
        </w:rPr>
        <w:t>凹槽拼缝应进行嵌缝处理。</w:t>
      </w:r>
      <w:r>
        <w:rPr>
          <w:rFonts w:hint="eastAsia" w:cs="宋体"/>
          <w:color w:val="000000"/>
          <w:szCs w:val="28"/>
          <w:lang w:bidi="ar"/>
        </w:rPr>
        <w:t>嵌填施工</w:t>
      </w:r>
      <w:r>
        <w:rPr>
          <w:rFonts w:hint="eastAsia" w:cs="Times New Roman"/>
          <w:color w:val="000000"/>
          <w:lang w:bidi="ar"/>
        </w:rPr>
        <w:t>应在临时支撑拆除后进行，并确保接缝间无浮浆或杂物，同时</w:t>
      </w:r>
      <w:r>
        <w:rPr>
          <w:rFonts w:hint="eastAsia" w:cs="宋体"/>
          <w:color w:val="000000"/>
          <w:szCs w:val="28"/>
          <w:lang w:bidi="ar"/>
        </w:rPr>
        <w:t>应满足设计文件的规定。</w:t>
      </w:r>
    </w:p>
    <w:p w14:paraId="1D58F39F">
      <w:pPr>
        <w:pStyle w:val="17"/>
      </w:pPr>
      <w:r>
        <w:rPr>
          <w:b/>
          <w:bCs/>
          <w:lang w:bidi="ar"/>
        </w:rPr>
        <w:t xml:space="preserve">【6.4.6条文说明】 </w:t>
      </w:r>
      <w:r>
        <w:rPr>
          <w:lang w:bidi="ar"/>
        </w:rPr>
        <w:t>当采用凹槽拼缝时应满足本规程第4.4节的相关要求。当采用密拼式接缝时应满足国家相关规范的要求。</w:t>
      </w:r>
    </w:p>
    <w:p w14:paraId="7886E636">
      <w:pPr>
        <w:pStyle w:val="3"/>
        <w:spacing w:before="312" w:after="312"/>
      </w:pPr>
      <w:bookmarkStart w:id="53" w:name="_Toc7233"/>
      <w:r>
        <w:t xml:space="preserve">6.5 </w:t>
      </w:r>
      <w:r>
        <w:rPr>
          <w:rFonts w:hint="eastAsia" w:cs="黑体"/>
        </w:rPr>
        <w:t>质量验收</w:t>
      </w:r>
      <w:bookmarkEnd w:id="53"/>
    </w:p>
    <w:p w14:paraId="6A3AA272">
      <w:pPr>
        <w:jc w:val="center"/>
        <w:rPr>
          <w:rFonts w:hint="eastAsia" w:ascii="仿宋" w:hAnsi="仿宋" w:eastAsia="仿宋" w:cs="仿宋"/>
          <w:lang w:bidi="ar"/>
        </w:rPr>
      </w:pPr>
      <w:r>
        <w:rPr>
          <w:rFonts w:hint="eastAsia" w:ascii="仿宋" w:hAnsi="仿宋" w:eastAsia="仿宋" w:cs="仿宋"/>
          <w:lang w:bidi="ar"/>
        </w:rPr>
        <w:t>I 一般规定</w:t>
      </w:r>
    </w:p>
    <w:p w14:paraId="6676E0EE">
      <w:pPr>
        <w:autoSpaceDE w:val="0"/>
        <w:autoSpaceDN w:val="0"/>
        <w:adjustRightInd w:val="0"/>
        <w:jc w:val="left"/>
      </w:pPr>
      <w:r>
        <w:rPr>
          <w:rFonts w:hint="eastAsia" w:cs="宋体"/>
          <w:b/>
          <w:bCs/>
          <w:color w:val="000000"/>
          <w:szCs w:val="28"/>
          <w:lang w:bidi="ar"/>
        </w:rPr>
        <w:t>6.5.1</w:t>
      </w:r>
      <w:r>
        <w:rPr>
          <w:rFonts w:hint="eastAsia" w:cs="宋体"/>
          <w:b/>
          <w:bCs/>
          <w:color w:val="000000"/>
          <w:sz w:val="21"/>
          <w:szCs w:val="21"/>
          <w:lang w:bidi="ar"/>
        </w:rPr>
        <w:t xml:space="preserve"> </w:t>
      </w:r>
      <w:r>
        <w:rPr>
          <w:rFonts w:hint="eastAsia" w:cs="宋体"/>
          <w:color w:val="333333"/>
          <w:szCs w:val="28"/>
          <w:lang w:bidi="ar"/>
        </w:rPr>
        <w:t>不出筋</w:t>
      </w:r>
      <w:r>
        <w:rPr>
          <w:rFonts w:hint="eastAsia" w:cs="宋体"/>
          <w:color w:val="000000"/>
          <w:szCs w:val="28"/>
          <w:lang w:bidi="ar"/>
        </w:rPr>
        <w:t>叠合板施工应按现行国家标准《混凝土结构工程施工质量验收规范》GB 50204的有关规定进行分项工程和检验批的划分和质量验收。</w:t>
      </w:r>
    </w:p>
    <w:p w14:paraId="799FEB6A">
      <w:pPr>
        <w:pStyle w:val="17"/>
      </w:pPr>
      <w:r>
        <w:rPr>
          <w:b/>
          <w:bCs/>
          <w:lang w:bidi="ar"/>
        </w:rPr>
        <w:t>【6.5.1条文说明】</w:t>
      </w:r>
      <w:r>
        <w:rPr>
          <w:lang w:bidi="ar"/>
        </w:rPr>
        <w:t xml:space="preserve"> 按照现行国家标准《混凝土结构工程施工质量验收规范》GB 50204，不出筋叠合板施工包含模板分项工程、钢筋分项工程、混凝土分项工程、现浇结构分项工程和装配式结构分项工程。其中，模板分项工程包括模板、支架、临时支撑等内容；钢筋分项工程包括板面钢筋、斜插筋、连接钢筋等内容；混凝土分项工程包括后浇混凝土、养护等内容；现浇结构分项工程包括现浇混凝土部分的外观质量、尺寸偏差等内容；装配式结构分项工程包括预制底板、吊装、连接、凹槽拼缝等内容。这些内容共同构成混凝土结构子分部工程中不出筋叠合板施工的验收内容。</w:t>
      </w:r>
    </w:p>
    <w:p w14:paraId="0717435D">
      <w:r>
        <w:rPr>
          <w:rFonts w:hint="eastAsia" w:cs="宋体"/>
          <w:b/>
          <w:bCs/>
          <w:color w:val="000000"/>
          <w:szCs w:val="28"/>
          <w:lang w:bidi="ar"/>
        </w:rPr>
        <w:t xml:space="preserve">6.5.2 </w:t>
      </w:r>
      <w:r>
        <w:rPr>
          <w:rFonts w:hint="eastAsia" w:cs="宋体"/>
          <w:color w:val="000000"/>
          <w:szCs w:val="28"/>
          <w:lang w:bidi="ar"/>
        </w:rPr>
        <w:t>预制底板、原材料、配件均应按检验批进行进场验收。</w:t>
      </w:r>
    </w:p>
    <w:p w14:paraId="227FF205">
      <w:pPr>
        <w:pStyle w:val="17"/>
      </w:pPr>
      <w:r>
        <w:rPr>
          <w:b/>
          <w:bCs/>
          <w:lang w:bidi="ar"/>
        </w:rPr>
        <w:t xml:space="preserve">【6.5.2条文说明】 </w:t>
      </w:r>
      <w:r>
        <w:rPr>
          <w:lang w:bidi="ar"/>
        </w:rPr>
        <w:t>本条原材料包括钢筋、混凝土、嵌缝砂浆等。嵌缝用聚合物改性水泥砂浆的物理力学性能执行本规程相关规定。</w:t>
      </w:r>
    </w:p>
    <w:p w14:paraId="21747C3D">
      <w:pPr>
        <w:rPr>
          <w:rFonts w:cs="宋体"/>
          <w:color w:val="000000"/>
          <w:szCs w:val="28"/>
        </w:rPr>
      </w:pPr>
      <w:r>
        <w:rPr>
          <w:rFonts w:hint="eastAsia" w:cs="宋体"/>
          <w:b/>
          <w:bCs/>
          <w:color w:val="000000"/>
          <w:szCs w:val="28"/>
          <w:lang w:bidi="ar"/>
        </w:rPr>
        <w:t xml:space="preserve">6.5.3 </w:t>
      </w:r>
      <w:r>
        <w:rPr>
          <w:rFonts w:hint="eastAsia" w:cs="宋体"/>
          <w:color w:val="000000"/>
          <w:szCs w:val="28"/>
          <w:lang w:bidi="ar"/>
        </w:rPr>
        <w:t>混凝土浇筑前，应进行隐蔽工程验收，隐蔽工程验收应包括下列主要内容：</w:t>
      </w:r>
    </w:p>
    <w:p w14:paraId="0CCF0283">
      <w:pPr>
        <w:spacing w:after="160"/>
        <w:ind w:firstLine="482" w:firstLineChars="200"/>
        <w:rPr>
          <w:rFonts w:cs="Times New Roman"/>
          <w:color w:val="000000"/>
        </w:rPr>
      </w:pPr>
      <w:r>
        <w:rPr>
          <w:rFonts w:cs="Times New Roman"/>
          <w:b/>
          <w:bCs/>
          <w:color w:val="000000"/>
          <w:lang w:bidi="ar"/>
        </w:rPr>
        <w:t>1</w:t>
      </w:r>
      <w:r>
        <w:rPr>
          <w:rFonts w:cs="Times New Roman"/>
          <w:color w:val="000000"/>
          <w:lang w:bidi="ar"/>
        </w:rPr>
        <w:t xml:space="preserve"> </w:t>
      </w:r>
      <w:r>
        <w:rPr>
          <w:rFonts w:hint="eastAsia" w:cs="Times New Roman"/>
          <w:color w:val="000000"/>
          <w:lang w:bidi="ar"/>
        </w:rPr>
        <w:t>预制底板粗糙面的质量；</w:t>
      </w:r>
    </w:p>
    <w:p w14:paraId="7CA0009A">
      <w:pPr>
        <w:spacing w:after="160"/>
        <w:ind w:firstLine="482" w:firstLineChars="200"/>
        <w:rPr>
          <w:rFonts w:cs="Times New Roman"/>
          <w:color w:val="000000"/>
        </w:rPr>
      </w:pPr>
      <w:r>
        <w:rPr>
          <w:rFonts w:cs="Times New Roman"/>
          <w:b/>
          <w:bCs/>
          <w:color w:val="000000"/>
          <w:lang w:bidi="ar"/>
        </w:rPr>
        <w:t>2</w:t>
      </w:r>
      <w:r>
        <w:rPr>
          <w:rFonts w:cs="Times New Roman"/>
          <w:color w:val="000000"/>
          <w:lang w:bidi="ar"/>
        </w:rPr>
        <w:t xml:space="preserve"> </w:t>
      </w:r>
      <w:r>
        <w:rPr>
          <w:rFonts w:hint="eastAsia" w:cs="Times New Roman"/>
          <w:color w:val="000000"/>
          <w:lang w:bidi="ar"/>
        </w:rPr>
        <w:t>板面钢筋、斜插筋、连接钢筋的牌号、规格、数量、位置、间距；</w:t>
      </w:r>
    </w:p>
    <w:p w14:paraId="214409CF">
      <w:pPr>
        <w:spacing w:after="160"/>
        <w:ind w:firstLine="482" w:firstLineChars="200"/>
        <w:rPr>
          <w:rFonts w:cs="Times New Roman"/>
          <w:color w:val="000000"/>
        </w:rPr>
      </w:pPr>
      <w:r>
        <w:rPr>
          <w:rFonts w:cs="Times New Roman"/>
          <w:b/>
          <w:bCs/>
          <w:color w:val="000000"/>
          <w:lang w:bidi="ar"/>
        </w:rPr>
        <w:t>3</w:t>
      </w:r>
      <w:r>
        <w:rPr>
          <w:rFonts w:cs="Times New Roman"/>
          <w:color w:val="000000"/>
          <w:lang w:bidi="ar"/>
        </w:rPr>
        <w:t xml:space="preserve"> </w:t>
      </w:r>
      <w:r>
        <w:rPr>
          <w:rFonts w:hint="eastAsia" w:cs="Times New Roman"/>
          <w:color w:val="000000"/>
          <w:lang w:bidi="ar"/>
        </w:rPr>
        <w:t>预埋件、预埋管线的规格、数量、位置；</w:t>
      </w:r>
    </w:p>
    <w:p w14:paraId="4A391966">
      <w:pPr>
        <w:spacing w:after="160"/>
        <w:ind w:firstLine="482" w:firstLineChars="200"/>
        <w:rPr>
          <w:rFonts w:cs="Times New Roman"/>
          <w:color w:val="000000"/>
        </w:rPr>
      </w:pPr>
      <w:r>
        <w:rPr>
          <w:rFonts w:cs="Times New Roman"/>
          <w:b/>
          <w:bCs/>
          <w:color w:val="000000"/>
          <w:lang w:bidi="ar"/>
        </w:rPr>
        <w:t>4</w:t>
      </w:r>
      <w:r>
        <w:rPr>
          <w:rFonts w:cs="Times New Roman"/>
          <w:color w:val="000000"/>
          <w:lang w:bidi="ar"/>
        </w:rPr>
        <w:t xml:space="preserve"> </w:t>
      </w:r>
      <w:r>
        <w:rPr>
          <w:rFonts w:hint="eastAsia" w:cs="Times New Roman"/>
          <w:color w:val="000000"/>
          <w:lang w:bidi="ar"/>
        </w:rPr>
        <w:t>预制底板接缝处的构造做法；</w:t>
      </w:r>
    </w:p>
    <w:p w14:paraId="0B9037AC">
      <w:pPr>
        <w:ind w:firstLine="482" w:firstLineChars="200"/>
      </w:pPr>
      <w:r>
        <w:rPr>
          <w:rFonts w:cs="Times New Roman"/>
          <w:b/>
          <w:bCs/>
          <w:color w:val="000000"/>
          <w:lang w:bidi="ar"/>
        </w:rPr>
        <w:t>5</w:t>
      </w:r>
      <w:r>
        <w:rPr>
          <w:rFonts w:cs="Times New Roman"/>
          <w:color w:val="000000"/>
          <w:lang w:bidi="ar"/>
        </w:rPr>
        <w:t xml:space="preserve"> </w:t>
      </w:r>
      <w:r>
        <w:rPr>
          <w:rFonts w:hint="eastAsia" w:cs="Times New Roman"/>
          <w:color w:val="000000"/>
          <w:lang w:bidi="ar"/>
        </w:rPr>
        <w:t>其他隐蔽项目。</w:t>
      </w:r>
    </w:p>
    <w:p w14:paraId="36B47E41">
      <w:pPr>
        <w:jc w:val="center"/>
        <w:rPr>
          <w:rFonts w:hint="eastAsia" w:ascii="仿宋" w:hAnsi="仿宋" w:eastAsia="仿宋" w:cs="仿宋"/>
          <w:lang w:bidi="ar"/>
        </w:rPr>
      </w:pPr>
      <w:r>
        <w:rPr>
          <w:rFonts w:hint="eastAsia" w:ascii="仿宋" w:hAnsi="仿宋" w:eastAsia="仿宋" w:cs="仿宋"/>
          <w:lang w:bidi="ar"/>
        </w:rPr>
        <w:t>Ⅱ 主控项目</w:t>
      </w:r>
    </w:p>
    <w:p w14:paraId="455C4301">
      <w:pPr>
        <w:widowControl/>
        <w:jc w:val="left"/>
      </w:pPr>
      <w:r>
        <w:rPr>
          <w:rFonts w:hint="eastAsia" w:cs="宋体"/>
          <w:b/>
          <w:bCs/>
          <w:color w:val="000000"/>
          <w:szCs w:val="28"/>
          <w:lang w:bidi="ar"/>
        </w:rPr>
        <w:t>6.5.4</w:t>
      </w:r>
      <w:r>
        <w:rPr>
          <w:rFonts w:hint="eastAsia" w:cs="宋体"/>
          <w:b/>
          <w:bCs/>
          <w:color w:val="000000"/>
          <w:sz w:val="21"/>
          <w:szCs w:val="21"/>
          <w:lang w:bidi="ar"/>
        </w:rPr>
        <w:t xml:space="preserve"> </w:t>
      </w:r>
      <w:r>
        <w:rPr>
          <w:lang w:bidi="ar"/>
        </w:rPr>
        <w:t>预制底板进场时，应检查质量证明文件。</w:t>
      </w:r>
    </w:p>
    <w:p w14:paraId="7F834A76">
      <w:pPr>
        <w:pStyle w:val="18"/>
        <w:ind w:firstLine="480"/>
        <w:rPr>
          <w:rFonts w:hint="default"/>
        </w:rPr>
      </w:pPr>
      <w:r>
        <w:rPr>
          <w:rFonts w:hint="default" w:cstheme="minorBidi"/>
          <w:szCs w:val="24"/>
          <w:lang w:bidi="ar"/>
        </w:rPr>
        <w:t>检查数量：全数检查。</w:t>
      </w:r>
    </w:p>
    <w:p w14:paraId="6ACC8D8C">
      <w:pPr>
        <w:pStyle w:val="18"/>
        <w:ind w:firstLine="480"/>
        <w:rPr>
          <w:rFonts w:hint="default"/>
        </w:rPr>
      </w:pPr>
      <w:r>
        <w:rPr>
          <w:rFonts w:hint="default" w:cstheme="minorBidi"/>
          <w:color w:val="000000"/>
          <w:szCs w:val="24"/>
          <w:lang w:bidi="ar"/>
        </w:rPr>
        <w:t>检验方法：检查质量证明</w:t>
      </w:r>
      <w:r>
        <w:rPr>
          <w:rFonts w:hint="default" w:cstheme="minorBidi"/>
          <w:szCs w:val="24"/>
          <w:lang w:bidi="ar"/>
        </w:rPr>
        <w:t>文件</w:t>
      </w:r>
      <w:r>
        <w:rPr>
          <w:rFonts w:hint="default" w:cstheme="minorBidi"/>
          <w:color w:val="000000"/>
          <w:szCs w:val="24"/>
          <w:lang w:bidi="ar"/>
        </w:rPr>
        <w:t>及质量验收记录。</w:t>
      </w:r>
    </w:p>
    <w:p w14:paraId="445F174A">
      <w:pPr>
        <w:pStyle w:val="17"/>
      </w:pPr>
      <w:r>
        <w:rPr>
          <w:b/>
          <w:bCs/>
          <w:lang w:bidi="ar"/>
        </w:rPr>
        <w:t xml:space="preserve">【6.5.4条文说明】 </w:t>
      </w:r>
      <w:r>
        <w:rPr>
          <w:lang w:bidi="ar"/>
        </w:rPr>
        <w:t>根据本规程第5.6.8条规定，预制底板的质量证明文件应包括出厂合格证、钢筋和钢筋桁架检验报告、混凝土强度检验报告、合同要求的其他质量证明文件。根据现行国家标准《装配式混凝土建筑技术标准》GB/T 51231的有关规定，预制底板进场时可不做结构性能检验。</w:t>
      </w:r>
    </w:p>
    <w:p w14:paraId="0F0D4D39">
      <w:r>
        <w:rPr>
          <w:rFonts w:hint="eastAsia" w:cs="宋体"/>
          <w:b/>
          <w:bCs/>
          <w:color w:val="000000"/>
          <w:szCs w:val="28"/>
          <w:lang w:bidi="ar"/>
        </w:rPr>
        <w:t xml:space="preserve">6.5.5 </w:t>
      </w:r>
      <w:r>
        <w:rPr>
          <w:rFonts w:hint="eastAsia" w:cs="宋体"/>
          <w:color w:val="000000"/>
          <w:szCs w:val="28"/>
          <w:lang w:bidi="ar"/>
        </w:rPr>
        <w:t>预制底板的混凝土外观质量不应有严重缺陷，且不应有影响结构性能或安装、使用功能的尺寸偏差。</w:t>
      </w:r>
    </w:p>
    <w:p w14:paraId="0C58474C">
      <w:pPr>
        <w:pStyle w:val="18"/>
        <w:ind w:firstLine="480"/>
        <w:rPr>
          <w:rFonts w:hint="default"/>
        </w:rPr>
      </w:pPr>
      <w:r>
        <w:rPr>
          <w:rFonts w:hint="default" w:cstheme="minorBidi"/>
          <w:color w:val="000000"/>
          <w:szCs w:val="24"/>
          <w:lang w:bidi="ar"/>
        </w:rPr>
        <w:t>检查数量：全数检查。</w:t>
      </w:r>
    </w:p>
    <w:p w14:paraId="31B3DBF1">
      <w:pPr>
        <w:pStyle w:val="18"/>
        <w:ind w:firstLine="480"/>
        <w:rPr>
          <w:rFonts w:hint="default"/>
        </w:rPr>
      </w:pPr>
      <w:r>
        <w:rPr>
          <w:rFonts w:hint="default" w:cstheme="minorBidi"/>
          <w:color w:val="000000"/>
          <w:szCs w:val="24"/>
          <w:lang w:bidi="ar"/>
        </w:rPr>
        <w:t>检验方法：观察、尺量；检查处理记录。</w:t>
      </w:r>
    </w:p>
    <w:p w14:paraId="5C098244">
      <w:r>
        <w:rPr>
          <w:rFonts w:hint="eastAsia" w:cs="宋体"/>
          <w:b/>
          <w:bCs/>
          <w:color w:val="000000"/>
          <w:szCs w:val="28"/>
          <w:lang w:bidi="ar"/>
        </w:rPr>
        <w:t xml:space="preserve">6.5.6 </w:t>
      </w:r>
      <w:r>
        <w:rPr>
          <w:rFonts w:hint="eastAsia" w:cs="宋体"/>
          <w:color w:val="000000"/>
          <w:szCs w:val="28"/>
          <w:lang w:bidi="ar"/>
        </w:rPr>
        <w:t>预制底板安装的临时支撑措施应符合设计文件、施工方案的要求及国家现行有关标准的规定。</w:t>
      </w:r>
    </w:p>
    <w:p w14:paraId="73D7631C">
      <w:pPr>
        <w:pStyle w:val="18"/>
        <w:ind w:firstLine="480"/>
        <w:rPr>
          <w:rFonts w:hint="default"/>
        </w:rPr>
      </w:pPr>
      <w:r>
        <w:rPr>
          <w:rFonts w:hint="default" w:cstheme="minorBidi"/>
          <w:color w:val="000000"/>
          <w:szCs w:val="24"/>
          <w:lang w:bidi="ar"/>
        </w:rPr>
        <w:t>检查数量：全数检查。</w:t>
      </w:r>
    </w:p>
    <w:p w14:paraId="29022568">
      <w:pPr>
        <w:pStyle w:val="18"/>
        <w:ind w:firstLine="480"/>
        <w:rPr>
          <w:rFonts w:hint="default"/>
        </w:rPr>
      </w:pPr>
      <w:r>
        <w:rPr>
          <w:rFonts w:hint="default" w:cstheme="minorBidi"/>
          <w:color w:val="000000"/>
          <w:szCs w:val="24"/>
          <w:lang w:bidi="ar"/>
        </w:rPr>
        <w:t>检验方法：观察；检查施工</w:t>
      </w:r>
      <w:r>
        <w:rPr>
          <w:rFonts w:hint="default" w:cstheme="minorBidi"/>
          <w:szCs w:val="24"/>
          <w:lang w:bidi="ar"/>
        </w:rPr>
        <w:t>方案</w:t>
      </w:r>
      <w:r>
        <w:rPr>
          <w:rFonts w:hint="default" w:cstheme="minorBidi"/>
          <w:color w:val="000000"/>
          <w:szCs w:val="24"/>
          <w:lang w:bidi="ar"/>
        </w:rPr>
        <w:t>、施工记录或设计文件。</w:t>
      </w:r>
    </w:p>
    <w:p w14:paraId="5261C08D">
      <w:r>
        <w:rPr>
          <w:rFonts w:hint="eastAsia" w:cs="宋体"/>
          <w:b/>
          <w:bCs/>
          <w:color w:val="000000"/>
          <w:szCs w:val="28"/>
          <w:lang w:bidi="ar"/>
        </w:rPr>
        <w:t xml:space="preserve">6.5.7 </w:t>
      </w:r>
      <w:r>
        <w:rPr>
          <w:rFonts w:hint="eastAsia" w:cs="宋体"/>
          <w:color w:val="000000"/>
          <w:szCs w:val="28"/>
          <w:lang w:bidi="ar"/>
        </w:rPr>
        <w:t>预制底板板面钢筋、</w:t>
      </w:r>
      <w:r>
        <w:rPr>
          <w:rFonts w:hint="eastAsia" w:cs="宋体"/>
          <w:color w:val="333333"/>
          <w:szCs w:val="28"/>
          <w:lang w:bidi="ar"/>
        </w:rPr>
        <w:t>斜插筋、</w:t>
      </w:r>
      <w:r>
        <w:rPr>
          <w:rFonts w:hint="eastAsia" w:cs="宋体"/>
          <w:color w:val="000000"/>
          <w:szCs w:val="28"/>
          <w:lang w:bidi="ar"/>
        </w:rPr>
        <w:t>连接钢筋、的牌号、规格、数量应符合设计文件的规定。</w:t>
      </w:r>
    </w:p>
    <w:p w14:paraId="0B24BCCA">
      <w:pPr>
        <w:pStyle w:val="18"/>
        <w:ind w:firstLine="480"/>
        <w:rPr>
          <w:rFonts w:hint="default" w:cstheme="minorBidi"/>
          <w:szCs w:val="24"/>
          <w:lang w:bidi="ar"/>
        </w:rPr>
      </w:pPr>
      <w:r>
        <w:rPr>
          <w:rFonts w:hint="default" w:cstheme="minorBidi"/>
          <w:szCs w:val="24"/>
          <w:lang w:bidi="ar"/>
        </w:rPr>
        <w:t>检查数量：全数检查。</w:t>
      </w:r>
    </w:p>
    <w:p w14:paraId="1B6B4383">
      <w:pPr>
        <w:pStyle w:val="18"/>
        <w:ind w:firstLine="480"/>
        <w:rPr>
          <w:rFonts w:hint="default" w:cstheme="minorBidi"/>
          <w:szCs w:val="24"/>
          <w:lang w:bidi="ar"/>
        </w:rPr>
      </w:pPr>
      <w:r>
        <w:rPr>
          <w:rFonts w:hint="default" w:cstheme="minorBidi"/>
          <w:szCs w:val="24"/>
          <w:lang w:bidi="ar"/>
        </w:rPr>
        <w:t>检验方法：观察、尺量。</w:t>
      </w:r>
    </w:p>
    <w:p w14:paraId="7D09BFEB">
      <w:r>
        <w:rPr>
          <w:rFonts w:hint="eastAsia" w:cs="宋体"/>
          <w:b/>
          <w:bCs/>
          <w:color w:val="000000"/>
          <w:szCs w:val="28"/>
          <w:lang w:bidi="ar"/>
        </w:rPr>
        <w:t xml:space="preserve">6.5.8 </w:t>
      </w:r>
      <w:r>
        <w:rPr>
          <w:rFonts w:hint="eastAsia" w:cs="宋体"/>
          <w:color w:val="000000"/>
          <w:szCs w:val="28"/>
          <w:lang w:bidi="ar"/>
        </w:rPr>
        <w:t>不出筋叠合板后浇混凝土强度应符合设计文件的规定。</w:t>
      </w:r>
    </w:p>
    <w:p w14:paraId="7A149793">
      <w:pPr>
        <w:pStyle w:val="18"/>
        <w:ind w:firstLine="480"/>
        <w:rPr>
          <w:rFonts w:hint="default" w:cstheme="minorBidi"/>
          <w:szCs w:val="24"/>
          <w:lang w:bidi="ar"/>
        </w:rPr>
      </w:pPr>
      <w:r>
        <w:rPr>
          <w:rFonts w:hint="default" w:cstheme="minorBidi"/>
          <w:szCs w:val="24"/>
          <w:lang w:bidi="ar"/>
        </w:rPr>
        <w:t>检查数量：按批检查。</w:t>
      </w:r>
    </w:p>
    <w:p w14:paraId="0307D054">
      <w:pPr>
        <w:pStyle w:val="18"/>
        <w:ind w:firstLine="480"/>
        <w:rPr>
          <w:rFonts w:hint="default" w:cstheme="minorBidi"/>
          <w:szCs w:val="24"/>
          <w:lang w:bidi="ar"/>
        </w:rPr>
      </w:pPr>
      <w:r>
        <w:rPr>
          <w:rFonts w:hint="default" w:cstheme="minorBidi"/>
          <w:szCs w:val="24"/>
          <w:lang w:bidi="ar"/>
        </w:rPr>
        <w:t>检验方法：检查混凝土强度试验报告。</w:t>
      </w:r>
    </w:p>
    <w:p w14:paraId="5DCFC59C">
      <w:pPr>
        <w:jc w:val="center"/>
        <w:rPr>
          <w:rFonts w:hint="eastAsia" w:ascii="仿宋" w:hAnsi="仿宋" w:eastAsia="仿宋" w:cs="仿宋"/>
          <w:lang w:bidi="ar"/>
        </w:rPr>
      </w:pPr>
      <w:r>
        <w:rPr>
          <w:rFonts w:hint="eastAsia" w:ascii="仿宋" w:hAnsi="仿宋" w:eastAsia="仿宋" w:cs="仿宋"/>
          <w:lang w:bidi="ar"/>
        </w:rPr>
        <w:t>Ⅲ 一般项目</w:t>
      </w:r>
    </w:p>
    <w:p w14:paraId="06DCDA21">
      <w:r>
        <w:rPr>
          <w:rFonts w:hint="eastAsia" w:cs="宋体"/>
          <w:b/>
          <w:bCs/>
          <w:color w:val="000000"/>
          <w:szCs w:val="28"/>
          <w:lang w:bidi="ar"/>
        </w:rPr>
        <w:t xml:space="preserve">6.5.9 </w:t>
      </w:r>
      <w:r>
        <w:rPr>
          <w:rFonts w:hint="eastAsia" w:cs="宋体"/>
          <w:color w:val="000000"/>
          <w:szCs w:val="28"/>
          <w:lang w:bidi="ar"/>
        </w:rPr>
        <w:t>预制底板外观质量不应有一般缺陷，对出现的一般缺陷，应要求构件生产单位按技术处理方案进行处理，并重新检查验收。</w:t>
      </w:r>
    </w:p>
    <w:p w14:paraId="61A8D00B">
      <w:pPr>
        <w:pStyle w:val="18"/>
        <w:ind w:firstLine="480"/>
        <w:rPr>
          <w:rFonts w:hint="default"/>
          <w:lang w:bidi="ar"/>
        </w:rPr>
      </w:pPr>
      <w:r>
        <w:rPr>
          <w:rFonts w:hint="default" w:cstheme="minorBidi"/>
          <w:color w:val="000000"/>
          <w:szCs w:val="24"/>
          <w:lang w:bidi="ar"/>
        </w:rPr>
        <w:t>检查数量：全数检查。</w:t>
      </w:r>
    </w:p>
    <w:p w14:paraId="24422EB5">
      <w:pPr>
        <w:pStyle w:val="18"/>
        <w:ind w:firstLine="480"/>
        <w:rPr>
          <w:rFonts w:hint="default"/>
        </w:rPr>
      </w:pPr>
      <w:r>
        <w:rPr>
          <w:rFonts w:hint="default" w:cstheme="minorBidi"/>
          <w:color w:val="000000"/>
          <w:szCs w:val="24"/>
          <w:lang w:bidi="ar"/>
        </w:rPr>
        <w:t>检验方法：观察，检查技术</w:t>
      </w:r>
      <w:r>
        <w:rPr>
          <w:rFonts w:hint="default" w:cstheme="minorBidi"/>
          <w:szCs w:val="24"/>
          <w:lang w:bidi="ar"/>
        </w:rPr>
        <w:t>处理</w:t>
      </w:r>
      <w:r>
        <w:rPr>
          <w:rFonts w:hint="default" w:cstheme="minorBidi"/>
          <w:color w:val="000000"/>
          <w:szCs w:val="24"/>
          <w:lang w:bidi="ar"/>
        </w:rPr>
        <w:t>方案和处理记录。</w:t>
      </w:r>
    </w:p>
    <w:p w14:paraId="1A06A122">
      <w:r>
        <w:rPr>
          <w:rFonts w:hint="eastAsia" w:cs="宋体"/>
          <w:b/>
          <w:bCs/>
          <w:color w:val="000000"/>
          <w:szCs w:val="28"/>
          <w:lang w:bidi="ar"/>
        </w:rPr>
        <w:t xml:space="preserve">6.5.10 </w:t>
      </w:r>
      <w:r>
        <w:rPr>
          <w:rFonts w:hint="eastAsia" w:cs="宋体"/>
          <w:color w:val="000000"/>
          <w:szCs w:val="28"/>
          <w:lang w:bidi="ar"/>
        </w:rPr>
        <w:t>预制底板粗糙面的外观质量、凹槽的外观质量和数量应符合设计文件的规定。</w:t>
      </w:r>
    </w:p>
    <w:p w14:paraId="0B6064DB">
      <w:pPr>
        <w:pStyle w:val="18"/>
        <w:ind w:firstLine="480"/>
        <w:rPr>
          <w:rFonts w:hint="default"/>
          <w:lang w:bidi="ar"/>
        </w:rPr>
      </w:pPr>
      <w:r>
        <w:rPr>
          <w:rFonts w:hint="default" w:cstheme="minorBidi"/>
          <w:color w:val="000000"/>
          <w:szCs w:val="24"/>
          <w:lang w:bidi="ar"/>
        </w:rPr>
        <w:t>检查数量：全数检查。</w:t>
      </w:r>
    </w:p>
    <w:p w14:paraId="0C09CE53">
      <w:pPr>
        <w:pStyle w:val="18"/>
        <w:ind w:firstLine="480"/>
        <w:rPr>
          <w:rFonts w:hint="default"/>
          <w:lang w:bidi="ar"/>
        </w:rPr>
      </w:pPr>
      <w:r>
        <w:rPr>
          <w:rFonts w:hint="default" w:cstheme="minorBidi"/>
          <w:color w:val="000000"/>
          <w:szCs w:val="24"/>
          <w:lang w:bidi="ar"/>
        </w:rPr>
        <w:t>检验方法：观察，量测。</w:t>
      </w:r>
    </w:p>
    <w:p w14:paraId="6F3CF26F">
      <w:r>
        <w:rPr>
          <w:rFonts w:hint="eastAsia" w:cs="宋体"/>
          <w:b/>
          <w:bCs/>
          <w:color w:val="000000"/>
          <w:szCs w:val="28"/>
          <w:lang w:bidi="ar"/>
        </w:rPr>
        <w:t xml:space="preserve">6.5.11 </w:t>
      </w:r>
      <w:r>
        <w:rPr>
          <w:rFonts w:hint="eastAsia" w:cs="宋体"/>
          <w:color w:val="000000"/>
          <w:szCs w:val="28"/>
          <w:lang w:bidi="ar"/>
        </w:rPr>
        <w:t>预制底板的预埋件、预埋线盒、预留洞口、预留斜插筋、预留斜插筋孔洞等规格、数量、定位应符合设计文件的规定。</w:t>
      </w:r>
    </w:p>
    <w:p w14:paraId="102D7394">
      <w:pPr>
        <w:pStyle w:val="18"/>
        <w:ind w:firstLine="480"/>
        <w:rPr>
          <w:rFonts w:hint="default" w:cstheme="minorBidi"/>
          <w:szCs w:val="24"/>
          <w:lang w:bidi="ar"/>
        </w:rPr>
      </w:pPr>
      <w:r>
        <w:rPr>
          <w:rFonts w:hint="default" w:cstheme="minorBidi"/>
          <w:szCs w:val="24"/>
          <w:lang w:bidi="ar"/>
        </w:rPr>
        <w:t>检查数量：全数检查。</w:t>
      </w:r>
    </w:p>
    <w:p w14:paraId="3AB7B3EE">
      <w:pPr>
        <w:pStyle w:val="18"/>
        <w:ind w:firstLine="480"/>
        <w:rPr>
          <w:rFonts w:hint="default" w:cstheme="minorBidi"/>
          <w:szCs w:val="24"/>
          <w:lang w:bidi="ar"/>
        </w:rPr>
      </w:pPr>
      <w:r>
        <w:rPr>
          <w:rFonts w:hint="default" w:cstheme="minorBidi"/>
          <w:szCs w:val="24"/>
          <w:lang w:bidi="ar"/>
        </w:rPr>
        <w:t>检验方法：观察、尺量；检查产品合格证。</w:t>
      </w:r>
    </w:p>
    <w:p w14:paraId="347E9005">
      <w:r>
        <w:rPr>
          <w:rFonts w:hint="eastAsia" w:cs="宋体"/>
          <w:b/>
          <w:bCs/>
          <w:color w:val="000000"/>
          <w:szCs w:val="28"/>
          <w:lang w:bidi="ar"/>
        </w:rPr>
        <w:t>6.5.12</w:t>
      </w:r>
      <w:r>
        <w:rPr>
          <w:rFonts w:hint="eastAsia" w:cs="宋体"/>
          <w:color w:val="000000"/>
          <w:szCs w:val="28"/>
          <w:lang w:bidi="ar"/>
        </w:rPr>
        <w:t xml:space="preserve"> 预制底板的尺寸偏差和检验方法应符合本规程第5.6.6条的规定。</w:t>
      </w:r>
    </w:p>
    <w:p w14:paraId="7667F27E">
      <w:pPr>
        <w:pStyle w:val="18"/>
        <w:ind w:firstLine="480"/>
        <w:rPr>
          <w:rFonts w:hint="default" w:cstheme="minorBidi"/>
          <w:szCs w:val="24"/>
          <w:lang w:bidi="ar"/>
        </w:rPr>
      </w:pPr>
      <w:r>
        <w:rPr>
          <w:rFonts w:hint="default" w:cstheme="minorBidi"/>
          <w:szCs w:val="24"/>
          <w:lang w:bidi="ar"/>
        </w:rPr>
        <w:t>检查数量：按照进场检验批，同一规格的构件每次抽检数量不应少于该规格构件数量的5%且不少于3件。</w:t>
      </w:r>
    </w:p>
    <w:p w14:paraId="0CCED472">
      <w:pPr>
        <w:rPr>
          <w:rFonts w:cs="宋体"/>
          <w:color w:val="000000"/>
          <w:szCs w:val="28"/>
        </w:rPr>
      </w:pPr>
      <w:r>
        <w:rPr>
          <w:rFonts w:hint="eastAsia" w:cs="宋体"/>
          <w:b/>
          <w:bCs/>
          <w:color w:val="000000"/>
          <w:szCs w:val="28"/>
          <w:lang w:bidi="ar"/>
        </w:rPr>
        <w:t xml:space="preserve">6.5.13 </w:t>
      </w:r>
      <w:r>
        <w:rPr>
          <w:rFonts w:hint="eastAsia" w:cs="宋体"/>
          <w:color w:val="000000"/>
          <w:szCs w:val="28"/>
          <w:lang w:bidi="ar"/>
        </w:rPr>
        <w:t>预制底板安装的允许偏差和检验方法应符合设计文件的规定；当设计无具体规定时，应符合表6.5.13的规定。</w:t>
      </w:r>
    </w:p>
    <w:p w14:paraId="75B8D8E0">
      <w:pPr>
        <w:pStyle w:val="19"/>
      </w:pPr>
      <w:r>
        <w:rPr>
          <w:lang w:bidi="ar"/>
        </w:rPr>
        <w:t>表6.5.13 预制底板安装允许偏差和检验方法</w:t>
      </w:r>
    </w:p>
    <w:tbl>
      <w:tblPr>
        <w:tblStyle w:val="11"/>
        <w:tblW w:w="0" w:type="auto"/>
        <w:jc w:val="center"/>
        <w:tblLayout w:type="fixed"/>
        <w:tblCellMar>
          <w:top w:w="0" w:type="dxa"/>
          <w:left w:w="108" w:type="dxa"/>
          <w:bottom w:w="0" w:type="dxa"/>
          <w:right w:w="108" w:type="dxa"/>
        </w:tblCellMar>
      </w:tblPr>
      <w:tblGrid>
        <w:gridCol w:w="779"/>
        <w:gridCol w:w="3221"/>
        <w:gridCol w:w="1865"/>
        <w:gridCol w:w="2433"/>
      </w:tblGrid>
      <w:tr w14:paraId="7D694542">
        <w:tblPrEx>
          <w:tblCellMar>
            <w:top w:w="0" w:type="dxa"/>
            <w:left w:w="108" w:type="dxa"/>
            <w:bottom w:w="0" w:type="dxa"/>
            <w:right w:w="108" w:type="dxa"/>
          </w:tblCellMar>
        </w:tblPrEx>
        <w:trPr>
          <w:trHeight w:val="746" w:hRule="atLeast"/>
          <w:jc w:val="center"/>
        </w:trPr>
        <w:tc>
          <w:tcPr>
            <w:tcW w:w="779"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F6503CF">
            <w:pPr>
              <w:pStyle w:val="20"/>
            </w:pPr>
            <w:r>
              <w:rPr>
                <w:lang w:bidi="ar"/>
              </w:rPr>
              <w:t>项次</w:t>
            </w:r>
          </w:p>
        </w:tc>
        <w:tc>
          <w:tcPr>
            <w:tcW w:w="3221"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714FEE8B">
            <w:pPr>
              <w:pStyle w:val="20"/>
            </w:pPr>
            <w:r>
              <w:rPr>
                <w:lang w:bidi="ar"/>
              </w:rPr>
              <w:t>检验项目</w:t>
            </w:r>
          </w:p>
        </w:tc>
        <w:tc>
          <w:tcPr>
            <w:tcW w:w="1865"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27F3C3D">
            <w:pPr>
              <w:pStyle w:val="20"/>
            </w:pPr>
            <w:r>
              <w:rPr>
                <w:lang w:bidi="ar"/>
              </w:rPr>
              <w:t>允许偏差（mm）</w:t>
            </w:r>
          </w:p>
        </w:tc>
        <w:tc>
          <w:tcPr>
            <w:tcW w:w="2433"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636BFD0">
            <w:pPr>
              <w:pStyle w:val="20"/>
            </w:pPr>
            <w:r>
              <w:rPr>
                <w:lang w:bidi="ar"/>
              </w:rPr>
              <w:t>检验方法</w:t>
            </w:r>
          </w:p>
        </w:tc>
      </w:tr>
      <w:tr w14:paraId="5D93090E">
        <w:tblPrEx>
          <w:tblCellMar>
            <w:top w:w="0" w:type="dxa"/>
            <w:left w:w="108" w:type="dxa"/>
            <w:bottom w:w="0" w:type="dxa"/>
            <w:right w:w="108" w:type="dxa"/>
          </w:tblCellMar>
        </w:tblPrEx>
        <w:trPr>
          <w:trHeight w:val="629" w:hRule="atLeast"/>
          <w:jc w:val="center"/>
        </w:trPr>
        <w:tc>
          <w:tcPr>
            <w:tcW w:w="779"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4A92E5BE">
            <w:pPr>
              <w:pStyle w:val="20"/>
            </w:pPr>
            <w:r>
              <w:rPr>
                <w:lang w:bidi="ar"/>
              </w:rPr>
              <w:t>1</w:t>
            </w:r>
          </w:p>
        </w:tc>
        <w:tc>
          <w:tcPr>
            <w:tcW w:w="3221"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084921A">
            <w:pPr>
              <w:pStyle w:val="20"/>
            </w:pPr>
            <w:r>
              <w:rPr>
                <w:lang w:bidi="ar"/>
              </w:rPr>
              <w:t>预制底板中心线对轴线位置</w:t>
            </w:r>
          </w:p>
        </w:tc>
        <w:tc>
          <w:tcPr>
            <w:tcW w:w="1865"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78E5AE62">
            <w:pPr>
              <w:pStyle w:val="20"/>
            </w:pPr>
            <w:r>
              <w:rPr>
                <w:lang w:bidi="ar"/>
              </w:rPr>
              <w:t>5</w:t>
            </w:r>
          </w:p>
        </w:tc>
        <w:tc>
          <w:tcPr>
            <w:tcW w:w="2433"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1E5FD59F">
            <w:pPr>
              <w:pStyle w:val="20"/>
            </w:pPr>
            <w:r>
              <w:rPr>
                <w:lang w:bidi="ar"/>
              </w:rPr>
              <w:t>尺量检查</w:t>
            </w:r>
          </w:p>
        </w:tc>
      </w:tr>
      <w:tr w14:paraId="049CA465">
        <w:tblPrEx>
          <w:tblCellMar>
            <w:top w:w="0" w:type="dxa"/>
            <w:left w:w="108" w:type="dxa"/>
            <w:bottom w:w="0" w:type="dxa"/>
            <w:right w:w="108" w:type="dxa"/>
          </w:tblCellMar>
        </w:tblPrEx>
        <w:trPr>
          <w:trHeight w:val="634" w:hRule="atLeast"/>
          <w:jc w:val="center"/>
        </w:trPr>
        <w:tc>
          <w:tcPr>
            <w:tcW w:w="779"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6CCF452F">
            <w:pPr>
              <w:pStyle w:val="20"/>
            </w:pPr>
            <w:r>
              <w:rPr>
                <w:lang w:bidi="ar"/>
              </w:rPr>
              <w:t>2</w:t>
            </w:r>
          </w:p>
        </w:tc>
        <w:tc>
          <w:tcPr>
            <w:tcW w:w="3221"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669E19E0">
            <w:pPr>
              <w:pStyle w:val="20"/>
            </w:pPr>
            <w:r>
              <w:rPr>
                <w:lang w:bidi="ar"/>
              </w:rPr>
              <w:t>预制底板板底标高</w:t>
            </w:r>
          </w:p>
        </w:tc>
        <w:tc>
          <w:tcPr>
            <w:tcW w:w="1865"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A53A5AD">
            <w:pPr>
              <w:pStyle w:val="20"/>
            </w:pPr>
            <w:r>
              <w:rPr>
                <w:lang w:bidi="ar"/>
              </w:rPr>
              <w:t>±5</w:t>
            </w:r>
          </w:p>
        </w:tc>
        <w:tc>
          <w:tcPr>
            <w:tcW w:w="2433"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607CEFD">
            <w:pPr>
              <w:pStyle w:val="20"/>
            </w:pPr>
            <w:r>
              <w:rPr>
                <w:lang w:bidi="ar"/>
              </w:rPr>
              <w:t>水准仪或尺量检查</w:t>
            </w:r>
          </w:p>
        </w:tc>
      </w:tr>
      <w:tr w14:paraId="0C786879">
        <w:tblPrEx>
          <w:tblCellMar>
            <w:top w:w="0" w:type="dxa"/>
            <w:left w:w="108" w:type="dxa"/>
            <w:bottom w:w="0" w:type="dxa"/>
            <w:right w:w="108" w:type="dxa"/>
          </w:tblCellMar>
        </w:tblPrEx>
        <w:trPr>
          <w:trHeight w:val="620" w:hRule="atLeast"/>
          <w:jc w:val="center"/>
        </w:trPr>
        <w:tc>
          <w:tcPr>
            <w:tcW w:w="779"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85B5A10">
            <w:pPr>
              <w:pStyle w:val="20"/>
            </w:pPr>
            <w:r>
              <w:rPr>
                <w:lang w:bidi="ar"/>
              </w:rPr>
              <w:t>3</w:t>
            </w:r>
          </w:p>
        </w:tc>
        <w:tc>
          <w:tcPr>
            <w:tcW w:w="3221"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339AC119">
            <w:pPr>
              <w:pStyle w:val="20"/>
            </w:pPr>
            <w:r>
              <w:rPr>
                <w:lang w:bidi="ar"/>
              </w:rPr>
              <w:t>相邻预制底板板底平整度</w:t>
            </w:r>
          </w:p>
        </w:tc>
        <w:tc>
          <w:tcPr>
            <w:tcW w:w="1865"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2EEB924">
            <w:pPr>
              <w:pStyle w:val="20"/>
            </w:pPr>
            <w:r>
              <w:rPr>
                <w:lang w:bidi="ar"/>
              </w:rPr>
              <w:t>3</w:t>
            </w:r>
          </w:p>
        </w:tc>
        <w:tc>
          <w:tcPr>
            <w:tcW w:w="2433"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B418AD9">
            <w:pPr>
              <w:pStyle w:val="20"/>
            </w:pPr>
            <w:r>
              <w:rPr>
                <w:lang w:bidi="ar"/>
              </w:rPr>
              <w:t>尺量检查</w:t>
            </w:r>
          </w:p>
        </w:tc>
      </w:tr>
      <w:tr w14:paraId="32BD71C2">
        <w:tblPrEx>
          <w:tblCellMar>
            <w:top w:w="0" w:type="dxa"/>
            <w:left w:w="108" w:type="dxa"/>
            <w:bottom w:w="0" w:type="dxa"/>
            <w:right w:w="108" w:type="dxa"/>
          </w:tblCellMar>
        </w:tblPrEx>
        <w:trPr>
          <w:trHeight w:val="778" w:hRule="atLeast"/>
          <w:jc w:val="center"/>
        </w:trPr>
        <w:tc>
          <w:tcPr>
            <w:tcW w:w="779"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024CA1EF">
            <w:pPr>
              <w:pStyle w:val="20"/>
            </w:pPr>
            <w:r>
              <w:rPr>
                <w:lang w:bidi="ar"/>
              </w:rPr>
              <w:t>4</w:t>
            </w:r>
          </w:p>
        </w:tc>
        <w:tc>
          <w:tcPr>
            <w:tcW w:w="3221"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50ECF53C">
            <w:pPr>
              <w:pStyle w:val="20"/>
            </w:pPr>
            <w:r>
              <w:rPr>
                <w:lang w:bidi="ar"/>
              </w:rPr>
              <w:t>预制底板搁置长度</w:t>
            </w:r>
          </w:p>
        </w:tc>
        <w:tc>
          <w:tcPr>
            <w:tcW w:w="1865"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2D88ED78">
            <w:pPr>
              <w:pStyle w:val="20"/>
            </w:pPr>
            <w:r>
              <w:rPr>
                <w:lang w:bidi="ar"/>
              </w:rPr>
              <w:t>±10</w:t>
            </w:r>
          </w:p>
        </w:tc>
        <w:tc>
          <w:tcPr>
            <w:tcW w:w="2433" w:type="dxa"/>
            <w:tcBorders>
              <w:top w:val="single" w:color="auto" w:sz="2" w:space="0"/>
              <w:left w:val="single" w:color="auto" w:sz="2" w:space="0"/>
              <w:bottom w:val="single" w:color="auto" w:sz="2" w:space="0"/>
              <w:right w:val="single" w:color="auto" w:sz="2" w:space="0"/>
            </w:tcBorders>
            <w:tcMar>
              <w:left w:w="72" w:type="dxa"/>
              <w:right w:w="72" w:type="dxa"/>
            </w:tcMar>
            <w:vAlign w:val="center"/>
          </w:tcPr>
          <w:p w14:paraId="790AE9EF">
            <w:pPr>
              <w:pStyle w:val="20"/>
            </w:pPr>
            <w:r>
              <w:rPr>
                <w:lang w:bidi="ar"/>
              </w:rPr>
              <w:t>尺量检查</w:t>
            </w:r>
          </w:p>
        </w:tc>
      </w:tr>
    </w:tbl>
    <w:p w14:paraId="28C1E3BD">
      <w:pPr>
        <w:pStyle w:val="18"/>
        <w:ind w:firstLine="480"/>
        <w:rPr>
          <w:rFonts w:hint="default"/>
        </w:rPr>
      </w:pPr>
      <w:r>
        <w:rPr>
          <w:rFonts w:hint="default"/>
          <w:lang w:bidi="ar"/>
        </w:rPr>
        <w:t>检查数量：按楼层、结构缝或施工段划分检验批。同一检验批内，应按有代表性的自然间抽查10%，且不少于3 间；对大空间结构，可按纵、横轴线划分检查面，抽查10%，且不少于3面。</w:t>
      </w:r>
    </w:p>
    <w:p w14:paraId="314A8F58">
      <w:r>
        <w:rPr>
          <w:rFonts w:hint="eastAsia" w:cs="宋体"/>
          <w:b/>
          <w:bCs/>
          <w:color w:val="000000"/>
          <w:szCs w:val="28"/>
          <w:lang w:bidi="ar"/>
        </w:rPr>
        <w:t xml:space="preserve">6.5.14 </w:t>
      </w:r>
      <w:r>
        <w:rPr>
          <w:rFonts w:hint="eastAsia" w:cs="宋体"/>
          <w:color w:val="000000"/>
          <w:szCs w:val="28"/>
          <w:lang w:bidi="ar"/>
        </w:rPr>
        <w:t>预制底板接缝、凹槽处嵌填应均匀密实、表面平滑，不应漏嵌。</w:t>
      </w:r>
    </w:p>
    <w:p w14:paraId="1469F9F7">
      <w:pPr>
        <w:pStyle w:val="18"/>
        <w:ind w:firstLine="480"/>
        <w:rPr>
          <w:rFonts w:hint="default" w:cstheme="minorBidi"/>
          <w:szCs w:val="24"/>
          <w:lang w:bidi="ar"/>
        </w:rPr>
      </w:pPr>
      <w:r>
        <w:rPr>
          <w:rFonts w:hint="default" w:cstheme="minorBidi"/>
          <w:szCs w:val="24"/>
          <w:lang w:bidi="ar"/>
        </w:rPr>
        <w:t>检查数量：全数检查。</w:t>
      </w:r>
    </w:p>
    <w:p w14:paraId="40A727C9">
      <w:pPr>
        <w:pStyle w:val="18"/>
        <w:ind w:firstLine="480"/>
        <w:rPr>
          <w:rFonts w:hint="default" w:cstheme="minorBidi"/>
          <w:szCs w:val="24"/>
          <w:lang w:bidi="ar"/>
        </w:rPr>
      </w:pPr>
      <w:r>
        <w:rPr>
          <w:rFonts w:hint="default" w:cstheme="minorBidi"/>
          <w:szCs w:val="24"/>
          <w:lang w:bidi="ar"/>
        </w:rPr>
        <w:t>检验方法：观察。</w:t>
      </w:r>
    </w:p>
    <w:p w14:paraId="67AE268E"/>
    <w:p w14:paraId="1F09FBF1">
      <w:pPr>
        <w:pStyle w:val="18"/>
        <w:ind w:firstLine="480"/>
        <w:rPr>
          <w:rFonts w:hint="default"/>
          <w:color w:val="000000"/>
        </w:rPr>
      </w:pPr>
    </w:p>
    <w:p w14:paraId="5D1304AC">
      <w:pPr>
        <w:pStyle w:val="18"/>
        <w:ind w:firstLine="480"/>
        <w:rPr>
          <w:rFonts w:hint="default"/>
          <w:color w:val="000000"/>
        </w:rPr>
      </w:pPr>
    </w:p>
    <w:p w14:paraId="3DA71632">
      <w:pPr>
        <w:pStyle w:val="18"/>
        <w:ind w:firstLine="480"/>
        <w:rPr>
          <w:rFonts w:hint="default"/>
          <w:color w:val="000000"/>
        </w:rPr>
      </w:pPr>
    </w:p>
    <w:p w14:paraId="4E0B6297">
      <w:pPr>
        <w:pStyle w:val="18"/>
        <w:ind w:firstLine="480"/>
        <w:rPr>
          <w:rFonts w:hint="default"/>
          <w:color w:val="000000"/>
        </w:rPr>
      </w:pPr>
    </w:p>
    <w:p w14:paraId="25D2204F">
      <w:pPr>
        <w:pStyle w:val="18"/>
        <w:ind w:firstLine="480"/>
        <w:rPr>
          <w:rFonts w:hint="default"/>
          <w:color w:val="000000"/>
        </w:rPr>
      </w:pPr>
    </w:p>
    <w:p w14:paraId="092E4E4B">
      <w:pPr>
        <w:pStyle w:val="18"/>
        <w:ind w:firstLine="480"/>
        <w:rPr>
          <w:rFonts w:hint="default"/>
          <w:color w:val="000000"/>
        </w:rPr>
      </w:pPr>
    </w:p>
    <w:p w14:paraId="507E53AF">
      <w:pPr>
        <w:pStyle w:val="18"/>
        <w:ind w:firstLine="480"/>
        <w:rPr>
          <w:rFonts w:hint="default"/>
          <w:color w:val="000000"/>
        </w:rPr>
      </w:pPr>
    </w:p>
    <w:p w14:paraId="195D4282">
      <w:pPr>
        <w:pStyle w:val="18"/>
        <w:ind w:firstLine="480"/>
        <w:rPr>
          <w:rFonts w:hint="default"/>
          <w:color w:val="000000"/>
        </w:rPr>
      </w:pPr>
    </w:p>
    <w:p w14:paraId="29CD3837">
      <w:pPr>
        <w:pStyle w:val="18"/>
        <w:ind w:firstLine="480"/>
        <w:rPr>
          <w:rFonts w:hint="default"/>
          <w:color w:val="000000"/>
        </w:rPr>
      </w:pPr>
    </w:p>
    <w:p w14:paraId="40F2584B">
      <w:pPr>
        <w:pStyle w:val="18"/>
        <w:ind w:firstLine="480"/>
        <w:rPr>
          <w:rFonts w:hint="default"/>
          <w:color w:val="000000"/>
        </w:rPr>
      </w:pPr>
    </w:p>
    <w:p w14:paraId="2C320592">
      <w:pPr>
        <w:pStyle w:val="18"/>
        <w:ind w:firstLine="480"/>
        <w:rPr>
          <w:rFonts w:hint="default"/>
          <w:color w:val="000000"/>
        </w:rPr>
      </w:pPr>
    </w:p>
    <w:p w14:paraId="160C8117">
      <w:pPr>
        <w:pStyle w:val="18"/>
        <w:ind w:firstLine="480"/>
        <w:rPr>
          <w:rFonts w:hint="default"/>
          <w:color w:val="000000"/>
        </w:rPr>
      </w:pPr>
    </w:p>
    <w:p w14:paraId="78C11B08">
      <w:pPr>
        <w:pStyle w:val="18"/>
        <w:ind w:firstLine="480"/>
        <w:rPr>
          <w:rFonts w:hint="default"/>
          <w:color w:val="000000"/>
        </w:rPr>
      </w:pPr>
    </w:p>
    <w:p w14:paraId="2336ED48">
      <w:pPr>
        <w:pStyle w:val="18"/>
        <w:ind w:firstLine="480"/>
        <w:rPr>
          <w:rFonts w:hint="default"/>
          <w:color w:val="000000"/>
        </w:rPr>
      </w:pPr>
    </w:p>
    <w:p w14:paraId="0D39A1E0">
      <w:pPr>
        <w:pStyle w:val="18"/>
        <w:ind w:firstLine="480"/>
        <w:rPr>
          <w:rFonts w:hint="default"/>
          <w:color w:val="000000"/>
        </w:rPr>
      </w:pPr>
    </w:p>
    <w:p w14:paraId="7703C31F">
      <w:pPr>
        <w:pStyle w:val="18"/>
        <w:ind w:firstLine="480"/>
        <w:rPr>
          <w:rFonts w:hint="default"/>
          <w:color w:val="000000"/>
        </w:rPr>
      </w:pPr>
    </w:p>
    <w:p w14:paraId="666177AB">
      <w:pPr>
        <w:pStyle w:val="18"/>
        <w:ind w:firstLine="480"/>
        <w:rPr>
          <w:rFonts w:hint="default"/>
          <w:color w:val="000000"/>
        </w:rPr>
      </w:pPr>
    </w:p>
    <w:p w14:paraId="4438BB41">
      <w:pPr>
        <w:pStyle w:val="18"/>
        <w:ind w:firstLine="480"/>
        <w:rPr>
          <w:rFonts w:hint="default"/>
          <w:color w:val="000000"/>
        </w:rPr>
      </w:pPr>
    </w:p>
    <w:p w14:paraId="4F74882D">
      <w:pPr>
        <w:pStyle w:val="18"/>
        <w:ind w:firstLine="480"/>
        <w:rPr>
          <w:rFonts w:hint="default"/>
          <w:color w:val="000000"/>
        </w:rPr>
      </w:pPr>
    </w:p>
    <w:p w14:paraId="4498FED7">
      <w:pPr>
        <w:pStyle w:val="18"/>
        <w:ind w:firstLine="480"/>
        <w:rPr>
          <w:rFonts w:hint="default"/>
          <w:color w:val="000000"/>
        </w:rPr>
      </w:pPr>
    </w:p>
    <w:p w14:paraId="3C754570">
      <w:pPr>
        <w:pStyle w:val="18"/>
        <w:ind w:firstLine="480"/>
        <w:rPr>
          <w:rFonts w:hint="default"/>
          <w:color w:val="000000"/>
        </w:rPr>
      </w:pPr>
    </w:p>
    <w:p w14:paraId="79F5B087">
      <w:pPr>
        <w:pStyle w:val="18"/>
        <w:ind w:firstLine="480"/>
        <w:rPr>
          <w:rFonts w:hint="default"/>
          <w:color w:val="000000"/>
        </w:rPr>
      </w:pPr>
    </w:p>
    <w:p w14:paraId="618218E3">
      <w:pPr>
        <w:pStyle w:val="18"/>
        <w:ind w:firstLine="480"/>
        <w:rPr>
          <w:rFonts w:hint="default"/>
          <w:color w:val="000000"/>
        </w:rPr>
      </w:pPr>
    </w:p>
    <w:p w14:paraId="5701A164">
      <w:pPr>
        <w:pStyle w:val="18"/>
        <w:ind w:firstLine="480"/>
        <w:rPr>
          <w:rFonts w:hint="default"/>
          <w:color w:val="000000"/>
        </w:rPr>
      </w:pPr>
    </w:p>
    <w:p w14:paraId="74996CDD">
      <w:pPr>
        <w:pStyle w:val="18"/>
        <w:ind w:firstLine="480"/>
        <w:rPr>
          <w:rFonts w:hint="default"/>
          <w:color w:val="000000"/>
        </w:rPr>
      </w:pPr>
    </w:p>
    <w:p w14:paraId="3CF25DEF"/>
    <w:p w14:paraId="390A7935">
      <w:pPr>
        <w:pStyle w:val="2"/>
      </w:pPr>
      <w:bookmarkStart w:id="54" w:name="_Toc209"/>
      <w:r>
        <w:rPr>
          <w:rFonts w:hint="eastAsia" w:cs="宋体"/>
          <w:color w:val="000000"/>
          <w:szCs w:val="36"/>
        </w:rPr>
        <w:t>本规程用词说明</w:t>
      </w:r>
      <w:bookmarkEnd w:id="54"/>
    </w:p>
    <w:p w14:paraId="61D8C8DC">
      <w:pPr>
        <w:pStyle w:val="18"/>
        <w:ind w:firstLine="482"/>
        <w:rPr>
          <w:rFonts w:hint="default"/>
        </w:rPr>
      </w:pPr>
      <w:r>
        <w:rPr>
          <w:b/>
          <w:bCs/>
          <w:color w:val="000000"/>
        </w:rPr>
        <w:t xml:space="preserve">1 </w:t>
      </w:r>
      <w:r>
        <w:rPr>
          <w:color w:val="000000"/>
        </w:rPr>
        <w:t>为了便于在执行本规程条文时区别对待，对要求严格程度不同的用词说明如下：</w:t>
      </w:r>
    </w:p>
    <w:p w14:paraId="549E7B42">
      <w:pPr>
        <w:pStyle w:val="18"/>
        <w:ind w:firstLine="964" w:firstLineChars="400"/>
        <w:rPr>
          <w:rFonts w:hint="default"/>
        </w:rPr>
      </w:pPr>
      <w:r>
        <w:rPr>
          <w:b/>
          <w:bCs/>
          <w:color w:val="000000"/>
        </w:rPr>
        <w:t xml:space="preserve">1) </w:t>
      </w:r>
      <w:r>
        <w:rPr>
          <w:color w:val="000000"/>
        </w:rPr>
        <w:t>表示很严格，非这样做不可的：</w:t>
      </w:r>
    </w:p>
    <w:p w14:paraId="5EEB7CEC">
      <w:pPr>
        <w:pStyle w:val="18"/>
        <w:ind w:firstLine="960" w:firstLineChars="400"/>
        <w:rPr>
          <w:rFonts w:hint="default"/>
        </w:rPr>
      </w:pPr>
      <w:r>
        <w:rPr>
          <w:color w:val="000000"/>
        </w:rPr>
        <w:t>正面词采用“必须”，反面词采用“严禁”；</w:t>
      </w:r>
    </w:p>
    <w:p w14:paraId="0B2463CC">
      <w:pPr>
        <w:pStyle w:val="18"/>
        <w:ind w:firstLine="964" w:firstLineChars="400"/>
        <w:rPr>
          <w:rFonts w:hint="default"/>
        </w:rPr>
      </w:pPr>
      <w:r>
        <w:rPr>
          <w:b/>
          <w:bCs/>
          <w:color w:val="000000"/>
        </w:rPr>
        <w:t xml:space="preserve">2) </w:t>
      </w:r>
      <w:r>
        <w:rPr>
          <w:color w:val="000000"/>
        </w:rPr>
        <w:t>表示严格，正常情况下均应这样做的：</w:t>
      </w:r>
    </w:p>
    <w:p w14:paraId="0E153878">
      <w:pPr>
        <w:pStyle w:val="18"/>
        <w:ind w:firstLine="960" w:firstLineChars="400"/>
        <w:rPr>
          <w:rFonts w:hint="default"/>
        </w:rPr>
      </w:pPr>
      <w:r>
        <w:rPr>
          <w:color w:val="000000"/>
        </w:rPr>
        <w:t>正面词采用“应”，反面词采用“不应”或“不得”；</w:t>
      </w:r>
    </w:p>
    <w:p w14:paraId="5F23FF46">
      <w:pPr>
        <w:pStyle w:val="18"/>
        <w:ind w:firstLine="964" w:firstLineChars="400"/>
        <w:rPr>
          <w:rFonts w:hint="default"/>
        </w:rPr>
      </w:pPr>
      <w:r>
        <w:rPr>
          <w:b/>
          <w:bCs/>
          <w:color w:val="000000"/>
        </w:rPr>
        <w:t>3)</w:t>
      </w:r>
      <w:r>
        <w:rPr>
          <w:color w:val="000000"/>
        </w:rPr>
        <w:t xml:space="preserve"> 表示允许稍有选择，在条件许可时首先应这样做的：</w:t>
      </w:r>
    </w:p>
    <w:p w14:paraId="03051CAA">
      <w:pPr>
        <w:pStyle w:val="18"/>
        <w:ind w:firstLine="960" w:firstLineChars="400"/>
        <w:rPr>
          <w:rFonts w:hint="default"/>
        </w:rPr>
      </w:pPr>
      <w:r>
        <w:rPr>
          <w:color w:val="000000"/>
        </w:rPr>
        <w:t>正面词采用“宜”，反面词采用“不宜”；</w:t>
      </w:r>
    </w:p>
    <w:p w14:paraId="76295F60">
      <w:pPr>
        <w:pStyle w:val="18"/>
        <w:ind w:firstLine="964" w:firstLineChars="400"/>
        <w:rPr>
          <w:rFonts w:hint="default"/>
        </w:rPr>
      </w:pPr>
      <w:r>
        <w:rPr>
          <w:b/>
          <w:bCs/>
          <w:color w:val="000000"/>
        </w:rPr>
        <w:t>4)</w:t>
      </w:r>
      <w:r>
        <w:rPr>
          <w:color w:val="000000"/>
        </w:rPr>
        <w:t xml:space="preserve"> 表示有选择，在一定条件下可以这样做的，采用“可”。</w:t>
      </w:r>
    </w:p>
    <w:p w14:paraId="2C3CD9DE">
      <w:pPr>
        <w:pStyle w:val="18"/>
        <w:ind w:firstLine="482"/>
        <w:rPr>
          <w:rFonts w:hint="default"/>
          <w:color w:val="000000"/>
        </w:rPr>
      </w:pPr>
      <w:r>
        <w:rPr>
          <w:b/>
          <w:bCs/>
          <w:color w:val="000000"/>
        </w:rPr>
        <w:t>2</w:t>
      </w:r>
      <w:r>
        <w:rPr>
          <w:color w:val="000000"/>
        </w:rPr>
        <w:t xml:space="preserve"> 条文中指明应按其他有关标准执行的写法为：“应符合…的规定”或“应按…执行”。</w:t>
      </w:r>
    </w:p>
    <w:p w14:paraId="357EEB19">
      <w:pPr>
        <w:rPr>
          <w:rFonts w:cs="宋体"/>
          <w:color w:val="000000"/>
          <w:szCs w:val="28"/>
        </w:rPr>
      </w:pPr>
    </w:p>
    <w:p w14:paraId="610DE291">
      <w:pPr>
        <w:rPr>
          <w:rFonts w:cs="宋体"/>
          <w:color w:val="000000"/>
          <w:szCs w:val="28"/>
        </w:rPr>
      </w:pPr>
    </w:p>
    <w:p w14:paraId="6CB9AF43">
      <w:pPr>
        <w:rPr>
          <w:rFonts w:cs="宋体"/>
          <w:color w:val="000000"/>
          <w:szCs w:val="28"/>
        </w:rPr>
      </w:pPr>
    </w:p>
    <w:p w14:paraId="2A858E55">
      <w:pPr>
        <w:rPr>
          <w:rFonts w:cs="宋体"/>
          <w:color w:val="000000"/>
          <w:szCs w:val="28"/>
        </w:rPr>
      </w:pPr>
    </w:p>
    <w:p w14:paraId="60B2296B">
      <w:pPr>
        <w:rPr>
          <w:rFonts w:cs="宋体"/>
          <w:color w:val="000000"/>
          <w:szCs w:val="28"/>
        </w:rPr>
      </w:pPr>
    </w:p>
    <w:p w14:paraId="2DEBE635">
      <w:pPr>
        <w:rPr>
          <w:rFonts w:cs="宋体"/>
          <w:color w:val="000000"/>
          <w:szCs w:val="28"/>
        </w:rPr>
      </w:pPr>
    </w:p>
    <w:p w14:paraId="4DEB4E27">
      <w:pPr>
        <w:rPr>
          <w:rFonts w:cs="宋体"/>
          <w:color w:val="000000"/>
          <w:szCs w:val="28"/>
        </w:rPr>
      </w:pPr>
    </w:p>
    <w:p w14:paraId="57221245">
      <w:pPr>
        <w:rPr>
          <w:rFonts w:cs="宋体"/>
          <w:color w:val="000000"/>
          <w:szCs w:val="28"/>
        </w:rPr>
      </w:pPr>
    </w:p>
    <w:p w14:paraId="5123D4AE">
      <w:pPr>
        <w:rPr>
          <w:rFonts w:cs="宋体"/>
          <w:color w:val="000000"/>
          <w:szCs w:val="28"/>
        </w:rPr>
      </w:pPr>
    </w:p>
    <w:p w14:paraId="66A2FB77">
      <w:pPr>
        <w:rPr>
          <w:rFonts w:cs="宋体"/>
          <w:color w:val="000000"/>
          <w:szCs w:val="28"/>
        </w:rPr>
      </w:pPr>
    </w:p>
    <w:p w14:paraId="1595DF6C">
      <w:pPr>
        <w:rPr>
          <w:rFonts w:cs="宋体"/>
          <w:color w:val="000000"/>
          <w:szCs w:val="28"/>
        </w:rPr>
      </w:pPr>
    </w:p>
    <w:p w14:paraId="31A8E7E2">
      <w:pPr>
        <w:rPr>
          <w:rFonts w:cs="宋体"/>
          <w:color w:val="000000"/>
          <w:szCs w:val="28"/>
        </w:rPr>
      </w:pPr>
    </w:p>
    <w:p w14:paraId="37D4A50A">
      <w:pPr>
        <w:rPr>
          <w:rFonts w:cs="宋体"/>
          <w:color w:val="000000"/>
          <w:szCs w:val="28"/>
        </w:rPr>
      </w:pPr>
    </w:p>
    <w:p w14:paraId="73CC4599">
      <w:pPr>
        <w:rPr>
          <w:rFonts w:cs="宋体"/>
          <w:color w:val="000000"/>
          <w:szCs w:val="28"/>
        </w:rPr>
      </w:pPr>
    </w:p>
    <w:p w14:paraId="7E96FE08">
      <w:pPr>
        <w:rPr>
          <w:rFonts w:cs="宋体"/>
          <w:color w:val="000000"/>
          <w:szCs w:val="28"/>
        </w:rPr>
      </w:pPr>
    </w:p>
    <w:p w14:paraId="019C7810">
      <w:pPr>
        <w:rPr>
          <w:rFonts w:cs="宋体"/>
          <w:color w:val="000000"/>
          <w:szCs w:val="28"/>
        </w:rPr>
      </w:pPr>
    </w:p>
    <w:p w14:paraId="6AB6BABA">
      <w:pPr>
        <w:pStyle w:val="2"/>
      </w:pPr>
      <w:bookmarkStart w:id="55" w:name="_Toc1419"/>
      <w:r>
        <w:rPr>
          <w:rFonts w:hint="eastAsia"/>
        </w:rPr>
        <w:t>引用标准目录</w:t>
      </w:r>
      <w:bookmarkEnd w:id="55"/>
    </w:p>
    <w:p w14:paraId="7F266542">
      <w:pPr>
        <w:pStyle w:val="18"/>
        <w:ind w:firstLine="480"/>
        <w:rPr>
          <w:rFonts w:hint="default"/>
        </w:rPr>
      </w:pPr>
      <w:r>
        <w:t>《建筑结构荷载规范》GB 50009</w:t>
      </w:r>
    </w:p>
    <w:p w14:paraId="7F078BA9">
      <w:pPr>
        <w:pStyle w:val="18"/>
        <w:ind w:firstLine="480"/>
        <w:rPr>
          <w:rFonts w:hint="default"/>
          <w:b/>
          <w:bCs/>
        </w:rPr>
      </w:pPr>
      <w:r>
        <w:t>《抗震设计规范》GB 50011</w:t>
      </w:r>
    </w:p>
    <w:p w14:paraId="5F85C7CE">
      <w:pPr>
        <w:pStyle w:val="18"/>
        <w:ind w:firstLine="480"/>
        <w:rPr>
          <w:rFonts w:hint="default"/>
        </w:rPr>
      </w:pPr>
      <w:r>
        <w:t>《混凝土结构工程施工质量验收规范》GB 50204</w:t>
      </w:r>
    </w:p>
    <w:p w14:paraId="2A4F1BF4">
      <w:pPr>
        <w:pStyle w:val="18"/>
        <w:ind w:firstLine="480"/>
        <w:rPr>
          <w:rFonts w:hint="default"/>
          <w:color w:val="000000"/>
        </w:rPr>
      </w:pPr>
      <w:r>
        <w:t>《建筑工程施工质量验收统一标准》GB 50300</w:t>
      </w:r>
    </w:p>
    <w:p w14:paraId="37F02B9E">
      <w:pPr>
        <w:pStyle w:val="18"/>
        <w:ind w:firstLine="480"/>
        <w:rPr>
          <w:rFonts w:hint="default"/>
          <w:b/>
          <w:bCs/>
        </w:rPr>
      </w:pPr>
      <w:r>
        <w:t>《混凝土结构工程施工规范》GB 50666</w:t>
      </w:r>
    </w:p>
    <w:p w14:paraId="13C62D49">
      <w:pPr>
        <w:pStyle w:val="18"/>
        <w:ind w:firstLine="480"/>
        <w:rPr>
          <w:rFonts w:hint="default"/>
          <w:b/>
          <w:bCs/>
        </w:rPr>
      </w:pPr>
      <w:r>
        <w:t>《钢结构通用规范》GB 55006</w:t>
      </w:r>
    </w:p>
    <w:p w14:paraId="34C3F7AD">
      <w:pPr>
        <w:pStyle w:val="18"/>
        <w:ind w:firstLine="480"/>
        <w:rPr>
          <w:rFonts w:hint="default"/>
        </w:rPr>
      </w:pPr>
      <w:r>
        <w:t>《混凝土结构设计标准》GB/T 50010</w:t>
      </w:r>
    </w:p>
    <w:p w14:paraId="5D017D7D">
      <w:pPr>
        <w:pStyle w:val="18"/>
        <w:ind w:firstLine="480"/>
        <w:rPr>
          <w:rFonts w:hint="default"/>
        </w:rPr>
      </w:pPr>
      <w:r>
        <w:t>《装配式混凝土建筑技术标准》GB/T 51231</w:t>
      </w:r>
    </w:p>
    <w:p w14:paraId="1D3815DB">
      <w:pPr>
        <w:pStyle w:val="18"/>
        <w:ind w:firstLine="480"/>
        <w:rPr>
          <w:rFonts w:hint="default"/>
        </w:rPr>
      </w:pPr>
      <w:r>
        <w:t>《装配式混凝土结构技术规程》JGJ 1</w:t>
      </w:r>
    </w:p>
    <w:p w14:paraId="0BAB2630">
      <w:pPr>
        <w:pStyle w:val="18"/>
        <w:ind w:firstLine="480"/>
        <w:rPr>
          <w:rFonts w:hint="default"/>
        </w:rPr>
      </w:pPr>
      <w:r>
        <w:t>《高层建筑混凝土结构技术标准》JGJ 3</w:t>
      </w:r>
    </w:p>
    <w:p w14:paraId="3FE4B8AF">
      <w:pPr>
        <w:pStyle w:val="18"/>
        <w:ind w:firstLine="480"/>
        <w:rPr>
          <w:rFonts w:hint="default"/>
        </w:rPr>
      </w:pPr>
      <w:r>
        <w:t>《钢筋焊接及验收规程》JGJ 18</w:t>
      </w:r>
    </w:p>
    <w:p w14:paraId="448DE2B9">
      <w:pPr>
        <w:pStyle w:val="18"/>
        <w:ind w:firstLine="480"/>
        <w:rPr>
          <w:rFonts w:hint="default"/>
        </w:rPr>
      </w:pPr>
      <w:r>
        <w:t>《钢筋桁架混凝土叠合板应用技术规程》T/CECS 715</w:t>
      </w:r>
    </w:p>
    <w:sectPr>
      <w:footerReference r:id="rId10"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5B3E2">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E9D0F">
    <w:pPr>
      <w:pStyle w:val="6"/>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676989">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Fyw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hhFywtAgAAVwQAAA4AAAAAAAAAAQAgAAAAHwEAAGRycy9lMm9Eb2MueG1sUEsFBgAAAAAG&#10;AAYAWQEAAL4FAAAAAA==&#10;">
              <v:fill on="f" focussize="0,0"/>
              <v:stroke on="f" weight="0.5pt"/>
              <v:imagedata o:title=""/>
              <o:lock v:ext="edit" aspectratio="f"/>
              <v:textbox inset="0mm,0mm,0mm,0mm" style="mso-fit-shape-to-text:t;">
                <w:txbxContent>
                  <w:p w14:paraId="08676989">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9BFDB">
    <w:pPr>
      <w:pStyle w:val="6"/>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2B1C5A">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zANsrAgAAVwQAAA4AAABkcnMvZTJvRG9jLnhtbK1UwY7TMBC9I/EP&#10;lu80bRGrqtp0VbYqQqrYlRbE2XWcJpLtsWy3SfkA+ANOXLjzXfsd+5w0XVg47IGLO/ZM3sx7M9PL&#10;q9ZodlA+1GRzPhmNOVNWUlHbXc4/fVy/mnEWorCF0GRVzo8q8KvFyxeXjZurKVWkC+UZQGyYNy7n&#10;VYxunmVBVsqIMCKnLJwleSMirn6XFV40QDc6m47HF1lDvnCepAoBr6veyU+I/jmAVJa1VCuSe6Ns&#10;7FG90iKCUqhqF/iiq7YslYw3ZRlUZDrnYBq7E0lgb9OZLS7FfOeFq2p5KkE8p4QnnIyoLZKeoVYi&#10;Crb39V9QppaeApVxJMlkPZFOEbCYjJ9oc1cJpzoukDq4s+jh/8HKD4dbz+oi528giRUGHb///u3+&#10;x6/7n18Z3iBQ48IccXcOkbF9Sy3GZngPeEy829Kb9AtGDH5gHc/yqjYymT6aTWezMVwSvuEC/Ozx&#10;c+dDfKfIsGTk3KN/nazisAmxDx1CUjZL61rrrofasibnF69R8h8egGuLHIlEX2yyYrttT8y2VBxB&#10;zFM/G8HJdY3kGxHirfAYBhSMdYk3OEpNSEIni7OK/Jd/vad49AhezhoMV84tdokz/d6idwCMg+EH&#10;YzsYdm+uCdM6wRo62Zn4wEc9mKUn8xk7tEw54BJWIlPO42Bex37AsYNSLZddEKbNibixd04m6CRR&#10;cMt9hICdrkmUXomTVpi3rjOn3UgD/fu9i3r8P1g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MwDbKwIAAFcEAAAOAAAAAAAAAAEAIAAAAB8BAABkcnMvZTJvRG9jLnhtbFBLBQYAAAAABgAG&#10;AFkBAAC8BQAAAAA=&#10;">
              <v:fill on="f" focussize="0,0"/>
              <v:stroke on="f" weight="0.5pt"/>
              <v:imagedata o:title=""/>
              <o:lock v:ext="edit" aspectratio="f"/>
              <v:textbox inset="0mm,0mm,0mm,0mm" style="mso-fit-shape-to-text:t;">
                <w:txbxContent>
                  <w:p w14:paraId="2E2B1C5A">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536F0">
    <w:pPr>
      <w:pStyle w:val="6"/>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047591">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U5ssAgAAV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H5TmywCAABXBAAADgAAAAAAAAABACAAAAAfAQAAZHJzL2Uyb0RvYy54bWxQSwUGAAAAAAYA&#10;BgBZAQAAvQUAAAAA&#10;">
              <v:fill on="f" focussize="0,0"/>
              <v:stroke on="f" weight="0.5pt"/>
              <v:imagedata o:title=""/>
              <o:lock v:ext="edit" aspectratio="f"/>
              <v:textbox inset="0mm,0mm,0mm,0mm" style="mso-fit-shape-to-text:t;">
                <w:txbxContent>
                  <w:p w14:paraId="53047591">
                    <w:pPr>
                      <w:pStyle w:val="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A29DD">
    <w:pPr>
      <w:pStyle w:val="6"/>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ADB45">
                          <w:pPr>
                            <w:pStyle w:val="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opls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oplstAgAAVwQAAA4AAAAAAAAAAQAgAAAAHwEAAGRycy9lMm9Eb2MueG1sUEsFBgAAAAAG&#10;AAYAWQEAAL4FAAAAAA==&#10;">
              <v:fill on="f" focussize="0,0"/>
              <v:stroke on="f" weight="0.5pt"/>
              <v:imagedata o:title=""/>
              <o:lock v:ext="edit" aspectratio="f"/>
              <v:textbox inset="0mm,0mm,0mm,0mm" style="mso-fit-shape-to-text:t;">
                <w:txbxContent>
                  <w:p w14:paraId="5C7ADB45">
                    <w:pPr>
                      <w:pStyle w:val="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DA5ED">
    <w:pPr>
      <w:pStyle w:val="6"/>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9160A">
                          <w:pPr>
                            <w:pStyle w:val="6"/>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l9Rs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zl9RstAgAAVwQAAA4AAAAAAAAAAQAgAAAAHwEAAGRycy9lMm9Eb2MueG1sUEsFBgAAAAAG&#10;AAYAWQEAAL4FAAAAAA==&#10;">
              <v:fill on="f" focussize="0,0"/>
              <v:stroke on="f" weight="0.5pt"/>
              <v:imagedata o:title=""/>
              <o:lock v:ext="edit" aspectratio="f"/>
              <v:textbox inset="0mm,0mm,0mm,0mm" style="mso-fit-shape-to-text:t;">
                <w:txbxContent>
                  <w:p w14:paraId="1BE9160A">
                    <w:pPr>
                      <w:pStyle w:val="6"/>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F9D70BC"/>
    <w:rsid w:val="00195A5C"/>
    <w:rsid w:val="002B79AC"/>
    <w:rsid w:val="002C7EAA"/>
    <w:rsid w:val="00362205"/>
    <w:rsid w:val="00372D84"/>
    <w:rsid w:val="004C4EDC"/>
    <w:rsid w:val="004E5F74"/>
    <w:rsid w:val="005031BA"/>
    <w:rsid w:val="00510C96"/>
    <w:rsid w:val="00536034"/>
    <w:rsid w:val="005634BC"/>
    <w:rsid w:val="005A6F0A"/>
    <w:rsid w:val="00610ECC"/>
    <w:rsid w:val="00710A0B"/>
    <w:rsid w:val="007351C9"/>
    <w:rsid w:val="00741413"/>
    <w:rsid w:val="0074388F"/>
    <w:rsid w:val="007B26E4"/>
    <w:rsid w:val="007C6D7C"/>
    <w:rsid w:val="007C6E17"/>
    <w:rsid w:val="007F6469"/>
    <w:rsid w:val="008345EF"/>
    <w:rsid w:val="008C1033"/>
    <w:rsid w:val="008F5262"/>
    <w:rsid w:val="008F6A7E"/>
    <w:rsid w:val="008F7A35"/>
    <w:rsid w:val="009111ED"/>
    <w:rsid w:val="009839F7"/>
    <w:rsid w:val="009B5548"/>
    <w:rsid w:val="009C3C42"/>
    <w:rsid w:val="00A10999"/>
    <w:rsid w:val="00A61432"/>
    <w:rsid w:val="00AA2BB2"/>
    <w:rsid w:val="00AB31F8"/>
    <w:rsid w:val="00AF3866"/>
    <w:rsid w:val="00AF5A42"/>
    <w:rsid w:val="00AF60D0"/>
    <w:rsid w:val="00B20B69"/>
    <w:rsid w:val="00BB6F71"/>
    <w:rsid w:val="00BF5C00"/>
    <w:rsid w:val="00C27461"/>
    <w:rsid w:val="00C8270D"/>
    <w:rsid w:val="00CD4F10"/>
    <w:rsid w:val="00CF2B4C"/>
    <w:rsid w:val="00D80E10"/>
    <w:rsid w:val="00D82B97"/>
    <w:rsid w:val="00D85E90"/>
    <w:rsid w:val="00DF00A6"/>
    <w:rsid w:val="00E1187F"/>
    <w:rsid w:val="00EA3CB1"/>
    <w:rsid w:val="00EB6EAC"/>
    <w:rsid w:val="00F76764"/>
    <w:rsid w:val="01D63074"/>
    <w:rsid w:val="01D66FF6"/>
    <w:rsid w:val="01F66520"/>
    <w:rsid w:val="02EB5BBD"/>
    <w:rsid w:val="03836A76"/>
    <w:rsid w:val="040C0819"/>
    <w:rsid w:val="04DF2447"/>
    <w:rsid w:val="056A67D2"/>
    <w:rsid w:val="066E7569"/>
    <w:rsid w:val="06824166"/>
    <w:rsid w:val="06AE1C2D"/>
    <w:rsid w:val="06C947A0"/>
    <w:rsid w:val="06D9077E"/>
    <w:rsid w:val="071A1A4A"/>
    <w:rsid w:val="072530B3"/>
    <w:rsid w:val="085D1644"/>
    <w:rsid w:val="08C85AB7"/>
    <w:rsid w:val="0991665A"/>
    <w:rsid w:val="0A2539B5"/>
    <w:rsid w:val="0B747A07"/>
    <w:rsid w:val="0BB04180"/>
    <w:rsid w:val="0BE5207C"/>
    <w:rsid w:val="0CD3450C"/>
    <w:rsid w:val="0D251826"/>
    <w:rsid w:val="0D447276"/>
    <w:rsid w:val="0DB5258B"/>
    <w:rsid w:val="0DBE216A"/>
    <w:rsid w:val="0DD52F64"/>
    <w:rsid w:val="0E375B33"/>
    <w:rsid w:val="0E420F60"/>
    <w:rsid w:val="0E5D3783"/>
    <w:rsid w:val="0E7C195C"/>
    <w:rsid w:val="0E7F149F"/>
    <w:rsid w:val="0F1401B8"/>
    <w:rsid w:val="0F5E4867"/>
    <w:rsid w:val="0F7E5F8C"/>
    <w:rsid w:val="0FFC5347"/>
    <w:rsid w:val="112F5954"/>
    <w:rsid w:val="11624912"/>
    <w:rsid w:val="117D5FBA"/>
    <w:rsid w:val="11EA1E97"/>
    <w:rsid w:val="12FD409F"/>
    <w:rsid w:val="13026DF0"/>
    <w:rsid w:val="132E2D7F"/>
    <w:rsid w:val="13F63872"/>
    <w:rsid w:val="14264FE0"/>
    <w:rsid w:val="154F16BA"/>
    <w:rsid w:val="15916DD0"/>
    <w:rsid w:val="15D21DFD"/>
    <w:rsid w:val="16226708"/>
    <w:rsid w:val="16392DBB"/>
    <w:rsid w:val="167F1CC8"/>
    <w:rsid w:val="16BF13AB"/>
    <w:rsid w:val="173D482E"/>
    <w:rsid w:val="175D136C"/>
    <w:rsid w:val="18361798"/>
    <w:rsid w:val="18A06350"/>
    <w:rsid w:val="18CF2958"/>
    <w:rsid w:val="18E92A80"/>
    <w:rsid w:val="1914577D"/>
    <w:rsid w:val="1981715C"/>
    <w:rsid w:val="1A1030CD"/>
    <w:rsid w:val="1A4A1C9F"/>
    <w:rsid w:val="1A7D5FB0"/>
    <w:rsid w:val="1AC4630E"/>
    <w:rsid w:val="1AD367EC"/>
    <w:rsid w:val="1AE67F2F"/>
    <w:rsid w:val="1B1F09DB"/>
    <w:rsid w:val="1B6F3710"/>
    <w:rsid w:val="1B742AD4"/>
    <w:rsid w:val="1BD6553D"/>
    <w:rsid w:val="1BF97C68"/>
    <w:rsid w:val="1C1111DB"/>
    <w:rsid w:val="1C391A43"/>
    <w:rsid w:val="1C6A3ED7"/>
    <w:rsid w:val="1CAC58FA"/>
    <w:rsid w:val="1D0E518A"/>
    <w:rsid w:val="1D7F13CF"/>
    <w:rsid w:val="1D9F2FD6"/>
    <w:rsid w:val="1E034E36"/>
    <w:rsid w:val="1E9516DF"/>
    <w:rsid w:val="1E99289A"/>
    <w:rsid w:val="1E9F0082"/>
    <w:rsid w:val="1EB34F18"/>
    <w:rsid w:val="1ED8618C"/>
    <w:rsid w:val="1F056662"/>
    <w:rsid w:val="1F901EA7"/>
    <w:rsid w:val="1FCD3566"/>
    <w:rsid w:val="1FE36763"/>
    <w:rsid w:val="200E13D7"/>
    <w:rsid w:val="20544497"/>
    <w:rsid w:val="206A0CE5"/>
    <w:rsid w:val="21441FD0"/>
    <w:rsid w:val="21581027"/>
    <w:rsid w:val="216D3965"/>
    <w:rsid w:val="216E446A"/>
    <w:rsid w:val="2199318D"/>
    <w:rsid w:val="22613F72"/>
    <w:rsid w:val="2268710B"/>
    <w:rsid w:val="22E91FFA"/>
    <w:rsid w:val="23A47D66"/>
    <w:rsid w:val="23CD53B3"/>
    <w:rsid w:val="23F30C56"/>
    <w:rsid w:val="240A3547"/>
    <w:rsid w:val="242929C1"/>
    <w:rsid w:val="244D0775"/>
    <w:rsid w:val="244D09FE"/>
    <w:rsid w:val="2627188F"/>
    <w:rsid w:val="27233601"/>
    <w:rsid w:val="275B665F"/>
    <w:rsid w:val="276F0C0C"/>
    <w:rsid w:val="27951673"/>
    <w:rsid w:val="27B11EDD"/>
    <w:rsid w:val="27CA27D8"/>
    <w:rsid w:val="27DE7EA4"/>
    <w:rsid w:val="28275C34"/>
    <w:rsid w:val="284E0B51"/>
    <w:rsid w:val="28887BBF"/>
    <w:rsid w:val="28CF1C92"/>
    <w:rsid w:val="291A4422"/>
    <w:rsid w:val="29423FB4"/>
    <w:rsid w:val="295244C2"/>
    <w:rsid w:val="297D650E"/>
    <w:rsid w:val="2A6F667F"/>
    <w:rsid w:val="2AE20BEC"/>
    <w:rsid w:val="2AFA018F"/>
    <w:rsid w:val="2B0A11BA"/>
    <w:rsid w:val="2B1122B4"/>
    <w:rsid w:val="2B2D664C"/>
    <w:rsid w:val="2B7E174D"/>
    <w:rsid w:val="2B862C9E"/>
    <w:rsid w:val="2BF04C8D"/>
    <w:rsid w:val="2C155C0E"/>
    <w:rsid w:val="2C9F3729"/>
    <w:rsid w:val="2CAE1BBE"/>
    <w:rsid w:val="2CDF5F02"/>
    <w:rsid w:val="2E39602A"/>
    <w:rsid w:val="2E6562DF"/>
    <w:rsid w:val="2EB53854"/>
    <w:rsid w:val="2ED022C0"/>
    <w:rsid w:val="2F3733CF"/>
    <w:rsid w:val="2F394CAA"/>
    <w:rsid w:val="2F910B75"/>
    <w:rsid w:val="2FD61B58"/>
    <w:rsid w:val="2FDA1868"/>
    <w:rsid w:val="2FE57087"/>
    <w:rsid w:val="30AB6B41"/>
    <w:rsid w:val="30EF0CD6"/>
    <w:rsid w:val="312A2DE2"/>
    <w:rsid w:val="31E22A36"/>
    <w:rsid w:val="3257018C"/>
    <w:rsid w:val="328A2FA4"/>
    <w:rsid w:val="32CC1D4A"/>
    <w:rsid w:val="32D3237F"/>
    <w:rsid w:val="33427E48"/>
    <w:rsid w:val="3352084C"/>
    <w:rsid w:val="33564447"/>
    <w:rsid w:val="335F3AF0"/>
    <w:rsid w:val="33D068BE"/>
    <w:rsid w:val="34117602"/>
    <w:rsid w:val="342176A3"/>
    <w:rsid w:val="343147AA"/>
    <w:rsid w:val="34560FE6"/>
    <w:rsid w:val="34942519"/>
    <w:rsid w:val="34DC6A1B"/>
    <w:rsid w:val="35707F05"/>
    <w:rsid w:val="35AC607E"/>
    <w:rsid w:val="35F176C4"/>
    <w:rsid w:val="3611540F"/>
    <w:rsid w:val="36E05DBE"/>
    <w:rsid w:val="36F10C45"/>
    <w:rsid w:val="36F34D9D"/>
    <w:rsid w:val="375E6783"/>
    <w:rsid w:val="378C28C6"/>
    <w:rsid w:val="379C61D0"/>
    <w:rsid w:val="37D62529"/>
    <w:rsid w:val="3801173C"/>
    <w:rsid w:val="384836B7"/>
    <w:rsid w:val="38727FAA"/>
    <w:rsid w:val="38C05153"/>
    <w:rsid w:val="39644FCC"/>
    <w:rsid w:val="3995213C"/>
    <w:rsid w:val="39C96289"/>
    <w:rsid w:val="39FA72BF"/>
    <w:rsid w:val="3A250F74"/>
    <w:rsid w:val="3A3D7B2D"/>
    <w:rsid w:val="3A4E3759"/>
    <w:rsid w:val="3A9D2CF5"/>
    <w:rsid w:val="3A9F75B9"/>
    <w:rsid w:val="3AA64EFE"/>
    <w:rsid w:val="3B064FBC"/>
    <w:rsid w:val="3B6E0E96"/>
    <w:rsid w:val="3BAD430A"/>
    <w:rsid w:val="3BC23CAC"/>
    <w:rsid w:val="3C2800B9"/>
    <w:rsid w:val="3C6C3234"/>
    <w:rsid w:val="3CED4AC5"/>
    <w:rsid w:val="3D0C0B50"/>
    <w:rsid w:val="3D1B27AF"/>
    <w:rsid w:val="3D242BBB"/>
    <w:rsid w:val="3D882659"/>
    <w:rsid w:val="3D8F09E6"/>
    <w:rsid w:val="3E124164"/>
    <w:rsid w:val="3E356B35"/>
    <w:rsid w:val="3E5E1696"/>
    <w:rsid w:val="3F053A61"/>
    <w:rsid w:val="3F21094C"/>
    <w:rsid w:val="3F5B4A75"/>
    <w:rsid w:val="3FE078BF"/>
    <w:rsid w:val="3FE72C2A"/>
    <w:rsid w:val="400066FD"/>
    <w:rsid w:val="40553443"/>
    <w:rsid w:val="40852CD3"/>
    <w:rsid w:val="408E7D20"/>
    <w:rsid w:val="40970004"/>
    <w:rsid w:val="40A8065F"/>
    <w:rsid w:val="40A84161"/>
    <w:rsid w:val="41104738"/>
    <w:rsid w:val="412070D7"/>
    <w:rsid w:val="412B68F1"/>
    <w:rsid w:val="418D1221"/>
    <w:rsid w:val="42334364"/>
    <w:rsid w:val="426972D8"/>
    <w:rsid w:val="42A460ED"/>
    <w:rsid w:val="42CF09BE"/>
    <w:rsid w:val="42F75102"/>
    <w:rsid w:val="43912E12"/>
    <w:rsid w:val="43A85705"/>
    <w:rsid w:val="43AE3034"/>
    <w:rsid w:val="43BB4E95"/>
    <w:rsid w:val="44246EDE"/>
    <w:rsid w:val="4466056F"/>
    <w:rsid w:val="44D6523A"/>
    <w:rsid w:val="45120858"/>
    <w:rsid w:val="45BE1AA6"/>
    <w:rsid w:val="45DE19D9"/>
    <w:rsid w:val="461300C4"/>
    <w:rsid w:val="468A220B"/>
    <w:rsid w:val="469D4D26"/>
    <w:rsid w:val="46E64679"/>
    <w:rsid w:val="471017A0"/>
    <w:rsid w:val="478C49D6"/>
    <w:rsid w:val="479769E3"/>
    <w:rsid w:val="484B5706"/>
    <w:rsid w:val="48691363"/>
    <w:rsid w:val="486B42F1"/>
    <w:rsid w:val="488B6380"/>
    <w:rsid w:val="492344CB"/>
    <w:rsid w:val="492971E3"/>
    <w:rsid w:val="49C64593"/>
    <w:rsid w:val="49F93E2C"/>
    <w:rsid w:val="4A930C91"/>
    <w:rsid w:val="4AAC5537"/>
    <w:rsid w:val="4AB0715E"/>
    <w:rsid w:val="4ADF590D"/>
    <w:rsid w:val="4B08477A"/>
    <w:rsid w:val="4B093D34"/>
    <w:rsid w:val="4B0B6702"/>
    <w:rsid w:val="4B125CE2"/>
    <w:rsid w:val="4B9953EB"/>
    <w:rsid w:val="4B9F0D16"/>
    <w:rsid w:val="4BE551A5"/>
    <w:rsid w:val="4BFF755C"/>
    <w:rsid w:val="4C4C578B"/>
    <w:rsid w:val="4D0B0C3B"/>
    <w:rsid w:val="4E9F6EEE"/>
    <w:rsid w:val="4EB326F5"/>
    <w:rsid w:val="4EC70821"/>
    <w:rsid w:val="4ED271C6"/>
    <w:rsid w:val="4EED488B"/>
    <w:rsid w:val="4EF03291"/>
    <w:rsid w:val="4F672375"/>
    <w:rsid w:val="4F7A6E96"/>
    <w:rsid w:val="4F7D0D94"/>
    <w:rsid w:val="4FD277EE"/>
    <w:rsid w:val="5043506B"/>
    <w:rsid w:val="50CC03FD"/>
    <w:rsid w:val="51764C34"/>
    <w:rsid w:val="519A53EE"/>
    <w:rsid w:val="519A65CB"/>
    <w:rsid w:val="51BD2AE3"/>
    <w:rsid w:val="52120376"/>
    <w:rsid w:val="523F3135"/>
    <w:rsid w:val="53471D3A"/>
    <w:rsid w:val="53B30EDD"/>
    <w:rsid w:val="53E61ABA"/>
    <w:rsid w:val="541C2054"/>
    <w:rsid w:val="54210B62"/>
    <w:rsid w:val="54226EB5"/>
    <w:rsid w:val="54B9768F"/>
    <w:rsid w:val="54F62FD2"/>
    <w:rsid w:val="5512491C"/>
    <w:rsid w:val="551A278D"/>
    <w:rsid w:val="55DE6DC6"/>
    <w:rsid w:val="563A60ED"/>
    <w:rsid w:val="56595037"/>
    <w:rsid w:val="569A0A51"/>
    <w:rsid w:val="56BA6891"/>
    <w:rsid w:val="56FF37FA"/>
    <w:rsid w:val="5713113E"/>
    <w:rsid w:val="57230189"/>
    <w:rsid w:val="572F2FC0"/>
    <w:rsid w:val="573E1C0D"/>
    <w:rsid w:val="574C7F0D"/>
    <w:rsid w:val="575A31B8"/>
    <w:rsid w:val="577B57E1"/>
    <w:rsid w:val="58361B49"/>
    <w:rsid w:val="58751B11"/>
    <w:rsid w:val="59D16D68"/>
    <w:rsid w:val="59E85E60"/>
    <w:rsid w:val="59F033A8"/>
    <w:rsid w:val="5A19426B"/>
    <w:rsid w:val="5A710948"/>
    <w:rsid w:val="5AAA2F8A"/>
    <w:rsid w:val="5AFD74B9"/>
    <w:rsid w:val="5B0645A5"/>
    <w:rsid w:val="5B193C11"/>
    <w:rsid w:val="5B7E221C"/>
    <w:rsid w:val="5B8E0412"/>
    <w:rsid w:val="5D0704E9"/>
    <w:rsid w:val="5D8D744A"/>
    <w:rsid w:val="5E162F9C"/>
    <w:rsid w:val="5E4D3990"/>
    <w:rsid w:val="5E927227"/>
    <w:rsid w:val="5E9E79D5"/>
    <w:rsid w:val="5EBD10E5"/>
    <w:rsid w:val="5EC849CA"/>
    <w:rsid w:val="5F925FC3"/>
    <w:rsid w:val="5FFF6809"/>
    <w:rsid w:val="600E3D4E"/>
    <w:rsid w:val="601D7344"/>
    <w:rsid w:val="60432042"/>
    <w:rsid w:val="604F6D43"/>
    <w:rsid w:val="6066789B"/>
    <w:rsid w:val="60E07F56"/>
    <w:rsid w:val="60ED79E9"/>
    <w:rsid w:val="61154AB0"/>
    <w:rsid w:val="6229464B"/>
    <w:rsid w:val="625A295F"/>
    <w:rsid w:val="628023B1"/>
    <w:rsid w:val="6289396C"/>
    <w:rsid w:val="62AF6E33"/>
    <w:rsid w:val="62E517A5"/>
    <w:rsid w:val="6388493C"/>
    <w:rsid w:val="6412368B"/>
    <w:rsid w:val="641937E6"/>
    <w:rsid w:val="64274C5E"/>
    <w:rsid w:val="64BD68DA"/>
    <w:rsid w:val="64C97D52"/>
    <w:rsid w:val="6556517D"/>
    <w:rsid w:val="65B97C64"/>
    <w:rsid w:val="65CA33F6"/>
    <w:rsid w:val="66B372A4"/>
    <w:rsid w:val="66F54463"/>
    <w:rsid w:val="670342D9"/>
    <w:rsid w:val="677671A1"/>
    <w:rsid w:val="67EF53F5"/>
    <w:rsid w:val="67F2790E"/>
    <w:rsid w:val="683C3F47"/>
    <w:rsid w:val="6848469A"/>
    <w:rsid w:val="6855597F"/>
    <w:rsid w:val="685E05B6"/>
    <w:rsid w:val="688970E9"/>
    <w:rsid w:val="689F26C8"/>
    <w:rsid w:val="68F71B4A"/>
    <w:rsid w:val="69270753"/>
    <w:rsid w:val="69296D60"/>
    <w:rsid w:val="69A36249"/>
    <w:rsid w:val="69E80376"/>
    <w:rsid w:val="6A876531"/>
    <w:rsid w:val="6A9A65A7"/>
    <w:rsid w:val="6ABA7699"/>
    <w:rsid w:val="6B0420A3"/>
    <w:rsid w:val="6B0C2230"/>
    <w:rsid w:val="6B2D7B77"/>
    <w:rsid w:val="6BC22528"/>
    <w:rsid w:val="6BE50C89"/>
    <w:rsid w:val="6CEE4201"/>
    <w:rsid w:val="6CF546C4"/>
    <w:rsid w:val="6CF95786"/>
    <w:rsid w:val="6DEC2A3B"/>
    <w:rsid w:val="6E02353D"/>
    <w:rsid w:val="6E2E7B61"/>
    <w:rsid w:val="6E7A05E5"/>
    <w:rsid w:val="6E8D72AA"/>
    <w:rsid w:val="6E997B0C"/>
    <w:rsid w:val="6EB0191C"/>
    <w:rsid w:val="6EBB281A"/>
    <w:rsid w:val="6ECA6812"/>
    <w:rsid w:val="6F1568C0"/>
    <w:rsid w:val="6F271A1A"/>
    <w:rsid w:val="6F2C3C1D"/>
    <w:rsid w:val="6F541D68"/>
    <w:rsid w:val="6F6B5112"/>
    <w:rsid w:val="6F6D5E81"/>
    <w:rsid w:val="6F7E6BF3"/>
    <w:rsid w:val="6F8866D3"/>
    <w:rsid w:val="6FF13869"/>
    <w:rsid w:val="70874757"/>
    <w:rsid w:val="708E10B8"/>
    <w:rsid w:val="708E536E"/>
    <w:rsid w:val="70CF3791"/>
    <w:rsid w:val="712356B4"/>
    <w:rsid w:val="712612F0"/>
    <w:rsid w:val="71346C81"/>
    <w:rsid w:val="71723897"/>
    <w:rsid w:val="71877FC8"/>
    <w:rsid w:val="71A1306D"/>
    <w:rsid w:val="71C8539E"/>
    <w:rsid w:val="71F3299B"/>
    <w:rsid w:val="720B00B7"/>
    <w:rsid w:val="72184329"/>
    <w:rsid w:val="722E2B52"/>
    <w:rsid w:val="72572EB0"/>
    <w:rsid w:val="7267496F"/>
    <w:rsid w:val="72902062"/>
    <w:rsid w:val="72B62B48"/>
    <w:rsid w:val="72D80882"/>
    <w:rsid w:val="72F0605A"/>
    <w:rsid w:val="73057760"/>
    <w:rsid w:val="735115F3"/>
    <w:rsid w:val="735F6BA4"/>
    <w:rsid w:val="736B56E0"/>
    <w:rsid w:val="737318A4"/>
    <w:rsid w:val="737F118B"/>
    <w:rsid w:val="73ED0B58"/>
    <w:rsid w:val="73F7311D"/>
    <w:rsid w:val="74092D22"/>
    <w:rsid w:val="7432117E"/>
    <w:rsid w:val="743B61B5"/>
    <w:rsid w:val="745C6968"/>
    <w:rsid w:val="74717DEB"/>
    <w:rsid w:val="74942A15"/>
    <w:rsid w:val="74B35591"/>
    <w:rsid w:val="752C2F50"/>
    <w:rsid w:val="75934DBB"/>
    <w:rsid w:val="75AF07DF"/>
    <w:rsid w:val="76665036"/>
    <w:rsid w:val="76C03539"/>
    <w:rsid w:val="76D8250B"/>
    <w:rsid w:val="77422BFC"/>
    <w:rsid w:val="779E77B6"/>
    <w:rsid w:val="77B57573"/>
    <w:rsid w:val="77E45A61"/>
    <w:rsid w:val="793C4CDD"/>
    <w:rsid w:val="795F4A3B"/>
    <w:rsid w:val="7962373E"/>
    <w:rsid w:val="797057FE"/>
    <w:rsid w:val="7A49604F"/>
    <w:rsid w:val="7A505DF1"/>
    <w:rsid w:val="7A861051"/>
    <w:rsid w:val="7A884DCA"/>
    <w:rsid w:val="7AB802A3"/>
    <w:rsid w:val="7ABA2944"/>
    <w:rsid w:val="7B367DCA"/>
    <w:rsid w:val="7BA61F9B"/>
    <w:rsid w:val="7BBD6CF5"/>
    <w:rsid w:val="7BFB57CF"/>
    <w:rsid w:val="7C435C71"/>
    <w:rsid w:val="7C50113C"/>
    <w:rsid w:val="7C5B2872"/>
    <w:rsid w:val="7C5C2BA3"/>
    <w:rsid w:val="7C936510"/>
    <w:rsid w:val="7CEC6ABB"/>
    <w:rsid w:val="7D1D7630"/>
    <w:rsid w:val="7D5B71BB"/>
    <w:rsid w:val="7D702296"/>
    <w:rsid w:val="7DE07FB2"/>
    <w:rsid w:val="7E6B1E5B"/>
    <w:rsid w:val="7F9D70BC"/>
    <w:rsid w:val="7FBC5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heme="minorBidi"/>
      <w:kern w:val="2"/>
      <w:sz w:val="24"/>
      <w:szCs w:val="24"/>
      <w:lang w:val="en-US" w:eastAsia="zh-CN" w:bidi="ar-SA"/>
    </w:rPr>
  </w:style>
  <w:style w:type="paragraph" w:styleId="2">
    <w:name w:val="heading 1"/>
    <w:basedOn w:val="1"/>
    <w:next w:val="1"/>
    <w:link w:val="23"/>
    <w:qFormat/>
    <w:uiPriority w:val="0"/>
    <w:pPr>
      <w:widowControl/>
      <w:spacing w:beforeAutospacing="1" w:afterAutospacing="1"/>
      <w:jc w:val="center"/>
      <w:outlineLvl w:val="0"/>
    </w:pPr>
    <w:rPr>
      <w:rFonts w:cs="Times New Roman"/>
      <w:b/>
      <w:bCs/>
      <w:kern w:val="44"/>
      <w:sz w:val="30"/>
      <w:szCs w:val="48"/>
    </w:rPr>
  </w:style>
  <w:style w:type="paragraph" w:styleId="3">
    <w:name w:val="heading 2"/>
    <w:basedOn w:val="1"/>
    <w:next w:val="1"/>
    <w:link w:val="24"/>
    <w:unhideWhenUsed/>
    <w:qFormat/>
    <w:uiPriority w:val="0"/>
    <w:pPr>
      <w:widowControl/>
      <w:spacing w:before="100" w:beforeLines="100" w:after="100" w:afterLines="100"/>
      <w:jc w:val="center"/>
      <w:outlineLvl w:val="1"/>
    </w:pPr>
    <w:rPr>
      <w:rFonts w:eastAsia="黑体" w:cs="Times New Roman"/>
      <w:b/>
      <w:bCs/>
      <w:kern w:val="0"/>
      <w:sz w:val="28"/>
      <w:szCs w:val="36"/>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2"/>
    <w:qFormat/>
    <w:uiPriority w:val="0"/>
    <w:pPr>
      <w:jc w:val="left"/>
    </w:pPr>
    <w:rPr>
      <w:rFonts w:hint="eastAsia" w:cs="Times New Roman"/>
    </w:rPr>
  </w:style>
  <w:style w:type="paragraph" w:styleId="6">
    <w:name w:val="footer"/>
    <w:basedOn w:val="1"/>
    <w:link w:val="25"/>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style>
  <w:style w:type="character" w:styleId="13">
    <w:name w:val="Strong"/>
    <w:basedOn w:val="12"/>
    <w:qFormat/>
    <w:uiPriority w:val="0"/>
    <w:rPr>
      <w:b/>
    </w:rPr>
  </w:style>
  <w:style w:type="character" w:styleId="14">
    <w:name w:val="annotation reference"/>
    <w:basedOn w:val="12"/>
    <w:qFormat/>
    <w:uiPriority w:val="0"/>
    <w:rPr>
      <w:sz w:val="21"/>
      <w:szCs w:val="21"/>
    </w:rPr>
  </w:style>
  <w:style w:type="paragraph" w:customStyle="1" w:styleId="15">
    <w:name w:val="正文-黑体"/>
    <w:basedOn w:val="1"/>
    <w:link w:val="16"/>
    <w:qFormat/>
    <w:uiPriority w:val="0"/>
    <w:rPr>
      <w:rFonts w:ascii="黑体" w:hAnsi="黑体" w:eastAsia="黑体"/>
    </w:rPr>
  </w:style>
  <w:style w:type="character" w:customStyle="1" w:styleId="16">
    <w:name w:val="正文-黑体 Char"/>
    <w:link w:val="15"/>
    <w:qFormat/>
    <w:uiPriority w:val="0"/>
    <w:rPr>
      <w:rFonts w:hint="default" w:ascii="黑体" w:hAnsi="黑体" w:eastAsia="黑体"/>
    </w:rPr>
  </w:style>
  <w:style w:type="paragraph" w:customStyle="1" w:styleId="17">
    <w:name w:val="条文说明"/>
    <w:basedOn w:val="1"/>
    <w:link w:val="26"/>
    <w:qFormat/>
    <w:uiPriority w:val="0"/>
    <w:pPr>
      <w:widowControl/>
    </w:pPr>
    <w:rPr>
      <w:rFonts w:cs="华文楷体"/>
      <w:color w:val="2E54A1" w:themeColor="accent1" w:themeShade="BF"/>
    </w:rPr>
  </w:style>
  <w:style w:type="paragraph" w:customStyle="1" w:styleId="18">
    <w:name w:val="正文-缩进2格"/>
    <w:basedOn w:val="1"/>
    <w:link w:val="27"/>
    <w:qFormat/>
    <w:uiPriority w:val="0"/>
    <w:pPr>
      <w:ind w:firstLine="640" w:firstLineChars="200"/>
    </w:pPr>
    <w:rPr>
      <w:rFonts w:hint="eastAsia" w:cs="宋体"/>
      <w:color w:val="333333"/>
      <w:szCs w:val="28"/>
    </w:rPr>
  </w:style>
  <w:style w:type="paragraph" w:customStyle="1" w:styleId="19">
    <w:name w:val="表格、图片标题"/>
    <w:basedOn w:val="1"/>
    <w:link w:val="21"/>
    <w:qFormat/>
    <w:uiPriority w:val="0"/>
    <w:pPr>
      <w:widowControl/>
      <w:jc w:val="center"/>
    </w:pPr>
    <w:rPr>
      <w:rFonts w:cs="宋体"/>
      <w:color w:val="000000"/>
      <w:sz w:val="21"/>
      <w:szCs w:val="28"/>
    </w:rPr>
  </w:style>
  <w:style w:type="paragraph" w:customStyle="1" w:styleId="20">
    <w:name w:val="表格正文"/>
    <w:basedOn w:val="1"/>
    <w:qFormat/>
    <w:uiPriority w:val="0"/>
    <w:pPr>
      <w:jc w:val="center"/>
    </w:pPr>
    <w:rPr>
      <w:sz w:val="21"/>
    </w:rPr>
  </w:style>
  <w:style w:type="character" w:customStyle="1" w:styleId="21">
    <w:name w:val="表格、图片标题 Char"/>
    <w:link w:val="19"/>
    <w:qFormat/>
    <w:uiPriority w:val="0"/>
    <w:rPr>
      <w:rFonts w:hint="default" w:ascii="Times New Roman" w:hAnsi="Times New Roman" w:eastAsia="宋体" w:cs="宋体"/>
      <w:color w:val="000000"/>
      <w:sz w:val="21"/>
      <w:szCs w:val="28"/>
    </w:rPr>
  </w:style>
  <w:style w:type="character" w:customStyle="1" w:styleId="22">
    <w:name w:val="批注文字 字符"/>
    <w:basedOn w:val="12"/>
    <w:link w:val="5"/>
    <w:qFormat/>
    <w:uiPriority w:val="0"/>
    <w:rPr>
      <w:rFonts w:hint="default" w:ascii="Times New Roman" w:hAnsi="Times New Roman" w:cs="Times New Roman"/>
      <w:kern w:val="2"/>
      <w:sz w:val="28"/>
      <w:szCs w:val="24"/>
    </w:rPr>
  </w:style>
  <w:style w:type="character" w:customStyle="1" w:styleId="23">
    <w:name w:val="标题 1 字符"/>
    <w:basedOn w:val="12"/>
    <w:link w:val="2"/>
    <w:qFormat/>
    <w:uiPriority w:val="0"/>
    <w:rPr>
      <w:rFonts w:hint="default" w:ascii="Times New Roman" w:hAnsi="Times New Roman" w:eastAsia="宋体" w:cs="Times New Roman"/>
      <w:b/>
      <w:bCs/>
      <w:kern w:val="44"/>
      <w:sz w:val="30"/>
      <w:szCs w:val="48"/>
    </w:rPr>
  </w:style>
  <w:style w:type="character" w:customStyle="1" w:styleId="24">
    <w:name w:val="标题 2 字符"/>
    <w:basedOn w:val="12"/>
    <w:link w:val="3"/>
    <w:qFormat/>
    <w:uiPriority w:val="0"/>
    <w:rPr>
      <w:rFonts w:hint="eastAsia" w:ascii="Times New Roman" w:hAnsi="Times New Roman" w:eastAsia="黑体" w:cs="Times New Roman"/>
      <w:b/>
      <w:bCs/>
      <w:sz w:val="28"/>
      <w:szCs w:val="36"/>
    </w:rPr>
  </w:style>
  <w:style w:type="character" w:customStyle="1" w:styleId="25">
    <w:name w:val="页脚 字符"/>
    <w:basedOn w:val="12"/>
    <w:link w:val="6"/>
    <w:qFormat/>
    <w:uiPriority w:val="0"/>
    <w:rPr>
      <w:rFonts w:hint="default" w:ascii="Times New Roman" w:hAnsi="Times New Roman" w:cs="Times New Roman"/>
      <w:kern w:val="2"/>
      <w:sz w:val="18"/>
      <w:szCs w:val="24"/>
    </w:rPr>
  </w:style>
  <w:style w:type="character" w:customStyle="1" w:styleId="26">
    <w:name w:val="条文说明 Char"/>
    <w:link w:val="17"/>
    <w:qFormat/>
    <w:uiPriority w:val="0"/>
    <w:rPr>
      <w:rFonts w:ascii="Times New Roman" w:hAnsi="Times New Roman" w:eastAsia="宋体" w:cs="华文楷体"/>
      <w:color w:val="2E54A1" w:themeColor="accent1" w:themeShade="BF"/>
      <w:sz w:val="24"/>
    </w:rPr>
  </w:style>
  <w:style w:type="character" w:customStyle="1" w:styleId="27">
    <w:name w:val="正文-缩进2格 Char"/>
    <w:link w:val="18"/>
    <w:qFormat/>
    <w:uiPriority w:val="0"/>
    <w:rPr>
      <w:rFonts w:hint="eastAsia" w:eastAsia="宋体" w:cs="宋体"/>
      <w:color w:val="333333"/>
      <w:sz w:val="24"/>
      <w:szCs w:val="28"/>
    </w:rPr>
  </w:style>
  <w:style w:type="paragraph" w:customStyle="1" w:styleId="28">
    <w:name w:val="修订1"/>
    <w:hidden/>
    <w:unhideWhenUsed/>
    <w:qFormat/>
    <w:uiPriority w:val="99"/>
    <w:rPr>
      <w:rFonts w:ascii="宋体" w:hAnsi="宋体" w:eastAsia="宋体" w:cstheme="minorBidi"/>
      <w:kern w:val="2"/>
      <w:sz w:val="28"/>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4.png"/><Relationship Id="rId98" Type="http://schemas.openxmlformats.org/officeDocument/2006/relationships/image" Target="media/image43.png"/><Relationship Id="rId97" Type="http://schemas.openxmlformats.org/officeDocument/2006/relationships/oleObject" Target="embeddings/oleObject44.bin"/><Relationship Id="rId96" Type="http://schemas.openxmlformats.org/officeDocument/2006/relationships/image" Target="media/image42.wmf"/><Relationship Id="rId95" Type="http://schemas.openxmlformats.org/officeDocument/2006/relationships/oleObject" Target="embeddings/oleObject43.bin"/><Relationship Id="rId94" Type="http://schemas.openxmlformats.org/officeDocument/2006/relationships/image" Target="media/image41.wmf"/><Relationship Id="rId93" Type="http://schemas.openxmlformats.org/officeDocument/2006/relationships/oleObject" Target="embeddings/oleObject42.bin"/><Relationship Id="rId92" Type="http://schemas.openxmlformats.org/officeDocument/2006/relationships/image" Target="media/image40.png"/><Relationship Id="rId91" Type="http://schemas.openxmlformats.org/officeDocument/2006/relationships/oleObject" Target="embeddings/oleObject41.bin"/><Relationship Id="rId90" Type="http://schemas.openxmlformats.org/officeDocument/2006/relationships/image" Target="media/image39.png"/><Relationship Id="rId9" Type="http://schemas.openxmlformats.org/officeDocument/2006/relationships/footer" Target="footer5.xml"/><Relationship Id="rId89" Type="http://schemas.openxmlformats.org/officeDocument/2006/relationships/image" Target="media/image38.png"/><Relationship Id="rId88" Type="http://schemas.openxmlformats.org/officeDocument/2006/relationships/image" Target="media/image37.png"/><Relationship Id="rId87" Type="http://schemas.openxmlformats.org/officeDocument/2006/relationships/oleObject" Target="embeddings/oleObject40.bin"/><Relationship Id="rId86" Type="http://schemas.openxmlformats.org/officeDocument/2006/relationships/oleObject" Target="embeddings/oleObject39.bin"/><Relationship Id="rId85" Type="http://schemas.openxmlformats.org/officeDocument/2006/relationships/oleObject" Target="embeddings/oleObject38.bin"/><Relationship Id="rId84" Type="http://schemas.openxmlformats.org/officeDocument/2006/relationships/image" Target="media/image36.wmf"/><Relationship Id="rId83" Type="http://schemas.openxmlformats.org/officeDocument/2006/relationships/oleObject" Target="embeddings/oleObject37.bin"/><Relationship Id="rId82" Type="http://schemas.openxmlformats.org/officeDocument/2006/relationships/image" Target="media/image35.png"/><Relationship Id="rId81" Type="http://schemas.openxmlformats.org/officeDocument/2006/relationships/image" Target="media/image34.png"/><Relationship Id="rId80" Type="http://schemas.openxmlformats.org/officeDocument/2006/relationships/image" Target="media/image33.png"/><Relationship Id="rId8" Type="http://schemas.openxmlformats.org/officeDocument/2006/relationships/footer" Target="footer4.xml"/><Relationship Id="rId79" Type="http://schemas.openxmlformats.org/officeDocument/2006/relationships/oleObject" Target="embeddings/oleObject36.bin"/><Relationship Id="rId78" Type="http://schemas.openxmlformats.org/officeDocument/2006/relationships/oleObject" Target="embeddings/oleObject35.bin"/><Relationship Id="rId77" Type="http://schemas.openxmlformats.org/officeDocument/2006/relationships/image" Target="media/image32.wmf"/><Relationship Id="rId76" Type="http://schemas.openxmlformats.org/officeDocument/2006/relationships/oleObject" Target="embeddings/oleObject34.bin"/><Relationship Id="rId75" Type="http://schemas.openxmlformats.org/officeDocument/2006/relationships/image" Target="media/image31.wmf"/><Relationship Id="rId74" Type="http://schemas.openxmlformats.org/officeDocument/2006/relationships/oleObject" Target="embeddings/oleObject33.bin"/><Relationship Id="rId73" Type="http://schemas.openxmlformats.org/officeDocument/2006/relationships/image" Target="media/image30.png"/><Relationship Id="rId72" Type="http://schemas.openxmlformats.org/officeDocument/2006/relationships/oleObject" Target="embeddings/oleObject32.bin"/><Relationship Id="rId71" Type="http://schemas.openxmlformats.org/officeDocument/2006/relationships/image" Target="media/image29.png"/><Relationship Id="rId70" Type="http://schemas.openxmlformats.org/officeDocument/2006/relationships/image" Target="media/image28.png"/><Relationship Id="rId7" Type="http://schemas.openxmlformats.org/officeDocument/2006/relationships/footer" Target="footer3.xml"/><Relationship Id="rId69" Type="http://schemas.openxmlformats.org/officeDocument/2006/relationships/oleObject" Target="embeddings/oleObject31.bin"/><Relationship Id="rId68" Type="http://schemas.openxmlformats.org/officeDocument/2006/relationships/oleObject" Target="embeddings/oleObject30.bin"/><Relationship Id="rId67" Type="http://schemas.openxmlformats.org/officeDocument/2006/relationships/oleObject" Target="embeddings/oleObject29.bin"/><Relationship Id="rId66" Type="http://schemas.openxmlformats.org/officeDocument/2006/relationships/oleObject" Target="embeddings/oleObject28.bin"/><Relationship Id="rId65" Type="http://schemas.openxmlformats.org/officeDocument/2006/relationships/oleObject" Target="embeddings/oleObject27.bin"/><Relationship Id="rId64" Type="http://schemas.openxmlformats.org/officeDocument/2006/relationships/oleObject" Target="embeddings/oleObject26.bin"/><Relationship Id="rId63" Type="http://schemas.openxmlformats.org/officeDocument/2006/relationships/image" Target="media/image27.wmf"/><Relationship Id="rId62" Type="http://schemas.openxmlformats.org/officeDocument/2006/relationships/oleObject" Target="embeddings/oleObject25.bin"/><Relationship Id="rId61" Type="http://schemas.openxmlformats.org/officeDocument/2006/relationships/image" Target="media/image26.wmf"/><Relationship Id="rId60" Type="http://schemas.openxmlformats.org/officeDocument/2006/relationships/oleObject" Target="embeddings/oleObject24.bin"/><Relationship Id="rId6" Type="http://schemas.openxmlformats.org/officeDocument/2006/relationships/footer" Target="footer2.xml"/><Relationship Id="rId59" Type="http://schemas.openxmlformats.org/officeDocument/2006/relationships/oleObject" Target="embeddings/oleObject23.bin"/><Relationship Id="rId58" Type="http://schemas.openxmlformats.org/officeDocument/2006/relationships/image" Target="media/image25.wmf"/><Relationship Id="rId57" Type="http://schemas.openxmlformats.org/officeDocument/2006/relationships/oleObject" Target="embeddings/oleObject22.bin"/><Relationship Id="rId56" Type="http://schemas.openxmlformats.org/officeDocument/2006/relationships/image" Target="media/image24.png"/><Relationship Id="rId55" Type="http://schemas.openxmlformats.org/officeDocument/2006/relationships/image" Target="media/image23.png"/><Relationship Id="rId54" Type="http://schemas.openxmlformats.org/officeDocument/2006/relationships/image" Target="media/image22.wmf"/><Relationship Id="rId53" Type="http://schemas.openxmlformats.org/officeDocument/2006/relationships/oleObject" Target="embeddings/oleObject21.bin"/><Relationship Id="rId52" Type="http://schemas.openxmlformats.org/officeDocument/2006/relationships/image" Target="media/image21.wmf"/><Relationship Id="rId51" Type="http://schemas.openxmlformats.org/officeDocument/2006/relationships/oleObject" Target="embeddings/oleObject20.bin"/><Relationship Id="rId50" Type="http://schemas.openxmlformats.org/officeDocument/2006/relationships/image" Target="media/image20.wmf"/><Relationship Id="rId5" Type="http://schemas.openxmlformats.org/officeDocument/2006/relationships/footer" Target="footer1.xml"/><Relationship Id="rId49" Type="http://schemas.openxmlformats.org/officeDocument/2006/relationships/oleObject" Target="embeddings/oleObject19.bin"/><Relationship Id="rId48" Type="http://schemas.openxmlformats.org/officeDocument/2006/relationships/image" Target="media/image19.wmf"/><Relationship Id="rId47" Type="http://schemas.openxmlformats.org/officeDocument/2006/relationships/oleObject" Target="embeddings/oleObject18.bin"/><Relationship Id="rId46" Type="http://schemas.openxmlformats.org/officeDocument/2006/relationships/image" Target="media/image18.wmf"/><Relationship Id="rId45" Type="http://schemas.openxmlformats.org/officeDocument/2006/relationships/oleObject" Target="embeddings/oleObject17.bin"/><Relationship Id="rId44" Type="http://schemas.openxmlformats.org/officeDocument/2006/relationships/image" Target="media/image17.wmf"/><Relationship Id="rId43" Type="http://schemas.openxmlformats.org/officeDocument/2006/relationships/oleObject" Target="embeddings/oleObject16.bin"/><Relationship Id="rId42" Type="http://schemas.openxmlformats.org/officeDocument/2006/relationships/image" Target="media/image16.wmf"/><Relationship Id="rId41" Type="http://schemas.openxmlformats.org/officeDocument/2006/relationships/oleObject" Target="embeddings/oleObject15.bin"/><Relationship Id="rId40" Type="http://schemas.openxmlformats.org/officeDocument/2006/relationships/image" Target="media/image15.wmf"/><Relationship Id="rId4" Type="http://schemas.openxmlformats.org/officeDocument/2006/relationships/endnotes" Target="endnotes.xml"/><Relationship Id="rId39" Type="http://schemas.openxmlformats.org/officeDocument/2006/relationships/oleObject" Target="embeddings/oleObject14.bin"/><Relationship Id="rId38" Type="http://schemas.openxmlformats.org/officeDocument/2006/relationships/image" Target="media/image14.wmf"/><Relationship Id="rId37" Type="http://schemas.openxmlformats.org/officeDocument/2006/relationships/oleObject" Target="embeddings/oleObject13.bin"/><Relationship Id="rId36" Type="http://schemas.openxmlformats.org/officeDocument/2006/relationships/image" Target="media/image13.wmf"/><Relationship Id="rId35" Type="http://schemas.openxmlformats.org/officeDocument/2006/relationships/oleObject" Target="embeddings/oleObject12.bin"/><Relationship Id="rId34" Type="http://schemas.openxmlformats.org/officeDocument/2006/relationships/image" Target="media/image12.wmf"/><Relationship Id="rId33" Type="http://schemas.openxmlformats.org/officeDocument/2006/relationships/oleObject" Target="embeddings/oleObject11.bin"/><Relationship Id="rId32" Type="http://schemas.openxmlformats.org/officeDocument/2006/relationships/image" Target="media/image11.wmf"/><Relationship Id="rId31" Type="http://schemas.openxmlformats.org/officeDocument/2006/relationships/oleObject" Target="embeddings/oleObject10.bin"/><Relationship Id="rId30" Type="http://schemas.openxmlformats.org/officeDocument/2006/relationships/image" Target="media/image10.wmf"/><Relationship Id="rId3" Type="http://schemas.openxmlformats.org/officeDocument/2006/relationships/footnotes" Target="footnotes.xml"/><Relationship Id="rId29" Type="http://schemas.openxmlformats.org/officeDocument/2006/relationships/oleObject" Target="embeddings/oleObject9.bin"/><Relationship Id="rId28" Type="http://schemas.openxmlformats.org/officeDocument/2006/relationships/image" Target="media/image9.wmf"/><Relationship Id="rId27" Type="http://schemas.openxmlformats.org/officeDocument/2006/relationships/oleObject" Target="embeddings/oleObject8.bin"/><Relationship Id="rId26" Type="http://schemas.openxmlformats.org/officeDocument/2006/relationships/image" Target="media/image8.wmf"/><Relationship Id="rId25" Type="http://schemas.openxmlformats.org/officeDocument/2006/relationships/oleObject" Target="embeddings/oleObject7.bin"/><Relationship Id="rId24" Type="http://schemas.openxmlformats.org/officeDocument/2006/relationships/image" Target="media/image7.wmf"/><Relationship Id="rId23" Type="http://schemas.openxmlformats.org/officeDocument/2006/relationships/oleObject" Target="embeddings/oleObject6.bin"/><Relationship Id="rId22" Type="http://schemas.openxmlformats.org/officeDocument/2006/relationships/image" Target="media/image6.wmf"/><Relationship Id="rId21" Type="http://schemas.openxmlformats.org/officeDocument/2006/relationships/oleObject" Target="embeddings/oleObject5.bin"/><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4.wmf"/><Relationship Id="rId17" Type="http://schemas.openxmlformats.org/officeDocument/2006/relationships/oleObject" Target="embeddings/oleObject3.bin"/><Relationship Id="rId16" Type="http://schemas.openxmlformats.org/officeDocument/2006/relationships/image" Target="media/image3.wmf"/><Relationship Id="rId15" Type="http://schemas.openxmlformats.org/officeDocument/2006/relationships/oleObject" Target="embeddings/oleObject2.bin"/><Relationship Id="rId14" Type="http://schemas.openxmlformats.org/officeDocument/2006/relationships/image" Target="media/image2.wmf"/><Relationship Id="rId13" Type="http://schemas.openxmlformats.org/officeDocument/2006/relationships/oleObject" Target="embeddings/oleObject1.bin"/><Relationship Id="rId12" Type="http://schemas.openxmlformats.org/officeDocument/2006/relationships/image" Target="media/image1.png"/><Relationship Id="rId11" Type="http://schemas.openxmlformats.org/officeDocument/2006/relationships/theme" Target="theme/theme1.xml"/><Relationship Id="rId101" Type="http://schemas.openxmlformats.org/officeDocument/2006/relationships/fontTable" Target="fontTable.xml"/><Relationship Id="rId100" Type="http://schemas.openxmlformats.org/officeDocument/2006/relationships/customXml" Target="../customXml/item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18194</Words>
  <Characters>20897</Characters>
  <Lines>998</Lines>
  <Paragraphs>878</Paragraphs>
  <TotalTime>3</TotalTime>
  <ScaleCrop>false</ScaleCrop>
  <LinksUpToDate>false</LinksUpToDate>
  <CharactersWithSpaces>21657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2025-06-04T12:21:00Z</dcterms:created>
  <dc:creator>张伟才</dc:creator>
  <cp:lastModifiedBy>程哲</cp:lastModifiedBy>
  <dcterms:modified xsi:type="dcterms:W3CDTF">2025-08-29T06:55:15Z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D16F08ADC1984F5AB56E58B20E75329E_13</vt:lpwstr>
  </property>
  <property fmtid="{D5CDD505-2E9C-101B-9397-08002B2CF9AE}" pid="4" name="KSOTemplateDocerSaveRecord">
    <vt:lpwstr>eyJoZGlkIjoiYjVhYjZjY2FhOTNhODU1YmQxNTEzNmUxNGJkNjhjMzAiLCJ1c2VySWQiOiIzNDU3MzczNDcifQ==</vt:lpwstr>
  </property>
</Properties>
</file>